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4FACA">
      <w:pPr>
        <w:spacing w:before="156" w:beforeLines="50"/>
        <w:jc w:val="right"/>
        <w:rPr>
          <w:rFonts w:ascii="宋体" w:hAnsi="宋体"/>
          <w:b/>
          <w:bCs/>
          <w:color w:val="auto"/>
          <w:sz w:val="36"/>
          <w:szCs w:val="36"/>
          <w:highlight w:val="none"/>
        </w:rPr>
      </w:pPr>
      <w:bookmarkStart w:id="0" w:name="_Toc25017_WPSOffice_Type1"/>
    </w:p>
    <w:p w14:paraId="36E13F91">
      <w:pPr>
        <w:spacing w:before="156" w:beforeLines="50"/>
        <w:jc w:val="center"/>
        <w:rPr>
          <w:rFonts w:ascii="宋体" w:hAnsi="宋体"/>
          <w:b/>
          <w:bCs/>
          <w:color w:val="auto"/>
          <w:sz w:val="48"/>
          <w:szCs w:val="48"/>
          <w:highlight w:val="none"/>
        </w:rPr>
      </w:pPr>
    </w:p>
    <w:p w14:paraId="4D417CD3">
      <w:pPr>
        <w:spacing w:before="156" w:beforeLines="50"/>
        <w:rPr>
          <w:rFonts w:ascii="宋体" w:hAnsi="宋体"/>
          <w:b/>
          <w:bCs/>
          <w:color w:val="auto"/>
          <w:sz w:val="48"/>
          <w:szCs w:val="48"/>
          <w:highlight w:val="none"/>
        </w:rPr>
      </w:pPr>
    </w:p>
    <w:p w14:paraId="7EB3D84F">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color w:val="auto"/>
          <w:kern w:val="0"/>
          <w:sz w:val="52"/>
          <w:szCs w:val="52"/>
          <w:highlight w:val="none"/>
        </w:rPr>
      </w:pPr>
      <w:r>
        <w:rPr>
          <w:rFonts w:hint="eastAsia" w:ascii="宋体"/>
          <w:b/>
          <w:color w:val="auto"/>
          <w:kern w:val="0"/>
          <w:sz w:val="52"/>
          <w:szCs w:val="52"/>
          <w:highlight w:val="none"/>
        </w:rPr>
        <w:t>台州市政府采购招标文件</w:t>
      </w:r>
    </w:p>
    <w:p w14:paraId="02303F97">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eastAsia="宋体"/>
          <w:b/>
          <w:color w:val="auto"/>
          <w:kern w:val="0"/>
          <w:sz w:val="32"/>
          <w:highlight w:val="none"/>
          <w:lang w:eastAsia="zh-CN"/>
        </w:rPr>
      </w:pPr>
      <w:r>
        <w:rPr>
          <w:rFonts w:hint="eastAsia" w:ascii="宋体"/>
          <w:b/>
          <w:color w:val="auto"/>
          <w:kern w:val="0"/>
          <w:sz w:val="32"/>
          <w:highlight w:val="none"/>
          <w:lang w:eastAsia="zh-CN"/>
        </w:rPr>
        <w:t>台财采确临[2024]2935号-2</w:t>
      </w:r>
    </w:p>
    <w:p w14:paraId="7E3770D5">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color w:val="auto"/>
          <w:kern w:val="0"/>
          <w:sz w:val="24"/>
          <w:highlight w:val="none"/>
        </w:rPr>
      </w:pPr>
    </w:p>
    <w:p w14:paraId="46562B57">
      <w:pPr>
        <w:autoSpaceDE w:val="0"/>
        <w:autoSpaceDN w:val="0"/>
        <w:adjustRightInd w:val="0"/>
        <w:spacing w:line="360" w:lineRule="auto"/>
        <w:rPr>
          <w:rFonts w:ascii="宋体"/>
          <w:b/>
          <w:color w:val="auto"/>
          <w:kern w:val="0"/>
          <w:sz w:val="52"/>
          <w:szCs w:val="52"/>
          <w:highlight w:val="none"/>
        </w:rPr>
      </w:pPr>
    </w:p>
    <w:p w14:paraId="571153F8">
      <w:pPr>
        <w:autoSpaceDE w:val="0"/>
        <w:autoSpaceDN w:val="0"/>
        <w:adjustRightInd w:val="0"/>
        <w:spacing w:line="360" w:lineRule="auto"/>
        <w:ind w:firstLine="1797" w:firstLineChars="642"/>
        <w:jc w:val="left"/>
        <w:rPr>
          <w:rFonts w:ascii="宋体"/>
          <w:color w:val="auto"/>
          <w:kern w:val="0"/>
          <w:sz w:val="28"/>
          <w:highlight w:val="none"/>
        </w:rPr>
      </w:pPr>
    </w:p>
    <w:p w14:paraId="56731F9C">
      <w:pPr>
        <w:autoSpaceDE w:val="0"/>
        <w:autoSpaceDN w:val="0"/>
        <w:adjustRightInd w:val="0"/>
        <w:spacing w:line="360" w:lineRule="auto"/>
        <w:ind w:firstLine="1797" w:firstLineChars="642"/>
        <w:jc w:val="left"/>
        <w:rPr>
          <w:rFonts w:ascii="宋体"/>
          <w:color w:val="auto"/>
          <w:kern w:val="0"/>
          <w:sz w:val="28"/>
          <w:highlight w:val="none"/>
        </w:rPr>
      </w:pPr>
    </w:p>
    <w:p w14:paraId="52185534">
      <w:pPr>
        <w:autoSpaceDE w:val="0"/>
        <w:autoSpaceDN w:val="0"/>
        <w:adjustRightInd w:val="0"/>
        <w:spacing w:line="360" w:lineRule="auto"/>
        <w:jc w:val="center"/>
        <w:rPr>
          <w:rFonts w:hint="eastAsia" w:ascii="宋体" w:eastAsia="宋体"/>
          <w:color w:val="auto"/>
          <w:kern w:val="0"/>
          <w:sz w:val="28"/>
          <w:highlight w:val="none"/>
          <w:lang w:eastAsia="zh-CN"/>
        </w:rPr>
      </w:pPr>
      <w:r>
        <w:rPr>
          <w:rFonts w:hint="eastAsia" w:ascii="宋体"/>
          <w:color w:val="auto"/>
          <w:kern w:val="0"/>
          <w:sz w:val="28"/>
          <w:highlight w:val="none"/>
        </w:rPr>
        <w:t>采购项目：</w:t>
      </w:r>
      <w:r>
        <w:rPr>
          <w:rFonts w:hint="eastAsia" w:hAnsi="宋体"/>
          <w:b/>
          <w:bCs/>
          <w:color w:val="auto"/>
          <w:sz w:val="28"/>
          <w:highlight w:val="none"/>
          <w:lang w:eastAsia="zh-CN"/>
        </w:rPr>
        <w:t>2024年电子监控、基础及管路项目（第二次重新招标）</w:t>
      </w:r>
    </w:p>
    <w:p w14:paraId="075C5731">
      <w:pPr>
        <w:autoSpaceDE w:val="0"/>
        <w:autoSpaceDN w:val="0"/>
        <w:adjustRightInd w:val="0"/>
        <w:spacing w:line="360" w:lineRule="auto"/>
        <w:jc w:val="center"/>
        <w:rPr>
          <w:rFonts w:ascii="宋体"/>
          <w:color w:val="auto"/>
          <w:kern w:val="0"/>
          <w:sz w:val="28"/>
          <w:highlight w:val="none"/>
        </w:rPr>
      </w:pPr>
      <w:r>
        <w:rPr>
          <w:rFonts w:hint="eastAsia" w:ascii="宋体"/>
          <w:color w:val="auto"/>
          <w:kern w:val="0"/>
          <w:sz w:val="28"/>
          <w:highlight w:val="none"/>
        </w:rPr>
        <w:t>采 购 人：</w:t>
      </w:r>
      <w:r>
        <w:rPr>
          <w:rFonts w:hint="eastAsia" w:hAnsi="宋体"/>
          <w:b/>
          <w:bCs/>
          <w:color w:val="auto"/>
          <w:sz w:val="28"/>
          <w:highlight w:val="none"/>
        </w:rPr>
        <w:t>台州市公安局交通警察局（盖章）</w:t>
      </w:r>
    </w:p>
    <w:p w14:paraId="0569512E">
      <w:pPr>
        <w:snapToGrid w:val="0"/>
        <w:spacing w:before="156" w:beforeLines="50" w:line="360" w:lineRule="auto"/>
        <w:rPr>
          <w:rFonts w:ascii="宋体" w:hAnsi="宋体"/>
          <w:color w:val="auto"/>
          <w:sz w:val="30"/>
          <w:szCs w:val="72"/>
          <w:highlight w:val="none"/>
        </w:rPr>
      </w:pPr>
    </w:p>
    <w:p w14:paraId="482DB729">
      <w:pPr>
        <w:pStyle w:val="27"/>
        <w:ind w:left="0" w:leftChars="0"/>
        <w:rPr>
          <w:color w:val="auto"/>
          <w:highlight w:val="none"/>
        </w:rPr>
      </w:pPr>
    </w:p>
    <w:p w14:paraId="532ACC5A">
      <w:pPr>
        <w:pStyle w:val="26"/>
        <w:snapToGrid w:val="0"/>
        <w:spacing w:before="120" w:after="120" w:line="360" w:lineRule="auto"/>
        <w:ind w:firstLine="556"/>
        <w:jc w:val="center"/>
        <w:rPr>
          <w:rFonts w:hAnsi="宋体"/>
          <w:b/>
          <w:bCs/>
          <w:color w:val="auto"/>
          <w:w w:val="95"/>
          <w:sz w:val="30"/>
          <w:szCs w:val="30"/>
          <w:highlight w:val="none"/>
        </w:rPr>
      </w:pPr>
    </w:p>
    <w:p w14:paraId="03828F48">
      <w:pPr>
        <w:pStyle w:val="27"/>
        <w:ind w:left="0" w:leftChars="0"/>
        <w:rPr>
          <w:color w:val="auto"/>
          <w:highlight w:val="none"/>
        </w:rPr>
      </w:pPr>
    </w:p>
    <w:p w14:paraId="3A086255">
      <w:pPr>
        <w:pStyle w:val="26"/>
        <w:snapToGrid w:val="0"/>
        <w:spacing w:before="120" w:after="120" w:line="360" w:lineRule="auto"/>
        <w:ind w:left="1275" w:leftChars="607" w:firstLine="563"/>
        <w:rPr>
          <w:rFonts w:hAnsi="宋体"/>
          <w:b/>
          <w:bCs/>
          <w:color w:val="auto"/>
          <w:w w:val="95"/>
          <w:sz w:val="30"/>
          <w:szCs w:val="30"/>
          <w:highlight w:val="none"/>
        </w:rPr>
      </w:pPr>
      <w:r>
        <w:rPr>
          <w:rFonts w:hint="eastAsia" w:hAnsi="宋体"/>
          <w:b/>
          <w:bCs/>
          <w:color w:val="auto"/>
          <w:w w:val="95"/>
          <w:sz w:val="30"/>
          <w:szCs w:val="30"/>
          <w:highlight w:val="none"/>
        </w:rPr>
        <w:t>采 购 人：台州市公安局交通警察局</w:t>
      </w:r>
    </w:p>
    <w:p w14:paraId="1945E65F">
      <w:pPr>
        <w:pStyle w:val="26"/>
        <w:snapToGrid w:val="0"/>
        <w:spacing w:before="120" w:after="120" w:line="360" w:lineRule="auto"/>
        <w:ind w:left="1275" w:leftChars="607" w:firstLine="563"/>
        <w:rPr>
          <w:rFonts w:hAnsi="宋体"/>
          <w:b/>
          <w:color w:val="auto"/>
          <w:sz w:val="30"/>
          <w:szCs w:val="48"/>
          <w:highlight w:val="none"/>
        </w:rPr>
      </w:pPr>
      <w:r>
        <w:rPr>
          <w:rFonts w:hint="eastAsia" w:hAnsi="宋体"/>
          <w:b/>
          <w:bCs/>
          <w:color w:val="auto"/>
          <w:w w:val="95"/>
          <w:sz w:val="30"/>
          <w:szCs w:val="30"/>
          <w:highlight w:val="none"/>
        </w:rPr>
        <w:t>代理机构：</w:t>
      </w:r>
      <w:r>
        <w:rPr>
          <w:rFonts w:hint="eastAsia" w:hAnsi="宋体"/>
          <w:b/>
          <w:color w:val="auto"/>
          <w:sz w:val="30"/>
          <w:szCs w:val="48"/>
          <w:highlight w:val="none"/>
        </w:rPr>
        <w:t>台州市建设咨询有限公司</w:t>
      </w:r>
    </w:p>
    <w:p w14:paraId="1E9CA39B">
      <w:pPr>
        <w:snapToGrid w:val="0"/>
        <w:spacing w:before="156" w:beforeLines="50" w:line="360" w:lineRule="auto"/>
        <w:jc w:val="center"/>
        <w:rPr>
          <w:rFonts w:hint="eastAsia" w:ascii="宋体" w:hAnsi="宋体"/>
          <w:b/>
          <w:bCs/>
          <w:color w:val="auto"/>
          <w:w w:val="95"/>
          <w:sz w:val="30"/>
          <w:szCs w:val="30"/>
          <w:highlight w:val="none"/>
        </w:rPr>
      </w:pPr>
      <w:r>
        <w:rPr>
          <w:rFonts w:hint="eastAsia" w:ascii="宋体" w:hAnsi="宋体"/>
          <w:b/>
          <w:bCs/>
          <w:color w:val="auto"/>
          <w:w w:val="95"/>
          <w:sz w:val="30"/>
          <w:szCs w:val="30"/>
          <w:highlight w:val="none"/>
        </w:rPr>
        <w:t>二0二</w:t>
      </w:r>
      <w:r>
        <w:rPr>
          <w:rFonts w:hint="eastAsia" w:ascii="宋体" w:hAnsi="宋体"/>
          <w:b/>
          <w:bCs/>
          <w:color w:val="auto"/>
          <w:w w:val="95"/>
          <w:sz w:val="30"/>
          <w:szCs w:val="30"/>
          <w:highlight w:val="none"/>
          <w:lang w:val="en-US" w:eastAsia="zh-CN"/>
        </w:rPr>
        <w:t>四</w:t>
      </w:r>
      <w:r>
        <w:rPr>
          <w:rFonts w:hint="eastAsia" w:ascii="宋体" w:hAnsi="宋体"/>
          <w:b/>
          <w:bCs/>
          <w:color w:val="auto"/>
          <w:w w:val="95"/>
          <w:sz w:val="30"/>
          <w:szCs w:val="30"/>
          <w:highlight w:val="none"/>
        </w:rPr>
        <w:t>年</w:t>
      </w:r>
      <w:r>
        <w:rPr>
          <w:rFonts w:hint="eastAsia" w:ascii="宋体" w:hAnsi="宋体"/>
          <w:b/>
          <w:bCs/>
          <w:color w:val="auto"/>
          <w:w w:val="95"/>
          <w:sz w:val="30"/>
          <w:szCs w:val="30"/>
          <w:highlight w:val="none"/>
          <w:lang w:val="en-US" w:eastAsia="zh-CN"/>
        </w:rPr>
        <w:t>七</w:t>
      </w:r>
      <w:r>
        <w:rPr>
          <w:rFonts w:hint="eastAsia" w:ascii="宋体" w:hAnsi="宋体"/>
          <w:b/>
          <w:bCs/>
          <w:color w:val="auto"/>
          <w:w w:val="95"/>
          <w:sz w:val="30"/>
          <w:szCs w:val="30"/>
          <w:highlight w:val="none"/>
        </w:rPr>
        <w:t>月</w:t>
      </w:r>
    </w:p>
    <w:p w14:paraId="0456B8F6">
      <w:pPr>
        <w:pStyle w:val="45"/>
        <w:rPr>
          <w:color w:val="auto"/>
          <w:highlight w:val="none"/>
        </w:rPr>
      </w:pPr>
    </w:p>
    <w:sdt>
      <w:sdtPr>
        <w:rPr>
          <w:rFonts w:ascii="宋体" w:hAnsi="宋体"/>
          <w:color w:val="auto"/>
          <w:kern w:val="0"/>
          <w:sz w:val="28"/>
          <w:szCs w:val="28"/>
          <w:highlight w:val="none"/>
        </w:rPr>
        <w:id w:val="147471336"/>
        <w:docPartObj>
          <w:docPartGallery w:val="Table of Contents"/>
          <w:docPartUnique/>
        </w:docPartObj>
      </w:sdtPr>
      <w:sdtEndPr>
        <w:rPr>
          <w:rFonts w:ascii="宋体" w:hAnsi="宋体"/>
          <w:color w:val="auto"/>
          <w:kern w:val="0"/>
          <w:sz w:val="20"/>
          <w:szCs w:val="20"/>
          <w:highlight w:val="none"/>
        </w:rPr>
      </w:sdtEndPr>
      <w:sdtContent>
        <w:p w14:paraId="3D7C7B4A">
          <w:pPr>
            <w:spacing w:line="480" w:lineRule="auto"/>
            <w:jc w:val="center"/>
            <w:rPr>
              <w:rFonts w:ascii="宋体" w:hAnsi="宋体"/>
              <w:color w:val="auto"/>
              <w:sz w:val="28"/>
              <w:szCs w:val="28"/>
              <w:highlight w:val="none"/>
            </w:rPr>
          </w:pPr>
        </w:p>
        <w:p w14:paraId="31B33E67">
          <w:pPr>
            <w:spacing w:line="480" w:lineRule="auto"/>
            <w:jc w:val="center"/>
            <w:rPr>
              <w:color w:val="auto"/>
              <w:sz w:val="28"/>
              <w:szCs w:val="28"/>
              <w:highlight w:val="none"/>
            </w:rPr>
          </w:pPr>
          <w:r>
            <w:rPr>
              <w:rFonts w:ascii="宋体" w:hAnsi="宋体"/>
              <w:b/>
              <w:bCs/>
              <w:color w:val="auto"/>
              <w:sz w:val="36"/>
              <w:szCs w:val="36"/>
              <w:highlight w:val="none"/>
            </w:rPr>
            <w:t>目录</w:t>
          </w:r>
        </w:p>
        <w:p w14:paraId="6E5A85D9">
          <w:pPr>
            <w:pStyle w:val="109"/>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Theme="majorEastAsia" w:hAnsiTheme="majorEastAsia" w:eastAsiaTheme="majorEastAsia"/>
              <w:color w:val="auto"/>
              <w:sz w:val="28"/>
              <w:szCs w:val="28"/>
              <w:highlight w:val="none"/>
            </w:rPr>
            <w:t>第一章 招标公告</w:t>
          </w:r>
          <w:r>
            <w:rPr>
              <w:rFonts w:hint="eastAsia" w:asciiTheme="majorEastAsia" w:hAnsiTheme="majorEastAsia" w:eastAsiaTheme="majorEastAsia"/>
              <w:color w:val="auto"/>
              <w:sz w:val="28"/>
              <w:szCs w:val="28"/>
              <w:highlight w:val="none"/>
            </w:rPr>
            <w:fldChar w:fldCharType="end"/>
          </w:r>
        </w:p>
        <w:p w14:paraId="3DBE01DA">
          <w:pPr>
            <w:pStyle w:val="109"/>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第二章 投标供应商须知</w:t>
          </w:r>
          <w:r>
            <w:rPr>
              <w:rFonts w:hint="eastAsia" w:asciiTheme="minorEastAsia" w:hAnsiTheme="minorEastAsia" w:eastAsiaTheme="minorEastAsia"/>
              <w:color w:val="auto"/>
              <w:sz w:val="28"/>
              <w:szCs w:val="28"/>
              <w:highlight w:val="none"/>
            </w:rPr>
            <w:fldChar w:fldCharType="end"/>
          </w:r>
        </w:p>
        <w:p w14:paraId="0397F132">
          <w:pPr>
            <w:pStyle w:val="109"/>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第三章 招标需求</w:t>
          </w:r>
          <w:r>
            <w:rPr>
              <w:rFonts w:hint="eastAsia" w:asciiTheme="minorEastAsia" w:hAnsiTheme="minorEastAsia" w:eastAsiaTheme="minorEastAsia"/>
              <w:color w:val="auto"/>
              <w:sz w:val="28"/>
              <w:szCs w:val="28"/>
              <w:highlight w:val="none"/>
            </w:rPr>
            <w:fldChar w:fldCharType="end"/>
          </w:r>
        </w:p>
        <w:p w14:paraId="33DF644E">
          <w:pPr>
            <w:pStyle w:val="109"/>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第四章 评标</w:t>
          </w:r>
          <w:r>
            <w:rPr>
              <w:rFonts w:hint="eastAsia" w:asciiTheme="minorEastAsia" w:hAnsiTheme="minorEastAsia" w:eastAsiaTheme="minorEastAsia"/>
              <w:color w:val="auto"/>
              <w:sz w:val="28"/>
              <w:szCs w:val="28"/>
              <w:highlight w:val="none"/>
            </w:rPr>
            <w:fldChar w:fldCharType="end"/>
          </w:r>
        </w:p>
        <w:p w14:paraId="155ABA85">
          <w:pPr>
            <w:pStyle w:val="109"/>
            <w:tabs>
              <w:tab w:val="right" w:leader="dot" w:pos="8300"/>
            </w:tabs>
            <w:spacing w:line="480" w:lineRule="auto"/>
            <w:rPr>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第五章 拟签订的合同文本</w:t>
          </w:r>
          <w:r>
            <w:rPr>
              <w:rFonts w:hint="eastAsia" w:asciiTheme="minorEastAsia" w:hAnsiTheme="minorEastAsia" w:eastAsiaTheme="minorEastAsia"/>
              <w:color w:val="auto"/>
              <w:sz w:val="28"/>
              <w:szCs w:val="28"/>
              <w:highlight w:val="none"/>
            </w:rPr>
            <w:fldChar w:fldCharType="end"/>
          </w:r>
        </w:p>
        <w:p w14:paraId="0949C429">
          <w:pPr>
            <w:pStyle w:val="109"/>
            <w:tabs>
              <w:tab w:val="right" w:leader="dot" w:pos="8300"/>
            </w:tabs>
            <w:spacing w:line="480" w:lineRule="auto"/>
            <w:rPr>
              <w:color w:val="auto"/>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Theme="minorEastAsia" w:hAnsiTheme="minorEastAsia" w:eastAsiaTheme="minorEastAsia"/>
              <w:color w:val="auto"/>
              <w:sz w:val="28"/>
              <w:szCs w:val="28"/>
              <w:highlight w:val="none"/>
            </w:rPr>
            <w:t>第六章 投标文件格式</w:t>
          </w:r>
          <w:r>
            <w:rPr>
              <w:rFonts w:hint="eastAsia" w:asciiTheme="minorEastAsia" w:hAnsiTheme="minorEastAsia" w:eastAsiaTheme="minorEastAsia"/>
              <w:color w:val="auto"/>
              <w:sz w:val="28"/>
              <w:szCs w:val="28"/>
              <w:highlight w:val="none"/>
            </w:rPr>
            <w:fldChar w:fldCharType="end"/>
          </w:r>
        </w:p>
      </w:sdtContent>
    </w:sdt>
    <w:bookmarkEnd w:id="0"/>
    <w:p w14:paraId="12D70135">
      <w:pPr>
        <w:spacing w:line="480" w:lineRule="auto"/>
        <w:rPr>
          <w:color w:val="auto"/>
          <w:sz w:val="28"/>
          <w:szCs w:val="28"/>
          <w:highlight w:val="none"/>
        </w:rPr>
      </w:pPr>
    </w:p>
    <w:p w14:paraId="6245B416">
      <w:pPr>
        <w:spacing w:line="360" w:lineRule="auto"/>
        <w:rPr>
          <w:color w:val="auto"/>
          <w:highlight w:val="none"/>
        </w:rPr>
      </w:pPr>
    </w:p>
    <w:p w14:paraId="256A3D97">
      <w:pPr>
        <w:spacing w:line="360" w:lineRule="auto"/>
        <w:rPr>
          <w:color w:val="auto"/>
          <w:highlight w:val="none"/>
        </w:rPr>
      </w:pPr>
    </w:p>
    <w:p w14:paraId="6B3833F2">
      <w:pPr>
        <w:spacing w:line="360" w:lineRule="auto"/>
        <w:rPr>
          <w:color w:val="auto"/>
          <w:highlight w:val="none"/>
        </w:rPr>
      </w:pPr>
    </w:p>
    <w:p w14:paraId="60435D45">
      <w:pPr>
        <w:spacing w:line="360" w:lineRule="auto"/>
        <w:rPr>
          <w:color w:val="auto"/>
          <w:highlight w:val="none"/>
        </w:rPr>
      </w:pPr>
    </w:p>
    <w:p w14:paraId="481003A3">
      <w:pPr>
        <w:spacing w:line="360" w:lineRule="auto"/>
        <w:rPr>
          <w:color w:val="auto"/>
          <w:highlight w:val="none"/>
        </w:rPr>
      </w:pPr>
    </w:p>
    <w:p w14:paraId="34363447">
      <w:pPr>
        <w:spacing w:line="360" w:lineRule="auto"/>
        <w:rPr>
          <w:color w:val="auto"/>
          <w:highlight w:val="none"/>
        </w:rPr>
      </w:pPr>
    </w:p>
    <w:p w14:paraId="5000ABCA">
      <w:pPr>
        <w:spacing w:line="360" w:lineRule="auto"/>
        <w:rPr>
          <w:color w:val="auto"/>
          <w:highlight w:val="none"/>
        </w:rPr>
      </w:pPr>
    </w:p>
    <w:p w14:paraId="23FE145A">
      <w:pPr>
        <w:spacing w:line="360" w:lineRule="auto"/>
        <w:rPr>
          <w:color w:val="auto"/>
          <w:highlight w:val="none"/>
        </w:rPr>
      </w:pPr>
    </w:p>
    <w:p w14:paraId="76D7CA82">
      <w:pPr>
        <w:spacing w:line="360" w:lineRule="auto"/>
        <w:rPr>
          <w:color w:val="auto"/>
          <w:highlight w:val="none"/>
        </w:rPr>
      </w:pPr>
    </w:p>
    <w:p w14:paraId="0176BB35">
      <w:pPr>
        <w:spacing w:line="360" w:lineRule="auto"/>
        <w:rPr>
          <w:color w:val="auto"/>
          <w:highlight w:val="none"/>
        </w:rPr>
      </w:pPr>
    </w:p>
    <w:p w14:paraId="41686F57">
      <w:pPr>
        <w:spacing w:line="360" w:lineRule="auto"/>
        <w:rPr>
          <w:color w:val="auto"/>
          <w:highlight w:val="none"/>
        </w:rPr>
      </w:pPr>
    </w:p>
    <w:p w14:paraId="213C69FA">
      <w:pPr>
        <w:spacing w:line="360" w:lineRule="auto"/>
        <w:rPr>
          <w:color w:val="auto"/>
          <w:highlight w:val="none"/>
        </w:rPr>
      </w:pPr>
    </w:p>
    <w:p w14:paraId="63FDB31F">
      <w:pPr>
        <w:spacing w:line="360" w:lineRule="auto"/>
        <w:rPr>
          <w:color w:val="auto"/>
          <w:highlight w:val="none"/>
        </w:rPr>
      </w:pPr>
    </w:p>
    <w:p w14:paraId="79D2C7FE">
      <w:pPr>
        <w:spacing w:line="360" w:lineRule="auto"/>
        <w:rPr>
          <w:color w:val="auto"/>
          <w:highlight w:val="none"/>
        </w:rPr>
      </w:pPr>
    </w:p>
    <w:p w14:paraId="6301C564">
      <w:pPr>
        <w:widowControl/>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71481605">
      <w:pPr>
        <w:numPr>
          <w:ilvl w:val="0"/>
          <w:numId w:val="14"/>
        </w:num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招标公告</w:t>
      </w:r>
    </w:p>
    <w:p w14:paraId="59E92B06">
      <w:pPr>
        <w:pStyle w:val="3"/>
        <w:ind w:right="23" w:firstLine="420" w:firstLineChars="200"/>
        <w:rPr>
          <w:rFonts w:cs="宋体"/>
          <w:b w:val="0"/>
          <w:color w:val="auto"/>
          <w:sz w:val="21"/>
          <w:szCs w:val="21"/>
          <w:highlight w:val="none"/>
        </w:rPr>
      </w:pPr>
      <w:bookmarkStart w:id="1" w:name="_Toc28359079"/>
      <w:bookmarkStart w:id="2" w:name="_Toc35393790"/>
      <w:bookmarkStart w:id="3" w:name="_Toc28359002"/>
      <w:bookmarkStart w:id="4" w:name="_Toc35393621"/>
      <w:bookmarkStart w:id="5" w:name="_Hlk24379207"/>
      <w:r>
        <w:rPr>
          <w:rFonts w:hint="eastAsia" w:cs="宋体"/>
          <w:b w:val="0"/>
          <w:color w:val="auto"/>
          <w:sz w:val="21"/>
          <w:szCs w:val="21"/>
          <w:highlight w:val="none"/>
        </w:rPr>
        <w:t>受台州市公安局交通警察局委托，就</w:t>
      </w:r>
      <w:r>
        <w:rPr>
          <w:rFonts w:hint="eastAsia" w:cs="宋体"/>
          <w:b w:val="0"/>
          <w:color w:val="auto"/>
          <w:sz w:val="21"/>
          <w:szCs w:val="21"/>
          <w:highlight w:val="none"/>
          <w:u w:val="single"/>
          <w:lang w:eastAsia="zh-CN"/>
        </w:rPr>
        <w:t>2024年电子监控、基础及管路项目（第二次重新招标）</w:t>
      </w:r>
      <w:r>
        <w:rPr>
          <w:rFonts w:hint="eastAsia" w:cs="宋体"/>
          <w:b w:val="0"/>
          <w:color w:val="auto"/>
          <w:sz w:val="21"/>
          <w:szCs w:val="21"/>
          <w:highlight w:val="none"/>
        </w:rPr>
        <w:t>进行公开招标，欢迎符合资格条件的国内投标供应商参加投标。</w:t>
      </w:r>
    </w:p>
    <w:p w14:paraId="3F9CE52F">
      <w:pPr>
        <w:pStyle w:val="3"/>
        <w:ind w:firstLine="422" w:firstLineChars="200"/>
        <w:rPr>
          <w:rFonts w:cs="宋体"/>
          <w:bCs/>
          <w:color w:val="auto"/>
          <w:sz w:val="21"/>
          <w:szCs w:val="21"/>
          <w:highlight w:val="none"/>
        </w:rPr>
      </w:pPr>
      <w:r>
        <w:rPr>
          <w:rFonts w:hint="eastAsia" w:cs="宋体"/>
          <w:bCs/>
          <w:color w:val="auto"/>
          <w:sz w:val="21"/>
          <w:szCs w:val="21"/>
          <w:highlight w:val="none"/>
        </w:rPr>
        <w:t>一、项目基本情况</w:t>
      </w:r>
      <w:bookmarkEnd w:id="1"/>
      <w:bookmarkEnd w:id="2"/>
      <w:bookmarkEnd w:id="3"/>
      <w:bookmarkEnd w:id="4"/>
    </w:p>
    <w:p w14:paraId="7A715EF3">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台财采确临[2024]2935号-2</w:t>
      </w:r>
    </w:p>
    <w:bookmarkEnd w:id="5"/>
    <w:p w14:paraId="36279D1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val="zh-CN"/>
        </w:rPr>
        <w:t>2024年电子监控、基础及管路项目（第二次重新招标）</w:t>
      </w:r>
    </w:p>
    <w:tbl>
      <w:tblPr>
        <w:tblStyle w:val="46"/>
        <w:tblW w:w="1044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840"/>
        <w:gridCol w:w="1413"/>
        <w:gridCol w:w="600"/>
        <w:gridCol w:w="773"/>
        <w:gridCol w:w="907"/>
        <w:gridCol w:w="1133"/>
        <w:gridCol w:w="1174"/>
        <w:gridCol w:w="1546"/>
      </w:tblGrid>
      <w:tr w14:paraId="2F5FD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054" w:type="dxa"/>
            <w:vAlign w:val="center"/>
          </w:tcPr>
          <w:p w14:paraId="3E2A7AE3">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标段号</w:t>
            </w:r>
          </w:p>
        </w:tc>
        <w:tc>
          <w:tcPr>
            <w:tcW w:w="1840" w:type="dxa"/>
            <w:vAlign w:val="center"/>
          </w:tcPr>
          <w:p w14:paraId="4E6AA1A3">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413" w:type="dxa"/>
            <w:vAlign w:val="center"/>
          </w:tcPr>
          <w:p w14:paraId="03285007">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规格</w:t>
            </w:r>
          </w:p>
          <w:p w14:paraId="19E31986">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型号</w:t>
            </w:r>
          </w:p>
        </w:tc>
        <w:tc>
          <w:tcPr>
            <w:tcW w:w="600" w:type="dxa"/>
            <w:vAlign w:val="center"/>
          </w:tcPr>
          <w:p w14:paraId="19373B35">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数量</w:t>
            </w:r>
          </w:p>
        </w:tc>
        <w:tc>
          <w:tcPr>
            <w:tcW w:w="773" w:type="dxa"/>
            <w:vAlign w:val="center"/>
          </w:tcPr>
          <w:p w14:paraId="42B9401F">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单位</w:t>
            </w:r>
          </w:p>
        </w:tc>
        <w:tc>
          <w:tcPr>
            <w:tcW w:w="907" w:type="dxa"/>
            <w:vAlign w:val="center"/>
          </w:tcPr>
          <w:p w14:paraId="300626AD">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预算</w:t>
            </w:r>
          </w:p>
          <w:p w14:paraId="3C5FCF03">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（万元）</w:t>
            </w:r>
          </w:p>
        </w:tc>
        <w:tc>
          <w:tcPr>
            <w:tcW w:w="1133" w:type="dxa"/>
            <w:vAlign w:val="center"/>
          </w:tcPr>
          <w:p w14:paraId="43F65AA2">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工期</w:t>
            </w:r>
          </w:p>
        </w:tc>
        <w:tc>
          <w:tcPr>
            <w:tcW w:w="1174" w:type="dxa"/>
            <w:vAlign w:val="center"/>
          </w:tcPr>
          <w:p w14:paraId="58B0EFC6">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项目地点</w:t>
            </w:r>
          </w:p>
        </w:tc>
        <w:tc>
          <w:tcPr>
            <w:tcW w:w="1546" w:type="dxa"/>
            <w:vAlign w:val="center"/>
          </w:tcPr>
          <w:p w14:paraId="4D4CFB3D">
            <w:pP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备注</w:t>
            </w:r>
          </w:p>
        </w:tc>
      </w:tr>
      <w:tr w14:paraId="0B61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1054" w:type="dxa"/>
            <w:vAlign w:val="center"/>
          </w:tcPr>
          <w:p w14:paraId="7B3E067A">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lang w:val="zh-CN"/>
              </w:rPr>
            </w:pPr>
            <w:r>
              <w:rPr>
                <w:rFonts w:hint="eastAsia" w:ascii="Times New Roman" w:hAnsi="Times New Roman" w:cs="Times New Roman"/>
                <w:bCs/>
                <w:color w:val="auto"/>
                <w:sz w:val="21"/>
                <w:szCs w:val="21"/>
                <w:highlight w:val="none"/>
                <w:lang w:val="zh-CN"/>
              </w:rPr>
              <w:t>一</w:t>
            </w:r>
          </w:p>
        </w:tc>
        <w:tc>
          <w:tcPr>
            <w:tcW w:w="1840" w:type="dxa"/>
            <w:vAlign w:val="center"/>
          </w:tcPr>
          <w:p w14:paraId="0B27F28D">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lang w:val="zh-CN"/>
              </w:rPr>
            </w:pPr>
            <w:r>
              <w:rPr>
                <w:rFonts w:hint="eastAsia" w:cs="Times New Roman"/>
                <w:bCs/>
                <w:color w:val="auto"/>
                <w:sz w:val="21"/>
                <w:szCs w:val="21"/>
                <w:highlight w:val="none"/>
                <w:lang w:val="zh-CN"/>
              </w:rPr>
              <w:t>2024年电子监控、基础及管路项目（第二次重新招标）</w:t>
            </w:r>
          </w:p>
        </w:tc>
        <w:tc>
          <w:tcPr>
            <w:tcW w:w="1413" w:type="dxa"/>
            <w:vAlign w:val="center"/>
          </w:tcPr>
          <w:p w14:paraId="3BD270F5">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lang w:val="zh-CN"/>
              </w:rPr>
            </w:pPr>
            <w:r>
              <w:rPr>
                <w:rFonts w:hint="eastAsia" w:ascii="Times New Roman" w:hAnsi="Times New Roman" w:cs="Times New Roman"/>
                <w:bCs/>
                <w:color w:val="auto"/>
                <w:sz w:val="21"/>
                <w:szCs w:val="21"/>
                <w:highlight w:val="none"/>
                <w:lang w:val="zh-CN"/>
              </w:rPr>
              <w:t>详见具体技术需求</w:t>
            </w:r>
          </w:p>
        </w:tc>
        <w:tc>
          <w:tcPr>
            <w:tcW w:w="600" w:type="dxa"/>
            <w:vAlign w:val="center"/>
          </w:tcPr>
          <w:p w14:paraId="2A9A6207">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lang w:val="zh-CN"/>
              </w:rPr>
            </w:pPr>
            <w:r>
              <w:rPr>
                <w:rFonts w:hint="eastAsia" w:ascii="Times New Roman" w:hAnsi="Times New Roman" w:cs="Times New Roman"/>
                <w:bCs/>
                <w:color w:val="auto"/>
                <w:sz w:val="21"/>
                <w:szCs w:val="21"/>
                <w:highlight w:val="none"/>
              </w:rPr>
              <w:t>1</w:t>
            </w:r>
          </w:p>
        </w:tc>
        <w:tc>
          <w:tcPr>
            <w:tcW w:w="773" w:type="dxa"/>
            <w:vAlign w:val="center"/>
          </w:tcPr>
          <w:p w14:paraId="1D68A03D">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lang w:val="zh-CN"/>
              </w:rPr>
            </w:pPr>
            <w:r>
              <w:rPr>
                <w:rFonts w:hint="eastAsia" w:ascii="Times New Roman" w:hAnsi="Times New Roman" w:cs="Times New Roman"/>
                <w:bCs/>
                <w:color w:val="auto"/>
                <w:sz w:val="21"/>
                <w:szCs w:val="21"/>
                <w:highlight w:val="none"/>
                <w:lang w:val="zh-CN"/>
              </w:rPr>
              <w:t>项</w:t>
            </w:r>
          </w:p>
        </w:tc>
        <w:tc>
          <w:tcPr>
            <w:tcW w:w="907" w:type="dxa"/>
            <w:vAlign w:val="center"/>
          </w:tcPr>
          <w:p w14:paraId="0432A8F2">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150</w:t>
            </w:r>
          </w:p>
        </w:tc>
        <w:tc>
          <w:tcPr>
            <w:tcW w:w="1133" w:type="dxa"/>
            <w:vAlign w:val="center"/>
          </w:tcPr>
          <w:p w14:paraId="77EDA40F">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合同签订后一年</w:t>
            </w:r>
          </w:p>
        </w:tc>
        <w:tc>
          <w:tcPr>
            <w:tcW w:w="1174" w:type="dxa"/>
            <w:vAlign w:val="center"/>
          </w:tcPr>
          <w:p w14:paraId="3CE70BE8">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采购人指定地点</w:t>
            </w:r>
          </w:p>
        </w:tc>
        <w:tc>
          <w:tcPr>
            <w:tcW w:w="1546" w:type="dxa"/>
            <w:vAlign w:val="center"/>
          </w:tcPr>
          <w:p w14:paraId="72301155">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 w:val="21"/>
                <w:szCs w:val="21"/>
                <w:highlight w:val="none"/>
              </w:rPr>
            </w:pPr>
            <w:r>
              <w:rPr>
                <w:rFonts w:hint="eastAsia" w:ascii="Times New Roman" w:hAnsi="Times New Roman" w:cs="Times New Roman"/>
                <w:bCs/>
                <w:color w:val="auto"/>
                <w:sz w:val="21"/>
                <w:szCs w:val="21"/>
                <w:highlight w:val="none"/>
              </w:rPr>
              <w:t>本项目采用结算率报价，结算率不得高于99%。</w:t>
            </w:r>
          </w:p>
        </w:tc>
      </w:tr>
    </w:tbl>
    <w:p w14:paraId="07037F7A">
      <w:pPr>
        <w:pStyle w:val="3"/>
        <w:spacing w:before="156" w:beforeLines="50"/>
        <w:ind w:right="23" w:firstLine="422" w:firstLineChars="200"/>
        <w:rPr>
          <w:rFonts w:hint="eastAsia" w:cs="宋体"/>
          <w:bCs/>
          <w:color w:val="auto"/>
          <w:sz w:val="21"/>
          <w:szCs w:val="21"/>
          <w:highlight w:val="none"/>
        </w:rPr>
      </w:pPr>
      <w:bookmarkStart w:id="6" w:name="_Toc35393622"/>
      <w:bookmarkStart w:id="7" w:name="_Toc28359080"/>
      <w:bookmarkStart w:id="8" w:name="_Toc35393791"/>
      <w:bookmarkStart w:id="9" w:name="_Toc28359003"/>
      <w:r>
        <w:rPr>
          <w:rFonts w:hint="eastAsia" w:cs="宋体"/>
          <w:bCs/>
          <w:color w:val="auto"/>
          <w:sz w:val="21"/>
          <w:szCs w:val="21"/>
          <w:highlight w:val="none"/>
        </w:rPr>
        <w:t>备注：1.本项目总结算价不超过150万元，改造维护数量按实结算。</w:t>
      </w:r>
    </w:p>
    <w:p w14:paraId="105E50F8">
      <w:pPr>
        <w:pStyle w:val="3"/>
        <w:spacing w:before="156" w:beforeLines="50"/>
        <w:ind w:right="23" w:firstLine="422" w:firstLineChars="200"/>
        <w:rPr>
          <w:rFonts w:cs="宋体"/>
          <w:bCs/>
          <w:color w:val="auto"/>
          <w:sz w:val="21"/>
          <w:szCs w:val="21"/>
          <w:highlight w:val="none"/>
        </w:rPr>
      </w:pPr>
      <w:r>
        <w:rPr>
          <w:rFonts w:hint="eastAsia" w:cs="宋体"/>
          <w:bCs/>
          <w:color w:val="auto"/>
          <w:sz w:val="21"/>
          <w:szCs w:val="21"/>
          <w:highlight w:val="none"/>
        </w:rPr>
        <w:t>二、投标供应商的资格要求</w:t>
      </w:r>
      <w:bookmarkEnd w:id="6"/>
      <w:bookmarkEnd w:id="7"/>
      <w:bookmarkEnd w:id="8"/>
      <w:bookmarkEnd w:id="9"/>
    </w:p>
    <w:p w14:paraId="19BC7DD1">
      <w:pPr>
        <w:spacing w:line="360" w:lineRule="auto"/>
        <w:ind w:firstLine="420" w:firstLineChars="200"/>
        <w:rPr>
          <w:rFonts w:ascii="宋体" w:hAnsi="宋体" w:cs="宋体"/>
          <w:color w:val="auto"/>
          <w:szCs w:val="21"/>
          <w:highlight w:val="none"/>
        </w:rPr>
      </w:pPr>
      <w:bookmarkStart w:id="10" w:name="_Toc35393623"/>
      <w:bookmarkStart w:id="11" w:name="_Toc28359004"/>
      <w:bookmarkStart w:id="12" w:name="_Toc28359081"/>
      <w:bookmarkStart w:id="13" w:name="_Toc35393792"/>
      <w:r>
        <w:rPr>
          <w:rFonts w:hint="eastAsia" w:ascii="宋体" w:hAnsi="宋体" w:cs="宋体"/>
          <w:color w:val="auto"/>
          <w:szCs w:val="21"/>
          <w:highlight w:val="none"/>
        </w:rPr>
        <w:t>（一）满足《中华人民共和国政府采购法》第二十二条规定；</w:t>
      </w:r>
    </w:p>
    <w:p w14:paraId="75AD2A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（二）本项目的特定资格要求：无；</w:t>
      </w:r>
    </w:p>
    <w:p w14:paraId="18A0BA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（三）本项目</w:t>
      </w:r>
      <w:r>
        <w:rPr>
          <w:rFonts w:hint="eastAsia" w:ascii="宋体" w:hAnsi="宋体" w:cs="宋体"/>
          <w:b/>
          <w:bCs/>
          <w:color w:val="auto"/>
          <w:szCs w:val="21"/>
          <w:highlight w:val="none"/>
        </w:rPr>
        <w:t>(不接受)</w:t>
      </w:r>
      <w:r>
        <w:rPr>
          <w:rFonts w:hint="eastAsia" w:ascii="宋体" w:hAnsi="宋体" w:cs="宋体"/>
          <w:color w:val="auto"/>
          <w:szCs w:val="21"/>
          <w:highlight w:val="none"/>
        </w:rPr>
        <w:t>联合体投标；</w:t>
      </w:r>
    </w:p>
    <w:p w14:paraId="6252B6D3">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w:t>
      </w:r>
      <w:r>
        <w:rPr>
          <w:rFonts w:hint="eastAsia" w:ascii="宋体" w:hAnsi="宋体" w:cs="宋体"/>
          <w:color w:val="auto"/>
          <w:szCs w:val="21"/>
          <w:highlight w:val="none"/>
        </w:rPr>
        <w:t>本项目</w:t>
      </w:r>
      <w:r>
        <w:rPr>
          <w:rFonts w:hint="eastAsia" w:ascii="宋体" w:hAnsi="宋体" w:cs="宋体"/>
          <w:b/>
          <w:bCs/>
          <w:color w:val="auto"/>
          <w:szCs w:val="21"/>
          <w:highlight w:val="none"/>
        </w:rPr>
        <w:t>(否)</w:t>
      </w:r>
      <w:r>
        <w:rPr>
          <w:rFonts w:hint="eastAsia" w:ascii="宋体" w:hAnsi="宋体" w:cs="宋体"/>
          <w:color w:val="auto"/>
          <w:szCs w:val="21"/>
          <w:highlight w:val="none"/>
        </w:rPr>
        <w:t>针对为中小企业</w:t>
      </w:r>
      <w:r>
        <w:rPr>
          <w:rFonts w:hint="eastAsia" w:asciiTheme="minorEastAsia" w:hAnsiTheme="minorEastAsia" w:cstheme="minorEastAsia"/>
          <w:color w:val="auto"/>
          <w:szCs w:val="21"/>
          <w:highlight w:val="none"/>
        </w:rPr>
        <w:t>；</w:t>
      </w:r>
    </w:p>
    <w:p w14:paraId="67819E9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（五）信用记录：未被列入“信用中国”失信被执行人或重大税收违法失信主体；未处于“中国政府采购网”</w:t>
      </w:r>
      <w:r>
        <w:rPr>
          <w:rFonts w:hint="eastAsia"/>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rFonts w:hint="eastAsia"/>
          <w:color w:val="auto"/>
          <w:highlight w:val="none"/>
        </w:rPr>
        <w:fldChar w:fldCharType="separate"/>
      </w:r>
      <w:r>
        <w:rPr>
          <w:rFonts w:hint="eastAsia" w:ascii="宋体" w:hAnsi="宋体" w:cs="宋体"/>
          <w:color w:val="auto"/>
          <w:szCs w:val="21"/>
          <w:highlight w:val="none"/>
        </w:rPr>
        <w:t>政府采购严重违法失信行为信息记录中的禁止参加政府采购活动期间；</w:t>
      </w:r>
      <w:r>
        <w:rPr>
          <w:rFonts w:hint="eastAsia" w:ascii="宋体" w:hAnsi="宋体" w:cs="宋体"/>
          <w:color w:val="auto"/>
          <w:szCs w:val="21"/>
          <w:highlight w:val="none"/>
        </w:rPr>
        <w:fldChar w:fldCharType="end"/>
      </w:r>
    </w:p>
    <w:p w14:paraId="0B6277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法律、行政法规规定的其他条件：单位负责人为同一人或者存在直接控股、管理关系的不同供应商，不得同时参加同一项目投标；为本项目提供整体设计、规范编制或者项目管理、监理、检测等服务的供应商，不得再参与本项目投标。</w:t>
      </w:r>
    </w:p>
    <w:p w14:paraId="01FEFC5A">
      <w:pPr>
        <w:pStyle w:val="3"/>
        <w:ind w:right="0" w:firstLine="422" w:firstLineChars="200"/>
        <w:rPr>
          <w:rFonts w:cs="宋体"/>
          <w:bCs/>
          <w:color w:val="auto"/>
          <w:sz w:val="21"/>
          <w:szCs w:val="21"/>
          <w:highlight w:val="none"/>
        </w:rPr>
      </w:pPr>
      <w:r>
        <w:rPr>
          <w:rFonts w:hint="eastAsia" w:cs="宋体"/>
          <w:bCs/>
          <w:color w:val="auto"/>
          <w:sz w:val="21"/>
          <w:szCs w:val="21"/>
          <w:highlight w:val="none"/>
        </w:rPr>
        <w:t>三、获取招标文件</w:t>
      </w:r>
      <w:bookmarkEnd w:id="10"/>
      <w:bookmarkEnd w:id="11"/>
      <w:bookmarkEnd w:id="12"/>
      <w:bookmarkEnd w:id="13"/>
    </w:p>
    <w:p w14:paraId="752737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（一）时间：</w:t>
      </w:r>
      <w:r>
        <w:rPr>
          <w:rFonts w:hint="eastAsia" w:ascii="宋体" w:hAnsi="宋体" w:cs="Arial"/>
          <w:color w:val="auto"/>
          <w:szCs w:val="21"/>
          <w:highlight w:val="none"/>
        </w:rPr>
        <w:t>自本公告发布之日起至投标文件递交截止时间止（</w:t>
      </w:r>
      <w:r>
        <w:rPr>
          <w:rFonts w:hint="eastAsia" w:ascii="宋体" w:hAnsi="宋体" w:cs="宋体"/>
          <w:color w:val="auto"/>
          <w:szCs w:val="21"/>
          <w:highlight w:val="none"/>
        </w:rPr>
        <w:t>以浙江政府采购网（https://zfcg.czt.zj.gov.cn）公告时间为准</w:t>
      </w:r>
      <w:r>
        <w:rPr>
          <w:rFonts w:hint="eastAsia" w:cs="宋体"/>
          <w:color w:val="auto"/>
          <w:szCs w:val="21"/>
          <w:highlight w:val="none"/>
        </w:rPr>
        <w:t>）</w:t>
      </w:r>
    </w:p>
    <w:p w14:paraId="5BAE5B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（二）方式：浙江政府采购网（https://zfcg.czt.zj.gov.cn）免费下载（本项目实行网上报名，不接受现场报名。供应商登录浙江政府采购网进行报名。）</w:t>
      </w:r>
    </w:p>
    <w:p w14:paraId="42741922">
      <w:pPr>
        <w:pStyle w:val="3"/>
        <w:ind w:right="0" w:firstLine="422" w:firstLineChars="200"/>
        <w:rPr>
          <w:rFonts w:cs="宋体"/>
          <w:bCs/>
          <w:color w:val="auto"/>
          <w:sz w:val="21"/>
          <w:szCs w:val="21"/>
          <w:highlight w:val="none"/>
        </w:rPr>
      </w:pPr>
      <w:bookmarkStart w:id="14" w:name="_Toc35393624"/>
      <w:bookmarkStart w:id="15" w:name="_Toc35393793"/>
      <w:bookmarkStart w:id="16" w:name="_Toc28359082"/>
      <w:bookmarkStart w:id="17" w:name="_Toc28359005"/>
      <w:r>
        <w:rPr>
          <w:rFonts w:hint="eastAsia" w:cs="宋体"/>
          <w:bCs/>
          <w:color w:val="auto"/>
          <w:sz w:val="21"/>
          <w:szCs w:val="21"/>
          <w:highlight w:val="none"/>
        </w:rPr>
        <w:t>四、提交投标文件</w:t>
      </w:r>
      <w:bookmarkEnd w:id="14"/>
      <w:bookmarkEnd w:id="15"/>
      <w:bookmarkEnd w:id="16"/>
      <w:bookmarkEnd w:id="17"/>
    </w:p>
    <w:p w14:paraId="5B6E91A3">
      <w:pPr>
        <w:spacing w:line="360" w:lineRule="auto"/>
        <w:ind w:firstLine="420" w:firstLineChars="200"/>
        <w:rPr>
          <w:rFonts w:ascii="宋体" w:hAnsi="宋体" w:cs="宋体"/>
          <w:iCs/>
          <w:color w:val="auto"/>
          <w:szCs w:val="21"/>
          <w:highlight w:val="none"/>
          <w:u w:val="single"/>
        </w:rPr>
      </w:pPr>
      <w:bookmarkStart w:id="18" w:name="_Toc28359007"/>
      <w:bookmarkStart w:id="19" w:name="_Toc35393625"/>
      <w:bookmarkStart w:id="20" w:name="_Toc28359084"/>
      <w:bookmarkStart w:id="21" w:name="_Toc35393794"/>
      <w:r>
        <w:rPr>
          <w:rFonts w:hint="eastAsia" w:ascii="宋体" w:hAnsi="宋体" w:cs="宋体"/>
          <w:color w:val="auto"/>
          <w:szCs w:val="21"/>
          <w:highlight w:val="none"/>
        </w:rPr>
        <w:t>（一）截止时间（开标时间）：以浙江政府采购网（https://zfcg.czt.zj.gov.cn）公告时间为准</w:t>
      </w:r>
    </w:p>
    <w:p w14:paraId="53EAF699">
      <w:pPr>
        <w:pStyle w:val="13"/>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（二）投标网址：浙江政府采购云平台（http://www.zcygov.cn）</w:t>
      </w:r>
    </w:p>
    <w:bookmarkEnd w:id="18"/>
    <w:bookmarkEnd w:id="19"/>
    <w:bookmarkEnd w:id="20"/>
    <w:bookmarkEnd w:id="21"/>
    <w:p w14:paraId="1054F729">
      <w:pPr>
        <w:pStyle w:val="45"/>
        <w:spacing w:after="0" w:line="360" w:lineRule="auto"/>
        <w:ind w:left="0" w:leftChars="0"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五、发布公告</w:t>
      </w:r>
    </w:p>
    <w:p w14:paraId="5F40224B">
      <w:pPr>
        <w:pStyle w:val="45"/>
        <w:spacing w:after="0" w:line="360" w:lineRule="auto"/>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（一）公告网址：</w:t>
      </w:r>
      <w:r>
        <w:rPr>
          <w:rFonts w:hint="eastAsia" w:ascii="宋体" w:hAnsi="宋体" w:cs="宋体"/>
          <w:color w:val="auto"/>
          <w:kern w:val="0"/>
          <w:szCs w:val="21"/>
          <w:highlight w:val="none"/>
        </w:rPr>
        <w:t>浙江政府采购网（</w:t>
      </w:r>
      <w:r>
        <w:rPr>
          <w:rFonts w:hint="eastAsia" w:ascii="宋体" w:hAnsi="宋体" w:cs="宋体"/>
          <w:color w:val="auto"/>
          <w:szCs w:val="21"/>
          <w:highlight w:val="none"/>
        </w:rPr>
        <w:t>https://zfcg.czt.zj.gov.cn</w:t>
      </w:r>
      <w:r>
        <w:rPr>
          <w:rFonts w:hint="eastAsia" w:ascii="宋体" w:hAnsi="宋体" w:cs="宋体"/>
          <w:color w:val="auto"/>
          <w:kern w:val="0"/>
          <w:szCs w:val="21"/>
          <w:highlight w:val="none"/>
        </w:rPr>
        <w:t>）。</w:t>
      </w:r>
    </w:p>
    <w:p w14:paraId="7059C66A">
      <w:pPr>
        <w:pStyle w:val="45"/>
        <w:spacing w:after="0" w:line="360" w:lineRule="auto"/>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（二）公告期限：</w:t>
      </w:r>
      <w:r>
        <w:rPr>
          <w:rFonts w:hint="eastAsia" w:ascii="宋体" w:hAnsi="宋体" w:cs="宋体"/>
          <w:color w:val="auto"/>
          <w:kern w:val="0"/>
          <w:szCs w:val="21"/>
          <w:highlight w:val="none"/>
        </w:rPr>
        <w:t>本公告期限自发布之日起五个工作日。</w:t>
      </w:r>
    </w:p>
    <w:p w14:paraId="2470527B">
      <w:pPr>
        <w:pStyle w:val="3"/>
        <w:ind w:right="0" w:firstLine="422" w:firstLineChars="200"/>
        <w:rPr>
          <w:rFonts w:cs="宋体"/>
          <w:bCs/>
          <w:color w:val="auto"/>
          <w:sz w:val="21"/>
          <w:szCs w:val="21"/>
          <w:highlight w:val="none"/>
        </w:rPr>
      </w:pPr>
      <w:bookmarkStart w:id="22" w:name="_Toc35393626"/>
      <w:bookmarkStart w:id="23" w:name="_Toc35393795"/>
      <w:r>
        <w:rPr>
          <w:rFonts w:hint="eastAsia" w:cs="宋体"/>
          <w:bCs/>
          <w:color w:val="auto"/>
          <w:sz w:val="21"/>
          <w:szCs w:val="21"/>
          <w:highlight w:val="none"/>
        </w:rPr>
        <w:t>六、</w:t>
      </w:r>
      <w:bookmarkEnd w:id="22"/>
      <w:bookmarkEnd w:id="23"/>
      <w:r>
        <w:rPr>
          <w:rFonts w:hint="eastAsia" w:cs="宋体"/>
          <w:bCs/>
          <w:color w:val="auto"/>
          <w:sz w:val="21"/>
          <w:szCs w:val="21"/>
          <w:highlight w:val="none"/>
        </w:rPr>
        <w:t>注册报名</w:t>
      </w:r>
    </w:p>
    <w:p w14:paraId="0048BD6E">
      <w:pPr>
        <w:snapToGrid w:val="0"/>
        <w:spacing w:line="360" w:lineRule="auto"/>
        <w:ind w:firstLine="420" w:firstLineChars="200"/>
        <w:rPr>
          <w:rFonts w:ascii="宋体" w:hAnsi="宋体" w:cs="Arial"/>
          <w:color w:val="auto"/>
          <w:szCs w:val="21"/>
          <w:highlight w:val="none"/>
        </w:rPr>
      </w:pPr>
      <w:r>
        <w:rPr>
          <w:rFonts w:hint="eastAsia" w:ascii="宋体" w:hAnsi="宋体" w:cs="宋体"/>
          <w:color w:val="auto"/>
          <w:szCs w:val="21"/>
          <w:highlight w:val="none"/>
        </w:rPr>
        <w:t>投标供应商需登录浙江省政府采购网（https://zfcg.czt.zj.gov.cn/）进行注册后报名。</w:t>
      </w:r>
      <w:r>
        <w:rPr>
          <w:rFonts w:hint="eastAsia" w:ascii="宋体" w:hAnsi="宋体" w:cs="Arial"/>
          <w:color w:val="auto"/>
          <w:szCs w:val="21"/>
          <w:highlight w:val="none"/>
        </w:rPr>
        <w:t>采购公告上附件里的采购文件仅供阅览使用，供应商应当在“政采云”平台注册登记后再获取采购文件，没有通过注册登记而获取采购文件的潜在供应商，对采购文件提起质疑投诉的，不予受理。</w:t>
      </w:r>
    </w:p>
    <w:p w14:paraId="05575164">
      <w:pPr>
        <w:pStyle w:val="3"/>
        <w:ind w:right="0" w:firstLine="422" w:firstLineChars="200"/>
        <w:rPr>
          <w:rFonts w:cs="宋体"/>
          <w:bCs/>
          <w:color w:val="auto"/>
          <w:sz w:val="21"/>
          <w:szCs w:val="21"/>
          <w:highlight w:val="none"/>
        </w:rPr>
      </w:pPr>
      <w:bookmarkStart w:id="24" w:name="_Toc28359008"/>
      <w:bookmarkStart w:id="25" w:name="_Toc28359085"/>
      <w:bookmarkStart w:id="26" w:name="_Toc35393627"/>
      <w:bookmarkStart w:id="27" w:name="_Toc35393796"/>
      <w:bookmarkStart w:id="28" w:name="_Toc28359087"/>
      <w:bookmarkStart w:id="29" w:name="_Toc28359010"/>
      <w:r>
        <w:rPr>
          <w:rFonts w:hint="eastAsia" w:cs="宋体"/>
          <w:bCs/>
          <w:color w:val="auto"/>
          <w:sz w:val="21"/>
          <w:szCs w:val="21"/>
          <w:highlight w:val="none"/>
        </w:rPr>
        <w:t>七、</w:t>
      </w:r>
      <w:bookmarkEnd w:id="24"/>
      <w:bookmarkEnd w:id="25"/>
      <w:bookmarkEnd w:id="26"/>
      <w:bookmarkEnd w:id="27"/>
      <w:r>
        <w:rPr>
          <w:rFonts w:hint="eastAsia" w:cs="宋体"/>
          <w:bCs/>
          <w:color w:val="auto"/>
          <w:sz w:val="21"/>
          <w:szCs w:val="21"/>
          <w:highlight w:val="none"/>
        </w:rPr>
        <w:t>联系方式</w:t>
      </w:r>
    </w:p>
    <w:p w14:paraId="19C966CB">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（一）采购人 </w:t>
      </w:r>
    </w:p>
    <w:p w14:paraId="3CC1765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台州市公安局交通警察局</w:t>
      </w:r>
    </w:p>
    <w:p w14:paraId="6ED6C45F">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椒江区机场北路451号 </w:t>
      </w:r>
    </w:p>
    <w:p w14:paraId="51F2DDF1">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尤</w:t>
      </w:r>
      <w:r>
        <w:rPr>
          <w:rFonts w:hint="eastAsia" w:ascii="宋体" w:hAnsi="宋体" w:cs="宋体"/>
          <w:color w:val="auto"/>
          <w:szCs w:val="21"/>
          <w:highlight w:val="none"/>
          <w:u w:val="single"/>
        </w:rPr>
        <w:t>警官　</w:t>
      </w:r>
      <w:bookmarkStart w:id="30" w:name="_Toc28359009"/>
      <w:bookmarkStart w:id="31" w:name="_Toc28359086"/>
    </w:p>
    <w:p w14:paraId="76C5A25D">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13968655611</w:t>
      </w:r>
    </w:p>
    <w:bookmarkEnd w:id="30"/>
    <w:bookmarkEnd w:id="31"/>
    <w:p w14:paraId="2E54514B">
      <w:pPr>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（二）采购组织机构</w:t>
      </w:r>
    </w:p>
    <w:p w14:paraId="3E2A7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台州市建设咨询有限公司</w:t>
      </w:r>
    </w:p>
    <w:p w14:paraId="655D42E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台州市椒江区葭沚街道工人西路425号</w:t>
      </w:r>
    </w:p>
    <w:p w14:paraId="523CCC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项目联系人：</w:t>
      </w:r>
      <w:r>
        <w:rPr>
          <w:rFonts w:hint="eastAsia" w:ascii="宋体" w:hAnsi="宋体" w:cs="宋体"/>
          <w:color w:val="auto"/>
          <w:szCs w:val="21"/>
          <w:highlight w:val="none"/>
          <w:u w:val="single"/>
        </w:rPr>
        <w:t>陈先生</w:t>
      </w:r>
    </w:p>
    <w:p w14:paraId="5D3516FA">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0576-88519890</w:t>
      </w:r>
    </w:p>
    <w:p w14:paraId="1F4A3A8C">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（三）质疑受理</w:t>
      </w:r>
    </w:p>
    <w:p w14:paraId="733096F4">
      <w:pPr>
        <w:spacing w:line="360" w:lineRule="auto"/>
        <w:ind w:firstLine="420" w:firstLineChars="200"/>
        <w:rPr>
          <w:color w:val="auto"/>
          <w:highlight w:val="none"/>
        </w:rPr>
      </w:pPr>
      <w:r>
        <w:rPr>
          <w:color w:val="auto"/>
          <w:highlight w:val="none"/>
        </w:rPr>
        <w:t>采购人书面质疑接收人：</w:t>
      </w:r>
      <w:r>
        <w:rPr>
          <w:color w:val="auto"/>
          <w:highlight w:val="none"/>
          <w:u w:val="single"/>
        </w:rPr>
        <w:t>杨警官</w:t>
      </w:r>
    </w:p>
    <w:p w14:paraId="09719734">
      <w:pPr>
        <w:spacing w:line="360" w:lineRule="auto"/>
        <w:ind w:firstLine="420" w:firstLineChars="200"/>
        <w:rPr>
          <w:rFonts w:ascii="宋体" w:hAnsi="宋体" w:cs="宋体"/>
          <w:color w:val="auto"/>
          <w:szCs w:val="21"/>
          <w:highlight w:val="none"/>
          <w:u w:val="single"/>
        </w:rPr>
      </w:pPr>
      <w:r>
        <w:rPr>
          <w:rFonts w:hint="eastAsia"/>
          <w:color w:val="auto"/>
          <w:highlight w:val="none"/>
        </w:rPr>
        <w:t>联系</w:t>
      </w:r>
      <w:r>
        <w:rPr>
          <w:rFonts w:hint="eastAsia" w:ascii="宋体" w:hAnsi="宋体" w:cs="宋体"/>
          <w:color w:val="auto"/>
          <w:szCs w:val="21"/>
          <w:highlight w:val="none"/>
        </w:rPr>
        <w:t>电话：</w:t>
      </w:r>
      <w:r>
        <w:rPr>
          <w:rFonts w:ascii="宋体" w:hAnsi="宋体" w:cs="宋体"/>
          <w:color w:val="auto"/>
          <w:szCs w:val="21"/>
          <w:highlight w:val="none"/>
          <w:u w:val="single"/>
        </w:rPr>
        <w:t>0576-</w:t>
      </w:r>
      <w:r>
        <w:rPr>
          <w:rFonts w:hint="eastAsia" w:ascii="宋体" w:hAnsi="宋体" w:cs="宋体"/>
          <w:color w:val="auto"/>
          <w:szCs w:val="21"/>
          <w:highlight w:val="none"/>
          <w:u w:val="single"/>
        </w:rPr>
        <w:t>88212531　</w:t>
      </w:r>
    </w:p>
    <w:p w14:paraId="392BDDE4">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书面质疑接收地址：</w:t>
      </w:r>
      <w:r>
        <w:rPr>
          <w:rFonts w:hint="eastAsia" w:ascii="宋体" w:hAnsi="宋体" w:cs="宋体"/>
          <w:color w:val="auto"/>
          <w:szCs w:val="21"/>
          <w:highlight w:val="none"/>
          <w:u w:val="single"/>
        </w:rPr>
        <w:t>　浙江省台州市椒江区康平路2号　</w:t>
      </w:r>
    </w:p>
    <w:p w14:paraId="118BA2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代理机构质疑受理联系人：</w:t>
      </w:r>
      <w:r>
        <w:rPr>
          <w:rFonts w:hint="eastAsia" w:ascii="宋体" w:hAnsi="宋体" w:cs="宋体"/>
          <w:color w:val="auto"/>
          <w:szCs w:val="21"/>
          <w:highlight w:val="none"/>
          <w:u w:val="single"/>
        </w:rPr>
        <w:t>徐先生</w:t>
      </w:r>
    </w:p>
    <w:p w14:paraId="1AF386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0576-88519890</w:t>
      </w:r>
    </w:p>
    <w:p w14:paraId="2125935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书面质疑接收地址：</w:t>
      </w:r>
      <w:r>
        <w:rPr>
          <w:rFonts w:hint="eastAsia" w:ascii="宋体" w:hAnsi="宋体" w:cs="宋体"/>
          <w:color w:val="auto"/>
          <w:szCs w:val="21"/>
          <w:highlight w:val="none"/>
          <w:u w:val="single"/>
        </w:rPr>
        <w:t>台州市椒江区葭沚街道工人西路425号</w:t>
      </w:r>
    </w:p>
    <w:p w14:paraId="5BB33DA7">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（四）同级政府采购监管机构</w:t>
      </w:r>
    </w:p>
    <w:p w14:paraId="51F9A2EE">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台州市财政局政府采监处</w:t>
      </w:r>
    </w:p>
    <w:p w14:paraId="33407A42">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　台州市椒江区纬一路66号  　</w:t>
      </w:r>
    </w:p>
    <w:p w14:paraId="619E7FFE">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宋体" w:hAnsi="宋体" w:cs="宋体"/>
          <w:color w:val="auto"/>
          <w:szCs w:val="21"/>
          <w:highlight w:val="none"/>
        </w:rPr>
        <w:t>联系人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陈工、李工         　　 　</w:t>
      </w:r>
    </w:p>
    <w:p w14:paraId="3CA62481">
      <w:pPr>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联系</w:t>
      </w:r>
      <w:r>
        <w:rPr>
          <w:rFonts w:hint="eastAsia" w:ascii="宋体" w:hAnsi="宋体" w:cs="宋体"/>
          <w:color w:val="auto"/>
          <w:szCs w:val="21"/>
          <w:highlight w:val="none"/>
        </w:rPr>
        <w:t>电话</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w:t>
      </w:r>
      <w:r>
        <w:rPr>
          <w:rFonts w:asciiTheme="minorEastAsia" w:hAnsiTheme="minorEastAsia" w:eastAsiaTheme="minorEastAsia" w:cstheme="minorEastAsia"/>
          <w:color w:val="auto"/>
          <w:szCs w:val="21"/>
          <w:highlight w:val="none"/>
          <w:u w:val="single"/>
        </w:rPr>
        <w:t>0576-88206705、88206731</w:t>
      </w:r>
      <w:r>
        <w:rPr>
          <w:rFonts w:hint="eastAsia" w:asciiTheme="minorEastAsia" w:hAnsiTheme="minorEastAsia" w:eastAsiaTheme="minorEastAsia" w:cstheme="minorEastAsia"/>
          <w:color w:val="auto"/>
          <w:szCs w:val="21"/>
          <w:highlight w:val="none"/>
          <w:u w:val="single"/>
        </w:rPr>
        <w:t xml:space="preserve">　 </w:t>
      </w:r>
    </w:p>
    <w:p w14:paraId="0F4C675D">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（五）政采云平台</w:t>
      </w:r>
    </w:p>
    <w:p w14:paraId="1F0F4E53">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lang w:val="en-US" w:eastAsia="zh-CN"/>
        </w:rPr>
        <w:t>95763</w:t>
      </w:r>
      <w:r>
        <w:rPr>
          <w:rFonts w:hint="eastAsia" w:ascii="宋体" w:hAnsi="宋体" w:cs="宋体"/>
          <w:color w:val="auto"/>
          <w:szCs w:val="21"/>
          <w:highlight w:val="none"/>
          <w:u w:val="single"/>
        </w:rPr>
        <w:t xml:space="preserve">  </w:t>
      </w:r>
    </w:p>
    <w:p w14:paraId="6B63CD4D">
      <w:pPr>
        <w:pStyle w:val="45"/>
        <w:ind w:left="0" w:leftChars="0" w:firstLine="0"/>
        <w:rPr>
          <w:color w:val="auto"/>
          <w:szCs w:val="21"/>
          <w:highlight w:val="none"/>
        </w:rPr>
      </w:pPr>
      <w:r>
        <w:rPr>
          <w:color w:val="auto"/>
          <w:szCs w:val="21"/>
          <w:highlight w:val="none"/>
        </w:rPr>
        <w:br w:type="page"/>
      </w:r>
    </w:p>
    <w:bookmarkEnd w:id="28"/>
    <w:bookmarkEnd w:id="29"/>
    <w:p w14:paraId="266C52F7">
      <w:pPr>
        <w:numPr>
          <w:ilvl w:val="0"/>
          <w:numId w:val="15"/>
        </w:numPr>
        <w:spacing w:line="360" w:lineRule="auto"/>
        <w:jc w:val="center"/>
        <w:rPr>
          <w:rFonts w:asciiTheme="minorEastAsia" w:hAnsiTheme="minorEastAsia" w:eastAsiaTheme="minorEastAsia"/>
          <w:b/>
          <w:color w:val="auto"/>
          <w:sz w:val="36"/>
          <w:szCs w:val="36"/>
          <w:highlight w:val="none"/>
        </w:rPr>
      </w:pPr>
      <w:bookmarkStart w:id="32" w:name="_Toc25017_WPSOffice_Level1"/>
      <w:r>
        <w:rPr>
          <w:rFonts w:hint="eastAsia" w:asciiTheme="minorEastAsia" w:hAnsiTheme="minorEastAsia" w:eastAsiaTheme="minorEastAsia"/>
          <w:b/>
          <w:color w:val="auto"/>
          <w:sz w:val="36"/>
          <w:szCs w:val="36"/>
          <w:highlight w:val="none"/>
        </w:rPr>
        <w:t>投标供应商须知</w:t>
      </w:r>
      <w:bookmarkEnd w:id="32"/>
    </w:p>
    <w:p w14:paraId="0846D70A">
      <w:pPr>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一、前附表</w:t>
      </w:r>
    </w:p>
    <w:tbl>
      <w:tblPr>
        <w:tblStyle w:val="46"/>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760"/>
        <w:gridCol w:w="6501"/>
      </w:tblGrid>
      <w:tr w14:paraId="3882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1F25DC79">
            <w:pPr>
              <w:adjustRightInd w:val="0"/>
              <w:snapToGrid w:val="0"/>
              <w:jc w:val="center"/>
              <w:rPr>
                <w:rFonts w:ascii="宋体" w:hAnsi="宋体" w:cs="宋体"/>
                <w:color w:val="auto"/>
                <w:szCs w:val="21"/>
                <w:highlight w:val="none"/>
              </w:rPr>
            </w:pPr>
            <w:r>
              <w:rPr>
                <w:rFonts w:hint="eastAsia" w:ascii="仿宋_GB2312" w:hAnsi="仿宋" w:eastAsia="仿宋_GB2312" w:cs="仿宋_GB2312"/>
                <w:b/>
                <w:color w:val="auto"/>
                <w:szCs w:val="21"/>
                <w:highlight w:val="none"/>
              </w:rPr>
              <w:t>序号</w:t>
            </w:r>
          </w:p>
        </w:tc>
        <w:tc>
          <w:tcPr>
            <w:tcW w:w="1760" w:type="dxa"/>
            <w:tcBorders>
              <w:top w:val="single" w:color="auto" w:sz="4" w:space="0"/>
              <w:left w:val="single" w:color="auto" w:sz="4" w:space="0"/>
              <w:bottom w:val="single" w:color="auto" w:sz="4" w:space="0"/>
              <w:right w:val="single" w:color="auto" w:sz="4" w:space="0"/>
            </w:tcBorders>
            <w:vAlign w:val="center"/>
          </w:tcPr>
          <w:p w14:paraId="78942BBE">
            <w:pPr>
              <w:adjustRightInd w:val="0"/>
              <w:snapToGrid w:val="0"/>
              <w:jc w:val="center"/>
              <w:rPr>
                <w:rFonts w:ascii="宋体" w:hAnsi="宋体" w:cs="宋体"/>
                <w:color w:val="auto"/>
                <w:szCs w:val="21"/>
                <w:highlight w:val="none"/>
              </w:rPr>
            </w:pPr>
            <w:r>
              <w:rPr>
                <w:rFonts w:hint="eastAsia" w:ascii="仿宋_GB2312" w:hAnsi="仿宋" w:eastAsia="仿宋_GB2312" w:cs="仿宋_GB2312"/>
                <w:b/>
                <w:color w:val="auto"/>
                <w:szCs w:val="21"/>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7B0C96B9">
            <w:pPr>
              <w:adjustRightInd w:val="0"/>
              <w:snapToGrid w:val="0"/>
              <w:jc w:val="center"/>
              <w:rPr>
                <w:rFonts w:ascii="宋体" w:hAnsi="宋体" w:cs="宋体"/>
                <w:color w:val="auto"/>
                <w:szCs w:val="21"/>
                <w:highlight w:val="none"/>
              </w:rPr>
            </w:pPr>
            <w:r>
              <w:rPr>
                <w:rFonts w:hint="eastAsia" w:ascii="仿宋_GB2312" w:hAnsi="仿宋" w:eastAsia="仿宋_GB2312" w:cs="仿宋_GB2312"/>
                <w:b/>
                <w:color w:val="auto"/>
                <w:szCs w:val="21"/>
                <w:highlight w:val="none"/>
              </w:rPr>
              <w:t>本项目的特别规定</w:t>
            </w:r>
          </w:p>
        </w:tc>
      </w:tr>
      <w:tr w14:paraId="6DEC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7DFC8140">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760" w:type="dxa"/>
            <w:tcBorders>
              <w:top w:val="single" w:color="auto" w:sz="4" w:space="0"/>
              <w:left w:val="single" w:color="auto" w:sz="4" w:space="0"/>
              <w:bottom w:val="single" w:color="auto" w:sz="4" w:space="0"/>
              <w:right w:val="single" w:color="auto" w:sz="4" w:space="0"/>
            </w:tcBorders>
            <w:vAlign w:val="center"/>
          </w:tcPr>
          <w:p w14:paraId="5654947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1273A295">
            <w:pPr>
              <w:rPr>
                <w:rFonts w:ascii="宋体" w:hAnsi="宋体" w:cs="宋体"/>
                <w:color w:val="auto"/>
                <w:szCs w:val="21"/>
                <w:highlight w:val="none"/>
              </w:rPr>
            </w:pPr>
            <w:r>
              <w:rPr>
                <w:rFonts w:hint="eastAsia"/>
                <w:b/>
                <w:color w:val="auto"/>
                <w:szCs w:val="21"/>
                <w:highlight w:val="none"/>
              </w:rPr>
              <w:t>不允许</w:t>
            </w:r>
          </w:p>
        </w:tc>
      </w:tr>
      <w:tr w14:paraId="381E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50BDD675">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760" w:type="dxa"/>
            <w:tcBorders>
              <w:top w:val="single" w:color="auto" w:sz="4" w:space="0"/>
              <w:left w:val="single" w:color="auto" w:sz="4" w:space="0"/>
              <w:bottom w:val="single" w:color="auto" w:sz="4" w:space="0"/>
              <w:right w:val="single" w:color="auto" w:sz="4" w:space="0"/>
            </w:tcBorders>
            <w:vAlign w:val="center"/>
          </w:tcPr>
          <w:p w14:paraId="06E7FE6A">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5DB48000">
            <w:pPr>
              <w:rPr>
                <w:color w:val="auto"/>
                <w:szCs w:val="21"/>
                <w:highlight w:val="none"/>
              </w:rPr>
            </w:pPr>
            <w:r>
              <w:rPr>
                <w:rFonts w:hint="eastAsia"/>
                <w:color w:val="auto"/>
                <w:szCs w:val="21"/>
                <w:highlight w:val="none"/>
              </w:rPr>
              <w:t>不允许</w:t>
            </w:r>
          </w:p>
        </w:tc>
      </w:tr>
      <w:tr w14:paraId="4496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7C4CC51B">
            <w:pPr>
              <w:jc w:val="center"/>
              <w:rPr>
                <w:rFonts w:ascii="宋体" w:hAnsi="宋体" w:cs="宋体"/>
                <w:color w:val="auto"/>
                <w:szCs w:val="21"/>
                <w:highlight w:val="none"/>
              </w:rPr>
            </w:pPr>
            <w:r>
              <w:rPr>
                <w:rFonts w:hint="eastAsia" w:ascii="宋体" w:hAnsi="宋体" w:cs="宋体"/>
                <w:color w:val="auto"/>
                <w:szCs w:val="21"/>
                <w:highlight w:val="none"/>
              </w:rPr>
              <w:t>3</w:t>
            </w:r>
          </w:p>
        </w:tc>
        <w:tc>
          <w:tcPr>
            <w:tcW w:w="1760" w:type="dxa"/>
            <w:tcBorders>
              <w:top w:val="single" w:color="auto" w:sz="4" w:space="0"/>
              <w:left w:val="single" w:color="auto" w:sz="4" w:space="0"/>
              <w:bottom w:val="single" w:color="auto" w:sz="4" w:space="0"/>
              <w:right w:val="single" w:color="auto" w:sz="4" w:space="0"/>
            </w:tcBorders>
            <w:vAlign w:val="center"/>
          </w:tcPr>
          <w:p w14:paraId="7E50D170">
            <w:pPr>
              <w:rPr>
                <w:rFonts w:ascii="宋体" w:hAnsi="宋体" w:cs="宋体"/>
                <w:color w:val="auto"/>
                <w:kern w:val="0"/>
                <w:szCs w:val="21"/>
                <w:highlight w:val="none"/>
              </w:rPr>
            </w:pPr>
            <w:r>
              <w:rPr>
                <w:rFonts w:hint="eastAsia" w:ascii="宋体" w:hAnsi="宋体" w:cs="宋体"/>
                <w:color w:val="auto"/>
                <w:kern w:val="0"/>
                <w:szCs w:val="21"/>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2E4A3AED">
            <w:pPr>
              <w:rPr>
                <w:color w:val="auto"/>
                <w:szCs w:val="21"/>
                <w:highlight w:val="none"/>
              </w:rPr>
            </w:pPr>
            <w:r>
              <w:rPr>
                <w:rFonts w:hint="eastAsia"/>
                <w:color w:val="auto"/>
                <w:szCs w:val="21"/>
                <w:highlight w:val="none"/>
              </w:rPr>
              <w:t>否</w:t>
            </w:r>
          </w:p>
        </w:tc>
      </w:tr>
      <w:tr w14:paraId="593B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22656C2B">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760" w:type="dxa"/>
            <w:tcBorders>
              <w:top w:val="single" w:color="auto" w:sz="4" w:space="0"/>
              <w:left w:val="single" w:color="auto" w:sz="4" w:space="0"/>
              <w:bottom w:val="single" w:color="auto" w:sz="4" w:space="0"/>
              <w:right w:val="single" w:color="auto" w:sz="4" w:space="0"/>
            </w:tcBorders>
            <w:vAlign w:val="center"/>
          </w:tcPr>
          <w:p w14:paraId="2095C02F">
            <w:pPr>
              <w:rPr>
                <w:rFonts w:ascii="宋体" w:hAnsi="宋体" w:cs="宋体"/>
                <w:color w:val="auto"/>
                <w:kern w:val="0"/>
                <w:szCs w:val="21"/>
                <w:highlight w:val="none"/>
              </w:rPr>
            </w:pPr>
            <w:r>
              <w:rPr>
                <w:rFonts w:hint="eastAsia" w:ascii="宋体" w:hAnsi="宋体" w:cs="宋体"/>
                <w:color w:val="auto"/>
                <w:kern w:val="0"/>
                <w:szCs w:val="21"/>
                <w:highlight w:val="none"/>
              </w:rPr>
              <w:t>答疑会或</w:t>
            </w:r>
          </w:p>
          <w:p w14:paraId="05D70757">
            <w:pPr>
              <w:rPr>
                <w:rFonts w:ascii="宋体" w:hAnsi="宋体" w:cs="宋体"/>
                <w:color w:val="auto"/>
                <w:kern w:val="0"/>
                <w:szCs w:val="21"/>
                <w:highlight w:val="none"/>
              </w:rPr>
            </w:pPr>
            <w:r>
              <w:rPr>
                <w:rFonts w:hint="eastAsia" w:ascii="宋体" w:hAnsi="宋体" w:cs="宋体"/>
                <w:color w:val="auto"/>
                <w:szCs w:val="21"/>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1166187F">
            <w:pPr>
              <w:rPr>
                <w:color w:val="auto"/>
                <w:szCs w:val="21"/>
                <w:highlight w:val="none"/>
              </w:rPr>
            </w:pPr>
            <w:r>
              <w:rPr>
                <w:rFonts w:hint="eastAsia"/>
                <w:color w:val="auto"/>
                <w:szCs w:val="21"/>
                <w:highlight w:val="none"/>
              </w:rPr>
              <w:t>采购人不组织集中</w:t>
            </w:r>
            <w:r>
              <w:rPr>
                <w:rFonts w:hint="eastAsia" w:ascii="宋体" w:hAnsi="宋体" w:cs="宋体"/>
                <w:color w:val="auto"/>
                <w:szCs w:val="21"/>
                <w:highlight w:val="none"/>
              </w:rPr>
              <w:t>现场踏勘，如有需要投标供应商可自行踏勘，具体要求详见“投标供应商须知：（六）现场踏勘”。</w:t>
            </w:r>
          </w:p>
        </w:tc>
      </w:tr>
      <w:tr w14:paraId="5AF63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57E8D908">
            <w:pPr>
              <w:jc w:val="center"/>
              <w:rPr>
                <w:rFonts w:ascii="宋体" w:hAnsi="宋体" w:cs="宋体"/>
                <w:color w:val="auto"/>
                <w:szCs w:val="21"/>
                <w:highlight w:val="none"/>
              </w:rPr>
            </w:pPr>
            <w:r>
              <w:rPr>
                <w:rFonts w:hint="eastAsia" w:ascii="宋体" w:hAnsi="宋体" w:cs="宋体"/>
                <w:color w:val="auto"/>
                <w:szCs w:val="21"/>
                <w:highlight w:val="none"/>
              </w:rPr>
              <w:t>5</w:t>
            </w:r>
          </w:p>
        </w:tc>
        <w:tc>
          <w:tcPr>
            <w:tcW w:w="1760" w:type="dxa"/>
            <w:tcBorders>
              <w:top w:val="single" w:color="auto" w:sz="4" w:space="0"/>
              <w:left w:val="single" w:color="auto" w:sz="4" w:space="0"/>
              <w:bottom w:val="single" w:color="auto" w:sz="4" w:space="0"/>
              <w:right w:val="single" w:color="auto" w:sz="4" w:space="0"/>
            </w:tcBorders>
            <w:vAlign w:val="center"/>
          </w:tcPr>
          <w:p w14:paraId="73FC9238">
            <w:pPr>
              <w:rPr>
                <w:rFonts w:ascii="宋体" w:hAnsi="宋体" w:cs="宋体"/>
                <w:color w:val="auto"/>
                <w:kern w:val="0"/>
                <w:szCs w:val="21"/>
                <w:highlight w:val="none"/>
              </w:rPr>
            </w:pPr>
            <w:r>
              <w:rPr>
                <w:rFonts w:hint="eastAsia" w:ascii="宋体" w:hAnsi="宋体" w:cs="宋体"/>
                <w:color w:val="auto"/>
                <w:szCs w:val="21"/>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04D60234">
            <w:pPr>
              <w:ind w:firstLine="420" w:firstLineChars="200"/>
              <w:rPr>
                <w:color w:val="auto"/>
                <w:szCs w:val="21"/>
                <w:highlight w:val="none"/>
              </w:rPr>
            </w:pPr>
            <w:r>
              <w:rPr>
                <w:rFonts w:hint="eastAsia"/>
                <w:color w:val="auto"/>
                <w:szCs w:val="21"/>
                <w:highlight w:val="none"/>
              </w:rPr>
              <w:t>请投标供应商在投标前仔细阅读“政府采购项目电子交易操作指南”。</w:t>
            </w:r>
          </w:p>
          <w:p w14:paraId="7CDC805E">
            <w:pPr>
              <w:ind w:firstLine="420" w:firstLineChars="200"/>
              <w:rPr>
                <w:color w:val="auto"/>
                <w:szCs w:val="21"/>
                <w:highlight w:val="none"/>
              </w:rPr>
            </w:pPr>
            <w:r>
              <w:rPr>
                <w:rFonts w:hint="eastAsia"/>
                <w:color w:val="auto"/>
                <w:szCs w:val="21"/>
                <w:highlight w:val="none"/>
              </w:rPr>
              <w:t>1.投标文件的制作：投标供应商按照本项目招标文件和政采云平台的要求,通过“政采云电子交易客户端”编制、加密并递交投标文件（下载网址：</w:t>
            </w:r>
            <w:r>
              <w:rPr>
                <w:rFonts w:hint="eastAsia"/>
                <w:color w:val="auto"/>
                <w:highlight w:val="none"/>
              </w:rPr>
              <w:fldChar w:fldCharType="begin"/>
            </w:r>
            <w:r>
              <w:rPr>
                <w:color w:val="auto"/>
                <w:highlight w:val="none"/>
              </w:rPr>
              <w:instrText xml:space="preserve"> HYPERLINK "http://www.zjzfcg.gov.cn/bidClientTemplate/2019-09-24/12975.html）。" </w:instrText>
            </w:r>
            <w:r>
              <w:rPr>
                <w:rFonts w:hint="eastAsia"/>
                <w:color w:val="auto"/>
                <w:highlight w:val="none"/>
              </w:rPr>
              <w:fldChar w:fldCharType="separate"/>
            </w:r>
            <w:r>
              <w:rPr>
                <w:rFonts w:hint="eastAsia"/>
                <w:color w:val="auto"/>
                <w:szCs w:val="21"/>
                <w:highlight w:val="none"/>
              </w:rPr>
              <w:t>https://zfcg.czt.zj.gov.cn/download/index.html）。</w:t>
            </w:r>
            <w:r>
              <w:rPr>
                <w:rFonts w:hint="eastAsia"/>
                <w:color w:val="auto"/>
                <w:szCs w:val="21"/>
                <w:highlight w:val="none"/>
              </w:rPr>
              <w:fldChar w:fldCharType="end"/>
            </w:r>
          </w:p>
          <w:p w14:paraId="4861C44E">
            <w:pPr>
              <w:ind w:firstLine="420" w:firstLineChars="200"/>
              <w:rPr>
                <w:color w:val="auto"/>
                <w:szCs w:val="21"/>
                <w:highlight w:val="none"/>
              </w:rPr>
            </w:pPr>
            <w:r>
              <w:rPr>
                <w:rFonts w:hint="eastAsia"/>
                <w:color w:val="auto"/>
                <w:szCs w:val="21"/>
                <w:highlight w:val="none"/>
              </w:rPr>
              <w:t>2.投标：投标供应商应当在投标截止时间前完成投标文件的传输递交，逾期上传的投标文件恕不接受。补充或者修改投标文件的，应当先行撤回原文件，补充、修改后重新传输递交。投标截止时间前未完成上传的，视为撤回投标文件。</w:t>
            </w:r>
          </w:p>
          <w:p w14:paraId="1ECA679D">
            <w:pPr>
              <w:ind w:firstLine="420" w:firstLineChars="200"/>
              <w:rPr>
                <w:rFonts w:ascii="宋体" w:hAnsi="宋体" w:cs="宋体"/>
                <w:color w:val="auto"/>
                <w:kern w:val="0"/>
                <w:szCs w:val="21"/>
                <w:highlight w:val="none"/>
              </w:rPr>
            </w:pPr>
            <w:r>
              <w:rPr>
                <w:rFonts w:hint="eastAsia"/>
                <w:color w:val="auto"/>
                <w:szCs w:val="21"/>
                <w:highlight w:val="none"/>
              </w:rPr>
              <w:t>3.投标文件解密：投标供应商应在开标后30分钟内完成解密。</w:t>
            </w:r>
          </w:p>
        </w:tc>
      </w:tr>
      <w:tr w14:paraId="074DD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3AD9134C">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760" w:type="dxa"/>
            <w:tcBorders>
              <w:top w:val="single" w:color="auto" w:sz="4" w:space="0"/>
              <w:left w:val="single" w:color="auto" w:sz="4" w:space="0"/>
              <w:bottom w:val="single" w:color="auto" w:sz="4" w:space="0"/>
              <w:right w:val="single" w:color="auto" w:sz="4" w:space="0"/>
            </w:tcBorders>
            <w:vAlign w:val="center"/>
          </w:tcPr>
          <w:p w14:paraId="202FDF13">
            <w:pPr>
              <w:pStyle w:val="45"/>
              <w:spacing w:after="0"/>
              <w:ind w:left="0" w:leftChars="0" w:firstLine="0"/>
              <w:rPr>
                <w:rFonts w:ascii="宋体" w:hAnsi="宋体" w:cs="宋体"/>
                <w:color w:val="auto"/>
                <w:kern w:val="0"/>
                <w:szCs w:val="21"/>
                <w:highlight w:val="none"/>
              </w:rPr>
            </w:pPr>
            <w:r>
              <w:rPr>
                <w:rFonts w:hint="eastAsia" w:ascii="宋体" w:hAnsi="宋体" w:cs="宋体"/>
                <w:color w:val="auto"/>
                <w:szCs w:val="21"/>
                <w:highlight w:val="none"/>
              </w:rPr>
              <w:t>备份投标文件的递交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0D518557">
            <w:pPr>
              <w:pStyle w:val="45"/>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备份投标文件是通过政采云电子交易客户端制作投标文件产生的备份文件，请投标供应商自行妥善保管。</w:t>
            </w:r>
          </w:p>
          <w:p w14:paraId="588CEFD5">
            <w:pPr>
              <w:pStyle w:val="45"/>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1.使用前提：投标供应商自行在线解密操作失败无法按时寻求技术人员帮助解密，或者投标供应商寻求技术人员帮助仍无法按时完成解密。</w:t>
            </w:r>
          </w:p>
          <w:p w14:paraId="4D16E6FB">
            <w:pPr>
              <w:pStyle w:val="45"/>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2.递交截止时间：同投标截止时间</w:t>
            </w:r>
          </w:p>
          <w:p w14:paraId="3D51797B">
            <w:pPr>
              <w:pStyle w:val="45"/>
              <w:spacing w:after="0"/>
              <w:ind w:left="0" w:leftChars="0" w:firstLineChars="200"/>
              <w:rPr>
                <w:rFonts w:ascii="宋体" w:hAnsi="宋体" w:cs="宋体"/>
                <w:color w:val="auto"/>
                <w:szCs w:val="21"/>
                <w:highlight w:val="none"/>
              </w:rPr>
            </w:pPr>
            <w:r>
              <w:rPr>
                <w:rFonts w:hint="eastAsia" w:ascii="宋体" w:hAnsi="宋体" w:cs="宋体"/>
                <w:color w:val="auto"/>
                <w:szCs w:val="21"/>
                <w:highlight w:val="none"/>
              </w:rPr>
              <w:t>3.投递邮箱：2436967116@qq.com</w:t>
            </w:r>
            <w:r>
              <w:rPr>
                <w:rFonts w:ascii="宋体" w:hAnsi="宋体" w:cs="宋体"/>
                <w:b/>
                <w:color w:val="auto"/>
                <w:szCs w:val="21"/>
                <w:highlight w:val="none"/>
              </w:rPr>
              <w:t xml:space="preserve">             </w:t>
            </w:r>
          </w:p>
          <w:p w14:paraId="2E6945C2">
            <w:pPr>
              <w:pStyle w:val="45"/>
              <w:spacing w:after="0"/>
              <w:ind w:left="0" w:leftChars="0" w:firstLineChars="200"/>
              <w:rPr>
                <w:rFonts w:ascii="宋体" w:hAnsi="宋体" w:cs="宋体"/>
                <w:color w:val="auto"/>
                <w:kern w:val="0"/>
                <w:szCs w:val="21"/>
                <w:highlight w:val="none"/>
              </w:rPr>
            </w:pPr>
            <w:r>
              <w:rPr>
                <w:rFonts w:hint="eastAsia" w:ascii="宋体" w:hAnsi="宋体" w:cs="宋体"/>
                <w:color w:val="auto"/>
                <w:szCs w:val="21"/>
                <w:highlight w:val="none"/>
              </w:rPr>
              <w:t>4. 备份投标文件由供应商自行确定是否提交，因备份投标文件未加密而造成失密等情况，采购组织机构概不负责。未在系统上提交投标文件而仅提交备份投标文件的，其响应无效。</w:t>
            </w:r>
          </w:p>
        </w:tc>
      </w:tr>
      <w:tr w14:paraId="2A88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6250691C">
            <w:pPr>
              <w:jc w:val="center"/>
              <w:rPr>
                <w:rFonts w:ascii="宋体" w:hAnsi="宋体" w:cs="宋体"/>
                <w:color w:val="auto"/>
                <w:szCs w:val="21"/>
                <w:highlight w:val="none"/>
              </w:rPr>
            </w:pPr>
            <w:r>
              <w:rPr>
                <w:rFonts w:hint="eastAsia" w:ascii="宋体" w:hAnsi="宋体" w:cs="宋体"/>
                <w:color w:val="auto"/>
                <w:szCs w:val="21"/>
                <w:highlight w:val="none"/>
              </w:rPr>
              <w:t>7</w:t>
            </w:r>
          </w:p>
        </w:tc>
        <w:tc>
          <w:tcPr>
            <w:tcW w:w="1760" w:type="dxa"/>
            <w:tcBorders>
              <w:top w:val="single" w:color="auto" w:sz="4" w:space="0"/>
              <w:left w:val="single" w:color="auto" w:sz="4" w:space="0"/>
              <w:bottom w:val="single" w:color="auto" w:sz="4" w:space="0"/>
              <w:right w:val="single" w:color="auto" w:sz="4" w:space="0"/>
            </w:tcBorders>
            <w:vAlign w:val="center"/>
          </w:tcPr>
          <w:p w14:paraId="6E080158">
            <w:pPr>
              <w:pStyle w:val="13"/>
              <w:ind w:firstLine="0"/>
              <w:rPr>
                <w:rFonts w:ascii="宋体" w:hAnsi="宋体" w:cs="宋体"/>
                <w:color w:val="auto"/>
                <w:kern w:val="0"/>
                <w:szCs w:val="21"/>
                <w:highlight w:val="none"/>
              </w:rPr>
            </w:pPr>
            <w:r>
              <w:rPr>
                <w:rFonts w:hint="eastAsia" w:ascii="宋体" w:hAnsi="宋体" w:cs="宋体"/>
                <w:color w:val="auto"/>
                <w:szCs w:val="21"/>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14:paraId="3F1CE8FB">
            <w:pPr>
              <w:pStyle w:val="42"/>
              <w:spacing w:before="0" w:beforeAutospacing="0" w:after="0" w:afterAutospacing="0"/>
              <w:ind w:firstLine="420" w:firstLineChars="200"/>
              <w:jc w:val="both"/>
              <w:rPr>
                <w:rFonts w:hint="default" w:cs="宋体"/>
                <w:color w:val="auto"/>
                <w:szCs w:val="21"/>
                <w:highlight w:val="none"/>
              </w:rPr>
            </w:pPr>
            <w:r>
              <w:rPr>
                <w:rFonts w:cs="宋体"/>
                <w:color w:val="auto"/>
                <w:sz w:val="21"/>
                <w:szCs w:val="21"/>
                <w:highlight w:val="none"/>
              </w:rPr>
              <w:t>采购组织机构按照招标文件规定的时间通过“政采云平台”组织开标，所有供应商均应当准时在线参加。如未参加，</w:t>
            </w:r>
            <w:r>
              <w:rPr>
                <w:rFonts w:cs="宋体"/>
                <w:bCs/>
                <w:color w:val="auto"/>
                <w:sz w:val="21"/>
                <w:szCs w:val="21"/>
                <w:highlight w:val="none"/>
              </w:rPr>
              <w:t>造成无法递交投标文件、递交失败等后果由供应商自行承担。</w:t>
            </w:r>
          </w:p>
        </w:tc>
      </w:tr>
      <w:tr w14:paraId="5543D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5F93E945">
            <w:pPr>
              <w:jc w:val="center"/>
              <w:rPr>
                <w:rFonts w:ascii="宋体" w:hAnsi="宋体" w:cs="宋体"/>
                <w:color w:val="auto"/>
                <w:szCs w:val="21"/>
                <w:highlight w:val="none"/>
              </w:rPr>
            </w:pPr>
            <w:r>
              <w:rPr>
                <w:rFonts w:hint="eastAsia" w:ascii="宋体" w:hAnsi="宋体" w:cs="宋体"/>
                <w:color w:val="auto"/>
                <w:szCs w:val="21"/>
                <w:highlight w:val="none"/>
              </w:rPr>
              <w:t>8</w:t>
            </w:r>
          </w:p>
        </w:tc>
        <w:tc>
          <w:tcPr>
            <w:tcW w:w="1760" w:type="dxa"/>
            <w:tcBorders>
              <w:top w:val="single" w:color="auto" w:sz="4" w:space="0"/>
              <w:left w:val="single" w:color="auto" w:sz="4" w:space="0"/>
              <w:bottom w:val="single" w:color="auto" w:sz="4" w:space="0"/>
              <w:right w:val="single" w:color="auto" w:sz="4" w:space="0"/>
            </w:tcBorders>
            <w:vAlign w:val="center"/>
          </w:tcPr>
          <w:p w14:paraId="3DEE45C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281EF5E8">
            <w:pPr>
              <w:pStyle w:val="26"/>
              <w:adjustRightInd w:val="0"/>
              <w:snapToGrid w:val="0"/>
              <w:ind w:firstLine="420" w:firstLineChars="200"/>
              <w:rPr>
                <w:rFonts w:hAnsi="宋体" w:cs="宋体"/>
                <w:bCs/>
                <w:color w:val="auto"/>
                <w:szCs w:val="21"/>
                <w:highlight w:val="none"/>
              </w:rPr>
            </w:pPr>
            <w:r>
              <w:rPr>
                <w:rFonts w:hint="eastAsia" w:hAnsi="宋体" w:cs="宋体"/>
                <w:bCs/>
                <w:color w:val="auto"/>
                <w:szCs w:val="21"/>
                <w:highlight w:val="none"/>
              </w:rPr>
              <w:t>1.本项目实行电子投标，投标供应商自行承担投标一切费用。</w:t>
            </w:r>
          </w:p>
          <w:p w14:paraId="2191DD16">
            <w:pPr>
              <w:pStyle w:val="26"/>
              <w:adjustRightInd w:val="0"/>
              <w:snapToGrid w:val="0"/>
              <w:ind w:firstLine="420" w:firstLineChars="200"/>
              <w:rPr>
                <w:rFonts w:hAnsi="宋体" w:cs="宋体"/>
                <w:color w:val="auto"/>
                <w:szCs w:val="21"/>
                <w:highlight w:val="none"/>
              </w:rPr>
            </w:pPr>
            <w:r>
              <w:rPr>
                <w:rFonts w:hint="eastAsia" w:hAnsi="宋体" w:cs="宋体"/>
                <w:bCs/>
                <w:color w:val="auto"/>
                <w:szCs w:val="21"/>
                <w:highlight w:val="none"/>
              </w:rPr>
              <w:t>2.标前准备：投标供应商在开标前确保成为浙江省政府采购网正式注册用户，并完成CA数字证书办理。（办理流程详见本招标公告附件：政采云CA签章申领操作流程）。因未注册入库、未办理CA数字证书等原因造成无法投标或投标失败等后果由投标供应商自行承担。</w:t>
            </w:r>
          </w:p>
        </w:tc>
      </w:tr>
      <w:tr w14:paraId="0198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2A67427F">
            <w:pPr>
              <w:jc w:val="center"/>
              <w:rPr>
                <w:rFonts w:ascii="宋体" w:hAnsi="宋体" w:cs="宋体"/>
                <w:color w:val="auto"/>
                <w:szCs w:val="21"/>
                <w:highlight w:val="none"/>
              </w:rPr>
            </w:pPr>
            <w:r>
              <w:rPr>
                <w:rFonts w:hint="eastAsia" w:ascii="宋体" w:hAnsi="宋体" w:cs="宋体"/>
                <w:color w:val="auto"/>
                <w:szCs w:val="21"/>
                <w:highlight w:val="none"/>
              </w:rPr>
              <w:t>9</w:t>
            </w:r>
          </w:p>
        </w:tc>
        <w:tc>
          <w:tcPr>
            <w:tcW w:w="1760" w:type="dxa"/>
            <w:tcBorders>
              <w:top w:val="single" w:color="auto" w:sz="4" w:space="0"/>
              <w:left w:val="single" w:color="auto" w:sz="4" w:space="0"/>
              <w:bottom w:val="single" w:color="auto" w:sz="4" w:space="0"/>
              <w:right w:val="single" w:color="auto" w:sz="4" w:space="0"/>
            </w:tcBorders>
            <w:vAlign w:val="center"/>
          </w:tcPr>
          <w:p w14:paraId="1D470AAA">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369E9854">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cs="Arial" w:asciiTheme="minorEastAsia" w:hAnsiTheme="minorEastAsia" w:eastAsiaTheme="minorEastAsia"/>
                <w:color w:val="auto"/>
                <w:szCs w:val="21"/>
                <w:highlight w:val="none"/>
              </w:rPr>
              <w:t>http://www.creditchina.gov.cn</w:t>
            </w:r>
            <w:r>
              <w:rPr>
                <w:rFonts w:cs="Arial" w:asciiTheme="minorEastAsia" w:hAnsiTheme="minorEastAsia" w:eastAsiaTheme="minorEastAsia"/>
                <w:color w:val="auto"/>
                <w:szCs w:val="21"/>
                <w:highlight w:val="none"/>
              </w:rPr>
              <w:fldChar w:fldCharType="end"/>
            </w:r>
            <w:r>
              <w:rPr>
                <w:rFonts w:hint="eastAsia" w:cs="Arial" w:asciiTheme="minorEastAsia" w:hAnsiTheme="minorEastAsia" w:eastAsiaTheme="minorEastAsia"/>
                <w:color w:val="auto"/>
                <w:szCs w:val="21"/>
                <w:highlight w:val="none"/>
              </w:rPr>
              <w:t>)</w:t>
            </w:r>
          </w:p>
          <w:p w14:paraId="2AFCC194">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中国政府采购网（网址：</w:t>
            </w:r>
            <w:r>
              <w:rPr>
                <w:rFonts w:cs="Arial" w:asciiTheme="minorEastAsia" w:hAnsiTheme="minorEastAsia" w:eastAsiaTheme="minorEastAsia"/>
                <w:color w:val="auto"/>
                <w:szCs w:val="21"/>
                <w:highlight w:val="none"/>
              </w:rPr>
              <w:t>http://www.ccgp.gov.cn</w:t>
            </w:r>
            <w:r>
              <w:rPr>
                <w:rFonts w:hint="eastAsia" w:cs="Arial" w:asciiTheme="minorEastAsia" w:hAnsiTheme="minorEastAsia" w:eastAsiaTheme="minorEastAsia"/>
                <w:color w:val="auto"/>
                <w:szCs w:val="21"/>
                <w:highlight w:val="none"/>
              </w:rPr>
              <w:t>)</w:t>
            </w:r>
          </w:p>
        </w:tc>
      </w:tr>
      <w:tr w14:paraId="4761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 w:type="dxa"/>
            <w:tcBorders>
              <w:top w:val="single" w:color="auto" w:sz="4" w:space="0"/>
              <w:left w:val="single" w:color="auto" w:sz="4" w:space="0"/>
              <w:bottom w:val="single" w:color="auto" w:sz="4" w:space="0"/>
              <w:right w:val="single" w:color="auto" w:sz="4" w:space="0"/>
            </w:tcBorders>
            <w:vAlign w:val="center"/>
          </w:tcPr>
          <w:p w14:paraId="011A66CD">
            <w:pPr>
              <w:jc w:val="center"/>
              <w:rPr>
                <w:rFonts w:ascii="宋体" w:hAnsi="宋体" w:cs="宋体"/>
                <w:color w:val="auto"/>
                <w:szCs w:val="21"/>
                <w:highlight w:val="none"/>
              </w:rPr>
            </w:pPr>
            <w:r>
              <w:rPr>
                <w:rFonts w:hint="eastAsia" w:ascii="宋体" w:hAnsi="宋体" w:cs="宋体"/>
                <w:color w:val="auto"/>
                <w:szCs w:val="21"/>
                <w:highlight w:val="none"/>
              </w:rPr>
              <w:t>10</w:t>
            </w:r>
          </w:p>
        </w:tc>
        <w:tc>
          <w:tcPr>
            <w:tcW w:w="1760" w:type="dxa"/>
            <w:tcBorders>
              <w:top w:val="single" w:color="auto" w:sz="4" w:space="0"/>
              <w:left w:val="single" w:color="auto" w:sz="4" w:space="0"/>
              <w:bottom w:val="single" w:color="auto" w:sz="4" w:space="0"/>
              <w:right w:val="single" w:color="auto" w:sz="4" w:space="0"/>
            </w:tcBorders>
            <w:vAlign w:val="center"/>
          </w:tcPr>
          <w:p w14:paraId="56E68877">
            <w:pPr>
              <w:autoSpaceDE w:val="0"/>
              <w:autoSpaceDN w:val="0"/>
              <w:adjustRightInd w:val="0"/>
              <w:rPr>
                <w:rFonts w:ascii="宋体" w:hAnsi="宋体" w:cs="宋体"/>
                <w:color w:val="auto"/>
                <w:szCs w:val="21"/>
                <w:highlight w:val="none"/>
              </w:rPr>
            </w:pPr>
            <w:r>
              <w:rPr>
                <w:rFonts w:hint="eastAsia"/>
                <w:color w:val="auto"/>
                <w:szCs w:val="21"/>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3DA8B3BB">
            <w:pPr>
              <w:snapToGrid w:val="0"/>
              <w:rPr>
                <w:rFonts w:ascii="黑体" w:hAnsi="黑体" w:eastAsia="黑体" w:cs="黑体"/>
                <w:color w:val="auto"/>
                <w:szCs w:val="21"/>
                <w:highlight w:val="none"/>
                <w:shd w:val="clear" w:color="auto" w:fill="FFFFFF"/>
              </w:rPr>
            </w:pPr>
            <w:r>
              <w:rPr>
                <w:rFonts w:hint="eastAsia" w:cs="Arial" w:asciiTheme="minorEastAsia" w:hAnsiTheme="minorEastAsia" w:eastAsiaTheme="minorEastAsia"/>
                <w:color w:val="auto"/>
                <w:szCs w:val="21"/>
                <w:highlight w:val="none"/>
              </w:rPr>
              <w:t xml:space="preserve">根据《政府采购促进中小企业发展管理办法》财库〔2020〕46号文件、《台州市财政局关于进一步加大政府采购支持中小企业力度助力扎实稳住经济的通知》台财采发〔2022〕3号的规定，本项目  </w:t>
            </w:r>
            <w:r>
              <w:rPr>
                <w:rFonts w:hint="eastAsia" w:cs="Arial" w:asciiTheme="minorEastAsia" w:hAnsiTheme="minorEastAsia" w:eastAsiaTheme="minorEastAsia"/>
                <w:b/>
                <w:color w:val="auto"/>
                <w:szCs w:val="21"/>
                <w:highlight w:val="none"/>
              </w:rPr>
              <w:t>否</w:t>
            </w:r>
            <w:r>
              <w:rPr>
                <w:rFonts w:hint="eastAsia" w:cs="Arial" w:asciiTheme="minorEastAsia" w:hAnsiTheme="minorEastAsia" w:eastAsiaTheme="minorEastAsia"/>
                <w:color w:val="auto"/>
                <w:szCs w:val="21"/>
                <w:highlight w:val="none"/>
              </w:rPr>
              <w:t xml:space="preserve">  属于专门面向中小企业采购的项目。</w:t>
            </w:r>
          </w:p>
        </w:tc>
      </w:tr>
      <w:tr w14:paraId="22B4F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957" w:type="dxa"/>
            <w:tcBorders>
              <w:top w:val="single" w:color="auto" w:sz="4" w:space="0"/>
              <w:left w:val="single" w:color="auto" w:sz="4" w:space="0"/>
              <w:bottom w:val="single" w:color="auto" w:sz="4" w:space="0"/>
              <w:right w:val="single" w:color="auto" w:sz="4" w:space="0"/>
            </w:tcBorders>
            <w:vAlign w:val="center"/>
          </w:tcPr>
          <w:p w14:paraId="1C767476">
            <w:pPr>
              <w:jc w:val="center"/>
              <w:rPr>
                <w:rFonts w:ascii="宋体" w:hAnsi="宋体" w:cs="宋体"/>
                <w:color w:val="auto"/>
                <w:szCs w:val="21"/>
                <w:highlight w:val="none"/>
              </w:rPr>
            </w:pPr>
            <w:r>
              <w:rPr>
                <w:rFonts w:hint="eastAsia" w:ascii="宋体" w:hAnsi="宋体" w:cs="宋体"/>
                <w:color w:val="auto"/>
                <w:szCs w:val="21"/>
                <w:highlight w:val="none"/>
              </w:rPr>
              <w:t>11</w:t>
            </w:r>
          </w:p>
        </w:tc>
        <w:tc>
          <w:tcPr>
            <w:tcW w:w="1760" w:type="dxa"/>
            <w:tcBorders>
              <w:top w:val="single" w:color="auto" w:sz="4" w:space="0"/>
              <w:left w:val="single" w:color="auto" w:sz="4" w:space="0"/>
              <w:bottom w:val="single" w:color="auto" w:sz="4" w:space="0"/>
              <w:right w:val="single" w:color="auto" w:sz="4" w:space="0"/>
            </w:tcBorders>
            <w:vAlign w:val="center"/>
          </w:tcPr>
          <w:p w14:paraId="281E6486">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2AB1BB25">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1.项目属性（</w:t>
            </w:r>
            <w:r>
              <w:rPr>
                <w:rFonts w:hint="eastAsia" w:cs="Arial" w:asciiTheme="minorEastAsia" w:hAnsiTheme="minorEastAsia" w:eastAsiaTheme="minorEastAsia"/>
                <w:color w:val="auto"/>
                <w:szCs w:val="21"/>
                <w:highlight w:val="none"/>
                <w:lang w:val="en-US" w:eastAsia="zh-CN"/>
              </w:rPr>
              <w:t>货物</w:t>
            </w:r>
            <w:r>
              <w:rPr>
                <w:rFonts w:hint="eastAsia" w:cs="Arial" w:asciiTheme="minorEastAsia" w:hAnsiTheme="minorEastAsia" w:eastAsiaTheme="minorEastAsia"/>
                <w:color w:val="auto"/>
                <w:szCs w:val="21"/>
                <w:highlight w:val="none"/>
              </w:rPr>
              <w:t>类）</w:t>
            </w:r>
          </w:p>
          <w:p w14:paraId="2F03A4CE">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2.中小企业划分标准所属行业（具体根据《中小企业划型标准规定》执行）</w:t>
            </w:r>
          </w:p>
          <w:p w14:paraId="0477C4CA">
            <w:pPr>
              <w:snapToGrid w:val="0"/>
              <w:rPr>
                <w:rFonts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采购标的：</w:t>
            </w:r>
            <w:r>
              <w:rPr>
                <w:rFonts w:hint="eastAsia" w:cs="Arial" w:asciiTheme="minorEastAsia" w:hAnsiTheme="minorEastAsia" w:eastAsiaTheme="minorEastAsia"/>
                <w:b/>
                <w:color w:val="auto"/>
                <w:szCs w:val="21"/>
                <w:highlight w:val="none"/>
                <w:lang w:eastAsia="zh-CN"/>
              </w:rPr>
              <w:t>2024年电子监控、基础及管路项目（第二次重新招标）</w:t>
            </w:r>
            <w:r>
              <w:rPr>
                <w:rFonts w:hint="eastAsia" w:cs="Arial" w:asciiTheme="minorEastAsia" w:hAnsiTheme="minorEastAsia" w:eastAsiaTheme="minorEastAsia"/>
                <w:color w:val="auto"/>
                <w:szCs w:val="21"/>
                <w:highlight w:val="none"/>
              </w:rPr>
              <w:t>，所属行业：</w:t>
            </w:r>
            <w:r>
              <w:rPr>
                <w:rFonts w:hint="eastAsia" w:cs="Arial" w:asciiTheme="minorEastAsia" w:hAnsiTheme="minorEastAsia" w:eastAsiaTheme="minorEastAsia"/>
                <w:b/>
                <w:color w:val="auto"/>
                <w:szCs w:val="21"/>
                <w:highlight w:val="none"/>
              </w:rPr>
              <w:t>工业</w:t>
            </w:r>
            <w:r>
              <w:rPr>
                <w:rFonts w:hint="eastAsia" w:cs="Arial" w:asciiTheme="minorEastAsia" w:hAnsiTheme="minorEastAsia" w:eastAsiaTheme="minorEastAsia"/>
                <w:color w:val="auto"/>
                <w:szCs w:val="21"/>
                <w:highlight w:val="none"/>
              </w:rPr>
              <w:t>。</w:t>
            </w:r>
          </w:p>
          <w:p w14:paraId="376FCE72">
            <w:pPr>
              <w:snapToGrid w:val="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格式详见附件）</w:t>
            </w:r>
            <w:r>
              <w:rPr>
                <w:rFonts w:hint="eastAsia" w:cs="Arial" w:asciiTheme="minorEastAsia" w:hAnsiTheme="minorEastAsia" w:eastAsiaTheme="minorEastAsia"/>
                <w:color w:val="auto"/>
                <w:szCs w:val="21"/>
                <w:highlight w:val="none"/>
                <w:lang w:val="en-US" w:eastAsia="zh-CN"/>
              </w:rPr>
              <w:t>和产品适用政府采购政策情况表</w:t>
            </w:r>
            <w:r>
              <w:rPr>
                <w:rFonts w:hint="eastAsia" w:cs="Arial" w:asciiTheme="minorEastAsia" w:hAnsiTheme="minorEastAsia" w:eastAsiaTheme="minorEastAsia"/>
                <w:color w:val="auto"/>
                <w:szCs w:val="21"/>
                <w:highlight w:val="none"/>
              </w:rPr>
              <w:t>（格式详见附件）。</w:t>
            </w:r>
          </w:p>
          <w:p w14:paraId="67E2D38C">
            <w:pPr>
              <w:snapToGrid w:val="0"/>
              <w:rPr>
                <w:rFonts w:hint="eastAsia" w:cs="Arial" w:asciiTheme="minorEastAsia" w:hAnsiTheme="minorEastAsia" w:eastAsiaTheme="minorEastAsia"/>
                <w:color w:val="auto"/>
                <w:szCs w:val="21"/>
                <w:highlight w:val="none"/>
              </w:rPr>
            </w:pPr>
            <w:r>
              <w:rPr>
                <w:rFonts w:hint="eastAsia" w:cs="Arial" w:asciiTheme="minorEastAsia" w:hAnsiTheme="minorEastAsia" w:eastAsiaTheme="minorEastAsia"/>
                <w:color w:val="auto"/>
                <w:szCs w:val="21"/>
                <w:highlight w:val="none"/>
              </w:rPr>
              <w:t>4.根据财库〔2014〕68号的相关规定，在政府采购活动中，监狱企业视同小型、微型企业，享受评审中价格扣除政策，并在投标文件中提供由省级以上监狱管理局、戒毒管理局（含新疆生产建设兵团）出具的属于监狱企业的证明文件（格式详见附件）</w:t>
            </w:r>
            <w:r>
              <w:rPr>
                <w:rFonts w:hint="eastAsia" w:cs="Arial" w:asciiTheme="minorEastAsia" w:hAnsiTheme="minorEastAsia" w:eastAsiaTheme="minorEastAsia"/>
                <w:color w:val="auto"/>
                <w:szCs w:val="21"/>
                <w:highlight w:val="none"/>
                <w:lang w:val="en-US" w:eastAsia="zh-CN"/>
              </w:rPr>
              <w:t>和产品适用政府采购政策情况表</w:t>
            </w:r>
            <w:r>
              <w:rPr>
                <w:rFonts w:hint="eastAsia" w:cs="Arial" w:asciiTheme="minorEastAsia" w:hAnsiTheme="minorEastAsia" w:eastAsiaTheme="minorEastAsia"/>
                <w:color w:val="auto"/>
                <w:szCs w:val="21"/>
                <w:highlight w:val="none"/>
              </w:rPr>
              <w:t>（格式详见附件）。”</w:t>
            </w:r>
          </w:p>
          <w:p w14:paraId="74C280E0">
            <w:pPr>
              <w:snapToGrid w:val="0"/>
              <w:rPr>
                <w:rFonts w:ascii="宋体" w:hAnsi="宋体" w:cs="宋体"/>
                <w:color w:val="auto"/>
                <w:szCs w:val="21"/>
                <w:highlight w:val="none"/>
              </w:rPr>
            </w:pPr>
            <w:r>
              <w:rPr>
                <w:rFonts w:hint="eastAsia" w:cs="Arial" w:asciiTheme="minorEastAsia" w:hAnsiTheme="minorEastAsia" w:eastAsiaTheme="minorEastAsia"/>
                <w:color w:val="auto"/>
                <w:szCs w:val="21"/>
                <w:highlight w:val="none"/>
              </w:rPr>
              <w:t>(注：未提供以上材料的，均不给予价格扣除）。</w:t>
            </w:r>
          </w:p>
        </w:tc>
      </w:tr>
      <w:tr w14:paraId="68E9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07197526">
            <w:pPr>
              <w:jc w:val="center"/>
              <w:rPr>
                <w:rFonts w:ascii="宋体" w:hAnsi="宋体" w:cs="宋体"/>
                <w:color w:val="auto"/>
                <w:szCs w:val="21"/>
                <w:highlight w:val="none"/>
              </w:rPr>
            </w:pPr>
            <w:r>
              <w:rPr>
                <w:rFonts w:hint="eastAsia" w:ascii="宋体" w:hAnsi="宋体" w:cs="宋体"/>
                <w:color w:val="auto"/>
                <w:szCs w:val="21"/>
                <w:highlight w:val="none"/>
              </w:rPr>
              <w:t>12</w:t>
            </w:r>
          </w:p>
        </w:tc>
        <w:tc>
          <w:tcPr>
            <w:tcW w:w="1760" w:type="dxa"/>
            <w:tcBorders>
              <w:top w:val="single" w:color="auto" w:sz="4" w:space="0"/>
              <w:left w:val="single" w:color="auto" w:sz="4" w:space="0"/>
              <w:bottom w:val="single" w:color="auto" w:sz="4" w:space="0"/>
              <w:right w:val="single" w:color="auto" w:sz="4" w:space="0"/>
            </w:tcBorders>
            <w:vAlign w:val="center"/>
          </w:tcPr>
          <w:p w14:paraId="3AA4E512">
            <w:pPr>
              <w:autoSpaceDE w:val="0"/>
              <w:autoSpaceDN w:val="0"/>
              <w:adjustRightInd w:val="0"/>
              <w:rPr>
                <w:rFonts w:ascii="宋体" w:hAnsi="宋体" w:cs="宋体"/>
                <w:color w:val="auto"/>
                <w:kern w:val="0"/>
                <w:szCs w:val="21"/>
                <w:highlight w:val="none"/>
              </w:rPr>
            </w:pPr>
            <w:r>
              <w:rPr>
                <w:rFonts w:hint="eastAsia" w:ascii="宋体" w:hAnsi="宋体" w:cs="宋体"/>
                <w:color w:val="auto"/>
                <w:szCs w:val="21"/>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0013ED3B">
            <w:pPr>
              <w:snapToGrid w:val="0"/>
              <w:rPr>
                <w:rFonts w:ascii="宋体" w:hAnsi="宋体" w:cs="宋体"/>
                <w:color w:val="auto"/>
                <w:szCs w:val="21"/>
                <w:highlight w:val="none"/>
              </w:rPr>
            </w:pPr>
            <w:r>
              <w:rPr>
                <w:rFonts w:hint="eastAsia"/>
                <w:color w:val="auto"/>
                <w:szCs w:val="21"/>
                <w:highlight w:val="none"/>
              </w:rPr>
              <w:t>本项目代理服务费为14250元，在发中标通知书时由中标供应商支付，投标供应商在报价时综合考虑。</w:t>
            </w:r>
          </w:p>
        </w:tc>
      </w:tr>
      <w:tr w14:paraId="0231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3E25BA32">
            <w:pPr>
              <w:jc w:val="center"/>
              <w:rPr>
                <w:rFonts w:ascii="宋体" w:hAnsi="宋体" w:cs="宋体"/>
                <w:color w:val="auto"/>
                <w:szCs w:val="21"/>
                <w:highlight w:val="none"/>
              </w:rPr>
            </w:pPr>
            <w:r>
              <w:rPr>
                <w:rFonts w:hint="eastAsia" w:ascii="宋体" w:hAnsi="宋体" w:cs="宋体"/>
                <w:color w:val="auto"/>
                <w:szCs w:val="21"/>
                <w:highlight w:val="none"/>
              </w:rPr>
              <w:t>13</w:t>
            </w:r>
          </w:p>
        </w:tc>
        <w:tc>
          <w:tcPr>
            <w:tcW w:w="1760" w:type="dxa"/>
            <w:tcBorders>
              <w:top w:val="single" w:color="auto" w:sz="4" w:space="0"/>
              <w:left w:val="single" w:color="auto" w:sz="4" w:space="0"/>
              <w:bottom w:val="single" w:color="auto" w:sz="4" w:space="0"/>
              <w:right w:val="single" w:color="auto" w:sz="4" w:space="0"/>
            </w:tcBorders>
            <w:vAlign w:val="center"/>
          </w:tcPr>
          <w:p w14:paraId="56ED5DCE">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lang w:val="zh-CN"/>
              </w:rPr>
              <w:t>实质性条款</w:t>
            </w:r>
            <w:r>
              <w:rPr>
                <w:rFonts w:hint="eastAsia" w:ascii="宋体" w:hAnsi="宋体" w:cs="宋体"/>
                <w:bCs/>
                <w:color w:val="auto"/>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60AC5FDD">
            <w:pPr>
              <w:autoSpaceDE w:val="0"/>
              <w:autoSpaceDN w:val="0"/>
              <w:adjustRightInd w:val="0"/>
              <w:rPr>
                <w:rFonts w:ascii="宋体" w:hAnsi="宋体" w:cs="宋体"/>
                <w:color w:val="auto"/>
                <w:szCs w:val="21"/>
                <w:highlight w:val="none"/>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▲”的条款是实质性条款，投标文件须做出实质性响应，否则作无效投标处理。</w:t>
            </w:r>
          </w:p>
        </w:tc>
      </w:tr>
      <w:tr w14:paraId="06C60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3CAB7C26">
            <w:pPr>
              <w:jc w:val="center"/>
              <w:rPr>
                <w:rFonts w:ascii="宋体" w:hAnsi="宋体" w:cs="宋体"/>
                <w:color w:val="auto"/>
                <w:szCs w:val="21"/>
                <w:highlight w:val="none"/>
              </w:rPr>
            </w:pPr>
            <w:r>
              <w:rPr>
                <w:rFonts w:hint="eastAsia" w:ascii="宋体" w:hAnsi="宋体" w:cs="宋体"/>
                <w:color w:val="auto"/>
                <w:szCs w:val="21"/>
                <w:highlight w:val="none"/>
              </w:rPr>
              <w:t>14</w:t>
            </w:r>
          </w:p>
        </w:tc>
        <w:tc>
          <w:tcPr>
            <w:tcW w:w="1760" w:type="dxa"/>
            <w:tcBorders>
              <w:top w:val="single" w:color="auto" w:sz="4" w:space="0"/>
              <w:left w:val="single" w:color="auto" w:sz="4" w:space="0"/>
              <w:bottom w:val="single" w:color="auto" w:sz="4" w:space="0"/>
              <w:right w:val="single" w:color="auto" w:sz="4" w:space="0"/>
            </w:tcBorders>
            <w:vAlign w:val="center"/>
          </w:tcPr>
          <w:p w14:paraId="4CFB8228">
            <w:pPr>
              <w:autoSpaceDE w:val="0"/>
              <w:autoSpaceDN w:val="0"/>
              <w:adjustRightInd w:val="0"/>
              <w:rPr>
                <w:rFonts w:ascii="宋体" w:hAnsi="宋体" w:cs="宋体"/>
                <w:color w:val="auto"/>
                <w:szCs w:val="21"/>
                <w:highlight w:val="none"/>
              </w:rPr>
            </w:pPr>
            <w:r>
              <w:rPr>
                <w:rFonts w:asciiTheme="minorEastAsia" w:hAnsiTheme="minorEastAsia" w:eastAsiaTheme="minorEastAsia"/>
                <w:color w:val="auto"/>
                <w:szCs w:val="21"/>
                <w:highlight w:val="none"/>
              </w:rPr>
              <w:t>主要性能参数</w:t>
            </w:r>
            <w:r>
              <w:rPr>
                <w:rFonts w:hint="eastAsia" w:asciiTheme="minorEastAsia" w:hAnsiTheme="minorEastAsia" w:eastAsiaTheme="minorEastAsia"/>
                <w:color w:val="auto"/>
                <w:szCs w:val="21"/>
                <w:highlight w:val="none"/>
              </w:rPr>
              <w:t>（如有）</w:t>
            </w:r>
          </w:p>
        </w:tc>
        <w:tc>
          <w:tcPr>
            <w:tcW w:w="6501" w:type="dxa"/>
            <w:tcBorders>
              <w:top w:val="single" w:color="auto" w:sz="4" w:space="0"/>
              <w:left w:val="single" w:color="auto" w:sz="4" w:space="0"/>
              <w:bottom w:val="single" w:color="auto" w:sz="4" w:space="0"/>
              <w:right w:val="single" w:color="auto" w:sz="4" w:space="0"/>
            </w:tcBorders>
            <w:vAlign w:val="center"/>
          </w:tcPr>
          <w:p w14:paraId="26C9A1D6">
            <w:pPr>
              <w:autoSpaceDE w:val="0"/>
              <w:autoSpaceDN w:val="0"/>
              <w:adjustRightInd w:val="0"/>
              <w:rPr>
                <w:rFonts w:cs="宋体"/>
                <w:color w:val="auto"/>
                <w:szCs w:val="21"/>
                <w:highlight w:val="none"/>
              </w:rPr>
            </w:pPr>
            <w:r>
              <w:rPr>
                <w:rFonts w:hint="eastAsia" w:ascii="宋体" w:hAnsi="宋体" w:cs="宋体"/>
                <w:color w:val="auto"/>
                <w:szCs w:val="21"/>
                <w:highlight w:val="none"/>
              </w:rPr>
              <w:t>带“★”的条款是</w:t>
            </w:r>
            <w:r>
              <w:rPr>
                <w:rFonts w:asciiTheme="minorEastAsia" w:hAnsiTheme="minorEastAsia" w:eastAsiaTheme="minorEastAsia"/>
                <w:color w:val="auto"/>
                <w:szCs w:val="21"/>
                <w:highlight w:val="none"/>
              </w:rPr>
              <w:t>主要性能参数</w:t>
            </w:r>
            <w:r>
              <w:rPr>
                <w:rFonts w:hint="eastAsia" w:asciiTheme="minorEastAsia" w:hAnsiTheme="minorEastAsia" w:eastAsiaTheme="minorEastAsia"/>
                <w:color w:val="auto"/>
                <w:szCs w:val="21"/>
                <w:highlight w:val="none"/>
              </w:rPr>
              <w:t>。</w:t>
            </w:r>
          </w:p>
        </w:tc>
      </w:tr>
      <w:tr w14:paraId="6091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4C5CD99E">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760" w:type="dxa"/>
            <w:tcBorders>
              <w:top w:val="single" w:color="auto" w:sz="4" w:space="0"/>
              <w:left w:val="single" w:color="auto" w:sz="4" w:space="0"/>
              <w:bottom w:val="single" w:color="auto" w:sz="4" w:space="0"/>
              <w:right w:val="single" w:color="auto" w:sz="4" w:space="0"/>
            </w:tcBorders>
            <w:vAlign w:val="center"/>
          </w:tcPr>
          <w:p w14:paraId="7AA16412">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30B5996F">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包括电子邮件、信函、传真。</w:t>
            </w:r>
          </w:p>
        </w:tc>
      </w:tr>
      <w:tr w14:paraId="0DA5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10367731">
            <w:pPr>
              <w:jc w:val="center"/>
              <w:rPr>
                <w:rFonts w:ascii="宋体" w:hAnsi="宋体" w:cs="宋体"/>
                <w:color w:val="auto"/>
                <w:szCs w:val="21"/>
                <w:highlight w:val="none"/>
              </w:rPr>
            </w:pPr>
            <w:r>
              <w:rPr>
                <w:rFonts w:hint="eastAsia" w:ascii="宋体" w:hAnsi="宋体" w:cs="宋体"/>
                <w:color w:val="auto"/>
                <w:szCs w:val="21"/>
                <w:highlight w:val="none"/>
              </w:rPr>
              <w:t>16</w:t>
            </w:r>
          </w:p>
        </w:tc>
        <w:tc>
          <w:tcPr>
            <w:tcW w:w="1760" w:type="dxa"/>
            <w:tcBorders>
              <w:top w:val="single" w:color="auto" w:sz="4" w:space="0"/>
              <w:left w:val="single" w:color="auto" w:sz="4" w:space="0"/>
              <w:bottom w:val="single" w:color="auto" w:sz="4" w:space="0"/>
              <w:right w:val="single" w:color="auto" w:sz="4" w:space="0"/>
            </w:tcBorders>
            <w:vAlign w:val="center"/>
          </w:tcPr>
          <w:p w14:paraId="00424B97">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723949FC">
            <w:pPr>
              <w:autoSpaceDE w:val="0"/>
              <w:autoSpaceDN w:val="0"/>
              <w:adjustRightInd w:val="0"/>
              <w:rPr>
                <w:rFonts w:ascii="宋体" w:hAnsi="宋体" w:cs="宋体"/>
                <w:color w:val="auto"/>
                <w:szCs w:val="21"/>
                <w:highlight w:val="none"/>
              </w:rPr>
            </w:pPr>
            <w:r>
              <w:rPr>
                <w:rFonts w:hint="eastAsia" w:ascii="宋体" w:hAnsi="宋体" w:cs="宋体"/>
                <w:color w:val="auto"/>
                <w:szCs w:val="21"/>
                <w:highlight w:val="none"/>
              </w:rPr>
              <w:t>本招标文件解释权属于采购人和采购组织机构</w:t>
            </w:r>
          </w:p>
        </w:tc>
      </w:tr>
      <w:tr w14:paraId="50203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40245940">
            <w:pPr>
              <w:jc w:val="center"/>
              <w:rPr>
                <w:rFonts w:ascii="宋体" w:hAnsi="宋体" w:cs="宋体"/>
                <w:color w:val="auto"/>
                <w:szCs w:val="21"/>
                <w:highlight w:val="none"/>
              </w:rPr>
            </w:pPr>
            <w:r>
              <w:rPr>
                <w:rFonts w:hint="eastAsia" w:ascii="宋体" w:hAnsi="宋体" w:cs="宋体"/>
                <w:color w:val="auto"/>
                <w:szCs w:val="21"/>
                <w:highlight w:val="none"/>
              </w:rPr>
              <w:t>17</w:t>
            </w:r>
          </w:p>
        </w:tc>
        <w:tc>
          <w:tcPr>
            <w:tcW w:w="1760" w:type="dxa"/>
            <w:tcBorders>
              <w:top w:val="single" w:color="auto" w:sz="4" w:space="0"/>
              <w:left w:val="single" w:color="auto" w:sz="4" w:space="0"/>
              <w:bottom w:val="single" w:color="auto" w:sz="4" w:space="0"/>
              <w:right w:val="single" w:color="auto" w:sz="4" w:space="0"/>
            </w:tcBorders>
            <w:vAlign w:val="center"/>
          </w:tcPr>
          <w:p w14:paraId="0A74A165">
            <w:pPr>
              <w:autoSpaceDE w:val="0"/>
              <w:autoSpaceDN w:val="0"/>
              <w:adjustRightInd w:val="0"/>
              <w:rPr>
                <w:rFonts w:ascii="宋体" w:hAnsi="宋体" w:cs="宋体"/>
                <w:color w:val="auto"/>
                <w:szCs w:val="21"/>
                <w:highlight w:val="none"/>
              </w:rPr>
            </w:pPr>
            <w:r>
              <w:rPr>
                <w:rFonts w:ascii="宋体" w:hAnsi="宋体" w:cs="宋体"/>
                <w:color w:val="auto"/>
                <w:szCs w:val="21"/>
                <w:highlight w:val="none"/>
              </w:rPr>
              <w:t>其他</w:t>
            </w:r>
          </w:p>
        </w:tc>
        <w:tc>
          <w:tcPr>
            <w:tcW w:w="6501" w:type="dxa"/>
            <w:tcBorders>
              <w:top w:val="single" w:color="auto" w:sz="4" w:space="0"/>
              <w:left w:val="single" w:color="auto" w:sz="4" w:space="0"/>
              <w:bottom w:val="single" w:color="auto" w:sz="4" w:space="0"/>
              <w:right w:val="single" w:color="auto" w:sz="4" w:space="0"/>
            </w:tcBorders>
            <w:vAlign w:val="center"/>
          </w:tcPr>
          <w:p w14:paraId="28191E62">
            <w:pPr>
              <w:autoSpaceDE w:val="0"/>
              <w:autoSpaceDN w:val="0"/>
              <w:adjustRightInd w:val="0"/>
              <w:rPr>
                <w:rFonts w:ascii="宋体" w:hAnsi="宋体" w:cs="宋体"/>
                <w:color w:val="auto"/>
                <w:szCs w:val="21"/>
                <w:highlight w:val="none"/>
              </w:rPr>
            </w:pPr>
            <w:r>
              <w:rPr>
                <w:rFonts w:hint="eastAsia"/>
                <w:color w:val="auto"/>
                <w:szCs w:val="21"/>
                <w:highlight w:val="none"/>
              </w:rPr>
              <w:t>供应商中标后需提供纸质投标文件给招标代理机构作为备案存档，纸质投标文件系电子投标文件纸质版，两者内容应一致；数量为：资格证明文件</w:t>
            </w:r>
            <w:r>
              <w:rPr>
                <w:color w:val="auto"/>
                <w:szCs w:val="21"/>
                <w:highlight w:val="none"/>
              </w:rPr>
              <w:t>3</w:t>
            </w:r>
            <w:r>
              <w:rPr>
                <w:rFonts w:hint="eastAsia"/>
                <w:color w:val="auto"/>
                <w:szCs w:val="21"/>
                <w:highlight w:val="none"/>
              </w:rPr>
              <w:t>份；商务与技术文件</w:t>
            </w:r>
            <w:r>
              <w:rPr>
                <w:color w:val="auto"/>
                <w:szCs w:val="21"/>
                <w:highlight w:val="none"/>
              </w:rPr>
              <w:t>3</w:t>
            </w:r>
            <w:r>
              <w:rPr>
                <w:rFonts w:hint="eastAsia"/>
                <w:color w:val="auto"/>
                <w:szCs w:val="21"/>
                <w:highlight w:val="none"/>
              </w:rPr>
              <w:t>份；报价文件</w:t>
            </w:r>
            <w:r>
              <w:rPr>
                <w:color w:val="auto"/>
                <w:szCs w:val="21"/>
                <w:highlight w:val="none"/>
              </w:rPr>
              <w:t>3</w:t>
            </w:r>
            <w:r>
              <w:rPr>
                <w:rFonts w:hint="eastAsia"/>
                <w:color w:val="auto"/>
                <w:szCs w:val="21"/>
                <w:highlight w:val="none"/>
              </w:rPr>
              <w:t>份。邮寄地址代理机构另行通知。</w:t>
            </w:r>
          </w:p>
        </w:tc>
      </w:tr>
      <w:tr w14:paraId="7B8D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6A9CF3A1">
            <w:pPr>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18</w:t>
            </w:r>
          </w:p>
        </w:tc>
        <w:tc>
          <w:tcPr>
            <w:tcW w:w="1760" w:type="dxa"/>
            <w:tcBorders>
              <w:top w:val="single" w:color="auto" w:sz="4" w:space="0"/>
              <w:left w:val="single" w:color="auto" w:sz="4" w:space="0"/>
              <w:bottom w:val="single" w:color="auto" w:sz="4" w:space="0"/>
              <w:right w:val="single" w:color="auto" w:sz="4" w:space="0"/>
            </w:tcBorders>
            <w:vAlign w:val="center"/>
          </w:tcPr>
          <w:p w14:paraId="6CC7E89D">
            <w:pPr>
              <w:pStyle w:val="21"/>
              <w:spacing w:line="240" w:lineRule="auto"/>
              <w:ind w:firstLine="0" w:firstLineChars="0"/>
              <w:rPr>
                <w:rFonts w:ascii="宋体" w:hAnsi="宋体" w:cs="Arial"/>
                <w:color w:val="auto"/>
                <w:sz w:val="21"/>
                <w:szCs w:val="21"/>
                <w:highlight w:val="none"/>
              </w:rPr>
            </w:pPr>
            <w:r>
              <w:rPr>
                <w:rFonts w:hint="eastAsia" w:ascii="宋体" w:hAnsi="宋体" w:cs="Arial"/>
                <w:color w:val="auto"/>
                <w:sz w:val="21"/>
                <w:szCs w:val="21"/>
                <w:highlight w:val="none"/>
              </w:rPr>
              <w:t>中标（成交）供应商如有融资需求，可使用以下银行的政采贷服务。</w:t>
            </w:r>
          </w:p>
          <w:p w14:paraId="7BAC97BC">
            <w:pPr>
              <w:adjustRightInd w:val="0"/>
              <w:snapToGrid w:val="0"/>
              <w:jc w:val="center"/>
              <w:rPr>
                <w:rFonts w:ascii="宋体" w:hAnsi="宋体" w:cs="宋体"/>
                <w:b/>
                <w:bCs/>
                <w:color w:val="auto"/>
                <w:szCs w:val="21"/>
                <w:highlight w:val="none"/>
              </w:rPr>
            </w:pP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1222"/>
              <w:gridCol w:w="1244"/>
              <w:gridCol w:w="1567"/>
            </w:tblGrid>
            <w:tr w14:paraId="46F3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D820FAF">
                  <w:pPr>
                    <w:snapToGrid w:val="0"/>
                    <w:jc w:val="center"/>
                    <w:rPr>
                      <w:rFonts w:ascii="宋体" w:hAnsi="宋体" w:cs="宋体"/>
                      <w:color w:val="auto"/>
                      <w:szCs w:val="21"/>
                      <w:highlight w:val="none"/>
                    </w:rPr>
                  </w:pPr>
                  <w:r>
                    <w:rPr>
                      <w:rFonts w:hint="eastAsia" w:ascii="宋体" w:hAnsi="宋体" w:cs="宋体"/>
                      <w:color w:val="auto"/>
                      <w:szCs w:val="21"/>
                      <w:highlight w:val="none"/>
                    </w:rPr>
                    <w:t>银行</w:t>
                  </w:r>
                </w:p>
              </w:tc>
              <w:tc>
                <w:tcPr>
                  <w:tcW w:w="1222" w:type="dxa"/>
                  <w:vAlign w:val="center"/>
                </w:tcPr>
                <w:p w14:paraId="10C5F9AE">
                  <w:pPr>
                    <w:snapToGrid w:val="0"/>
                    <w:jc w:val="center"/>
                    <w:rPr>
                      <w:rFonts w:ascii="宋体" w:hAnsi="宋体" w:cs="宋体"/>
                      <w:color w:val="auto"/>
                      <w:szCs w:val="21"/>
                      <w:highlight w:val="none"/>
                    </w:rPr>
                  </w:pPr>
                  <w:r>
                    <w:rPr>
                      <w:rFonts w:hint="eastAsia" w:ascii="宋体" w:hAnsi="宋体" w:cs="宋体"/>
                      <w:color w:val="auto"/>
                      <w:szCs w:val="21"/>
                      <w:highlight w:val="none"/>
                    </w:rPr>
                    <w:t>贷款年利率</w:t>
                  </w:r>
                </w:p>
              </w:tc>
              <w:tc>
                <w:tcPr>
                  <w:tcW w:w="1244" w:type="dxa"/>
                  <w:vAlign w:val="center"/>
                </w:tcPr>
                <w:p w14:paraId="0E868DF2">
                  <w:pPr>
                    <w:snapToGrid w:val="0"/>
                    <w:jc w:val="center"/>
                    <w:rPr>
                      <w:rFonts w:ascii="宋体" w:hAnsi="宋体" w:cs="宋体"/>
                      <w:color w:val="auto"/>
                      <w:szCs w:val="21"/>
                      <w:highlight w:val="none"/>
                    </w:rPr>
                  </w:pPr>
                  <w:r>
                    <w:rPr>
                      <w:rFonts w:hint="eastAsia" w:ascii="宋体" w:hAnsi="宋体" w:cs="宋体"/>
                      <w:color w:val="auto"/>
                      <w:szCs w:val="21"/>
                      <w:highlight w:val="none"/>
                    </w:rPr>
                    <w:t>联系人</w:t>
                  </w:r>
                </w:p>
              </w:tc>
              <w:tc>
                <w:tcPr>
                  <w:tcW w:w="1567" w:type="dxa"/>
                  <w:vAlign w:val="center"/>
                </w:tcPr>
                <w:p w14:paraId="07AD8A8F">
                  <w:pPr>
                    <w:snapToGrid w:val="0"/>
                    <w:jc w:val="center"/>
                    <w:rPr>
                      <w:rFonts w:ascii="宋体" w:hAnsi="宋体" w:cs="宋体"/>
                      <w:color w:val="auto"/>
                      <w:szCs w:val="21"/>
                      <w:highlight w:val="none"/>
                    </w:rPr>
                  </w:pPr>
                  <w:r>
                    <w:rPr>
                      <w:rFonts w:hint="eastAsia" w:ascii="宋体" w:hAnsi="宋体" w:cs="宋体"/>
                      <w:color w:val="auto"/>
                      <w:szCs w:val="21"/>
                      <w:highlight w:val="none"/>
                    </w:rPr>
                    <w:t>联系电话</w:t>
                  </w:r>
                </w:p>
              </w:tc>
            </w:tr>
            <w:tr w14:paraId="32DB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2FAE134">
                  <w:pPr>
                    <w:snapToGrid w:val="0"/>
                    <w:jc w:val="center"/>
                    <w:rPr>
                      <w:rFonts w:ascii="宋体" w:hAnsi="宋体" w:cs="宋体"/>
                      <w:color w:val="auto"/>
                      <w:szCs w:val="21"/>
                      <w:highlight w:val="none"/>
                    </w:rPr>
                  </w:pPr>
                  <w:r>
                    <w:rPr>
                      <w:rFonts w:hint="eastAsia" w:ascii="宋体" w:hAnsi="宋体" w:cs="宋体"/>
                      <w:color w:val="auto"/>
                      <w:szCs w:val="21"/>
                      <w:highlight w:val="none"/>
                    </w:rPr>
                    <w:t>中国工商银行</w:t>
                  </w:r>
                </w:p>
              </w:tc>
              <w:tc>
                <w:tcPr>
                  <w:tcW w:w="1222" w:type="dxa"/>
                  <w:vAlign w:val="center"/>
                </w:tcPr>
                <w:p w14:paraId="36A1DB0E">
                  <w:pPr>
                    <w:snapToGrid w:val="0"/>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244" w:type="dxa"/>
                  <w:vAlign w:val="center"/>
                </w:tcPr>
                <w:p w14:paraId="21167F8F">
                  <w:pPr>
                    <w:snapToGrid w:val="0"/>
                    <w:jc w:val="center"/>
                    <w:rPr>
                      <w:rFonts w:ascii="宋体" w:hAnsi="宋体" w:cs="宋体"/>
                      <w:color w:val="auto"/>
                      <w:szCs w:val="21"/>
                      <w:highlight w:val="none"/>
                    </w:rPr>
                  </w:pPr>
                  <w:r>
                    <w:rPr>
                      <w:rFonts w:hint="eastAsia" w:ascii="宋体" w:hAnsi="宋体" w:cs="宋体"/>
                      <w:color w:val="auto"/>
                      <w:szCs w:val="21"/>
                      <w:highlight w:val="none"/>
                    </w:rPr>
                    <w:t>王霖</w:t>
                  </w:r>
                </w:p>
              </w:tc>
              <w:tc>
                <w:tcPr>
                  <w:tcW w:w="1567" w:type="dxa"/>
                  <w:vAlign w:val="center"/>
                </w:tcPr>
                <w:p w14:paraId="51989AA1">
                  <w:pPr>
                    <w:snapToGrid w:val="0"/>
                    <w:jc w:val="center"/>
                    <w:rPr>
                      <w:rFonts w:ascii="宋体" w:hAnsi="宋体" w:cs="宋体"/>
                      <w:color w:val="auto"/>
                      <w:szCs w:val="21"/>
                      <w:highlight w:val="none"/>
                    </w:rPr>
                  </w:pPr>
                  <w:r>
                    <w:rPr>
                      <w:rFonts w:hint="eastAsia" w:ascii="宋体" w:hAnsi="宋体" w:cs="宋体"/>
                      <w:color w:val="auto"/>
                      <w:szCs w:val="21"/>
                      <w:highlight w:val="none"/>
                    </w:rPr>
                    <w:t>88588246  13857654562</w:t>
                  </w:r>
                </w:p>
              </w:tc>
            </w:tr>
            <w:tr w14:paraId="7DC5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128F196">
                  <w:pPr>
                    <w:snapToGrid w:val="0"/>
                    <w:jc w:val="center"/>
                    <w:rPr>
                      <w:rFonts w:ascii="宋体" w:hAnsi="宋体" w:cs="宋体"/>
                      <w:color w:val="auto"/>
                      <w:szCs w:val="21"/>
                      <w:highlight w:val="none"/>
                    </w:rPr>
                  </w:pPr>
                  <w:r>
                    <w:rPr>
                      <w:rFonts w:hint="eastAsia" w:ascii="宋体" w:hAnsi="宋体" w:cs="宋体"/>
                      <w:color w:val="auto"/>
                      <w:szCs w:val="21"/>
                      <w:highlight w:val="none"/>
                    </w:rPr>
                    <w:t>中国农业银行</w:t>
                  </w:r>
                </w:p>
              </w:tc>
              <w:tc>
                <w:tcPr>
                  <w:tcW w:w="1222" w:type="dxa"/>
                  <w:vAlign w:val="center"/>
                </w:tcPr>
                <w:p w14:paraId="178D7144">
                  <w:pPr>
                    <w:snapToGrid w:val="0"/>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244" w:type="dxa"/>
                  <w:vAlign w:val="center"/>
                </w:tcPr>
                <w:p w14:paraId="105542E5">
                  <w:pPr>
                    <w:snapToGrid w:val="0"/>
                    <w:jc w:val="center"/>
                    <w:rPr>
                      <w:rFonts w:ascii="宋体" w:hAnsi="宋体" w:cs="宋体"/>
                      <w:color w:val="auto"/>
                      <w:szCs w:val="21"/>
                      <w:highlight w:val="none"/>
                    </w:rPr>
                  </w:pPr>
                  <w:r>
                    <w:rPr>
                      <w:rFonts w:hint="eastAsia" w:ascii="宋体" w:hAnsi="宋体" w:cs="宋体"/>
                      <w:color w:val="auto"/>
                      <w:szCs w:val="21"/>
                      <w:highlight w:val="none"/>
                    </w:rPr>
                    <w:t>龚盛</w:t>
                  </w:r>
                </w:p>
              </w:tc>
              <w:tc>
                <w:tcPr>
                  <w:tcW w:w="1567" w:type="dxa"/>
                  <w:vAlign w:val="center"/>
                </w:tcPr>
                <w:p w14:paraId="637E2E99">
                  <w:pPr>
                    <w:snapToGrid w:val="0"/>
                    <w:jc w:val="center"/>
                    <w:rPr>
                      <w:rFonts w:ascii="宋体" w:hAnsi="宋体" w:cs="宋体"/>
                      <w:color w:val="auto"/>
                      <w:szCs w:val="21"/>
                      <w:highlight w:val="none"/>
                    </w:rPr>
                  </w:pPr>
                  <w:r>
                    <w:rPr>
                      <w:rFonts w:hint="eastAsia" w:ascii="宋体" w:hAnsi="宋体" w:cs="宋体"/>
                      <w:color w:val="auto"/>
                      <w:szCs w:val="21"/>
                      <w:highlight w:val="none"/>
                    </w:rPr>
                    <w:t>15858682216</w:t>
                  </w:r>
                </w:p>
              </w:tc>
            </w:tr>
            <w:tr w14:paraId="517D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B51DA7D">
                  <w:pPr>
                    <w:snapToGrid w:val="0"/>
                    <w:jc w:val="center"/>
                    <w:rPr>
                      <w:rFonts w:ascii="宋体" w:hAnsi="宋体" w:cs="宋体"/>
                      <w:color w:val="auto"/>
                      <w:szCs w:val="21"/>
                      <w:highlight w:val="none"/>
                    </w:rPr>
                  </w:pPr>
                  <w:r>
                    <w:rPr>
                      <w:rFonts w:hint="eastAsia" w:ascii="宋体" w:hAnsi="宋体" w:cs="宋体"/>
                      <w:color w:val="auto"/>
                      <w:szCs w:val="21"/>
                      <w:highlight w:val="none"/>
                    </w:rPr>
                    <w:t>中国建设银行</w:t>
                  </w:r>
                </w:p>
              </w:tc>
              <w:tc>
                <w:tcPr>
                  <w:tcW w:w="1222" w:type="dxa"/>
                  <w:vAlign w:val="center"/>
                </w:tcPr>
                <w:p w14:paraId="0D933E4F">
                  <w:pPr>
                    <w:snapToGrid w:val="0"/>
                    <w:jc w:val="center"/>
                    <w:rPr>
                      <w:rFonts w:ascii="宋体" w:hAnsi="宋体" w:cs="宋体"/>
                      <w:color w:val="auto"/>
                      <w:szCs w:val="21"/>
                      <w:highlight w:val="none"/>
                    </w:rPr>
                  </w:pPr>
                  <w:r>
                    <w:rPr>
                      <w:rFonts w:hint="eastAsia" w:ascii="宋体" w:hAnsi="宋体" w:cs="宋体"/>
                      <w:color w:val="auto"/>
                      <w:szCs w:val="21"/>
                      <w:highlight w:val="none"/>
                    </w:rPr>
                    <w:t>3.8%起</w:t>
                  </w:r>
                </w:p>
              </w:tc>
              <w:tc>
                <w:tcPr>
                  <w:tcW w:w="1244" w:type="dxa"/>
                  <w:vAlign w:val="center"/>
                </w:tcPr>
                <w:p w14:paraId="0F250D42">
                  <w:pPr>
                    <w:snapToGrid w:val="0"/>
                    <w:jc w:val="center"/>
                    <w:rPr>
                      <w:rFonts w:ascii="宋体" w:hAnsi="宋体" w:cs="宋体"/>
                      <w:color w:val="auto"/>
                      <w:szCs w:val="21"/>
                      <w:highlight w:val="none"/>
                    </w:rPr>
                  </w:pPr>
                  <w:r>
                    <w:rPr>
                      <w:rFonts w:hint="eastAsia" w:ascii="宋体" w:hAnsi="宋体" w:cs="宋体"/>
                      <w:color w:val="auto"/>
                      <w:szCs w:val="21"/>
                      <w:highlight w:val="none"/>
                    </w:rPr>
                    <w:t>梅晶晶</w:t>
                  </w:r>
                </w:p>
              </w:tc>
              <w:tc>
                <w:tcPr>
                  <w:tcW w:w="1567" w:type="dxa"/>
                  <w:vAlign w:val="center"/>
                </w:tcPr>
                <w:p w14:paraId="780A2DF0">
                  <w:pPr>
                    <w:snapToGrid w:val="0"/>
                    <w:jc w:val="center"/>
                    <w:rPr>
                      <w:rFonts w:ascii="宋体" w:hAnsi="宋体" w:cs="宋体"/>
                      <w:color w:val="auto"/>
                      <w:szCs w:val="21"/>
                      <w:highlight w:val="none"/>
                    </w:rPr>
                  </w:pPr>
                  <w:r>
                    <w:rPr>
                      <w:rFonts w:hint="eastAsia" w:ascii="宋体" w:hAnsi="宋体" w:cs="宋体"/>
                      <w:color w:val="auto"/>
                      <w:szCs w:val="21"/>
                      <w:highlight w:val="none"/>
                    </w:rPr>
                    <w:t>88525339</w:t>
                  </w:r>
                </w:p>
                <w:p w14:paraId="2AD4D872">
                  <w:pPr>
                    <w:snapToGrid w:val="0"/>
                    <w:jc w:val="center"/>
                    <w:rPr>
                      <w:rFonts w:ascii="宋体" w:hAnsi="宋体" w:cs="宋体"/>
                      <w:color w:val="auto"/>
                      <w:szCs w:val="21"/>
                      <w:highlight w:val="none"/>
                    </w:rPr>
                  </w:pPr>
                  <w:r>
                    <w:rPr>
                      <w:rFonts w:hint="eastAsia" w:ascii="宋体" w:hAnsi="宋体" w:cs="宋体"/>
                      <w:color w:val="auto"/>
                      <w:szCs w:val="21"/>
                      <w:highlight w:val="none"/>
                    </w:rPr>
                    <w:t>13736585303</w:t>
                  </w:r>
                </w:p>
              </w:tc>
            </w:tr>
            <w:tr w14:paraId="51452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1B76E890">
                  <w:pPr>
                    <w:snapToGrid w:val="0"/>
                    <w:jc w:val="center"/>
                    <w:rPr>
                      <w:rFonts w:ascii="宋体" w:hAnsi="宋体" w:cs="宋体"/>
                      <w:color w:val="auto"/>
                      <w:szCs w:val="21"/>
                      <w:highlight w:val="none"/>
                    </w:rPr>
                  </w:pPr>
                  <w:r>
                    <w:rPr>
                      <w:rFonts w:hint="eastAsia" w:ascii="宋体" w:hAnsi="宋体" w:cs="宋体"/>
                      <w:color w:val="auto"/>
                      <w:szCs w:val="21"/>
                      <w:highlight w:val="none"/>
                    </w:rPr>
                    <w:t>中国银行</w:t>
                  </w:r>
                </w:p>
              </w:tc>
              <w:tc>
                <w:tcPr>
                  <w:tcW w:w="1222" w:type="dxa"/>
                  <w:vAlign w:val="center"/>
                </w:tcPr>
                <w:p w14:paraId="05723AB3">
                  <w:pPr>
                    <w:snapToGrid w:val="0"/>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244" w:type="dxa"/>
                  <w:vAlign w:val="center"/>
                </w:tcPr>
                <w:p w14:paraId="0788B38F">
                  <w:pPr>
                    <w:snapToGrid w:val="0"/>
                    <w:jc w:val="center"/>
                    <w:rPr>
                      <w:rFonts w:ascii="宋体" w:hAnsi="宋体" w:cs="宋体"/>
                      <w:color w:val="auto"/>
                      <w:szCs w:val="21"/>
                      <w:highlight w:val="none"/>
                    </w:rPr>
                  </w:pPr>
                  <w:r>
                    <w:rPr>
                      <w:rFonts w:hint="eastAsia" w:ascii="宋体" w:hAnsi="宋体" w:cs="宋体"/>
                      <w:color w:val="auto"/>
                      <w:szCs w:val="21"/>
                      <w:highlight w:val="none"/>
                    </w:rPr>
                    <w:t>王海</w:t>
                  </w:r>
                </w:p>
              </w:tc>
              <w:tc>
                <w:tcPr>
                  <w:tcW w:w="1567" w:type="dxa"/>
                  <w:vAlign w:val="center"/>
                </w:tcPr>
                <w:p w14:paraId="34DE7546">
                  <w:pPr>
                    <w:snapToGrid w:val="0"/>
                    <w:jc w:val="center"/>
                    <w:rPr>
                      <w:rFonts w:ascii="宋体" w:hAnsi="宋体" w:cs="宋体"/>
                      <w:color w:val="auto"/>
                      <w:szCs w:val="21"/>
                      <w:highlight w:val="none"/>
                    </w:rPr>
                  </w:pPr>
                  <w:r>
                    <w:rPr>
                      <w:rFonts w:hint="eastAsia" w:asciiTheme="minorEastAsia" w:hAnsiTheme="minorEastAsia" w:eastAsiaTheme="minorEastAsia"/>
                      <w:bCs/>
                      <w:color w:val="auto"/>
                      <w:szCs w:val="21"/>
                      <w:highlight w:val="none"/>
                    </w:rPr>
                    <w:t>13857677798</w:t>
                  </w:r>
                </w:p>
              </w:tc>
            </w:tr>
            <w:tr w14:paraId="05900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742D7D1">
                  <w:pPr>
                    <w:snapToGrid w:val="0"/>
                    <w:jc w:val="center"/>
                    <w:rPr>
                      <w:rFonts w:ascii="宋体" w:hAnsi="宋体" w:cs="宋体"/>
                      <w:color w:val="auto"/>
                      <w:szCs w:val="21"/>
                      <w:highlight w:val="none"/>
                    </w:rPr>
                  </w:pPr>
                  <w:r>
                    <w:rPr>
                      <w:rFonts w:hint="eastAsia" w:ascii="宋体" w:hAnsi="宋体" w:cs="宋体"/>
                      <w:color w:val="auto"/>
                      <w:szCs w:val="21"/>
                      <w:highlight w:val="none"/>
                    </w:rPr>
                    <w:t>浦发银行台州分行</w:t>
                  </w:r>
                </w:p>
              </w:tc>
              <w:tc>
                <w:tcPr>
                  <w:tcW w:w="1222" w:type="dxa"/>
                  <w:vAlign w:val="center"/>
                </w:tcPr>
                <w:p w14:paraId="0A38A538">
                  <w:pPr>
                    <w:snapToGrid w:val="0"/>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244" w:type="dxa"/>
                  <w:vAlign w:val="center"/>
                </w:tcPr>
                <w:p w14:paraId="37593E71">
                  <w:pPr>
                    <w:snapToGrid w:val="0"/>
                    <w:jc w:val="center"/>
                    <w:rPr>
                      <w:rFonts w:ascii="宋体" w:hAnsi="宋体" w:cs="宋体"/>
                      <w:color w:val="auto"/>
                      <w:szCs w:val="21"/>
                      <w:highlight w:val="none"/>
                    </w:rPr>
                  </w:pPr>
                  <w:r>
                    <w:rPr>
                      <w:rFonts w:hint="eastAsia" w:ascii="宋体" w:hAnsi="宋体" w:cs="宋体"/>
                      <w:color w:val="auto"/>
                      <w:szCs w:val="21"/>
                      <w:highlight w:val="none"/>
                    </w:rPr>
                    <w:t>王渊</w:t>
                  </w:r>
                </w:p>
              </w:tc>
              <w:tc>
                <w:tcPr>
                  <w:tcW w:w="1567" w:type="dxa"/>
                  <w:vAlign w:val="center"/>
                </w:tcPr>
                <w:p w14:paraId="74D5BC0A">
                  <w:pPr>
                    <w:snapToGrid w:val="0"/>
                    <w:jc w:val="center"/>
                    <w:rPr>
                      <w:rFonts w:ascii="宋体" w:hAnsi="宋体" w:cs="宋体"/>
                      <w:color w:val="auto"/>
                      <w:szCs w:val="21"/>
                      <w:highlight w:val="none"/>
                    </w:rPr>
                  </w:pPr>
                  <w:r>
                    <w:rPr>
                      <w:rFonts w:hint="eastAsia" w:ascii="宋体" w:hAnsi="宋体" w:cs="宋体"/>
                      <w:color w:val="auto"/>
                      <w:szCs w:val="21"/>
                      <w:highlight w:val="none"/>
                    </w:rPr>
                    <w:t>13616676319</w:t>
                  </w:r>
                </w:p>
              </w:tc>
            </w:tr>
            <w:tr w14:paraId="4FE4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CD8A9DF">
                  <w:pPr>
                    <w:snapToGrid w:val="0"/>
                    <w:jc w:val="center"/>
                    <w:rPr>
                      <w:rFonts w:ascii="宋体" w:hAnsi="宋体" w:cs="宋体"/>
                      <w:color w:val="auto"/>
                      <w:szCs w:val="21"/>
                      <w:highlight w:val="none"/>
                    </w:rPr>
                  </w:pPr>
                  <w:r>
                    <w:rPr>
                      <w:rFonts w:hint="eastAsia" w:ascii="宋体" w:hAnsi="宋体" w:cs="宋体"/>
                      <w:color w:val="auto"/>
                      <w:szCs w:val="21"/>
                      <w:highlight w:val="none"/>
                    </w:rPr>
                    <w:t>浦发银行椒江分行</w:t>
                  </w:r>
                </w:p>
              </w:tc>
              <w:tc>
                <w:tcPr>
                  <w:tcW w:w="1222" w:type="dxa"/>
                  <w:vAlign w:val="center"/>
                </w:tcPr>
                <w:p w14:paraId="7DBFF795">
                  <w:pPr>
                    <w:snapToGrid w:val="0"/>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244" w:type="dxa"/>
                  <w:vAlign w:val="center"/>
                </w:tcPr>
                <w:p w14:paraId="42BF868E">
                  <w:pPr>
                    <w:snapToGrid w:val="0"/>
                    <w:jc w:val="center"/>
                    <w:rPr>
                      <w:rFonts w:ascii="宋体" w:hAnsi="宋体" w:cs="宋体"/>
                      <w:color w:val="auto"/>
                      <w:szCs w:val="21"/>
                      <w:highlight w:val="none"/>
                    </w:rPr>
                  </w:pPr>
                  <w:r>
                    <w:rPr>
                      <w:rFonts w:hint="eastAsia" w:ascii="宋体" w:hAnsi="宋体" w:cs="宋体"/>
                      <w:color w:val="auto"/>
                      <w:szCs w:val="21"/>
                      <w:highlight w:val="none"/>
                    </w:rPr>
                    <w:t>孙瑞华</w:t>
                  </w:r>
                </w:p>
              </w:tc>
              <w:tc>
                <w:tcPr>
                  <w:tcW w:w="1567" w:type="dxa"/>
                  <w:vAlign w:val="center"/>
                </w:tcPr>
                <w:p w14:paraId="7E703E08">
                  <w:pPr>
                    <w:snapToGrid w:val="0"/>
                    <w:jc w:val="center"/>
                    <w:rPr>
                      <w:rFonts w:ascii="宋体" w:hAnsi="宋体" w:cs="宋体"/>
                      <w:color w:val="auto"/>
                      <w:szCs w:val="21"/>
                      <w:highlight w:val="none"/>
                    </w:rPr>
                  </w:pPr>
                  <w:r>
                    <w:rPr>
                      <w:rFonts w:hint="eastAsia" w:ascii="宋体" w:hAnsi="宋体" w:cs="宋体"/>
                      <w:color w:val="auto"/>
                      <w:szCs w:val="21"/>
                      <w:highlight w:val="none"/>
                    </w:rPr>
                    <w:t>13857688081</w:t>
                  </w:r>
                </w:p>
              </w:tc>
            </w:tr>
            <w:tr w14:paraId="1F4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06EE442F">
                  <w:pPr>
                    <w:snapToGrid w:val="0"/>
                    <w:jc w:val="center"/>
                    <w:rPr>
                      <w:rFonts w:ascii="宋体" w:hAnsi="宋体" w:cs="宋体"/>
                      <w:color w:val="auto"/>
                      <w:szCs w:val="21"/>
                      <w:highlight w:val="none"/>
                    </w:rPr>
                  </w:pPr>
                  <w:r>
                    <w:rPr>
                      <w:rFonts w:hint="eastAsia" w:ascii="宋体" w:hAnsi="宋体" w:cs="宋体"/>
                      <w:color w:val="auto"/>
                      <w:szCs w:val="21"/>
                      <w:highlight w:val="none"/>
                    </w:rPr>
                    <w:t>交通银行台州分行</w:t>
                  </w:r>
                </w:p>
              </w:tc>
              <w:tc>
                <w:tcPr>
                  <w:tcW w:w="1222" w:type="dxa"/>
                  <w:vAlign w:val="center"/>
                </w:tcPr>
                <w:p w14:paraId="14756D2B">
                  <w:pPr>
                    <w:snapToGrid w:val="0"/>
                    <w:jc w:val="center"/>
                    <w:rPr>
                      <w:rFonts w:ascii="宋体" w:hAnsi="宋体" w:cs="宋体"/>
                      <w:color w:val="auto"/>
                      <w:szCs w:val="21"/>
                      <w:highlight w:val="none"/>
                    </w:rPr>
                  </w:pPr>
                  <w:r>
                    <w:rPr>
                      <w:rFonts w:hint="eastAsia" w:ascii="宋体" w:hAnsi="宋体" w:cs="宋体"/>
                      <w:color w:val="auto"/>
                      <w:szCs w:val="21"/>
                      <w:highlight w:val="none"/>
                    </w:rPr>
                    <w:t>3.75%起</w:t>
                  </w:r>
                </w:p>
              </w:tc>
              <w:tc>
                <w:tcPr>
                  <w:tcW w:w="1244" w:type="dxa"/>
                  <w:vAlign w:val="center"/>
                </w:tcPr>
                <w:p w14:paraId="0DE21337">
                  <w:pPr>
                    <w:snapToGrid w:val="0"/>
                    <w:jc w:val="center"/>
                    <w:rPr>
                      <w:rFonts w:ascii="宋体" w:hAnsi="宋体" w:cs="宋体"/>
                      <w:color w:val="auto"/>
                      <w:szCs w:val="21"/>
                      <w:highlight w:val="none"/>
                    </w:rPr>
                  </w:pPr>
                  <w:r>
                    <w:rPr>
                      <w:rFonts w:hint="eastAsia" w:ascii="宋体" w:hAnsi="宋体" w:cs="宋体"/>
                      <w:color w:val="auto"/>
                      <w:szCs w:val="21"/>
                      <w:highlight w:val="none"/>
                    </w:rPr>
                    <w:t>周翔宇</w:t>
                  </w:r>
                </w:p>
              </w:tc>
              <w:tc>
                <w:tcPr>
                  <w:tcW w:w="1567" w:type="dxa"/>
                  <w:vAlign w:val="center"/>
                </w:tcPr>
                <w:p w14:paraId="74EA4DAA">
                  <w:pPr>
                    <w:snapToGrid w:val="0"/>
                    <w:jc w:val="center"/>
                    <w:rPr>
                      <w:rFonts w:ascii="宋体" w:hAnsi="宋体" w:cs="宋体"/>
                      <w:color w:val="auto"/>
                      <w:szCs w:val="21"/>
                      <w:highlight w:val="none"/>
                    </w:rPr>
                  </w:pPr>
                  <w:r>
                    <w:rPr>
                      <w:rFonts w:hint="eastAsia" w:ascii="宋体" w:hAnsi="宋体" w:cs="宋体"/>
                      <w:color w:val="auto"/>
                      <w:szCs w:val="21"/>
                      <w:highlight w:val="none"/>
                    </w:rPr>
                    <w:t>13867697018</w:t>
                  </w:r>
                </w:p>
              </w:tc>
            </w:tr>
            <w:tr w14:paraId="6685B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E888784">
                  <w:pPr>
                    <w:snapToGrid w:val="0"/>
                    <w:jc w:val="center"/>
                    <w:rPr>
                      <w:rFonts w:ascii="宋体" w:hAnsi="宋体" w:cs="宋体"/>
                      <w:color w:val="auto"/>
                      <w:szCs w:val="21"/>
                      <w:highlight w:val="none"/>
                    </w:rPr>
                  </w:pPr>
                  <w:r>
                    <w:rPr>
                      <w:rFonts w:hint="eastAsia" w:ascii="宋体" w:hAnsi="宋体" w:cs="宋体"/>
                      <w:color w:val="auto"/>
                      <w:szCs w:val="21"/>
                      <w:highlight w:val="none"/>
                    </w:rPr>
                    <w:t>招商银行台州分行</w:t>
                  </w:r>
                </w:p>
              </w:tc>
              <w:tc>
                <w:tcPr>
                  <w:tcW w:w="1222" w:type="dxa"/>
                  <w:vAlign w:val="center"/>
                </w:tcPr>
                <w:p w14:paraId="7C9A0FE2">
                  <w:pPr>
                    <w:snapToGrid w:val="0"/>
                    <w:jc w:val="center"/>
                    <w:rPr>
                      <w:rFonts w:ascii="宋体" w:hAnsi="宋体" w:cs="宋体"/>
                      <w:color w:val="auto"/>
                      <w:szCs w:val="21"/>
                      <w:highlight w:val="none"/>
                    </w:rPr>
                  </w:pPr>
                  <w:r>
                    <w:rPr>
                      <w:rFonts w:hint="eastAsia" w:ascii="宋体" w:hAnsi="宋体" w:cs="宋体"/>
                      <w:color w:val="auto"/>
                      <w:szCs w:val="21"/>
                      <w:highlight w:val="none"/>
                    </w:rPr>
                    <w:t>4.32%起</w:t>
                  </w:r>
                </w:p>
              </w:tc>
              <w:tc>
                <w:tcPr>
                  <w:tcW w:w="1244" w:type="dxa"/>
                  <w:vAlign w:val="center"/>
                </w:tcPr>
                <w:p w14:paraId="6492BE7B">
                  <w:pPr>
                    <w:snapToGrid w:val="0"/>
                    <w:jc w:val="center"/>
                    <w:rPr>
                      <w:rFonts w:ascii="宋体" w:hAnsi="宋体" w:cs="宋体"/>
                      <w:color w:val="auto"/>
                      <w:szCs w:val="21"/>
                      <w:highlight w:val="none"/>
                    </w:rPr>
                  </w:pPr>
                  <w:r>
                    <w:rPr>
                      <w:rFonts w:hint="eastAsia" w:ascii="宋体" w:hAnsi="宋体" w:cs="宋体"/>
                      <w:color w:val="auto"/>
                      <w:szCs w:val="21"/>
                      <w:highlight w:val="none"/>
                    </w:rPr>
                    <w:t>王海玲</w:t>
                  </w:r>
                </w:p>
              </w:tc>
              <w:tc>
                <w:tcPr>
                  <w:tcW w:w="1567" w:type="dxa"/>
                  <w:vAlign w:val="center"/>
                </w:tcPr>
                <w:p w14:paraId="371A327F">
                  <w:pPr>
                    <w:snapToGrid w:val="0"/>
                    <w:jc w:val="center"/>
                    <w:rPr>
                      <w:rFonts w:ascii="宋体" w:hAnsi="宋体" w:cs="宋体"/>
                      <w:color w:val="auto"/>
                      <w:szCs w:val="21"/>
                      <w:highlight w:val="none"/>
                    </w:rPr>
                  </w:pPr>
                  <w:r>
                    <w:rPr>
                      <w:rFonts w:hint="eastAsia" w:ascii="宋体" w:hAnsi="宋体" w:cs="宋体"/>
                      <w:color w:val="auto"/>
                      <w:szCs w:val="21"/>
                      <w:highlight w:val="none"/>
                    </w:rPr>
                    <w:t>13566413827</w:t>
                  </w:r>
                </w:p>
              </w:tc>
            </w:tr>
            <w:tr w14:paraId="00EB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2C4E46D8">
                  <w:pPr>
                    <w:snapToGrid w:val="0"/>
                    <w:jc w:val="center"/>
                    <w:rPr>
                      <w:rFonts w:ascii="宋体" w:hAnsi="宋体" w:cs="宋体"/>
                      <w:color w:val="auto"/>
                      <w:szCs w:val="21"/>
                      <w:highlight w:val="none"/>
                    </w:rPr>
                  </w:pPr>
                  <w:r>
                    <w:rPr>
                      <w:rFonts w:hint="eastAsia" w:ascii="宋体" w:hAnsi="宋体" w:cs="宋体"/>
                      <w:color w:val="auto"/>
                      <w:szCs w:val="21"/>
                      <w:highlight w:val="none"/>
                    </w:rPr>
                    <w:t>浙商银行台州分行</w:t>
                  </w:r>
                </w:p>
              </w:tc>
              <w:tc>
                <w:tcPr>
                  <w:tcW w:w="1222" w:type="dxa"/>
                  <w:vAlign w:val="center"/>
                </w:tcPr>
                <w:p w14:paraId="09A982FE">
                  <w:pPr>
                    <w:snapToGrid w:val="0"/>
                    <w:jc w:val="center"/>
                    <w:rPr>
                      <w:rFonts w:ascii="宋体" w:hAnsi="宋体" w:cs="宋体"/>
                      <w:color w:val="auto"/>
                      <w:szCs w:val="21"/>
                      <w:highlight w:val="none"/>
                    </w:rPr>
                  </w:pPr>
                  <w:r>
                    <w:rPr>
                      <w:rFonts w:hint="eastAsia" w:ascii="宋体" w:hAnsi="宋体" w:cs="宋体"/>
                      <w:color w:val="auto"/>
                      <w:szCs w:val="21"/>
                      <w:highlight w:val="none"/>
                    </w:rPr>
                    <w:t>5.01%起</w:t>
                  </w:r>
                </w:p>
              </w:tc>
              <w:tc>
                <w:tcPr>
                  <w:tcW w:w="1244" w:type="dxa"/>
                  <w:vAlign w:val="center"/>
                </w:tcPr>
                <w:p w14:paraId="37B324C6">
                  <w:pPr>
                    <w:snapToGrid w:val="0"/>
                    <w:jc w:val="center"/>
                    <w:rPr>
                      <w:rFonts w:ascii="宋体" w:hAnsi="宋体" w:cs="宋体"/>
                      <w:color w:val="auto"/>
                      <w:szCs w:val="21"/>
                      <w:highlight w:val="none"/>
                    </w:rPr>
                  </w:pPr>
                  <w:r>
                    <w:rPr>
                      <w:rFonts w:hint="eastAsia" w:ascii="宋体" w:hAnsi="宋体" w:cs="宋体"/>
                      <w:color w:val="auto"/>
                      <w:szCs w:val="21"/>
                      <w:highlight w:val="none"/>
                    </w:rPr>
                    <w:t>章涉漪</w:t>
                  </w:r>
                </w:p>
              </w:tc>
              <w:tc>
                <w:tcPr>
                  <w:tcW w:w="1567" w:type="dxa"/>
                  <w:vAlign w:val="center"/>
                </w:tcPr>
                <w:p w14:paraId="7052AB16">
                  <w:pPr>
                    <w:snapToGrid w:val="0"/>
                    <w:jc w:val="center"/>
                    <w:rPr>
                      <w:rFonts w:ascii="宋体" w:hAnsi="宋体" w:cs="宋体"/>
                      <w:color w:val="auto"/>
                      <w:szCs w:val="21"/>
                      <w:highlight w:val="none"/>
                    </w:rPr>
                  </w:pPr>
                  <w:r>
                    <w:rPr>
                      <w:rFonts w:hint="eastAsia" w:ascii="宋体" w:hAnsi="宋体" w:cs="宋体"/>
                      <w:color w:val="auto"/>
                      <w:szCs w:val="21"/>
                      <w:highlight w:val="none"/>
                    </w:rPr>
                    <w:t>81880185</w:t>
                  </w:r>
                </w:p>
                <w:p w14:paraId="6989FBFD">
                  <w:pPr>
                    <w:snapToGrid w:val="0"/>
                    <w:jc w:val="center"/>
                    <w:rPr>
                      <w:rFonts w:ascii="宋体" w:hAnsi="宋体" w:cs="宋体"/>
                      <w:color w:val="auto"/>
                      <w:szCs w:val="21"/>
                      <w:highlight w:val="none"/>
                    </w:rPr>
                  </w:pPr>
                  <w:r>
                    <w:rPr>
                      <w:rFonts w:hint="eastAsia" w:ascii="宋体" w:hAnsi="宋体" w:cs="宋体"/>
                      <w:color w:val="auto"/>
                      <w:szCs w:val="21"/>
                      <w:highlight w:val="none"/>
                    </w:rPr>
                    <w:t>13606681262</w:t>
                  </w:r>
                </w:p>
              </w:tc>
            </w:tr>
            <w:tr w14:paraId="6F76F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3BE1364">
                  <w:pPr>
                    <w:snapToGrid w:val="0"/>
                    <w:jc w:val="center"/>
                    <w:rPr>
                      <w:rFonts w:ascii="宋体" w:hAnsi="宋体" w:cs="宋体"/>
                      <w:color w:val="auto"/>
                      <w:szCs w:val="21"/>
                      <w:highlight w:val="none"/>
                    </w:rPr>
                  </w:pPr>
                  <w:r>
                    <w:rPr>
                      <w:rFonts w:hint="eastAsia" w:ascii="宋体" w:hAnsi="宋体" w:cs="宋体"/>
                      <w:color w:val="auto"/>
                      <w:szCs w:val="21"/>
                      <w:highlight w:val="none"/>
                    </w:rPr>
                    <w:t>中信银行台州分行</w:t>
                  </w:r>
                </w:p>
              </w:tc>
              <w:tc>
                <w:tcPr>
                  <w:tcW w:w="1222" w:type="dxa"/>
                  <w:vAlign w:val="center"/>
                </w:tcPr>
                <w:p w14:paraId="0E26F601">
                  <w:pPr>
                    <w:snapToGrid w:val="0"/>
                    <w:jc w:val="center"/>
                    <w:rPr>
                      <w:rFonts w:ascii="宋体" w:hAnsi="宋体" w:cs="宋体"/>
                      <w:color w:val="auto"/>
                      <w:szCs w:val="21"/>
                      <w:highlight w:val="none"/>
                    </w:rPr>
                  </w:pPr>
                  <w:r>
                    <w:rPr>
                      <w:rFonts w:hint="eastAsia" w:ascii="宋体" w:hAnsi="宋体" w:cs="宋体"/>
                      <w:color w:val="auto"/>
                      <w:szCs w:val="21"/>
                      <w:highlight w:val="none"/>
                    </w:rPr>
                    <w:t>4.15%起</w:t>
                  </w:r>
                </w:p>
              </w:tc>
              <w:tc>
                <w:tcPr>
                  <w:tcW w:w="1244" w:type="dxa"/>
                  <w:vAlign w:val="center"/>
                </w:tcPr>
                <w:p w14:paraId="63C0A03B">
                  <w:pPr>
                    <w:snapToGrid w:val="0"/>
                    <w:jc w:val="center"/>
                    <w:rPr>
                      <w:rFonts w:ascii="宋体" w:hAnsi="宋体" w:cs="宋体"/>
                      <w:color w:val="auto"/>
                      <w:szCs w:val="21"/>
                      <w:highlight w:val="none"/>
                    </w:rPr>
                  </w:pPr>
                  <w:r>
                    <w:rPr>
                      <w:rFonts w:hint="eastAsia" w:ascii="宋体" w:hAnsi="宋体" w:cs="宋体"/>
                      <w:color w:val="auto"/>
                      <w:szCs w:val="21"/>
                      <w:highlight w:val="none"/>
                    </w:rPr>
                    <w:t>陈金园</w:t>
                  </w:r>
                </w:p>
              </w:tc>
              <w:tc>
                <w:tcPr>
                  <w:tcW w:w="1567" w:type="dxa"/>
                  <w:vAlign w:val="center"/>
                </w:tcPr>
                <w:p w14:paraId="45CA37E8">
                  <w:pPr>
                    <w:snapToGrid w:val="0"/>
                    <w:jc w:val="center"/>
                    <w:rPr>
                      <w:rFonts w:ascii="宋体" w:hAnsi="宋体" w:cs="宋体"/>
                      <w:color w:val="auto"/>
                      <w:szCs w:val="21"/>
                      <w:highlight w:val="none"/>
                    </w:rPr>
                  </w:pPr>
                  <w:r>
                    <w:rPr>
                      <w:rFonts w:hint="eastAsia" w:ascii="宋体" w:hAnsi="宋体" w:cs="宋体"/>
                      <w:color w:val="auto"/>
                      <w:szCs w:val="21"/>
                      <w:highlight w:val="none"/>
                    </w:rPr>
                    <w:t>13586052161</w:t>
                  </w:r>
                </w:p>
              </w:tc>
            </w:tr>
            <w:tr w14:paraId="2D810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729578F1">
                  <w:pPr>
                    <w:snapToGrid w:val="0"/>
                    <w:jc w:val="center"/>
                    <w:rPr>
                      <w:rFonts w:ascii="宋体" w:hAnsi="宋体" w:cs="宋体"/>
                      <w:color w:val="auto"/>
                      <w:szCs w:val="21"/>
                      <w:highlight w:val="none"/>
                    </w:rPr>
                  </w:pPr>
                  <w:r>
                    <w:rPr>
                      <w:rFonts w:hint="eastAsia" w:ascii="宋体" w:hAnsi="宋体" w:cs="宋体"/>
                      <w:color w:val="auto"/>
                      <w:szCs w:val="21"/>
                      <w:highlight w:val="none"/>
                    </w:rPr>
                    <w:t>华夏银行台州分行</w:t>
                  </w:r>
                </w:p>
              </w:tc>
              <w:tc>
                <w:tcPr>
                  <w:tcW w:w="1222" w:type="dxa"/>
                  <w:vAlign w:val="center"/>
                </w:tcPr>
                <w:p w14:paraId="5B7A33F6">
                  <w:pPr>
                    <w:snapToGrid w:val="0"/>
                    <w:jc w:val="center"/>
                    <w:rPr>
                      <w:rFonts w:ascii="宋体" w:hAnsi="宋体" w:cs="宋体"/>
                      <w:color w:val="auto"/>
                      <w:szCs w:val="21"/>
                      <w:highlight w:val="none"/>
                    </w:rPr>
                  </w:pPr>
                  <w:r>
                    <w:rPr>
                      <w:rFonts w:hint="eastAsia" w:ascii="宋体" w:hAnsi="宋体" w:cs="宋体"/>
                      <w:color w:val="auto"/>
                      <w:szCs w:val="21"/>
                      <w:highlight w:val="none"/>
                    </w:rPr>
                    <w:t>4.5%起</w:t>
                  </w:r>
                </w:p>
              </w:tc>
              <w:tc>
                <w:tcPr>
                  <w:tcW w:w="1244" w:type="dxa"/>
                  <w:vAlign w:val="center"/>
                </w:tcPr>
                <w:p w14:paraId="5FB85C80">
                  <w:pPr>
                    <w:snapToGrid w:val="0"/>
                    <w:jc w:val="center"/>
                    <w:rPr>
                      <w:rFonts w:ascii="宋体" w:hAnsi="宋体" w:cs="宋体"/>
                      <w:color w:val="auto"/>
                      <w:szCs w:val="21"/>
                      <w:highlight w:val="none"/>
                    </w:rPr>
                  </w:pPr>
                  <w:r>
                    <w:rPr>
                      <w:rFonts w:hint="eastAsia" w:ascii="宋体" w:hAnsi="宋体" w:cs="宋体"/>
                      <w:color w:val="auto"/>
                      <w:szCs w:val="21"/>
                      <w:highlight w:val="none"/>
                    </w:rPr>
                    <w:t>邱明达</w:t>
                  </w:r>
                </w:p>
              </w:tc>
              <w:tc>
                <w:tcPr>
                  <w:tcW w:w="1567" w:type="dxa"/>
                  <w:vAlign w:val="center"/>
                </w:tcPr>
                <w:p w14:paraId="59E00EAF">
                  <w:pPr>
                    <w:snapToGrid w:val="0"/>
                    <w:jc w:val="center"/>
                    <w:rPr>
                      <w:rFonts w:ascii="宋体" w:hAnsi="宋体" w:cs="宋体"/>
                      <w:color w:val="auto"/>
                      <w:szCs w:val="21"/>
                      <w:highlight w:val="none"/>
                    </w:rPr>
                  </w:pPr>
                  <w:r>
                    <w:rPr>
                      <w:rFonts w:hint="eastAsia" w:ascii="宋体" w:hAnsi="宋体" w:cs="宋体"/>
                      <w:color w:val="auto"/>
                      <w:szCs w:val="21"/>
                      <w:highlight w:val="none"/>
                    </w:rPr>
                    <w:t>81871518</w:t>
                  </w:r>
                </w:p>
                <w:p w14:paraId="3C9A5FF4">
                  <w:pPr>
                    <w:snapToGrid w:val="0"/>
                    <w:jc w:val="center"/>
                    <w:rPr>
                      <w:rFonts w:ascii="宋体" w:hAnsi="宋体" w:cs="宋体"/>
                      <w:color w:val="auto"/>
                      <w:szCs w:val="21"/>
                      <w:highlight w:val="none"/>
                    </w:rPr>
                  </w:pPr>
                  <w:r>
                    <w:rPr>
                      <w:rFonts w:hint="eastAsia" w:ascii="宋体" w:hAnsi="宋体" w:cs="宋体"/>
                      <w:color w:val="auto"/>
                      <w:szCs w:val="21"/>
                      <w:highlight w:val="none"/>
                    </w:rPr>
                    <w:t>13736252233</w:t>
                  </w:r>
                </w:p>
              </w:tc>
            </w:tr>
            <w:tr w14:paraId="66BA8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65D4AA56">
                  <w:pPr>
                    <w:snapToGrid w:val="0"/>
                    <w:jc w:val="center"/>
                    <w:rPr>
                      <w:rFonts w:ascii="宋体" w:hAnsi="宋体" w:cs="宋体"/>
                      <w:color w:val="auto"/>
                      <w:szCs w:val="21"/>
                      <w:highlight w:val="none"/>
                    </w:rPr>
                  </w:pPr>
                  <w:r>
                    <w:rPr>
                      <w:rFonts w:hint="eastAsia" w:ascii="宋体" w:hAnsi="宋体" w:cs="宋体"/>
                      <w:color w:val="auto"/>
                      <w:szCs w:val="21"/>
                      <w:highlight w:val="none"/>
                    </w:rPr>
                    <w:t>泰隆银行开发区支行</w:t>
                  </w:r>
                </w:p>
              </w:tc>
              <w:tc>
                <w:tcPr>
                  <w:tcW w:w="1222" w:type="dxa"/>
                  <w:vAlign w:val="center"/>
                </w:tcPr>
                <w:p w14:paraId="49B27B88">
                  <w:pPr>
                    <w:snapToGrid w:val="0"/>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244" w:type="dxa"/>
                  <w:vAlign w:val="center"/>
                </w:tcPr>
                <w:p w14:paraId="51C07ECB">
                  <w:pPr>
                    <w:snapToGrid w:val="0"/>
                    <w:jc w:val="center"/>
                    <w:rPr>
                      <w:rFonts w:ascii="宋体" w:hAnsi="宋体" w:cs="宋体"/>
                      <w:color w:val="auto"/>
                      <w:szCs w:val="21"/>
                      <w:highlight w:val="none"/>
                    </w:rPr>
                  </w:pPr>
                  <w:r>
                    <w:rPr>
                      <w:rFonts w:hint="eastAsia" w:ascii="宋体" w:hAnsi="宋体" w:cs="宋体"/>
                      <w:color w:val="auto"/>
                      <w:szCs w:val="21"/>
                      <w:highlight w:val="none"/>
                    </w:rPr>
                    <w:t>梁宛莉</w:t>
                  </w:r>
                </w:p>
              </w:tc>
              <w:tc>
                <w:tcPr>
                  <w:tcW w:w="1567" w:type="dxa"/>
                  <w:vAlign w:val="center"/>
                </w:tcPr>
                <w:p w14:paraId="31922244">
                  <w:pPr>
                    <w:snapToGrid w:val="0"/>
                    <w:jc w:val="center"/>
                    <w:rPr>
                      <w:rFonts w:ascii="宋体" w:hAnsi="宋体" w:cs="宋体"/>
                      <w:color w:val="auto"/>
                      <w:szCs w:val="21"/>
                      <w:highlight w:val="none"/>
                    </w:rPr>
                  </w:pPr>
                  <w:r>
                    <w:rPr>
                      <w:rFonts w:hint="eastAsia" w:ascii="宋体" w:hAnsi="宋体" w:cs="宋体"/>
                      <w:color w:val="auto"/>
                      <w:szCs w:val="21"/>
                      <w:highlight w:val="none"/>
                    </w:rPr>
                    <w:t>13306869100</w:t>
                  </w:r>
                </w:p>
              </w:tc>
            </w:tr>
            <w:tr w14:paraId="088D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7DCFB381">
                  <w:pPr>
                    <w:snapToGrid w:val="0"/>
                    <w:jc w:val="center"/>
                    <w:rPr>
                      <w:rFonts w:ascii="宋体" w:hAnsi="宋体" w:cs="宋体"/>
                      <w:color w:val="auto"/>
                      <w:szCs w:val="21"/>
                      <w:highlight w:val="none"/>
                    </w:rPr>
                  </w:pPr>
                  <w:r>
                    <w:rPr>
                      <w:rFonts w:hint="eastAsia" w:ascii="宋体" w:hAnsi="宋体" w:cs="宋体"/>
                      <w:color w:val="auto"/>
                      <w:szCs w:val="21"/>
                      <w:highlight w:val="none"/>
                    </w:rPr>
                    <w:t>民泰银行椒江支行</w:t>
                  </w:r>
                </w:p>
              </w:tc>
              <w:tc>
                <w:tcPr>
                  <w:tcW w:w="1222" w:type="dxa"/>
                  <w:vAlign w:val="center"/>
                </w:tcPr>
                <w:p w14:paraId="33C09FCB">
                  <w:pPr>
                    <w:snapToGrid w:val="0"/>
                    <w:jc w:val="center"/>
                    <w:rPr>
                      <w:rFonts w:ascii="宋体" w:hAnsi="宋体" w:cs="宋体"/>
                      <w:color w:val="auto"/>
                      <w:szCs w:val="21"/>
                      <w:highlight w:val="none"/>
                    </w:rPr>
                  </w:pPr>
                  <w:r>
                    <w:rPr>
                      <w:rFonts w:hint="eastAsia" w:ascii="宋体" w:hAnsi="宋体" w:cs="宋体"/>
                      <w:color w:val="auto"/>
                      <w:szCs w:val="21"/>
                      <w:highlight w:val="none"/>
                    </w:rPr>
                    <w:t>5.8%起</w:t>
                  </w:r>
                </w:p>
              </w:tc>
              <w:tc>
                <w:tcPr>
                  <w:tcW w:w="1244" w:type="dxa"/>
                  <w:vAlign w:val="center"/>
                </w:tcPr>
                <w:p w14:paraId="3C79EDD8">
                  <w:pPr>
                    <w:snapToGrid w:val="0"/>
                    <w:jc w:val="center"/>
                    <w:rPr>
                      <w:rFonts w:ascii="宋体" w:hAnsi="宋体" w:cs="宋体"/>
                      <w:color w:val="auto"/>
                      <w:szCs w:val="21"/>
                      <w:highlight w:val="none"/>
                    </w:rPr>
                  </w:pPr>
                  <w:r>
                    <w:rPr>
                      <w:rFonts w:hint="eastAsia" w:ascii="宋体" w:hAnsi="宋体" w:cs="宋体"/>
                      <w:color w:val="auto"/>
                      <w:szCs w:val="21"/>
                      <w:highlight w:val="none"/>
                    </w:rPr>
                    <w:t>陈慧珠</w:t>
                  </w:r>
                </w:p>
              </w:tc>
              <w:tc>
                <w:tcPr>
                  <w:tcW w:w="1567" w:type="dxa"/>
                  <w:vAlign w:val="center"/>
                </w:tcPr>
                <w:p w14:paraId="326236F3">
                  <w:pPr>
                    <w:snapToGrid w:val="0"/>
                    <w:jc w:val="center"/>
                    <w:rPr>
                      <w:rFonts w:ascii="宋体" w:hAnsi="宋体" w:cs="宋体"/>
                      <w:color w:val="auto"/>
                      <w:szCs w:val="21"/>
                      <w:highlight w:val="none"/>
                    </w:rPr>
                  </w:pPr>
                  <w:r>
                    <w:rPr>
                      <w:rFonts w:hint="eastAsia" w:ascii="宋体" w:hAnsi="宋体" w:cs="宋体"/>
                      <w:color w:val="auto"/>
                      <w:szCs w:val="21"/>
                      <w:highlight w:val="none"/>
                    </w:rPr>
                    <w:t>13857699669</w:t>
                  </w:r>
                </w:p>
              </w:tc>
            </w:tr>
            <w:tr w14:paraId="7815E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FCDA65B">
                  <w:pPr>
                    <w:snapToGrid w:val="0"/>
                    <w:jc w:val="center"/>
                    <w:rPr>
                      <w:rFonts w:ascii="宋体" w:hAnsi="宋体" w:cs="宋体"/>
                      <w:color w:val="auto"/>
                      <w:szCs w:val="21"/>
                      <w:highlight w:val="none"/>
                    </w:rPr>
                  </w:pPr>
                  <w:r>
                    <w:rPr>
                      <w:rFonts w:hint="eastAsia" w:ascii="宋体" w:hAnsi="宋体" w:cs="宋体"/>
                      <w:color w:val="auto"/>
                      <w:szCs w:val="21"/>
                      <w:highlight w:val="none"/>
                    </w:rPr>
                    <w:t>绍兴银行台州分行</w:t>
                  </w:r>
                </w:p>
              </w:tc>
              <w:tc>
                <w:tcPr>
                  <w:tcW w:w="1222" w:type="dxa"/>
                  <w:vAlign w:val="center"/>
                </w:tcPr>
                <w:p w14:paraId="591FC3FB">
                  <w:pPr>
                    <w:snapToGrid w:val="0"/>
                    <w:jc w:val="center"/>
                    <w:rPr>
                      <w:rFonts w:ascii="宋体" w:hAnsi="宋体" w:cs="宋体"/>
                      <w:color w:val="auto"/>
                      <w:szCs w:val="21"/>
                      <w:highlight w:val="none"/>
                    </w:rPr>
                  </w:pPr>
                  <w:r>
                    <w:rPr>
                      <w:rFonts w:hint="eastAsia" w:ascii="宋体" w:hAnsi="宋体" w:cs="宋体"/>
                      <w:color w:val="auto"/>
                      <w:szCs w:val="21"/>
                      <w:highlight w:val="none"/>
                    </w:rPr>
                    <w:t>5.1%起</w:t>
                  </w:r>
                </w:p>
              </w:tc>
              <w:tc>
                <w:tcPr>
                  <w:tcW w:w="1244" w:type="dxa"/>
                  <w:vAlign w:val="center"/>
                </w:tcPr>
                <w:p w14:paraId="70E4DA44">
                  <w:pPr>
                    <w:snapToGrid w:val="0"/>
                    <w:jc w:val="center"/>
                    <w:rPr>
                      <w:rFonts w:ascii="宋体" w:hAnsi="宋体" w:cs="宋体"/>
                      <w:color w:val="auto"/>
                      <w:szCs w:val="21"/>
                      <w:highlight w:val="none"/>
                    </w:rPr>
                  </w:pPr>
                  <w:r>
                    <w:rPr>
                      <w:rFonts w:hint="eastAsia" w:ascii="宋体" w:hAnsi="宋体" w:cs="宋体"/>
                      <w:color w:val="auto"/>
                      <w:szCs w:val="21"/>
                      <w:highlight w:val="none"/>
                    </w:rPr>
                    <w:t>郭庭斌</w:t>
                  </w:r>
                </w:p>
              </w:tc>
              <w:tc>
                <w:tcPr>
                  <w:tcW w:w="1567" w:type="dxa"/>
                  <w:vAlign w:val="center"/>
                </w:tcPr>
                <w:p w14:paraId="2E8374CB">
                  <w:pPr>
                    <w:snapToGrid w:val="0"/>
                    <w:jc w:val="center"/>
                    <w:rPr>
                      <w:rFonts w:ascii="宋体" w:hAnsi="宋体" w:cs="宋体"/>
                      <w:color w:val="auto"/>
                      <w:szCs w:val="21"/>
                      <w:highlight w:val="none"/>
                    </w:rPr>
                  </w:pPr>
                  <w:r>
                    <w:rPr>
                      <w:rFonts w:hint="eastAsia" w:ascii="宋体" w:hAnsi="宋体" w:cs="宋体"/>
                      <w:color w:val="auto"/>
                      <w:szCs w:val="21"/>
                      <w:highlight w:val="none"/>
                    </w:rPr>
                    <w:t>15958633119</w:t>
                  </w:r>
                </w:p>
              </w:tc>
            </w:tr>
            <w:tr w14:paraId="698E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52B5886D">
                  <w:pPr>
                    <w:snapToGrid w:val="0"/>
                    <w:jc w:val="center"/>
                    <w:rPr>
                      <w:rFonts w:ascii="宋体" w:hAnsi="宋体" w:cs="宋体"/>
                      <w:color w:val="auto"/>
                      <w:szCs w:val="21"/>
                      <w:highlight w:val="none"/>
                    </w:rPr>
                  </w:pPr>
                  <w:r>
                    <w:rPr>
                      <w:rFonts w:hint="eastAsia" w:ascii="宋体" w:hAnsi="宋体" w:cs="宋体"/>
                      <w:color w:val="auto"/>
                      <w:szCs w:val="21"/>
                      <w:highlight w:val="none"/>
                    </w:rPr>
                    <w:t>温州银行台州分行</w:t>
                  </w:r>
                </w:p>
              </w:tc>
              <w:tc>
                <w:tcPr>
                  <w:tcW w:w="1222" w:type="dxa"/>
                  <w:vAlign w:val="center"/>
                </w:tcPr>
                <w:p w14:paraId="3BC55440">
                  <w:pPr>
                    <w:snapToGrid w:val="0"/>
                    <w:jc w:val="center"/>
                    <w:rPr>
                      <w:rFonts w:ascii="宋体" w:hAnsi="宋体" w:cs="宋体"/>
                      <w:color w:val="auto"/>
                      <w:szCs w:val="21"/>
                      <w:highlight w:val="none"/>
                    </w:rPr>
                  </w:pPr>
                  <w:r>
                    <w:rPr>
                      <w:rFonts w:hint="eastAsia" w:ascii="宋体" w:hAnsi="宋体" w:cs="宋体"/>
                      <w:color w:val="auto"/>
                      <w:szCs w:val="21"/>
                      <w:highlight w:val="none"/>
                    </w:rPr>
                    <w:t>4.55%起</w:t>
                  </w:r>
                </w:p>
              </w:tc>
              <w:tc>
                <w:tcPr>
                  <w:tcW w:w="1244" w:type="dxa"/>
                  <w:vAlign w:val="center"/>
                </w:tcPr>
                <w:p w14:paraId="212BF7EC">
                  <w:pPr>
                    <w:snapToGrid w:val="0"/>
                    <w:jc w:val="center"/>
                    <w:rPr>
                      <w:rFonts w:ascii="宋体" w:hAnsi="宋体" w:cs="宋体"/>
                      <w:color w:val="auto"/>
                      <w:szCs w:val="21"/>
                      <w:highlight w:val="none"/>
                    </w:rPr>
                  </w:pPr>
                  <w:r>
                    <w:rPr>
                      <w:rFonts w:hint="eastAsia" w:ascii="宋体" w:hAnsi="宋体" w:cs="宋体"/>
                      <w:color w:val="auto"/>
                      <w:szCs w:val="21"/>
                      <w:highlight w:val="none"/>
                    </w:rPr>
                    <w:t>王晓波</w:t>
                  </w:r>
                </w:p>
              </w:tc>
              <w:tc>
                <w:tcPr>
                  <w:tcW w:w="1567" w:type="dxa"/>
                  <w:vAlign w:val="center"/>
                </w:tcPr>
                <w:p w14:paraId="0BD8123C">
                  <w:pPr>
                    <w:snapToGrid w:val="0"/>
                    <w:jc w:val="center"/>
                    <w:rPr>
                      <w:rFonts w:ascii="宋体" w:hAnsi="宋体" w:cs="宋体"/>
                      <w:color w:val="auto"/>
                      <w:szCs w:val="21"/>
                      <w:highlight w:val="none"/>
                    </w:rPr>
                  </w:pPr>
                  <w:r>
                    <w:rPr>
                      <w:rFonts w:hint="eastAsia" w:ascii="宋体" w:hAnsi="宋体" w:cs="宋体"/>
                      <w:color w:val="auto"/>
                      <w:szCs w:val="21"/>
                      <w:highlight w:val="none"/>
                    </w:rPr>
                    <w:t>15824005475</w:t>
                  </w:r>
                </w:p>
              </w:tc>
            </w:tr>
            <w:tr w14:paraId="5AE0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32724F07">
                  <w:pPr>
                    <w:snapToGrid w:val="0"/>
                    <w:jc w:val="center"/>
                    <w:rPr>
                      <w:rFonts w:ascii="宋体" w:hAnsi="宋体" w:cs="宋体"/>
                      <w:color w:val="auto"/>
                      <w:szCs w:val="21"/>
                      <w:highlight w:val="none"/>
                    </w:rPr>
                  </w:pPr>
                  <w:r>
                    <w:rPr>
                      <w:rFonts w:hint="eastAsia" w:ascii="宋体" w:hAnsi="宋体" w:cs="宋体"/>
                      <w:color w:val="auto"/>
                      <w:szCs w:val="21"/>
                      <w:highlight w:val="none"/>
                    </w:rPr>
                    <w:t>平安银行台州分行</w:t>
                  </w:r>
                </w:p>
              </w:tc>
              <w:tc>
                <w:tcPr>
                  <w:tcW w:w="1222" w:type="dxa"/>
                  <w:vAlign w:val="center"/>
                </w:tcPr>
                <w:p w14:paraId="60F6A5C0">
                  <w:pPr>
                    <w:snapToGrid w:val="0"/>
                    <w:jc w:val="center"/>
                    <w:rPr>
                      <w:rFonts w:ascii="宋体" w:hAnsi="宋体" w:cs="宋体"/>
                      <w:color w:val="auto"/>
                      <w:szCs w:val="21"/>
                      <w:highlight w:val="none"/>
                    </w:rPr>
                  </w:pPr>
                  <w:r>
                    <w:rPr>
                      <w:rFonts w:hint="eastAsia" w:ascii="宋体" w:hAnsi="宋体" w:cs="宋体"/>
                      <w:color w:val="auto"/>
                      <w:szCs w:val="21"/>
                      <w:highlight w:val="none"/>
                    </w:rPr>
                    <w:t>6.53%起</w:t>
                  </w:r>
                </w:p>
              </w:tc>
              <w:tc>
                <w:tcPr>
                  <w:tcW w:w="1244" w:type="dxa"/>
                  <w:vAlign w:val="center"/>
                </w:tcPr>
                <w:p w14:paraId="21864D76">
                  <w:pPr>
                    <w:snapToGrid w:val="0"/>
                    <w:jc w:val="center"/>
                    <w:rPr>
                      <w:rFonts w:ascii="宋体" w:hAnsi="宋体" w:cs="宋体"/>
                      <w:color w:val="auto"/>
                      <w:szCs w:val="21"/>
                      <w:highlight w:val="none"/>
                    </w:rPr>
                  </w:pPr>
                  <w:r>
                    <w:rPr>
                      <w:rFonts w:hint="eastAsia" w:ascii="宋体" w:hAnsi="宋体" w:cs="宋体"/>
                      <w:color w:val="auto"/>
                      <w:szCs w:val="21"/>
                      <w:highlight w:val="none"/>
                    </w:rPr>
                    <w:t>李俊丽</w:t>
                  </w:r>
                </w:p>
              </w:tc>
              <w:tc>
                <w:tcPr>
                  <w:tcW w:w="1567" w:type="dxa"/>
                  <w:vAlign w:val="center"/>
                </w:tcPr>
                <w:p w14:paraId="78974EAA">
                  <w:pPr>
                    <w:snapToGrid w:val="0"/>
                    <w:jc w:val="center"/>
                    <w:rPr>
                      <w:rFonts w:ascii="宋体" w:hAnsi="宋体" w:cs="宋体"/>
                      <w:color w:val="auto"/>
                      <w:szCs w:val="21"/>
                      <w:highlight w:val="none"/>
                    </w:rPr>
                  </w:pPr>
                  <w:r>
                    <w:rPr>
                      <w:rFonts w:hint="eastAsia" w:ascii="宋体" w:hAnsi="宋体" w:cs="宋体"/>
                      <w:color w:val="auto"/>
                      <w:szCs w:val="21"/>
                      <w:highlight w:val="none"/>
                    </w:rPr>
                    <w:t>15906861025</w:t>
                  </w:r>
                </w:p>
              </w:tc>
            </w:tr>
            <w:tr w14:paraId="60A15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242" w:type="dxa"/>
                  <w:vAlign w:val="center"/>
                </w:tcPr>
                <w:p w14:paraId="49C0BA43">
                  <w:pPr>
                    <w:snapToGrid w:val="0"/>
                    <w:jc w:val="center"/>
                    <w:rPr>
                      <w:rFonts w:ascii="宋体" w:hAnsi="宋体" w:cs="宋体"/>
                      <w:color w:val="auto"/>
                      <w:szCs w:val="21"/>
                      <w:highlight w:val="none"/>
                    </w:rPr>
                  </w:pPr>
                  <w:r>
                    <w:rPr>
                      <w:rFonts w:hint="eastAsia" w:ascii="宋体" w:hAnsi="宋体" w:cs="宋体"/>
                      <w:color w:val="auto"/>
                      <w:szCs w:val="21"/>
                      <w:highlight w:val="none"/>
                    </w:rPr>
                    <w:t>宁波银行台州分行</w:t>
                  </w:r>
                </w:p>
              </w:tc>
              <w:tc>
                <w:tcPr>
                  <w:tcW w:w="1222" w:type="dxa"/>
                  <w:vAlign w:val="center"/>
                </w:tcPr>
                <w:p w14:paraId="543494B5">
                  <w:pPr>
                    <w:snapToGrid w:val="0"/>
                    <w:jc w:val="center"/>
                    <w:rPr>
                      <w:rFonts w:ascii="宋体" w:hAnsi="宋体" w:cs="宋体"/>
                      <w:color w:val="auto"/>
                      <w:szCs w:val="21"/>
                      <w:highlight w:val="none"/>
                    </w:rPr>
                  </w:pPr>
                  <w:r>
                    <w:rPr>
                      <w:rFonts w:hint="eastAsia" w:ascii="宋体" w:hAnsi="宋体" w:cs="宋体"/>
                      <w:color w:val="auto"/>
                      <w:szCs w:val="21"/>
                      <w:highlight w:val="none"/>
                    </w:rPr>
                    <w:t>4.35%起</w:t>
                  </w:r>
                </w:p>
              </w:tc>
              <w:tc>
                <w:tcPr>
                  <w:tcW w:w="1244" w:type="dxa"/>
                  <w:vAlign w:val="center"/>
                </w:tcPr>
                <w:p w14:paraId="090D3826">
                  <w:pPr>
                    <w:snapToGrid w:val="0"/>
                    <w:jc w:val="center"/>
                    <w:rPr>
                      <w:rFonts w:ascii="宋体" w:hAnsi="宋体" w:cs="宋体"/>
                      <w:color w:val="auto"/>
                      <w:szCs w:val="21"/>
                      <w:highlight w:val="none"/>
                    </w:rPr>
                  </w:pPr>
                  <w:r>
                    <w:rPr>
                      <w:rFonts w:hint="eastAsia" w:ascii="宋体" w:hAnsi="宋体" w:cs="宋体"/>
                      <w:color w:val="auto"/>
                      <w:szCs w:val="21"/>
                      <w:highlight w:val="none"/>
                    </w:rPr>
                    <w:t>戴莉丽</w:t>
                  </w:r>
                </w:p>
              </w:tc>
              <w:tc>
                <w:tcPr>
                  <w:tcW w:w="1567" w:type="dxa"/>
                  <w:vAlign w:val="center"/>
                </w:tcPr>
                <w:p w14:paraId="22AA7AAF">
                  <w:pPr>
                    <w:snapToGrid w:val="0"/>
                    <w:jc w:val="center"/>
                    <w:rPr>
                      <w:rFonts w:ascii="宋体" w:hAnsi="宋体" w:cs="宋体"/>
                      <w:color w:val="auto"/>
                      <w:szCs w:val="21"/>
                      <w:highlight w:val="none"/>
                    </w:rPr>
                  </w:pPr>
                  <w:r>
                    <w:rPr>
                      <w:rFonts w:hint="eastAsia" w:ascii="宋体" w:hAnsi="宋体" w:cs="宋体"/>
                      <w:color w:val="auto"/>
                      <w:szCs w:val="21"/>
                      <w:highlight w:val="none"/>
                    </w:rPr>
                    <w:t>13566627207</w:t>
                  </w:r>
                </w:p>
              </w:tc>
            </w:tr>
            <w:tr w14:paraId="4913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42" w:type="dxa"/>
                  <w:vAlign w:val="center"/>
                </w:tcPr>
                <w:p w14:paraId="533C4FD7">
                  <w:pPr>
                    <w:snapToGrid w:val="0"/>
                    <w:jc w:val="center"/>
                    <w:rPr>
                      <w:rFonts w:ascii="宋体" w:hAnsi="宋体" w:cs="宋体"/>
                      <w:color w:val="auto"/>
                      <w:szCs w:val="21"/>
                      <w:highlight w:val="none"/>
                    </w:rPr>
                  </w:pPr>
                  <w:r>
                    <w:rPr>
                      <w:rFonts w:hint="eastAsia" w:ascii="宋体" w:hAnsi="宋体" w:cs="宋体"/>
                      <w:color w:val="auto"/>
                      <w:szCs w:val="21"/>
                      <w:highlight w:val="none"/>
                    </w:rPr>
                    <w:t>金华银行台州分行</w:t>
                  </w:r>
                </w:p>
              </w:tc>
              <w:tc>
                <w:tcPr>
                  <w:tcW w:w="1222" w:type="dxa"/>
                  <w:vAlign w:val="center"/>
                </w:tcPr>
                <w:p w14:paraId="5D711421">
                  <w:pPr>
                    <w:snapToGrid w:val="0"/>
                    <w:jc w:val="center"/>
                    <w:rPr>
                      <w:rFonts w:ascii="宋体" w:hAnsi="宋体" w:cs="宋体"/>
                      <w:color w:val="auto"/>
                      <w:szCs w:val="21"/>
                      <w:highlight w:val="none"/>
                    </w:rPr>
                  </w:pPr>
                  <w:r>
                    <w:rPr>
                      <w:rFonts w:hint="eastAsia" w:ascii="宋体" w:hAnsi="宋体" w:cs="宋体"/>
                      <w:color w:val="auto"/>
                      <w:szCs w:val="21"/>
                      <w:highlight w:val="none"/>
                    </w:rPr>
                    <w:t>4.05%起</w:t>
                  </w:r>
                </w:p>
              </w:tc>
              <w:tc>
                <w:tcPr>
                  <w:tcW w:w="1244" w:type="dxa"/>
                  <w:vAlign w:val="center"/>
                </w:tcPr>
                <w:p w14:paraId="72E64E18">
                  <w:pPr>
                    <w:snapToGrid w:val="0"/>
                    <w:jc w:val="center"/>
                    <w:rPr>
                      <w:rFonts w:ascii="宋体" w:hAnsi="宋体" w:cs="宋体"/>
                      <w:color w:val="auto"/>
                      <w:szCs w:val="21"/>
                      <w:highlight w:val="none"/>
                    </w:rPr>
                  </w:pPr>
                  <w:r>
                    <w:rPr>
                      <w:rFonts w:hint="eastAsia" w:ascii="宋体" w:hAnsi="宋体" w:cs="宋体"/>
                      <w:color w:val="auto"/>
                      <w:szCs w:val="21"/>
                      <w:highlight w:val="none"/>
                    </w:rPr>
                    <w:t>金雪婷</w:t>
                  </w:r>
                </w:p>
              </w:tc>
              <w:tc>
                <w:tcPr>
                  <w:tcW w:w="1567" w:type="dxa"/>
                  <w:vAlign w:val="center"/>
                </w:tcPr>
                <w:p w14:paraId="1F4D8DB8">
                  <w:pPr>
                    <w:snapToGrid w:val="0"/>
                    <w:jc w:val="center"/>
                    <w:rPr>
                      <w:rFonts w:ascii="宋体" w:hAnsi="宋体" w:cs="宋体"/>
                      <w:color w:val="auto"/>
                      <w:szCs w:val="21"/>
                      <w:highlight w:val="none"/>
                    </w:rPr>
                  </w:pPr>
                  <w:r>
                    <w:rPr>
                      <w:rFonts w:hint="eastAsia" w:ascii="宋体" w:hAnsi="宋体" w:cs="宋体"/>
                      <w:color w:val="auto"/>
                      <w:szCs w:val="21"/>
                      <w:highlight w:val="none"/>
                    </w:rPr>
                    <w:t>81886670</w:t>
                  </w:r>
                </w:p>
                <w:p w14:paraId="24659A6F">
                  <w:pPr>
                    <w:snapToGrid w:val="0"/>
                    <w:jc w:val="center"/>
                    <w:rPr>
                      <w:rFonts w:ascii="宋体" w:hAnsi="宋体" w:cs="宋体"/>
                      <w:color w:val="auto"/>
                      <w:szCs w:val="21"/>
                      <w:highlight w:val="none"/>
                    </w:rPr>
                  </w:pPr>
                  <w:r>
                    <w:rPr>
                      <w:rFonts w:hint="eastAsia" w:ascii="宋体" w:hAnsi="宋体" w:cs="宋体"/>
                      <w:color w:val="auto"/>
                      <w:szCs w:val="21"/>
                      <w:highlight w:val="none"/>
                    </w:rPr>
                    <w:t>15968661569</w:t>
                  </w:r>
                </w:p>
              </w:tc>
            </w:tr>
            <w:tr w14:paraId="0581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242" w:type="dxa"/>
                  <w:vAlign w:val="center"/>
                </w:tcPr>
                <w:p w14:paraId="35F05E8F">
                  <w:pPr>
                    <w:snapToGrid w:val="0"/>
                    <w:jc w:val="center"/>
                    <w:rPr>
                      <w:rFonts w:ascii="宋体" w:hAnsi="宋体" w:cs="宋体"/>
                      <w:color w:val="auto"/>
                      <w:szCs w:val="21"/>
                      <w:highlight w:val="none"/>
                    </w:rPr>
                  </w:pPr>
                  <w:r>
                    <w:rPr>
                      <w:rFonts w:hint="eastAsia" w:ascii="宋体" w:hAnsi="宋体" w:cs="宋体"/>
                      <w:color w:val="auto"/>
                      <w:szCs w:val="21"/>
                      <w:highlight w:val="none"/>
                    </w:rPr>
                    <w:t>台州银行</w:t>
                  </w:r>
                </w:p>
              </w:tc>
              <w:tc>
                <w:tcPr>
                  <w:tcW w:w="1222" w:type="dxa"/>
                  <w:vAlign w:val="center"/>
                </w:tcPr>
                <w:p w14:paraId="0F3ECB34">
                  <w:pPr>
                    <w:snapToGrid w:val="0"/>
                    <w:jc w:val="center"/>
                    <w:rPr>
                      <w:rFonts w:ascii="宋体" w:hAnsi="宋体" w:cs="宋体"/>
                      <w:color w:val="auto"/>
                      <w:szCs w:val="21"/>
                      <w:highlight w:val="none"/>
                    </w:rPr>
                  </w:pPr>
                  <w:r>
                    <w:rPr>
                      <w:rFonts w:hint="eastAsia" w:ascii="宋体" w:hAnsi="宋体" w:cs="宋体"/>
                      <w:color w:val="auto"/>
                      <w:szCs w:val="21"/>
                      <w:highlight w:val="none"/>
                    </w:rPr>
                    <w:t>5.6%起</w:t>
                  </w:r>
                </w:p>
              </w:tc>
              <w:tc>
                <w:tcPr>
                  <w:tcW w:w="1244" w:type="dxa"/>
                  <w:vAlign w:val="center"/>
                </w:tcPr>
                <w:p w14:paraId="255ABD50">
                  <w:pPr>
                    <w:snapToGrid w:val="0"/>
                    <w:jc w:val="center"/>
                    <w:rPr>
                      <w:rFonts w:ascii="宋体" w:hAnsi="宋体" w:cs="宋体"/>
                      <w:color w:val="auto"/>
                      <w:szCs w:val="21"/>
                      <w:highlight w:val="none"/>
                    </w:rPr>
                  </w:pPr>
                  <w:r>
                    <w:rPr>
                      <w:rFonts w:hint="eastAsia" w:ascii="宋体" w:hAnsi="宋体" w:cs="宋体"/>
                      <w:color w:val="auto"/>
                      <w:szCs w:val="21"/>
                      <w:highlight w:val="none"/>
                    </w:rPr>
                    <w:t>洪婷</w:t>
                  </w:r>
                </w:p>
              </w:tc>
              <w:tc>
                <w:tcPr>
                  <w:tcW w:w="1567" w:type="dxa"/>
                  <w:vAlign w:val="center"/>
                </w:tcPr>
                <w:p w14:paraId="69B9E596">
                  <w:pPr>
                    <w:snapToGrid w:val="0"/>
                    <w:jc w:val="center"/>
                    <w:rPr>
                      <w:rFonts w:ascii="宋体" w:hAnsi="宋体" w:cs="宋体"/>
                      <w:color w:val="auto"/>
                      <w:szCs w:val="21"/>
                      <w:highlight w:val="none"/>
                    </w:rPr>
                  </w:pPr>
                  <w:r>
                    <w:rPr>
                      <w:rFonts w:hint="eastAsia" w:ascii="宋体" w:hAnsi="宋体" w:cs="宋体"/>
                      <w:color w:val="auto"/>
                      <w:szCs w:val="21"/>
                      <w:highlight w:val="none"/>
                    </w:rPr>
                    <w:t>15858624999</w:t>
                  </w:r>
                </w:p>
              </w:tc>
            </w:tr>
          </w:tbl>
          <w:p w14:paraId="312ABDED">
            <w:pPr>
              <w:adjustRightInd w:val="0"/>
              <w:snapToGrid w:val="0"/>
              <w:jc w:val="left"/>
              <w:rPr>
                <w:rFonts w:ascii="宋体" w:hAnsi="宋体"/>
                <w:b/>
                <w:color w:val="auto"/>
                <w:szCs w:val="21"/>
                <w:highlight w:val="none"/>
              </w:rPr>
            </w:pPr>
          </w:p>
        </w:tc>
      </w:tr>
      <w:tr w14:paraId="5DED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7" w:type="dxa"/>
            <w:tcBorders>
              <w:top w:val="single" w:color="auto" w:sz="4" w:space="0"/>
              <w:left w:val="single" w:color="auto" w:sz="4" w:space="0"/>
              <w:bottom w:val="single" w:color="auto" w:sz="4" w:space="0"/>
              <w:right w:val="single" w:color="auto" w:sz="4" w:space="0"/>
            </w:tcBorders>
            <w:vAlign w:val="center"/>
          </w:tcPr>
          <w:p w14:paraId="1AB3CB0B">
            <w:pPr>
              <w:jc w:val="center"/>
              <w:rPr>
                <w:rFonts w:ascii="宋体" w:hAnsi="宋体" w:cs="宋体"/>
                <w:color w:val="auto"/>
                <w:szCs w:val="21"/>
                <w:highlight w:val="none"/>
              </w:rPr>
            </w:pPr>
            <w:r>
              <w:rPr>
                <w:rFonts w:hint="eastAsia" w:ascii="宋体" w:hAnsi="宋体" w:cs="宋体"/>
                <w:color w:val="auto"/>
                <w:szCs w:val="21"/>
                <w:highlight w:val="none"/>
              </w:rPr>
              <w:t>19</w:t>
            </w:r>
          </w:p>
        </w:tc>
        <w:tc>
          <w:tcPr>
            <w:tcW w:w="1760" w:type="dxa"/>
            <w:tcBorders>
              <w:top w:val="single" w:color="auto" w:sz="4" w:space="0"/>
              <w:left w:val="single" w:color="auto" w:sz="4" w:space="0"/>
              <w:bottom w:val="single" w:color="auto" w:sz="4" w:space="0"/>
              <w:right w:val="single" w:color="auto" w:sz="4" w:space="0"/>
            </w:tcBorders>
            <w:vAlign w:val="center"/>
          </w:tcPr>
          <w:p w14:paraId="2A91319A">
            <w:pPr>
              <w:pStyle w:val="21"/>
              <w:spacing w:line="240" w:lineRule="auto"/>
              <w:ind w:firstLine="0" w:firstLineChars="0"/>
              <w:rPr>
                <w:rFonts w:ascii="宋体" w:hAnsi="宋体" w:cs="Arial"/>
                <w:color w:val="auto"/>
                <w:sz w:val="21"/>
                <w:szCs w:val="21"/>
                <w:highlight w:val="none"/>
              </w:rPr>
            </w:pPr>
            <w:r>
              <w:rPr>
                <w:rFonts w:hint="eastAsia" w:ascii="宋体" w:hAnsi="宋体" w:cs="Arial"/>
                <w:color w:val="auto"/>
                <w:sz w:val="21"/>
                <w:szCs w:val="21"/>
                <w:highlight w:val="none"/>
              </w:rPr>
              <w:t>合同履约保函联系方式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43"/>
              <w:gridCol w:w="817"/>
              <w:gridCol w:w="1372"/>
            </w:tblGrid>
            <w:tr w14:paraId="05038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443" w:type="dxa"/>
                  <w:vAlign w:val="center"/>
                </w:tcPr>
                <w:p w14:paraId="0EF3DADE">
                  <w:pPr>
                    <w:adjustRightInd w:val="0"/>
                    <w:snapToGrid w:val="0"/>
                    <w:rPr>
                      <w:color w:val="auto"/>
                      <w:szCs w:val="21"/>
                      <w:highlight w:val="none"/>
                    </w:rPr>
                  </w:pPr>
                  <w:r>
                    <w:rPr>
                      <w:rFonts w:hint="eastAsia"/>
                      <w:color w:val="auto"/>
                      <w:szCs w:val="21"/>
                      <w:highlight w:val="none"/>
                    </w:rPr>
                    <w:t>保险公司名称</w:t>
                  </w:r>
                </w:p>
              </w:tc>
              <w:tc>
                <w:tcPr>
                  <w:tcW w:w="1643" w:type="dxa"/>
                  <w:vAlign w:val="center"/>
                </w:tcPr>
                <w:p w14:paraId="37A4E7A6">
                  <w:pPr>
                    <w:adjustRightInd w:val="0"/>
                    <w:snapToGrid w:val="0"/>
                    <w:rPr>
                      <w:color w:val="auto"/>
                      <w:szCs w:val="21"/>
                      <w:highlight w:val="none"/>
                    </w:rPr>
                  </w:pPr>
                  <w:r>
                    <w:rPr>
                      <w:rFonts w:hint="eastAsia"/>
                      <w:color w:val="auto"/>
                      <w:szCs w:val="21"/>
                      <w:highlight w:val="none"/>
                    </w:rPr>
                    <w:t>保费率</w:t>
                  </w:r>
                </w:p>
              </w:tc>
              <w:tc>
                <w:tcPr>
                  <w:tcW w:w="817" w:type="dxa"/>
                  <w:vAlign w:val="center"/>
                </w:tcPr>
                <w:p w14:paraId="2F802D6D">
                  <w:pPr>
                    <w:adjustRightInd w:val="0"/>
                    <w:snapToGrid w:val="0"/>
                    <w:rPr>
                      <w:color w:val="auto"/>
                      <w:szCs w:val="21"/>
                      <w:highlight w:val="none"/>
                    </w:rPr>
                  </w:pPr>
                  <w:r>
                    <w:rPr>
                      <w:rFonts w:hint="eastAsia"/>
                      <w:color w:val="auto"/>
                      <w:szCs w:val="21"/>
                      <w:highlight w:val="none"/>
                    </w:rPr>
                    <w:t>联系人</w:t>
                  </w:r>
                </w:p>
              </w:tc>
              <w:tc>
                <w:tcPr>
                  <w:tcW w:w="1372" w:type="dxa"/>
                  <w:vAlign w:val="center"/>
                </w:tcPr>
                <w:p w14:paraId="31BD09B4">
                  <w:pPr>
                    <w:adjustRightInd w:val="0"/>
                    <w:snapToGrid w:val="0"/>
                    <w:rPr>
                      <w:color w:val="auto"/>
                      <w:szCs w:val="21"/>
                      <w:highlight w:val="none"/>
                    </w:rPr>
                  </w:pPr>
                  <w:r>
                    <w:rPr>
                      <w:rFonts w:hint="eastAsia"/>
                      <w:color w:val="auto"/>
                      <w:szCs w:val="21"/>
                      <w:highlight w:val="none"/>
                    </w:rPr>
                    <w:t>联系电话</w:t>
                  </w:r>
                </w:p>
              </w:tc>
            </w:tr>
            <w:tr w14:paraId="1C35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1E2B0139">
                  <w:pPr>
                    <w:adjustRightInd w:val="0"/>
                    <w:snapToGrid w:val="0"/>
                    <w:rPr>
                      <w:color w:val="auto"/>
                      <w:szCs w:val="21"/>
                      <w:highlight w:val="none"/>
                    </w:rPr>
                  </w:pPr>
                  <w:r>
                    <w:rPr>
                      <w:rFonts w:hint="eastAsia"/>
                      <w:color w:val="auto"/>
                      <w:szCs w:val="21"/>
                      <w:highlight w:val="none"/>
                    </w:rPr>
                    <w:t>中国人寿财产保险股份有限公司台州中心支公司</w:t>
                  </w:r>
                </w:p>
              </w:tc>
              <w:tc>
                <w:tcPr>
                  <w:tcW w:w="1643" w:type="dxa"/>
                </w:tcPr>
                <w:p w14:paraId="680D5C43">
                  <w:pPr>
                    <w:adjustRightInd w:val="0"/>
                    <w:snapToGrid w:val="0"/>
                    <w:rPr>
                      <w:color w:val="auto"/>
                      <w:szCs w:val="21"/>
                      <w:highlight w:val="none"/>
                    </w:rPr>
                  </w:pPr>
                  <w:r>
                    <w:rPr>
                      <w:rFonts w:hint="eastAsia"/>
                      <w:color w:val="auto"/>
                      <w:szCs w:val="21"/>
                      <w:highlight w:val="none"/>
                    </w:rPr>
                    <w:t>年费率1%，最低保费500元</w:t>
                  </w:r>
                </w:p>
              </w:tc>
              <w:tc>
                <w:tcPr>
                  <w:tcW w:w="817" w:type="dxa"/>
                </w:tcPr>
                <w:p w14:paraId="01B19907">
                  <w:pPr>
                    <w:adjustRightInd w:val="0"/>
                    <w:snapToGrid w:val="0"/>
                    <w:rPr>
                      <w:color w:val="auto"/>
                      <w:szCs w:val="21"/>
                      <w:highlight w:val="none"/>
                    </w:rPr>
                  </w:pPr>
                  <w:r>
                    <w:rPr>
                      <w:rFonts w:hint="eastAsia"/>
                      <w:color w:val="auto"/>
                      <w:szCs w:val="21"/>
                      <w:highlight w:val="none"/>
                    </w:rPr>
                    <w:t>徐凌</w:t>
                  </w:r>
                </w:p>
              </w:tc>
              <w:tc>
                <w:tcPr>
                  <w:tcW w:w="1372" w:type="dxa"/>
                </w:tcPr>
                <w:p w14:paraId="047856C7">
                  <w:pPr>
                    <w:adjustRightInd w:val="0"/>
                    <w:snapToGrid w:val="0"/>
                    <w:rPr>
                      <w:color w:val="auto"/>
                      <w:szCs w:val="21"/>
                      <w:highlight w:val="none"/>
                    </w:rPr>
                  </w:pPr>
                  <w:r>
                    <w:rPr>
                      <w:color w:val="auto"/>
                      <w:szCs w:val="21"/>
                      <w:highlight w:val="none"/>
                    </w:rPr>
                    <w:t>139</w:t>
                  </w:r>
                  <w:r>
                    <w:rPr>
                      <w:color w:val="auto"/>
                      <w:szCs w:val="21"/>
                      <w:highlight w:val="none"/>
                    </w:rPr>
                    <w:cr/>
                  </w:r>
                  <w:r>
                    <w:rPr>
                      <w:color w:val="auto"/>
                      <w:szCs w:val="21"/>
                      <w:highlight w:val="none"/>
                    </w:rPr>
                    <w:t>5168070</w:t>
                  </w:r>
                </w:p>
              </w:tc>
            </w:tr>
            <w:tr w14:paraId="54301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70E32AF2">
                  <w:pPr>
                    <w:adjustRightInd w:val="0"/>
                    <w:snapToGrid w:val="0"/>
                    <w:rPr>
                      <w:color w:val="auto"/>
                      <w:szCs w:val="21"/>
                      <w:highlight w:val="none"/>
                    </w:rPr>
                  </w:pPr>
                  <w:r>
                    <w:rPr>
                      <w:rFonts w:hint="eastAsia"/>
                      <w:color w:val="auto"/>
                      <w:szCs w:val="21"/>
                      <w:highlight w:val="none"/>
                    </w:rPr>
                    <w:t>永诚财产保险股份有限公司台州分公司</w:t>
                  </w:r>
                </w:p>
              </w:tc>
              <w:tc>
                <w:tcPr>
                  <w:tcW w:w="1643" w:type="dxa"/>
                </w:tcPr>
                <w:p w14:paraId="4F8AB283">
                  <w:pPr>
                    <w:adjustRightInd w:val="0"/>
                    <w:snapToGrid w:val="0"/>
                    <w:rPr>
                      <w:color w:val="auto"/>
                      <w:szCs w:val="21"/>
                      <w:highlight w:val="none"/>
                    </w:rPr>
                  </w:pPr>
                  <w:r>
                    <w:rPr>
                      <w:rFonts w:hint="eastAsia"/>
                      <w:color w:val="auto"/>
                      <w:szCs w:val="21"/>
                      <w:highlight w:val="none"/>
                    </w:rPr>
                    <w:t>年费率1%，最低保费1000元</w:t>
                  </w:r>
                </w:p>
              </w:tc>
              <w:tc>
                <w:tcPr>
                  <w:tcW w:w="817" w:type="dxa"/>
                </w:tcPr>
                <w:p w14:paraId="2D701086">
                  <w:pPr>
                    <w:adjustRightInd w:val="0"/>
                    <w:snapToGrid w:val="0"/>
                    <w:rPr>
                      <w:color w:val="auto"/>
                      <w:szCs w:val="21"/>
                      <w:highlight w:val="none"/>
                    </w:rPr>
                  </w:pPr>
                  <w:r>
                    <w:rPr>
                      <w:rFonts w:hint="eastAsia"/>
                      <w:color w:val="auto"/>
                      <w:szCs w:val="21"/>
                      <w:highlight w:val="none"/>
                    </w:rPr>
                    <w:t>尹刚强</w:t>
                  </w:r>
                </w:p>
              </w:tc>
              <w:tc>
                <w:tcPr>
                  <w:tcW w:w="1372" w:type="dxa"/>
                </w:tcPr>
                <w:p w14:paraId="3074B7F1">
                  <w:pPr>
                    <w:adjustRightInd w:val="0"/>
                    <w:snapToGrid w:val="0"/>
                    <w:rPr>
                      <w:color w:val="auto"/>
                      <w:szCs w:val="21"/>
                      <w:highlight w:val="none"/>
                    </w:rPr>
                  </w:pPr>
                  <w:r>
                    <w:rPr>
                      <w:color w:val="auto"/>
                      <w:szCs w:val="21"/>
                      <w:highlight w:val="none"/>
                    </w:rPr>
                    <w:t>13750668184</w:t>
                  </w:r>
                </w:p>
              </w:tc>
            </w:tr>
            <w:tr w14:paraId="5242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E4CDA46">
                  <w:pPr>
                    <w:adjustRightInd w:val="0"/>
                    <w:snapToGrid w:val="0"/>
                    <w:rPr>
                      <w:color w:val="auto"/>
                      <w:szCs w:val="21"/>
                      <w:highlight w:val="none"/>
                    </w:rPr>
                  </w:pPr>
                  <w:r>
                    <w:rPr>
                      <w:rFonts w:hint="eastAsia"/>
                      <w:color w:val="auto"/>
                      <w:szCs w:val="21"/>
                      <w:highlight w:val="none"/>
                    </w:rPr>
                    <w:t>华泰财产保险有限公司台州中心支公司</w:t>
                  </w:r>
                </w:p>
              </w:tc>
              <w:tc>
                <w:tcPr>
                  <w:tcW w:w="1643" w:type="dxa"/>
                </w:tcPr>
                <w:p w14:paraId="565CDCD8">
                  <w:pPr>
                    <w:adjustRightInd w:val="0"/>
                    <w:snapToGrid w:val="0"/>
                    <w:rPr>
                      <w:color w:val="auto"/>
                      <w:szCs w:val="21"/>
                      <w:highlight w:val="none"/>
                    </w:rPr>
                  </w:pPr>
                  <w:r>
                    <w:rPr>
                      <w:rFonts w:hint="eastAsia"/>
                      <w:color w:val="auto"/>
                      <w:szCs w:val="21"/>
                      <w:highlight w:val="none"/>
                    </w:rPr>
                    <w:t>年费率0.5%，最低保费1000元</w:t>
                  </w:r>
                </w:p>
              </w:tc>
              <w:tc>
                <w:tcPr>
                  <w:tcW w:w="817" w:type="dxa"/>
                </w:tcPr>
                <w:p w14:paraId="5556FC32">
                  <w:pPr>
                    <w:adjustRightInd w:val="0"/>
                    <w:snapToGrid w:val="0"/>
                    <w:rPr>
                      <w:color w:val="auto"/>
                      <w:szCs w:val="21"/>
                      <w:highlight w:val="none"/>
                    </w:rPr>
                  </w:pPr>
                  <w:r>
                    <w:rPr>
                      <w:rFonts w:hint="eastAsia"/>
                      <w:color w:val="auto"/>
                      <w:szCs w:val="21"/>
                      <w:highlight w:val="none"/>
                    </w:rPr>
                    <w:t>王灵芳</w:t>
                  </w:r>
                </w:p>
              </w:tc>
              <w:tc>
                <w:tcPr>
                  <w:tcW w:w="1372" w:type="dxa"/>
                </w:tcPr>
                <w:p w14:paraId="0904AB1E">
                  <w:pPr>
                    <w:adjustRightInd w:val="0"/>
                    <w:snapToGrid w:val="0"/>
                    <w:rPr>
                      <w:color w:val="auto"/>
                      <w:szCs w:val="21"/>
                      <w:highlight w:val="none"/>
                    </w:rPr>
                  </w:pPr>
                  <w:r>
                    <w:rPr>
                      <w:color w:val="auto"/>
                      <w:szCs w:val="21"/>
                      <w:highlight w:val="none"/>
                    </w:rPr>
                    <w:t>88869818 13586123199</w:t>
                  </w:r>
                </w:p>
              </w:tc>
            </w:tr>
            <w:tr w14:paraId="34840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0B1B6F34">
                  <w:pPr>
                    <w:adjustRightInd w:val="0"/>
                    <w:snapToGrid w:val="0"/>
                    <w:rPr>
                      <w:color w:val="auto"/>
                      <w:szCs w:val="21"/>
                      <w:highlight w:val="none"/>
                    </w:rPr>
                  </w:pPr>
                  <w:r>
                    <w:rPr>
                      <w:rFonts w:hint="eastAsia"/>
                      <w:color w:val="auto"/>
                      <w:szCs w:val="21"/>
                      <w:highlight w:val="none"/>
                    </w:rPr>
                    <w:t>中国大地财产保险股份有限公司台州中心支公司</w:t>
                  </w:r>
                </w:p>
              </w:tc>
              <w:tc>
                <w:tcPr>
                  <w:tcW w:w="1643" w:type="dxa"/>
                </w:tcPr>
                <w:p w14:paraId="3E382EAD">
                  <w:pPr>
                    <w:adjustRightInd w:val="0"/>
                    <w:snapToGrid w:val="0"/>
                    <w:rPr>
                      <w:color w:val="auto"/>
                      <w:szCs w:val="21"/>
                      <w:highlight w:val="none"/>
                    </w:rPr>
                  </w:pPr>
                  <w:r>
                    <w:rPr>
                      <w:rFonts w:hint="eastAsia"/>
                      <w:color w:val="auto"/>
                      <w:szCs w:val="21"/>
                      <w:highlight w:val="none"/>
                    </w:rPr>
                    <w:t>年费率1.5%，最低保费1000元</w:t>
                  </w:r>
                </w:p>
              </w:tc>
              <w:tc>
                <w:tcPr>
                  <w:tcW w:w="817" w:type="dxa"/>
                </w:tcPr>
                <w:p w14:paraId="3F4D46B4">
                  <w:pPr>
                    <w:adjustRightInd w:val="0"/>
                    <w:snapToGrid w:val="0"/>
                    <w:rPr>
                      <w:color w:val="auto"/>
                      <w:szCs w:val="21"/>
                      <w:highlight w:val="none"/>
                    </w:rPr>
                  </w:pPr>
                  <w:r>
                    <w:rPr>
                      <w:rFonts w:hint="eastAsia"/>
                      <w:color w:val="auto"/>
                      <w:szCs w:val="21"/>
                      <w:highlight w:val="none"/>
                    </w:rPr>
                    <w:t>徐小明</w:t>
                  </w:r>
                </w:p>
              </w:tc>
              <w:tc>
                <w:tcPr>
                  <w:tcW w:w="1372" w:type="dxa"/>
                </w:tcPr>
                <w:p w14:paraId="20EAF6FE">
                  <w:pPr>
                    <w:adjustRightInd w:val="0"/>
                    <w:snapToGrid w:val="0"/>
                    <w:rPr>
                      <w:color w:val="auto"/>
                      <w:szCs w:val="21"/>
                      <w:highlight w:val="none"/>
                    </w:rPr>
                  </w:pPr>
                  <w:r>
                    <w:rPr>
                      <w:color w:val="auto"/>
                      <w:szCs w:val="21"/>
                      <w:highlight w:val="none"/>
                    </w:rPr>
                    <w:t>88552788      13968603112</w:t>
                  </w:r>
                </w:p>
              </w:tc>
            </w:tr>
            <w:tr w14:paraId="47474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42AFE49">
                  <w:pPr>
                    <w:adjustRightInd w:val="0"/>
                    <w:snapToGrid w:val="0"/>
                    <w:rPr>
                      <w:color w:val="auto"/>
                      <w:szCs w:val="21"/>
                      <w:highlight w:val="none"/>
                    </w:rPr>
                  </w:pPr>
                  <w:r>
                    <w:rPr>
                      <w:rFonts w:hint="eastAsia"/>
                      <w:color w:val="auto"/>
                      <w:szCs w:val="21"/>
                      <w:highlight w:val="none"/>
                    </w:rPr>
                    <w:t>阳光保险台州中心支公司</w:t>
                  </w:r>
                </w:p>
              </w:tc>
              <w:tc>
                <w:tcPr>
                  <w:tcW w:w="1643" w:type="dxa"/>
                </w:tcPr>
                <w:p w14:paraId="4F084471">
                  <w:pPr>
                    <w:adjustRightInd w:val="0"/>
                    <w:snapToGrid w:val="0"/>
                    <w:rPr>
                      <w:color w:val="auto"/>
                      <w:szCs w:val="21"/>
                      <w:highlight w:val="none"/>
                    </w:rPr>
                  </w:pPr>
                  <w:r>
                    <w:rPr>
                      <w:rFonts w:hint="eastAsia"/>
                      <w:color w:val="auto"/>
                      <w:szCs w:val="21"/>
                      <w:highlight w:val="none"/>
                    </w:rPr>
                    <w:t>年费率1%，最低保费500元</w:t>
                  </w:r>
                </w:p>
              </w:tc>
              <w:tc>
                <w:tcPr>
                  <w:tcW w:w="817" w:type="dxa"/>
                </w:tcPr>
                <w:p w14:paraId="70A8DFBF">
                  <w:pPr>
                    <w:adjustRightInd w:val="0"/>
                    <w:snapToGrid w:val="0"/>
                    <w:rPr>
                      <w:color w:val="auto"/>
                      <w:szCs w:val="21"/>
                      <w:highlight w:val="none"/>
                    </w:rPr>
                  </w:pPr>
                  <w:r>
                    <w:rPr>
                      <w:rFonts w:hint="eastAsia"/>
                      <w:color w:val="auto"/>
                      <w:szCs w:val="21"/>
                      <w:highlight w:val="none"/>
                    </w:rPr>
                    <w:t>林高明</w:t>
                  </w:r>
                </w:p>
              </w:tc>
              <w:tc>
                <w:tcPr>
                  <w:tcW w:w="1372" w:type="dxa"/>
                </w:tcPr>
                <w:p w14:paraId="7B659AE8">
                  <w:pPr>
                    <w:adjustRightInd w:val="0"/>
                    <w:snapToGrid w:val="0"/>
                    <w:rPr>
                      <w:color w:val="auto"/>
                      <w:szCs w:val="21"/>
                      <w:highlight w:val="none"/>
                    </w:rPr>
                  </w:pPr>
                  <w:r>
                    <w:rPr>
                      <w:color w:val="auto"/>
                      <w:szCs w:val="21"/>
                      <w:highlight w:val="none"/>
                    </w:rPr>
                    <w:t>1588868269</w:t>
                  </w:r>
                </w:p>
              </w:tc>
            </w:tr>
            <w:tr w14:paraId="4EB2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3D6F7297">
                  <w:pPr>
                    <w:adjustRightInd w:val="0"/>
                    <w:snapToGrid w:val="0"/>
                    <w:rPr>
                      <w:color w:val="auto"/>
                      <w:szCs w:val="21"/>
                      <w:highlight w:val="none"/>
                    </w:rPr>
                  </w:pPr>
                  <w:r>
                    <w:rPr>
                      <w:rFonts w:hint="eastAsia"/>
                      <w:color w:val="auto"/>
                      <w:szCs w:val="21"/>
                      <w:highlight w:val="none"/>
                    </w:rPr>
                    <w:t>中华联合财产保险股份有限公司台州中心支公司</w:t>
                  </w:r>
                </w:p>
              </w:tc>
              <w:tc>
                <w:tcPr>
                  <w:tcW w:w="1643" w:type="dxa"/>
                </w:tcPr>
                <w:p w14:paraId="0A537FC4">
                  <w:pPr>
                    <w:adjustRightInd w:val="0"/>
                    <w:snapToGrid w:val="0"/>
                    <w:rPr>
                      <w:color w:val="auto"/>
                      <w:szCs w:val="21"/>
                      <w:highlight w:val="none"/>
                    </w:rPr>
                  </w:pPr>
                  <w:r>
                    <w:rPr>
                      <w:rFonts w:hint="eastAsia"/>
                      <w:color w:val="auto"/>
                      <w:szCs w:val="21"/>
                      <w:highlight w:val="none"/>
                    </w:rPr>
                    <w:t>年费率2%，最低保费500元</w:t>
                  </w:r>
                </w:p>
              </w:tc>
              <w:tc>
                <w:tcPr>
                  <w:tcW w:w="817" w:type="dxa"/>
                </w:tcPr>
                <w:p w14:paraId="55C6EC84">
                  <w:pPr>
                    <w:adjustRightInd w:val="0"/>
                    <w:snapToGrid w:val="0"/>
                    <w:rPr>
                      <w:color w:val="auto"/>
                      <w:szCs w:val="21"/>
                      <w:highlight w:val="none"/>
                    </w:rPr>
                  </w:pPr>
                  <w:r>
                    <w:rPr>
                      <w:rFonts w:hint="eastAsia"/>
                      <w:color w:val="auto"/>
                      <w:szCs w:val="21"/>
                      <w:highlight w:val="none"/>
                    </w:rPr>
                    <w:t>王仙高</w:t>
                  </w:r>
                </w:p>
              </w:tc>
              <w:tc>
                <w:tcPr>
                  <w:tcW w:w="1372" w:type="dxa"/>
                </w:tcPr>
                <w:p w14:paraId="4CC19934">
                  <w:pPr>
                    <w:adjustRightInd w:val="0"/>
                    <w:snapToGrid w:val="0"/>
                    <w:rPr>
                      <w:color w:val="auto"/>
                      <w:szCs w:val="21"/>
                      <w:highlight w:val="none"/>
                    </w:rPr>
                  </w:pPr>
                  <w:r>
                    <w:rPr>
                      <w:color w:val="auto"/>
                      <w:szCs w:val="21"/>
                      <w:highlight w:val="none"/>
                    </w:rPr>
                    <w:t>13858600221</w:t>
                  </w:r>
                </w:p>
              </w:tc>
            </w:tr>
            <w:tr w14:paraId="4BD0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1407D014">
                  <w:pPr>
                    <w:adjustRightInd w:val="0"/>
                    <w:snapToGrid w:val="0"/>
                    <w:rPr>
                      <w:color w:val="auto"/>
                      <w:szCs w:val="21"/>
                      <w:highlight w:val="none"/>
                    </w:rPr>
                  </w:pPr>
                  <w:r>
                    <w:rPr>
                      <w:rFonts w:hint="eastAsia"/>
                      <w:color w:val="auto"/>
                      <w:szCs w:val="21"/>
                      <w:highlight w:val="none"/>
                    </w:rPr>
                    <w:t>中国人民财产保险股份有限公司台州中心支公司</w:t>
                  </w:r>
                </w:p>
              </w:tc>
              <w:tc>
                <w:tcPr>
                  <w:tcW w:w="1643" w:type="dxa"/>
                </w:tcPr>
                <w:p w14:paraId="7B1DAF26">
                  <w:pPr>
                    <w:adjustRightInd w:val="0"/>
                    <w:snapToGrid w:val="0"/>
                    <w:rPr>
                      <w:color w:val="auto"/>
                      <w:szCs w:val="21"/>
                      <w:highlight w:val="none"/>
                    </w:rPr>
                  </w:pPr>
                  <w:r>
                    <w:rPr>
                      <w:rFonts w:hint="eastAsia"/>
                      <w:color w:val="auto"/>
                      <w:szCs w:val="21"/>
                      <w:highlight w:val="none"/>
                    </w:rPr>
                    <w:t>年费率0.3%，最低保费1000元</w:t>
                  </w:r>
                </w:p>
              </w:tc>
              <w:tc>
                <w:tcPr>
                  <w:tcW w:w="817" w:type="dxa"/>
                </w:tcPr>
                <w:p w14:paraId="54E0E92D">
                  <w:pPr>
                    <w:adjustRightInd w:val="0"/>
                    <w:snapToGrid w:val="0"/>
                    <w:rPr>
                      <w:color w:val="auto"/>
                      <w:szCs w:val="21"/>
                      <w:highlight w:val="none"/>
                    </w:rPr>
                  </w:pPr>
                  <w:r>
                    <w:rPr>
                      <w:rFonts w:hint="eastAsia"/>
                      <w:color w:val="auto"/>
                      <w:szCs w:val="21"/>
                      <w:highlight w:val="none"/>
                    </w:rPr>
                    <w:t>王仙春</w:t>
                  </w:r>
                </w:p>
              </w:tc>
              <w:tc>
                <w:tcPr>
                  <w:tcW w:w="1372" w:type="dxa"/>
                </w:tcPr>
                <w:p w14:paraId="5EA6B248">
                  <w:pPr>
                    <w:adjustRightInd w:val="0"/>
                    <w:snapToGrid w:val="0"/>
                    <w:rPr>
                      <w:color w:val="auto"/>
                      <w:szCs w:val="21"/>
                      <w:highlight w:val="none"/>
                    </w:rPr>
                  </w:pPr>
                  <w:r>
                    <w:rPr>
                      <w:color w:val="auto"/>
                      <w:szCs w:val="21"/>
                      <w:highlight w:val="none"/>
                    </w:rPr>
                    <w:t>13515769179</w:t>
                  </w:r>
                </w:p>
              </w:tc>
            </w:tr>
            <w:tr w14:paraId="3E5BF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14:paraId="50E2622C">
                  <w:pPr>
                    <w:adjustRightInd w:val="0"/>
                    <w:snapToGrid w:val="0"/>
                    <w:rPr>
                      <w:color w:val="auto"/>
                      <w:szCs w:val="21"/>
                      <w:highlight w:val="none"/>
                    </w:rPr>
                  </w:pPr>
                  <w:r>
                    <w:rPr>
                      <w:rFonts w:hint="eastAsia"/>
                      <w:color w:val="auto"/>
                      <w:szCs w:val="21"/>
                      <w:highlight w:val="none"/>
                    </w:rPr>
                    <w:t>永安财产保险股份有限公司台州中心支公司</w:t>
                  </w:r>
                </w:p>
              </w:tc>
              <w:tc>
                <w:tcPr>
                  <w:tcW w:w="1643" w:type="dxa"/>
                </w:tcPr>
                <w:p w14:paraId="39ECEB9C">
                  <w:pPr>
                    <w:adjustRightInd w:val="0"/>
                    <w:snapToGrid w:val="0"/>
                    <w:rPr>
                      <w:color w:val="auto"/>
                      <w:szCs w:val="21"/>
                      <w:highlight w:val="none"/>
                    </w:rPr>
                  </w:pPr>
                  <w:r>
                    <w:rPr>
                      <w:rFonts w:hint="eastAsia"/>
                      <w:color w:val="auto"/>
                      <w:szCs w:val="21"/>
                      <w:highlight w:val="none"/>
                    </w:rPr>
                    <w:t>年费率0.3%，最低保费1000</w:t>
                  </w:r>
                </w:p>
              </w:tc>
              <w:tc>
                <w:tcPr>
                  <w:tcW w:w="817" w:type="dxa"/>
                </w:tcPr>
                <w:p w14:paraId="1D2A321D">
                  <w:pPr>
                    <w:adjustRightInd w:val="0"/>
                    <w:snapToGrid w:val="0"/>
                    <w:rPr>
                      <w:color w:val="auto"/>
                      <w:szCs w:val="21"/>
                      <w:highlight w:val="none"/>
                    </w:rPr>
                  </w:pPr>
                  <w:r>
                    <w:rPr>
                      <w:rFonts w:hint="eastAsia"/>
                      <w:color w:val="auto"/>
                      <w:szCs w:val="21"/>
                      <w:highlight w:val="none"/>
                    </w:rPr>
                    <w:t>王春宇</w:t>
                  </w:r>
                </w:p>
              </w:tc>
              <w:tc>
                <w:tcPr>
                  <w:tcW w:w="1372" w:type="dxa"/>
                </w:tcPr>
                <w:p w14:paraId="158F37DF">
                  <w:pPr>
                    <w:adjustRightInd w:val="0"/>
                    <w:snapToGrid w:val="0"/>
                    <w:rPr>
                      <w:color w:val="auto"/>
                      <w:szCs w:val="21"/>
                      <w:highlight w:val="none"/>
                    </w:rPr>
                  </w:pPr>
                  <w:r>
                    <w:rPr>
                      <w:color w:val="auto"/>
                      <w:szCs w:val="21"/>
                      <w:highlight w:val="none"/>
                    </w:rPr>
                    <w:t>1367667533</w:t>
                  </w:r>
                </w:p>
              </w:tc>
            </w:tr>
          </w:tbl>
          <w:p w14:paraId="415CD06F">
            <w:pPr>
              <w:adjustRightInd w:val="0"/>
              <w:snapToGrid w:val="0"/>
              <w:jc w:val="center"/>
              <w:rPr>
                <w:color w:val="auto"/>
                <w:szCs w:val="21"/>
                <w:highlight w:val="none"/>
              </w:rPr>
            </w:pPr>
          </w:p>
        </w:tc>
      </w:tr>
      <w:tr w14:paraId="66F9F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57" w:type="dxa"/>
            <w:tcBorders>
              <w:top w:val="single" w:color="auto" w:sz="4" w:space="0"/>
              <w:left w:val="single" w:color="auto" w:sz="4" w:space="0"/>
              <w:bottom w:val="single" w:color="auto" w:sz="4" w:space="0"/>
              <w:right w:val="single" w:color="auto" w:sz="4" w:space="0"/>
            </w:tcBorders>
            <w:vAlign w:val="center"/>
          </w:tcPr>
          <w:p w14:paraId="10F26368">
            <w:pPr>
              <w:jc w:val="center"/>
              <w:rPr>
                <w:rFonts w:ascii="宋体" w:hAnsi="宋体" w:cs="宋体"/>
                <w:color w:val="auto"/>
                <w:szCs w:val="21"/>
                <w:highlight w:val="none"/>
              </w:rPr>
            </w:pPr>
            <w:r>
              <w:rPr>
                <w:rFonts w:hint="eastAsia" w:ascii="宋体" w:hAnsi="宋体" w:cs="宋体"/>
                <w:color w:val="auto"/>
                <w:szCs w:val="21"/>
                <w:highlight w:val="none"/>
              </w:rPr>
              <w:t>20</w:t>
            </w:r>
          </w:p>
        </w:tc>
        <w:tc>
          <w:tcPr>
            <w:tcW w:w="1760" w:type="dxa"/>
            <w:tcBorders>
              <w:top w:val="single" w:color="auto" w:sz="4" w:space="0"/>
              <w:left w:val="single" w:color="auto" w:sz="4" w:space="0"/>
              <w:bottom w:val="single" w:color="auto" w:sz="4" w:space="0"/>
              <w:right w:val="single" w:color="auto" w:sz="4" w:space="0"/>
            </w:tcBorders>
            <w:vAlign w:val="center"/>
          </w:tcPr>
          <w:p w14:paraId="0D1CC62E">
            <w:pPr>
              <w:pStyle w:val="21"/>
              <w:spacing w:line="240" w:lineRule="auto"/>
              <w:ind w:firstLine="0" w:firstLineChars="0"/>
              <w:rPr>
                <w:rFonts w:ascii="宋体" w:hAnsi="宋体" w:cs="Arial"/>
                <w:color w:val="auto"/>
                <w:sz w:val="21"/>
                <w:szCs w:val="21"/>
                <w:highlight w:val="none"/>
              </w:rPr>
            </w:pPr>
            <w:r>
              <w:rPr>
                <w:rFonts w:hint="eastAsia" w:ascii="宋体" w:hAnsi="宋体" w:cs="Arial"/>
                <w:color w:val="auto"/>
                <w:sz w:val="21"/>
                <w:szCs w:val="21"/>
                <w:highlight w:val="none"/>
              </w:rPr>
              <w:t>预付款保函联系方式</w:t>
            </w:r>
          </w:p>
        </w:tc>
        <w:tc>
          <w:tcPr>
            <w:tcW w:w="6501" w:type="dxa"/>
            <w:tcBorders>
              <w:top w:val="single" w:color="auto" w:sz="4" w:space="0"/>
              <w:left w:val="single" w:color="auto" w:sz="4" w:space="0"/>
              <w:bottom w:val="single" w:color="auto" w:sz="4" w:space="0"/>
              <w:right w:val="single" w:color="auto" w:sz="4" w:space="0"/>
            </w:tcBorders>
            <w:vAlign w:val="center"/>
          </w:tcPr>
          <w:tbl>
            <w:tblPr>
              <w:tblStyle w:val="46"/>
              <w:tblW w:w="62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4"/>
              <w:gridCol w:w="1651"/>
              <w:gridCol w:w="817"/>
              <w:gridCol w:w="1373"/>
            </w:tblGrid>
            <w:tr w14:paraId="46492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434" w:type="dxa"/>
                  <w:vAlign w:val="center"/>
                </w:tcPr>
                <w:p w14:paraId="1B520C34">
                  <w:pPr>
                    <w:jc w:val="center"/>
                    <w:rPr>
                      <w:color w:val="auto"/>
                      <w:szCs w:val="21"/>
                      <w:highlight w:val="none"/>
                    </w:rPr>
                  </w:pPr>
                  <w:r>
                    <w:rPr>
                      <w:rFonts w:hint="eastAsia"/>
                      <w:color w:val="auto"/>
                      <w:szCs w:val="21"/>
                      <w:highlight w:val="none"/>
                    </w:rPr>
                    <w:t>保险公司名称</w:t>
                  </w:r>
                </w:p>
              </w:tc>
              <w:tc>
                <w:tcPr>
                  <w:tcW w:w="1651" w:type="dxa"/>
                  <w:vAlign w:val="center"/>
                </w:tcPr>
                <w:p w14:paraId="6B6D6869">
                  <w:pPr>
                    <w:jc w:val="center"/>
                    <w:rPr>
                      <w:color w:val="auto"/>
                      <w:szCs w:val="21"/>
                      <w:highlight w:val="none"/>
                    </w:rPr>
                  </w:pPr>
                  <w:r>
                    <w:rPr>
                      <w:rFonts w:hint="eastAsia"/>
                      <w:color w:val="auto"/>
                      <w:szCs w:val="21"/>
                      <w:highlight w:val="none"/>
                    </w:rPr>
                    <w:t>保费率</w:t>
                  </w:r>
                </w:p>
              </w:tc>
              <w:tc>
                <w:tcPr>
                  <w:tcW w:w="817" w:type="dxa"/>
                  <w:vAlign w:val="center"/>
                </w:tcPr>
                <w:p w14:paraId="40622DE0">
                  <w:pPr>
                    <w:jc w:val="center"/>
                    <w:rPr>
                      <w:color w:val="auto"/>
                      <w:szCs w:val="21"/>
                      <w:highlight w:val="none"/>
                    </w:rPr>
                  </w:pPr>
                  <w:r>
                    <w:rPr>
                      <w:rFonts w:hint="eastAsia"/>
                      <w:color w:val="auto"/>
                      <w:szCs w:val="21"/>
                      <w:highlight w:val="none"/>
                    </w:rPr>
                    <w:t>联系人</w:t>
                  </w:r>
                </w:p>
              </w:tc>
              <w:tc>
                <w:tcPr>
                  <w:tcW w:w="1373" w:type="dxa"/>
                  <w:vAlign w:val="center"/>
                </w:tcPr>
                <w:p w14:paraId="5D2B065E">
                  <w:pPr>
                    <w:jc w:val="center"/>
                    <w:rPr>
                      <w:color w:val="auto"/>
                      <w:szCs w:val="21"/>
                      <w:highlight w:val="none"/>
                    </w:rPr>
                  </w:pPr>
                  <w:r>
                    <w:rPr>
                      <w:rFonts w:hint="eastAsia"/>
                      <w:color w:val="auto"/>
                      <w:szCs w:val="21"/>
                      <w:highlight w:val="none"/>
                    </w:rPr>
                    <w:t>联系电话</w:t>
                  </w:r>
                </w:p>
              </w:tc>
            </w:tr>
            <w:tr w14:paraId="523C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3622F383">
                  <w:pPr>
                    <w:rPr>
                      <w:color w:val="auto"/>
                      <w:szCs w:val="21"/>
                      <w:highlight w:val="none"/>
                    </w:rPr>
                  </w:pPr>
                  <w:r>
                    <w:rPr>
                      <w:rFonts w:hint="eastAsia"/>
                      <w:color w:val="auto"/>
                      <w:szCs w:val="21"/>
                      <w:highlight w:val="none"/>
                    </w:rPr>
                    <w:t>中国人寿财产保险股份有限公司台州中心支公司</w:t>
                  </w:r>
                </w:p>
              </w:tc>
              <w:tc>
                <w:tcPr>
                  <w:tcW w:w="1651" w:type="dxa"/>
                </w:tcPr>
                <w:p w14:paraId="3FFD1178">
                  <w:pPr>
                    <w:rPr>
                      <w:color w:val="auto"/>
                      <w:szCs w:val="21"/>
                      <w:highlight w:val="none"/>
                    </w:rPr>
                  </w:pPr>
                  <w:r>
                    <w:rPr>
                      <w:rFonts w:hint="eastAsia"/>
                      <w:color w:val="auto"/>
                      <w:szCs w:val="21"/>
                      <w:highlight w:val="none"/>
                    </w:rPr>
                    <w:t>年费率3%，最低保费500元</w:t>
                  </w:r>
                </w:p>
              </w:tc>
              <w:tc>
                <w:tcPr>
                  <w:tcW w:w="817" w:type="dxa"/>
                </w:tcPr>
                <w:p w14:paraId="6E302D9C">
                  <w:pPr>
                    <w:rPr>
                      <w:color w:val="auto"/>
                      <w:szCs w:val="21"/>
                      <w:highlight w:val="none"/>
                    </w:rPr>
                  </w:pPr>
                  <w:r>
                    <w:rPr>
                      <w:rFonts w:hint="eastAsia"/>
                      <w:color w:val="auto"/>
                      <w:szCs w:val="21"/>
                      <w:highlight w:val="none"/>
                    </w:rPr>
                    <w:t>徐凌</w:t>
                  </w:r>
                </w:p>
              </w:tc>
              <w:tc>
                <w:tcPr>
                  <w:tcW w:w="1373" w:type="dxa"/>
                </w:tcPr>
                <w:p w14:paraId="40CE4A25">
                  <w:pPr>
                    <w:rPr>
                      <w:color w:val="auto"/>
                      <w:szCs w:val="21"/>
                      <w:highlight w:val="none"/>
                    </w:rPr>
                  </w:pPr>
                  <w:r>
                    <w:rPr>
                      <w:color w:val="auto"/>
                      <w:szCs w:val="21"/>
                      <w:highlight w:val="none"/>
                    </w:rPr>
                    <w:t>13905168070</w:t>
                  </w:r>
                </w:p>
              </w:tc>
            </w:tr>
            <w:tr w14:paraId="23E2A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2D7A8BE2">
                  <w:pPr>
                    <w:rPr>
                      <w:color w:val="auto"/>
                      <w:szCs w:val="21"/>
                      <w:highlight w:val="none"/>
                    </w:rPr>
                  </w:pPr>
                  <w:r>
                    <w:rPr>
                      <w:rFonts w:hint="eastAsia"/>
                      <w:color w:val="auto"/>
                      <w:szCs w:val="21"/>
                      <w:highlight w:val="none"/>
                    </w:rPr>
                    <w:t>阳光保险台州中心支公司</w:t>
                  </w:r>
                </w:p>
              </w:tc>
              <w:tc>
                <w:tcPr>
                  <w:tcW w:w="1651" w:type="dxa"/>
                </w:tcPr>
                <w:p w14:paraId="417D5D74">
                  <w:pPr>
                    <w:rPr>
                      <w:color w:val="auto"/>
                      <w:szCs w:val="21"/>
                      <w:highlight w:val="none"/>
                    </w:rPr>
                  </w:pPr>
                  <w:r>
                    <w:rPr>
                      <w:rFonts w:hint="eastAsia"/>
                      <w:color w:val="auto"/>
                      <w:szCs w:val="21"/>
                      <w:highlight w:val="none"/>
                    </w:rPr>
                    <w:t>年费率1%，最低保费500元</w:t>
                  </w:r>
                </w:p>
              </w:tc>
              <w:tc>
                <w:tcPr>
                  <w:tcW w:w="817" w:type="dxa"/>
                </w:tcPr>
                <w:p w14:paraId="2EFE06AC">
                  <w:pPr>
                    <w:rPr>
                      <w:color w:val="auto"/>
                      <w:szCs w:val="21"/>
                      <w:highlight w:val="none"/>
                    </w:rPr>
                  </w:pPr>
                  <w:r>
                    <w:rPr>
                      <w:rFonts w:hint="eastAsia"/>
                      <w:color w:val="auto"/>
                      <w:szCs w:val="21"/>
                      <w:highlight w:val="none"/>
                    </w:rPr>
                    <w:t>林高明</w:t>
                  </w:r>
                </w:p>
              </w:tc>
              <w:tc>
                <w:tcPr>
                  <w:tcW w:w="1373" w:type="dxa"/>
                </w:tcPr>
                <w:p w14:paraId="35719638">
                  <w:pPr>
                    <w:rPr>
                      <w:color w:val="auto"/>
                      <w:szCs w:val="21"/>
                      <w:highlight w:val="none"/>
                    </w:rPr>
                  </w:pPr>
                  <w:r>
                    <w:rPr>
                      <w:color w:val="auto"/>
                      <w:szCs w:val="21"/>
                      <w:highlight w:val="none"/>
                    </w:rPr>
                    <w:cr/>
                  </w:r>
                  <w:r>
                    <w:rPr>
                      <w:color w:val="auto"/>
                      <w:szCs w:val="21"/>
                      <w:highlight w:val="none"/>
                    </w:rPr>
                    <w:t>5888682693</w:t>
                  </w:r>
                </w:p>
              </w:tc>
            </w:tr>
            <w:tr w14:paraId="4FBA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14:paraId="626772F7">
                  <w:pPr>
                    <w:rPr>
                      <w:color w:val="auto"/>
                      <w:szCs w:val="21"/>
                      <w:highlight w:val="none"/>
                    </w:rPr>
                  </w:pPr>
                  <w:r>
                    <w:rPr>
                      <w:rFonts w:hint="eastAsia"/>
                      <w:color w:val="auto"/>
                      <w:szCs w:val="21"/>
                      <w:highlight w:val="none"/>
                    </w:rPr>
                    <w:t>天安财产保险股份有限公司台州中心支公司</w:t>
                  </w:r>
                </w:p>
              </w:tc>
              <w:tc>
                <w:tcPr>
                  <w:tcW w:w="1651" w:type="dxa"/>
                </w:tcPr>
                <w:p w14:paraId="43701BC3">
                  <w:pPr>
                    <w:rPr>
                      <w:color w:val="auto"/>
                      <w:szCs w:val="21"/>
                      <w:highlight w:val="none"/>
                    </w:rPr>
                  </w:pPr>
                  <w:r>
                    <w:rPr>
                      <w:rFonts w:hint="eastAsia"/>
                      <w:color w:val="auto"/>
                      <w:szCs w:val="21"/>
                      <w:highlight w:val="none"/>
                    </w:rPr>
                    <w:t>年费率1%-2%，最低保费500元</w:t>
                  </w:r>
                </w:p>
              </w:tc>
              <w:tc>
                <w:tcPr>
                  <w:tcW w:w="817" w:type="dxa"/>
                </w:tcPr>
                <w:p w14:paraId="6AEF1419">
                  <w:pPr>
                    <w:rPr>
                      <w:color w:val="auto"/>
                      <w:szCs w:val="21"/>
                      <w:highlight w:val="none"/>
                    </w:rPr>
                  </w:pPr>
                  <w:r>
                    <w:rPr>
                      <w:rFonts w:hint="eastAsia"/>
                      <w:color w:val="auto"/>
                      <w:szCs w:val="21"/>
                      <w:highlight w:val="none"/>
                    </w:rPr>
                    <w:t>罗赛</w:t>
                  </w:r>
                </w:p>
              </w:tc>
              <w:tc>
                <w:tcPr>
                  <w:tcW w:w="1373" w:type="dxa"/>
                </w:tcPr>
                <w:p w14:paraId="092BAD98">
                  <w:pPr>
                    <w:rPr>
                      <w:color w:val="auto"/>
                      <w:szCs w:val="21"/>
                      <w:highlight w:val="none"/>
                    </w:rPr>
                  </w:pPr>
                  <w:r>
                    <w:rPr>
                      <w:rFonts w:hint="eastAsia"/>
                      <w:color w:val="auto"/>
                      <w:szCs w:val="21"/>
                      <w:highlight w:val="none"/>
                    </w:rPr>
                    <w:t>13736605643</w:t>
                  </w:r>
                </w:p>
              </w:tc>
            </w:tr>
          </w:tbl>
          <w:p w14:paraId="157C6CDF">
            <w:pPr>
              <w:adjustRightInd w:val="0"/>
              <w:snapToGrid w:val="0"/>
              <w:jc w:val="center"/>
              <w:rPr>
                <w:color w:val="auto"/>
                <w:szCs w:val="21"/>
                <w:highlight w:val="none"/>
              </w:rPr>
            </w:pPr>
          </w:p>
        </w:tc>
      </w:tr>
    </w:tbl>
    <w:p w14:paraId="4CB518BF">
      <w:pPr>
        <w:pStyle w:val="26"/>
        <w:snapToGrid w:val="0"/>
        <w:spacing w:before="156" w:beforeLines="50"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二、说 明</w:t>
      </w:r>
    </w:p>
    <w:p w14:paraId="21DB450C">
      <w:pPr>
        <w:pStyle w:val="27"/>
        <w:numPr>
          <w:ilvl w:val="0"/>
          <w:numId w:val="16"/>
        </w:numPr>
        <w:spacing w:line="360" w:lineRule="auto"/>
        <w:ind w:left="0" w:leftChars="0"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总则</w:t>
      </w:r>
    </w:p>
    <w:p w14:paraId="7BBBE690">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本招标文件依据《中华人民共和国政府采购法》、《中华人民共和国政府采购法实施条例》（国务院令第658号）和《政府采购货物和服务招标投标管理办法》（财政部令第87号）及国家和</w:t>
      </w:r>
      <w:r>
        <w:rPr>
          <w:rFonts w:hint="eastAsia" w:asciiTheme="minorEastAsia" w:hAnsiTheme="minorEastAsia" w:eastAsiaTheme="minorEastAsia"/>
          <w:color w:val="auto"/>
          <w:szCs w:val="21"/>
          <w:highlight w:val="none"/>
        </w:rPr>
        <w:t>浙江省</w:t>
      </w:r>
      <w:r>
        <w:rPr>
          <w:rFonts w:asciiTheme="minorEastAsia" w:hAnsiTheme="minorEastAsia" w:eastAsiaTheme="minorEastAsia"/>
          <w:color w:val="auto"/>
          <w:szCs w:val="21"/>
          <w:highlight w:val="none"/>
        </w:rPr>
        <w:t>有关法律、法规、规章编制。</w:t>
      </w:r>
    </w:p>
    <w:p w14:paraId="5F4CE396">
      <w:pPr>
        <w:snapToGrid w:val="0"/>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投标供应商应仔细阅读本项目招标公告及招标文件的所有内容（包括变更、补充、澄清以及修改等，且均为招标文件的组成部分），按照招标文件要求以及格式编制投标文件，并保证其真实性，否则</w:t>
      </w:r>
      <w:r>
        <w:rPr>
          <w:rFonts w:hint="eastAsia"/>
          <w:color w:val="auto"/>
          <w:szCs w:val="21"/>
          <w:highlight w:val="none"/>
        </w:rPr>
        <w:t>由此引起的一切后果应由</w:t>
      </w:r>
      <w:r>
        <w:rPr>
          <w:rFonts w:asciiTheme="minorEastAsia" w:hAnsiTheme="minorEastAsia" w:eastAsiaTheme="minorEastAsia"/>
          <w:color w:val="auto"/>
          <w:szCs w:val="21"/>
          <w:highlight w:val="none"/>
        </w:rPr>
        <w:t>投标供应商</w:t>
      </w:r>
      <w:r>
        <w:rPr>
          <w:rFonts w:hint="eastAsia"/>
          <w:color w:val="auto"/>
          <w:szCs w:val="21"/>
          <w:highlight w:val="none"/>
        </w:rPr>
        <w:t>承担。</w:t>
      </w:r>
    </w:p>
    <w:p w14:paraId="7D6FB666">
      <w:pPr>
        <w:numPr>
          <w:ilvl w:val="0"/>
          <w:numId w:val="16"/>
        </w:numPr>
        <w:snapToGrid w:val="0"/>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适用范围</w:t>
      </w:r>
    </w:p>
    <w:p w14:paraId="1E5DDC0F">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w:t>
      </w:r>
      <w:r>
        <w:rPr>
          <w:rFonts w:hint="eastAsia" w:asciiTheme="minorEastAsia" w:hAnsiTheme="minorEastAsia" w:eastAsiaTheme="minorEastAsia"/>
          <w:bCs/>
          <w:color w:val="auto"/>
          <w:szCs w:val="21"/>
          <w:highlight w:val="none"/>
        </w:rPr>
        <w:t>本次</w:t>
      </w:r>
      <w:r>
        <w:rPr>
          <w:rFonts w:hint="eastAsia" w:asciiTheme="minorEastAsia" w:hAnsiTheme="minorEastAsia" w:eastAsiaTheme="minorEastAsia"/>
          <w:color w:val="auto"/>
          <w:szCs w:val="21"/>
          <w:highlight w:val="none"/>
        </w:rPr>
        <w:t>项目的招标、投标、评标、定标、验收、合同履约、付款等行为（法律、法规另有规定的，从其规定）。</w:t>
      </w:r>
    </w:p>
    <w:p w14:paraId="37FB1A58">
      <w:pPr>
        <w:pStyle w:val="20"/>
        <w:spacing w:line="360" w:lineRule="auto"/>
        <w:ind w:firstLine="420" w:firstLineChars="200"/>
        <w:rPr>
          <w:color w:val="auto"/>
          <w:sz w:val="21"/>
          <w:szCs w:val="21"/>
          <w:highlight w:val="none"/>
        </w:rPr>
      </w:pPr>
      <w:r>
        <w:rPr>
          <w:color w:val="auto"/>
          <w:sz w:val="21"/>
          <w:szCs w:val="21"/>
          <w:highlight w:val="none"/>
        </w:rPr>
        <w:t>本招标文件仅适用于本次招标公告中所涉及的项目和内容。</w:t>
      </w:r>
    </w:p>
    <w:p w14:paraId="7F2C9E6F">
      <w:pPr>
        <w:snapToGrid w:val="0"/>
        <w:spacing w:before="156" w:beforeLines="50"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（三）当事人</w:t>
      </w:r>
    </w:p>
    <w:p w14:paraId="0208167D">
      <w:pPr>
        <w:pStyle w:val="4"/>
        <w:keepNext w:val="0"/>
        <w:keepLines w:val="0"/>
        <w:tabs>
          <w:tab w:val="left" w:pos="0"/>
          <w:tab w:val="left" w:pos="851"/>
        </w:tabs>
        <w:snapToGrid w:val="0"/>
        <w:spacing w:before="0" w:after="0" w:line="360" w:lineRule="auto"/>
        <w:ind w:firstLine="420" w:firstLineChars="200"/>
        <w:rPr>
          <w:rFonts w:asciiTheme="minorEastAsia" w:hAnsiTheme="minorEastAsia" w:eastAsiaTheme="minorEastAsia"/>
          <w:bCs w:val="0"/>
          <w:color w:val="auto"/>
          <w:szCs w:val="21"/>
          <w:highlight w:val="none"/>
        </w:rPr>
      </w:pPr>
      <w:r>
        <w:rPr>
          <w:rFonts w:hint="eastAsia" w:asciiTheme="minorEastAsia" w:hAnsiTheme="minorEastAsia" w:eastAsiaTheme="minorEastAsia"/>
          <w:color w:val="auto"/>
          <w:szCs w:val="21"/>
          <w:highlight w:val="none"/>
        </w:rPr>
        <w:t>1.</w:t>
      </w:r>
      <w:r>
        <w:rPr>
          <w:rFonts w:hint="eastAsia"/>
          <w:bCs w:val="0"/>
          <w:color w:val="auto"/>
          <w:szCs w:val="21"/>
          <w:highlight w:val="none"/>
          <w:lang w:val="zh-CN"/>
        </w:rPr>
        <w:t>采购组织机构：</w:t>
      </w:r>
      <w:r>
        <w:rPr>
          <w:rFonts w:hint="eastAsia" w:asciiTheme="minorEastAsia" w:hAnsiTheme="minorEastAsia" w:eastAsiaTheme="minorEastAsia"/>
          <w:color w:val="auto"/>
          <w:szCs w:val="21"/>
          <w:highlight w:val="none"/>
        </w:rPr>
        <w:t>是</w:t>
      </w:r>
      <w:r>
        <w:rPr>
          <w:rFonts w:hint="eastAsia"/>
          <w:bCs w:val="0"/>
          <w:color w:val="auto"/>
          <w:szCs w:val="21"/>
          <w:highlight w:val="none"/>
          <w:lang w:val="zh-CN"/>
        </w:rPr>
        <w:t>指采购人委托组织招标的集中采购机构</w:t>
      </w:r>
      <w:r>
        <w:rPr>
          <w:rFonts w:hint="eastAsia" w:cs="Arial"/>
          <w:bCs w:val="0"/>
          <w:color w:val="auto"/>
          <w:szCs w:val="21"/>
          <w:highlight w:val="none"/>
        </w:rPr>
        <w:t>或</w:t>
      </w:r>
      <w:r>
        <w:rPr>
          <w:rFonts w:hint="eastAsia"/>
          <w:bCs w:val="0"/>
          <w:color w:val="auto"/>
          <w:szCs w:val="21"/>
          <w:highlight w:val="none"/>
          <w:lang w:val="zh-CN"/>
        </w:rPr>
        <w:t>采购代理机构。</w:t>
      </w:r>
    </w:p>
    <w:p w14:paraId="13212532">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2.采购人：是指依法进行政府采购的国家机关、事业单位和团体组织。</w:t>
      </w:r>
    </w:p>
    <w:p w14:paraId="31682272">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投标供应商</w:t>
      </w:r>
      <w:r>
        <w:rPr>
          <w:rFonts w:hint="eastAsia" w:asciiTheme="minorEastAsia" w:hAnsiTheme="minorEastAsia" w:eastAsiaTheme="minorEastAsia"/>
          <w:color w:val="auto"/>
          <w:szCs w:val="21"/>
          <w:highlight w:val="none"/>
        </w:rPr>
        <w:t>/供应商：是</w:t>
      </w:r>
      <w:r>
        <w:rPr>
          <w:rFonts w:asciiTheme="minorEastAsia" w:hAnsiTheme="minorEastAsia" w:eastAsiaTheme="minorEastAsia"/>
          <w:color w:val="auto"/>
          <w:szCs w:val="21"/>
          <w:highlight w:val="none"/>
        </w:rPr>
        <w:t>指</w:t>
      </w:r>
      <w:r>
        <w:rPr>
          <w:rFonts w:hint="eastAsia" w:asciiTheme="minorEastAsia" w:hAnsiTheme="minorEastAsia" w:eastAsiaTheme="minorEastAsia"/>
          <w:color w:val="auto"/>
          <w:szCs w:val="21"/>
          <w:highlight w:val="none"/>
        </w:rPr>
        <w:t>响应招标、参加投标竞争的法人、其他组织或者自然人</w:t>
      </w:r>
      <w:r>
        <w:rPr>
          <w:rFonts w:asciiTheme="minorEastAsia" w:hAnsiTheme="minorEastAsia" w:eastAsiaTheme="minorEastAsia"/>
          <w:color w:val="auto"/>
          <w:szCs w:val="21"/>
          <w:highlight w:val="none"/>
        </w:rPr>
        <w:t>。</w:t>
      </w:r>
    </w:p>
    <w:p w14:paraId="4A31E05C">
      <w:pPr>
        <w:snapToGrid w:val="0"/>
        <w:spacing w:line="360" w:lineRule="auto"/>
        <w:ind w:firstLine="420" w:firstLineChars="200"/>
        <w:rPr>
          <w:rFonts w:ascii="宋体" w:hAnsi="宋体"/>
          <w:color w:val="auto"/>
          <w:szCs w:val="21"/>
          <w:highlight w:val="none"/>
          <w:lang w:val="zh-CN"/>
        </w:rPr>
      </w:pPr>
      <w:r>
        <w:rPr>
          <w:rFonts w:hint="eastAsia" w:ascii="宋体" w:hAnsi="宋体"/>
          <w:color w:val="auto"/>
          <w:szCs w:val="21"/>
          <w:highlight w:val="none"/>
        </w:rPr>
        <w:t>4.</w:t>
      </w:r>
      <w:r>
        <w:rPr>
          <w:rFonts w:hint="eastAsia" w:ascii="宋体" w:hAnsi="宋体"/>
          <w:color w:val="auto"/>
          <w:szCs w:val="21"/>
          <w:highlight w:val="none"/>
          <w:lang w:val="zh-CN"/>
        </w:rPr>
        <w:t>中标供应商：是指经评</w:t>
      </w:r>
      <w:r>
        <w:rPr>
          <w:rFonts w:hint="eastAsia" w:ascii="宋体" w:hAnsi="宋体"/>
          <w:color w:val="auto"/>
          <w:szCs w:val="21"/>
          <w:highlight w:val="none"/>
        </w:rPr>
        <w:t>标</w:t>
      </w:r>
      <w:r>
        <w:rPr>
          <w:rFonts w:hint="eastAsia" w:ascii="宋体" w:hAnsi="宋体"/>
          <w:color w:val="auto"/>
          <w:szCs w:val="21"/>
          <w:highlight w:val="none"/>
          <w:lang w:val="zh-CN"/>
        </w:rPr>
        <w:t>委员会评审确定的对招标文件</w:t>
      </w:r>
      <w:r>
        <w:rPr>
          <w:rFonts w:hint="eastAsia" w:ascii="宋体" w:hAnsi="宋体"/>
          <w:color w:val="auto"/>
          <w:szCs w:val="21"/>
          <w:highlight w:val="none"/>
        </w:rPr>
        <w:t>做出</w:t>
      </w:r>
      <w:r>
        <w:rPr>
          <w:rFonts w:hint="eastAsia" w:ascii="宋体" w:hAnsi="宋体"/>
          <w:color w:val="auto"/>
          <w:szCs w:val="21"/>
          <w:highlight w:val="none"/>
          <w:lang w:val="zh-CN"/>
        </w:rPr>
        <w:t>实质性响应，经采购人按照规定在评</w:t>
      </w:r>
      <w:r>
        <w:rPr>
          <w:rFonts w:hint="eastAsia" w:ascii="宋体" w:hAnsi="宋体"/>
          <w:color w:val="auto"/>
          <w:szCs w:val="21"/>
          <w:highlight w:val="none"/>
        </w:rPr>
        <w:t>标</w:t>
      </w:r>
      <w:r>
        <w:rPr>
          <w:rFonts w:hint="eastAsia" w:ascii="宋体" w:hAnsi="宋体"/>
          <w:color w:val="auto"/>
          <w:szCs w:val="21"/>
          <w:highlight w:val="none"/>
          <w:lang w:val="zh-CN"/>
        </w:rPr>
        <w:t>委员会推荐的中标候选人中确定的或受采购人委托直接确认的，与采购人签订合同资格的投标供应商。</w:t>
      </w:r>
    </w:p>
    <w:p w14:paraId="70008461">
      <w:pPr>
        <w:snapToGrid w:val="0"/>
        <w:spacing w:line="360" w:lineRule="auto"/>
        <w:ind w:firstLine="420" w:firstLineChars="200"/>
        <w:rPr>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lang w:val="zh-CN"/>
        </w:rPr>
        <w:t>.</w:t>
      </w:r>
      <w:r>
        <w:rPr>
          <w:rFonts w:hint="eastAsia" w:ascii="宋体" w:hAnsi="宋体"/>
          <w:color w:val="auto"/>
          <w:szCs w:val="21"/>
          <w:highlight w:val="none"/>
        </w:rPr>
        <w:t>联合体：</w:t>
      </w:r>
      <w:r>
        <w:rPr>
          <w:rFonts w:hint="eastAsia"/>
          <w:color w:val="auto"/>
          <w:szCs w:val="21"/>
          <w:highlight w:val="none"/>
        </w:rPr>
        <w:t>两个或两个以上法人或者其他组织可以组成一个联合体，以一个投标供应商的身份共同投标。</w:t>
      </w:r>
    </w:p>
    <w:p w14:paraId="50FC6FE5">
      <w:pPr>
        <w:snapToGrid w:val="0"/>
        <w:spacing w:line="360" w:lineRule="auto"/>
        <w:ind w:firstLine="422" w:firstLineChars="200"/>
        <w:rPr>
          <w:b/>
          <w:bCs/>
          <w:color w:val="auto"/>
          <w:szCs w:val="21"/>
          <w:highlight w:val="none"/>
        </w:rPr>
      </w:pPr>
      <w:r>
        <w:rPr>
          <w:rFonts w:hint="eastAsia"/>
          <w:b/>
          <w:bCs/>
          <w:color w:val="auto"/>
          <w:szCs w:val="21"/>
          <w:highlight w:val="none"/>
        </w:rPr>
        <w:t>（四）</w:t>
      </w:r>
      <w:r>
        <w:rPr>
          <w:b/>
          <w:bCs/>
          <w:color w:val="auto"/>
          <w:szCs w:val="21"/>
          <w:highlight w:val="none"/>
        </w:rPr>
        <w:t>以联合体形式投标的，应符合以下规定：（本项目不适用联合体投标）</w:t>
      </w:r>
    </w:p>
    <w:p w14:paraId="6BFF15C9">
      <w:pPr>
        <w:snapToGrid w:val="0"/>
        <w:spacing w:line="360"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1.联</w:t>
      </w:r>
      <w:r>
        <w:rPr>
          <w:color w:val="auto"/>
          <w:szCs w:val="21"/>
          <w:highlight w:val="none"/>
        </w:rPr>
        <w:t>合体各方应签订联合体协议书，明确联合体牵头人和各方权利义务，并作为投标文件组成部分</w:t>
      </w:r>
      <w:r>
        <w:rPr>
          <w:rFonts w:hint="eastAsia"/>
          <w:color w:val="auto"/>
          <w:szCs w:val="21"/>
          <w:highlight w:val="none"/>
        </w:rPr>
        <w:t>；</w:t>
      </w:r>
    </w:p>
    <w:p w14:paraId="091BC120">
      <w:pPr>
        <w:snapToGrid w:val="0"/>
        <w:spacing w:line="360"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2.联</w:t>
      </w:r>
      <w:r>
        <w:rPr>
          <w:color w:val="auto"/>
          <w:szCs w:val="21"/>
          <w:highlight w:val="none"/>
        </w:rPr>
        <w:t>合体各方均应当具备</w:t>
      </w:r>
      <w:r>
        <w:rPr>
          <w:rFonts w:hint="eastAsia" w:ascii="宋体" w:hAnsi="宋体"/>
          <w:color w:val="auto"/>
          <w:szCs w:val="21"/>
          <w:highlight w:val="none"/>
          <w:lang w:val="zh-CN"/>
        </w:rPr>
        <w:t>《中华人民共和国政府采购法》</w:t>
      </w:r>
      <w:r>
        <w:rPr>
          <w:color w:val="auto"/>
          <w:szCs w:val="21"/>
          <w:highlight w:val="none"/>
        </w:rPr>
        <w:t>第二十二条规定的条件，并在投标文件中提供联合体各方的相关证明材料</w:t>
      </w:r>
      <w:r>
        <w:rPr>
          <w:rFonts w:hint="eastAsia"/>
          <w:color w:val="auto"/>
          <w:szCs w:val="21"/>
          <w:highlight w:val="none"/>
        </w:rPr>
        <w:t>；</w:t>
      </w:r>
    </w:p>
    <w:p w14:paraId="20A8D81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3.联合体成员存在不良信用记录的，视同联合体存在不良信用记录；</w:t>
      </w:r>
    </w:p>
    <w:p w14:paraId="6CC1F381">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4.联合体各方中至少应当有一方符合采购人规定的资格要求。由同一资质条件的投标供应商组成的联合体，应当按照资质等级较低的投标供应商确定联合体资质等级；</w:t>
      </w:r>
    </w:p>
    <w:p w14:paraId="710603D5">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5.联合体各方不得再以自己名义单独在同一合同项中投标，也不得组成新的联合体参加同一项目投标；</w:t>
      </w:r>
    </w:p>
    <w:p w14:paraId="63CC3052">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6.联合体各方应当共同与采购人签订采购合同，就合同约定的事项对采购人承担连带责任；</w:t>
      </w:r>
    </w:p>
    <w:p w14:paraId="5550F075">
      <w:pPr>
        <w:snapToGrid w:val="0"/>
        <w:spacing w:line="360"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7.投标</w:t>
      </w:r>
      <w:r>
        <w:rPr>
          <w:color w:val="auto"/>
          <w:szCs w:val="21"/>
          <w:highlight w:val="none"/>
        </w:rPr>
        <w:t>时，应以联合体协议中确定的主体方名义投标，对联合体各方均具有约束力。</w:t>
      </w:r>
    </w:p>
    <w:p w14:paraId="15C46BFD">
      <w:pPr>
        <w:snapToGrid w:val="0"/>
        <w:spacing w:line="360" w:lineRule="auto"/>
        <w:ind w:firstLine="422" w:firstLineChars="200"/>
        <w:rPr>
          <w:b/>
          <w:bCs/>
          <w:color w:val="auto"/>
          <w:szCs w:val="21"/>
          <w:highlight w:val="none"/>
        </w:rPr>
      </w:pPr>
      <w:r>
        <w:rPr>
          <w:rFonts w:hint="eastAsia"/>
          <w:b/>
          <w:bCs/>
          <w:color w:val="auto"/>
          <w:szCs w:val="21"/>
          <w:highlight w:val="none"/>
        </w:rPr>
        <w:t>（五）</w:t>
      </w:r>
      <w:r>
        <w:rPr>
          <w:b/>
          <w:bCs/>
          <w:color w:val="auto"/>
          <w:szCs w:val="21"/>
          <w:highlight w:val="none"/>
        </w:rPr>
        <w:t>语言文字以及度量衡单位</w:t>
      </w:r>
    </w:p>
    <w:p w14:paraId="0803A3C0">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文件以及投标供应商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6A708EEE">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2.所有计量均采用中国法定的计量单位。</w:t>
      </w:r>
    </w:p>
    <w:p w14:paraId="5CF2671E">
      <w:pPr>
        <w:snapToGrid w:val="0"/>
        <w:spacing w:line="360"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3.所有</w:t>
      </w:r>
      <w:r>
        <w:rPr>
          <w:color w:val="auto"/>
          <w:szCs w:val="21"/>
          <w:highlight w:val="none"/>
        </w:rPr>
        <w:t>报价一律使用人民币，货币单位：元。</w:t>
      </w:r>
    </w:p>
    <w:p w14:paraId="7C6BB906">
      <w:pPr>
        <w:snapToGrid w:val="0"/>
        <w:spacing w:line="360" w:lineRule="auto"/>
        <w:ind w:firstLine="422" w:firstLineChars="200"/>
        <w:rPr>
          <w:b/>
          <w:bCs/>
          <w:color w:val="auto"/>
          <w:szCs w:val="21"/>
          <w:highlight w:val="none"/>
        </w:rPr>
      </w:pPr>
      <w:r>
        <w:rPr>
          <w:rFonts w:hint="eastAsia"/>
          <w:b/>
          <w:bCs/>
          <w:color w:val="auto"/>
          <w:szCs w:val="21"/>
          <w:highlight w:val="none"/>
        </w:rPr>
        <w:t>（六）</w:t>
      </w:r>
      <w:r>
        <w:rPr>
          <w:b/>
          <w:bCs/>
          <w:color w:val="auto"/>
          <w:szCs w:val="21"/>
          <w:highlight w:val="none"/>
        </w:rPr>
        <w:t>现场踏勘</w:t>
      </w:r>
    </w:p>
    <w:p w14:paraId="4EFBB7C3">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color w:val="auto"/>
          <w:highlight w:val="none"/>
        </w:rPr>
        <w:t xml:space="preserve"> </w:t>
      </w:r>
      <w:r>
        <w:rPr>
          <w:rFonts w:hint="eastAsia" w:asciiTheme="minorEastAsia" w:hAnsiTheme="minorEastAsia" w:eastAsiaTheme="minorEastAsia"/>
          <w:color w:val="auto"/>
          <w:szCs w:val="21"/>
          <w:highlight w:val="none"/>
        </w:rPr>
        <w:t>采购人不组织集中现场踏勘，如有需要投标供应商可自行踏勘。</w:t>
      </w:r>
    </w:p>
    <w:p w14:paraId="1961684C">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2.投标供应商自行承担踏勘现场发生的责任、风险和自身费用。</w:t>
      </w:r>
    </w:p>
    <w:p w14:paraId="6A4A0366">
      <w:pPr>
        <w:snapToGrid w:val="0"/>
        <w:spacing w:line="360" w:lineRule="auto"/>
        <w:ind w:firstLine="420" w:firstLineChars="200"/>
        <w:rPr>
          <w:color w:val="auto"/>
          <w:szCs w:val="21"/>
          <w:highlight w:val="none"/>
        </w:rPr>
      </w:pPr>
      <w:r>
        <w:rPr>
          <w:rFonts w:hint="eastAsia" w:asciiTheme="minorEastAsia" w:hAnsiTheme="minorEastAsia" w:eastAsiaTheme="minorEastAsia"/>
          <w:color w:val="auto"/>
          <w:szCs w:val="21"/>
          <w:highlight w:val="none"/>
        </w:rPr>
        <w:t>3.采购人</w:t>
      </w:r>
      <w:r>
        <w:rPr>
          <w:color w:val="auto"/>
          <w:szCs w:val="21"/>
          <w:highlight w:val="none"/>
        </w:rPr>
        <w:t>在踏勘现场中介绍的资料和数据等，不构成对招标文件的修改或不作为投标供应商编制投标文件的依据。</w:t>
      </w:r>
    </w:p>
    <w:p w14:paraId="1DFDF273">
      <w:pPr>
        <w:pStyle w:val="26"/>
        <w:snapToGrid w:val="0"/>
        <w:spacing w:line="360" w:lineRule="auto"/>
        <w:ind w:left="2" w:leftChars="1" w:firstLine="422" w:firstLineChars="200"/>
        <w:rPr>
          <w:rFonts w:hAnsi="宋体"/>
          <w:b/>
          <w:color w:val="auto"/>
          <w:szCs w:val="21"/>
          <w:highlight w:val="none"/>
        </w:rPr>
      </w:pPr>
      <w:r>
        <w:rPr>
          <w:rFonts w:hint="eastAsia" w:hAnsi="宋体"/>
          <w:b/>
          <w:color w:val="auto"/>
          <w:szCs w:val="21"/>
          <w:highlight w:val="none"/>
        </w:rPr>
        <w:t>（七）特别说明</w:t>
      </w:r>
    </w:p>
    <w:p w14:paraId="41F196F5">
      <w:pPr>
        <w:pStyle w:val="26"/>
        <w:snapToGrid w:val="0"/>
        <w:spacing w:line="360" w:lineRule="auto"/>
        <w:ind w:left="2" w:leftChars="1"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投标供应商投标所使用的资格、信誉、荣誉、业绩与企业认证必须为本法人所拥有</w:t>
      </w:r>
      <w:r>
        <w:rPr>
          <w:rFonts w:hint="eastAsia" w:asciiTheme="minorEastAsia" w:hAnsiTheme="minorEastAsia" w:eastAsiaTheme="minorEastAsia"/>
          <w:color w:val="auto"/>
          <w:szCs w:val="21"/>
          <w:highlight w:val="none"/>
        </w:rPr>
        <w:t>且所提供的资料都是真实有效的</w:t>
      </w:r>
      <w:r>
        <w:rPr>
          <w:rFonts w:asciiTheme="minorEastAsia" w:hAnsiTheme="minorEastAsia" w:eastAsiaTheme="minorEastAsia"/>
          <w:color w:val="auto"/>
          <w:szCs w:val="21"/>
          <w:highlight w:val="none"/>
        </w:rPr>
        <w:t>。投标供应商投标所使用的采购项目实施人员必须为本法人员工。</w:t>
      </w:r>
    </w:p>
    <w:p w14:paraId="64D120C2">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且在质疑期限内，如有投标供应商认为中标供应商所投产品、投标文件技术参数与招标需求存在重大偏离、错误，甚至造假的情况，应提供具体有效的证明材料。</w:t>
      </w:r>
    </w:p>
    <w:p w14:paraId="0D48E94C">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3、投标供应商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6715CAFE">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4、投标供应商不得相互串通投标报价，不得妨碍其他投标供应商的公平竞争，不得损害采购人或其他投标供应商的合法权益，投标供应商不得以向采购人、评标委员会成员行贿或者采取其他不正当手段谋取中标。</w:t>
      </w:r>
    </w:p>
    <w:p w14:paraId="0FC3C9DD">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5、单位负责人为同一人或者存在直接控股、管理关系的不同供应商，不得参加同一合同项下的政府采购活动。</w:t>
      </w:r>
    </w:p>
    <w:p w14:paraId="41921823">
      <w:pPr>
        <w:pStyle w:val="88"/>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6.本招标文件中关于电子招投标内容、流程如与政采云系统中最新的内容、操作不一致的，以政采云系统中的要求为准。</w:t>
      </w:r>
    </w:p>
    <w:p w14:paraId="589022B3">
      <w:pPr>
        <w:pStyle w:val="88"/>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w:t>
      </w:r>
      <w:r>
        <w:rPr>
          <w:rFonts w:hint="eastAsia"/>
          <w:color w:val="auto"/>
          <w:szCs w:val="21"/>
          <w:highlight w:val="none"/>
        </w:rPr>
        <w:t xml:space="preserve"> </w:t>
      </w:r>
      <w:r>
        <w:rPr>
          <w:rFonts w:hint="eastAsia" w:ascii="宋体" w:hAnsi="宋体" w:cs="宋体"/>
          <w:color w:val="auto"/>
          <w:szCs w:val="21"/>
          <w:highlight w:val="none"/>
        </w:rPr>
        <w:t>供应商在参与政府采购活动中所签署的一切文件，包括但不限于签到表、《政府采购活动现场确认声明书》等文件，特别是有关利害关系应如实填写、如实披露，供应商授权参与政府采购的人员视为应当知道与采购人、代理机构、其他供应商之间的利害关系。如未如实披露，则视为提供虚假材料，由供应商承担不利后果。</w:t>
      </w:r>
    </w:p>
    <w:p w14:paraId="2519508B">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三、招标文件</w:t>
      </w:r>
    </w:p>
    <w:p w14:paraId="12036A89">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（一）招标文件由招标文件总目录所列内容组成。</w:t>
      </w:r>
    </w:p>
    <w:p w14:paraId="53B8AD03">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（二）投标供应商在规定的时间内未对招标文件提出疑问、质疑或要求澄清的，将视其为无异议。</w:t>
      </w:r>
    </w:p>
    <w:p w14:paraId="1BF9D7E8">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三）对招标文件中描述有歧义或前后不一致的地方，评标委员会有权进行评判，但对同一条款的评判应适用于每个投标供应商。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14:paraId="71640D83">
      <w:pPr>
        <w:pStyle w:val="88"/>
        <w:snapToGrid w:val="0"/>
        <w:spacing w:line="360" w:lineRule="auto"/>
        <w:rPr>
          <w:rFonts w:asciiTheme="minorEastAsia" w:hAnsiTheme="minorEastAsia" w:eastAsiaTheme="minorEastAsia" w:cstheme="minorBidi"/>
          <w:color w:val="auto"/>
          <w:szCs w:val="21"/>
          <w:highlight w:val="none"/>
        </w:rPr>
      </w:pPr>
      <w:r>
        <w:rPr>
          <w:rFonts w:hint="eastAsia" w:asciiTheme="minorEastAsia" w:hAnsiTheme="minorEastAsia" w:eastAsiaTheme="minorEastAsia" w:cstheme="minorBidi"/>
          <w:color w:val="auto"/>
          <w:szCs w:val="21"/>
          <w:highlight w:val="none"/>
        </w:rPr>
        <w:t>（四）采购组织机构对招标文件进行必要的澄清更正的，澄清或者修改的内容可能影响投标文件编制的，于投标截止时间的15日前在浙江省政府采购网上以更正公告的形式通知各潜在的投标供应商；不足15日的，采购组织机构应当顺延提交投标文件的截止时间。</w:t>
      </w:r>
    </w:p>
    <w:p w14:paraId="7F910E77">
      <w:pPr>
        <w:tabs>
          <w:tab w:val="left" w:pos="1418"/>
        </w:tabs>
        <w:autoSpaceDE w:val="0"/>
        <w:autoSpaceDN w:val="0"/>
        <w:adjustRightInd w:val="0"/>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四、投标文件</w:t>
      </w:r>
    </w:p>
    <w:p w14:paraId="0C51677F">
      <w:pPr>
        <w:pStyle w:val="13"/>
        <w:spacing w:line="360" w:lineRule="auto"/>
        <w:ind w:firstLine="422" w:firstLineChars="200"/>
        <w:rPr>
          <w:rFonts w:asciiTheme="minorEastAsia" w:hAnsiTheme="minorEastAsia"/>
          <w:b/>
          <w:color w:val="auto"/>
          <w:kern w:val="0"/>
          <w:szCs w:val="21"/>
          <w:highlight w:val="none"/>
        </w:rPr>
      </w:pPr>
      <w:r>
        <w:rPr>
          <w:rFonts w:hint="eastAsia" w:asciiTheme="minorEastAsia" w:hAnsiTheme="minorEastAsia" w:eastAsiaTheme="minorEastAsia"/>
          <w:b/>
          <w:color w:val="auto"/>
          <w:kern w:val="0"/>
          <w:szCs w:val="21"/>
          <w:highlight w:val="none"/>
        </w:rPr>
        <w:t>（一）投标文件的编制</w:t>
      </w:r>
    </w:p>
    <w:p w14:paraId="2CB71083">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kern w:val="0"/>
          <w:szCs w:val="21"/>
          <w:highlight w:val="none"/>
        </w:rPr>
        <w:t xml:space="preserve"> 投标供应商接到招标文件后，按照采购组织机构的要求提供：资格证明文件、商务与技术文件和报价</w:t>
      </w:r>
      <w:r>
        <w:rPr>
          <w:rFonts w:hint="eastAsia" w:asciiTheme="minorEastAsia" w:hAnsiTheme="minorEastAsia" w:eastAsiaTheme="minorEastAsia"/>
          <w:color w:val="auto"/>
          <w:kern w:val="0"/>
          <w:szCs w:val="21"/>
          <w:highlight w:val="none"/>
          <w:lang w:val="zh-CN"/>
        </w:rPr>
        <w:t>文件。【特别提示：如在投标时有要求提供资料原件的，将原件扫描放入投标文件。】本招标文件中若有多标项的，若参与多标项投标的，则按每个标项分别独立编制投标文件。</w:t>
      </w:r>
    </w:p>
    <w:p w14:paraId="64023032">
      <w:pPr>
        <w:snapToGrid w:val="0"/>
        <w:spacing w:line="360" w:lineRule="auto"/>
        <w:ind w:firstLine="422" w:firstLineChars="200"/>
        <w:rPr>
          <w:rFonts w:asciiTheme="minorEastAsia" w:hAnsiTheme="minorEastAsia" w:eastAsiaTheme="minorEastAsia"/>
          <w:color w:val="auto"/>
          <w:kern w:val="0"/>
          <w:szCs w:val="21"/>
          <w:highlight w:val="none"/>
        </w:rPr>
      </w:pPr>
      <w:r>
        <w:rPr>
          <w:rFonts w:hint="eastAsia" w:ascii="宋体" w:hAnsi="宋体" w:cs="宋体"/>
          <w:b/>
          <w:color w:val="auto"/>
          <w:szCs w:val="21"/>
          <w:highlight w:val="none"/>
        </w:rPr>
        <w:t>▲</w:t>
      </w:r>
      <w:r>
        <w:rPr>
          <w:rFonts w:hint="eastAsia" w:asciiTheme="minorEastAsia" w:hAnsiTheme="minorEastAsia" w:eastAsiaTheme="minorEastAsia"/>
          <w:b/>
          <w:color w:val="auto"/>
          <w:szCs w:val="21"/>
          <w:highlight w:val="none"/>
        </w:rPr>
        <w:t>1.资格证明</w:t>
      </w:r>
      <w:r>
        <w:rPr>
          <w:rFonts w:asciiTheme="minorEastAsia" w:hAnsiTheme="minorEastAsia" w:eastAsiaTheme="minorEastAsia"/>
          <w:b/>
          <w:color w:val="auto"/>
          <w:szCs w:val="21"/>
          <w:highlight w:val="none"/>
        </w:rPr>
        <w:t>文件</w:t>
      </w:r>
      <w:r>
        <w:rPr>
          <w:rFonts w:hint="eastAsia" w:ascii="宋体" w:hAnsi="宋体"/>
          <w:b/>
          <w:color w:val="auto"/>
          <w:szCs w:val="21"/>
          <w:highlight w:val="none"/>
        </w:rPr>
        <w:t>的组成：</w:t>
      </w:r>
    </w:p>
    <w:p w14:paraId="2754E16C">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投标声明书（</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39507931">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授权委托书（</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，法定代表人亲自办理投标事宜的，则仅需提供身份证扫描件或影印件，无需提交本授权书)；</w:t>
      </w:r>
    </w:p>
    <w:p w14:paraId="5992E415">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法人或者其他组织的营业执照等证明文件；</w:t>
      </w:r>
    </w:p>
    <w:p w14:paraId="6E8EEA3A">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提供关于供应商财务状况和依法缴纳税收及社会保障资金的书面承诺（</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4B0AA560">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具备履行合同所必需的设备和专业技术能力的承诺函(</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0C7B33E3">
      <w:pPr>
        <w:widowControl/>
        <w:numPr>
          <w:ilvl w:val="0"/>
          <w:numId w:val="17"/>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需要说明的其他资料（如有）。</w:t>
      </w:r>
    </w:p>
    <w:p w14:paraId="6D0192CC">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2.商务与技术文件的组成：</w:t>
      </w:r>
    </w:p>
    <w:p w14:paraId="526E2914">
      <w:pPr>
        <w:pStyle w:val="13"/>
        <w:widowControl/>
        <w:adjustRightInd w:val="0"/>
        <w:snapToGrid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61B8ABC1">
      <w:pPr>
        <w:pStyle w:val="13"/>
        <w:widowControl/>
        <w:adjustRightInd w:val="0"/>
        <w:snapToGrid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（2）技术方案描述部分</w:t>
      </w:r>
    </w:p>
    <w:p w14:paraId="271575A8">
      <w:pPr>
        <w:pStyle w:val="13"/>
        <w:widowControl/>
        <w:numPr>
          <w:ilvl w:val="0"/>
          <w:numId w:val="18"/>
        </w:numPr>
        <w:adjustRightInd w:val="0"/>
        <w:snapToGrid w:val="0"/>
        <w:spacing w:line="360" w:lineRule="auto"/>
        <w:ind w:firstLine="640"/>
        <w:rPr>
          <w:rFonts w:ascii="宋体" w:hAnsi="宋体" w:cs="宋体"/>
          <w:color w:val="auto"/>
          <w:szCs w:val="21"/>
          <w:highlight w:val="none"/>
        </w:rPr>
      </w:pPr>
      <w:r>
        <w:rPr>
          <w:rFonts w:hint="eastAsia" w:ascii="宋体" w:hAnsi="宋体"/>
          <w:color w:val="auto"/>
          <w:szCs w:val="21"/>
          <w:highlight w:val="none"/>
        </w:rPr>
        <w:t>技术方案及服务承诺（对应“第四章评标”相关评分细则内容分章节编写，格式自拟）</w:t>
      </w:r>
      <w:r>
        <w:rPr>
          <w:rFonts w:ascii="宋体" w:hAnsi="宋体" w:cs="宋体"/>
          <w:color w:val="auto"/>
          <w:szCs w:val="21"/>
          <w:highlight w:val="none"/>
        </w:rPr>
        <w:t>；</w:t>
      </w:r>
    </w:p>
    <w:p w14:paraId="366561AE">
      <w:pPr>
        <w:pStyle w:val="13"/>
        <w:widowControl/>
        <w:numPr>
          <w:ilvl w:val="0"/>
          <w:numId w:val="18"/>
        </w:numPr>
        <w:adjustRightInd w:val="0"/>
        <w:snapToGrid w:val="0"/>
        <w:spacing w:line="360" w:lineRule="auto"/>
        <w:ind w:firstLine="640"/>
        <w:rPr>
          <w:color w:val="auto"/>
          <w:szCs w:val="21"/>
          <w:highlight w:val="none"/>
        </w:rPr>
      </w:pPr>
      <w:r>
        <w:rPr>
          <w:color w:val="auto"/>
          <w:szCs w:val="21"/>
          <w:highlight w:val="none"/>
        </w:rPr>
        <w:t>项目实施人员一览表</w:t>
      </w:r>
      <w:r>
        <w:rPr>
          <w:rFonts w:hint="eastAsia"/>
          <w:color w:val="auto"/>
          <w:szCs w:val="21"/>
          <w:highlight w:val="none"/>
        </w:rPr>
        <w:t>（</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r>
        <w:rPr>
          <w:color w:val="auto"/>
          <w:szCs w:val="21"/>
          <w:highlight w:val="none"/>
        </w:rPr>
        <w:t>及相关证明材料</w:t>
      </w:r>
      <w:r>
        <w:rPr>
          <w:rFonts w:hint="eastAsia"/>
          <w:color w:val="auto"/>
          <w:szCs w:val="21"/>
          <w:highlight w:val="none"/>
        </w:rPr>
        <w:t>;</w:t>
      </w:r>
    </w:p>
    <w:p w14:paraId="37CC4847">
      <w:pPr>
        <w:pStyle w:val="13"/>
        <w:widowControl/>
        <w:numPr>
          <w:ilvl w:val="0"/>
          <w:numId w:val="18"/>
        </w:numPr>
        <w:adjustRightInd w:val="0"/>
        <w:snapToGrid w:val="0"/>
        <w:spacing w:line="360" w:lineRule="auto"/>
        <w:ind w:firstLine="640"/>
        <w:rPr>
          <w:color w:val="auto"/>
          <w:szCs w:val="21"/>
          <w:highlight w:val="none"/>
        </w:rPr>
      </w:pPr>
      <w:r>
        <w:rPr>
          <w:rFonts w:hint="eastAsia"/>
          <w:color w:val="auto"/>
          <w:szCs w:val="21"/>
          <w:highlight w:val="none"/>
        </w:rPr>
        <w:t>技术需求响应表（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75D0D31C">
      <w:pPr>
        <w:pStyle w:val="13"/>
        <w:widowControl/>
        <w:numPr>
          <w:ilvl w:val="0"/>
          <w:numId w:val="18"/>
        </w:numPr>
        <w:adjustRightInd w:val="0"/>
        <w:snapToGrid w:val="0"/>
        <w:spacing w:line="360" w:lineRule="auto"/>
        <w:ind w:firstLine="640"/>
        <w:rPr>
          <w:rFonts w:ascii="宋体" w:hAnsi="宋体" w:cs="宋体"/>
          <w:color w:val="auto"/>
          <w:szCs w:val="21"/>
          <w:highlight w:val="none"/>
        </w:rPr>
      </w:pPr>
      <w:r>
        <w:rPr>
          <w:rFonts w:hint="eastAsia" w:ascii="宋体" w:hAnsi="宋体" w:cs="宋体"/>
          <w:color w:val="auto"/>
          <w:szCs w:val="21"/>
          <w:highlight w:val="none"/>
        </w:rPr>
        <w:t>供应商认为需要提供的其他资料（包括可能影响供应商技术内容评分的各类证明材料）。</w:t>
      </w:r>
    </w:p>
    <w:p w14:paraId="3EA4E1F2">
      <w:pPr>
        <w:pStyle w:val="13"/>
        <w:widowControl/>
        <w:adjustRightInd w:val="0"/>
        <w:snapToGrid w:val="0"/>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szCs w:val="21"/>
          <w:highlight w:val="none"/>
        </w:rPr>
        <w:t>商务</w:t>
      </w:r>
      <w:r>
        <w:rPr>
          <w:rFonts w:hint="eastAsia" w:ascii="宋体" w:hAnsi="宋体"/>
          <w:color w:val="auto"/>
          <w:kern w:val="0"/>
          <w:szCs w:val="21"/>
          <w:highlight w:val="none"/>
        </w:rPr>
        <w:t>响应及其他部分</w:t>
      </w:r>
    </w:p>
    <w:p w14:paraId="21B6E63F">
      <w:pPr>
        <w:numPr>
          <w:ilvl w:val="0"/>
          <w:numId w:val="19"/>
        </w:numPr>
        <w:autoSpaceDE w:val="0"/>
        <w:autoSpaceDN w:val="0"/>
        <w:adjustRightInd w:val="0"/>
        <w:spacing w:line="360" w:lineRule="auto"/>
        <w:ind w:firstLine="640"/>
        <w:rPr>
          <w:rFonts w:ascii="宋体" w:hAnsi="宋体" w:cs="宋体"/>
          <w:color w:val="auto"/>
          <w:szCs w:val="21"/>
          <w:highlight w:val="none"/>
        </w:rPr>
      </w:pPr>
      <w:r>
        <w:rPr>
          <w:rFonts w:hint="eastAsia" w:ascii="Calibri" w:hAnsi="Calibri" w:cs="Calibri"/>
          <w:color w:val="auto"/>
          <w:szCs w:val="21"/>
          <w:highlight w:val="none"/>
        </w:rPr>
        <w:t>供应</w:t>
      </w:r>
      <w:r>
        <w:rPr>
          <w:rFonts w:hint="eastAsia" w:ascii="宋体" w:hAnsi="宋体" w:cs="宋体"/>
          <w:color w:val="auto"/>
          <w:szCs w:val="21"/>
          <w:highlight w:val="none"/>
        </w:rPr>
        <w:t>商基本情况表（</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541B544C">
      <w:pPr>
        <w:numPr>
          <w:ilvl w:val="0"/>
          <w:numId w:val="19"/>
        </w:numPr>
        <w:autoSpaceDE w:val="0"/>
        <w:autoSpaceDN w:val="0"/>
        <w:adjustRightInd w:val="0"/>
        <w:spacing w:line="360" w:lineRule="auto"/>
        <w:ind w:firstLine="640"/>
        <w:rPr>
          <w:rFonts w:ascii="Calibri" w:hAnsi="Calibri" w:cs="Calibri"/>
          <w:color w:val="auto"/>
          <w:szCs w:val="21"/>
          <w:highlight w:val="none"/>
        </w:rPr>
      </w:pPr>
      <w:r>
        <w:rPr>
          <w:rFonts w:hint="eastAsia" w:ascii="Calibri" w:hAnsi="Calibri" w:cs="Calibri"/>
          <w:color w:val="auto"/>
          <w:szCs w:val="21"/>
          <w:highlight w:val="none"/>
        </w:rPr>
        <w:t>证书一览表（</w:t>
      </w:r>
      <w:r>
        <w:rPr>
          <w:rFonts w:hint="eastAsia" w:asciiTheme="minorEastAsia" w:hAnsiTheme="minorEastAsia" w:eastAsiaTheme="minorEastAsia"/>
          <w:color w:val="auto"/>
          <w:kern w:val="0"/>
          <w:szCs w:val="21"/>
          <w:highlight w:val="none"/>
        </w:rPr>
        <w:t>格式详见附件</w:t>
      </w:r>
      <w:r>
        <w:rPr>
          <w:rFonts w:hint="eastAsia" w:ascii="Calibri" w:hAnsi="Calibri" w:cs="Calibri"/>
          <w:color w:val="auto"/>
          <w:szCs w:val="21"/>
          <w:highlight w:val="none"/>
        </w:rPr>
        <w:t>）及相关证明材料；</w:t>
      </w:r>
    </w:p>
    <w:p w14:paraId="2FB83876">
      <w:pPr>
        <w:numPr>
          <w:ilvl w:val="0"/>
          <w:numId w:val="19"/>
        </w:numPr>
        <w:autoSpaceDE w:val="0"/>
        <w:autoSpaceDN w:val="0"/>
        <w:adjustRightInd w:val="0"/>
        <w:spacing w:line="360" w:lineRule="auto"/>
        <w:ind w:firstLine="640"/>
        <w:rPr>
          <w:color w:val="auto"/>
          <w:szCs w:val="21"/>
          <w:highlight w:val="none"/>
        </w:rPr>
      </w:pPr>
      <w:r>
        <w:rPr>
          <w:rFonts w:hint="eastAsia"/>
          <w:color w:val="auto"/>
          <w:szCs w:val="21"/>
          <w:highlight w:val="none"/>
        </w:rPr>
        <w:t>商务需求响应表（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09E6C15D">
      <w:pPr>
        <w:numPr>
          <w:ilvl w:val="0"/>
          <w:numId w:val="19"/>
        </w:numPr>
        <w:autoSpaceDE w:val="0"/>
        <w:autoSpaceDN w:val="0"/>
        <w:adjustRightInd w:val="0"/>
        <w:spacing w:line="360" w:lineRule="auto"/>
        <w:ind w:firstLine="640"/>
        <w:rPr>
          <w:color w:val="auto"/>
          <w:szCs w:val="21"/>
          <w:highlight w:val="none"/>
        </w:rPr>
      </w:pPr>
      <w:r>
        <w:rPr>
          <w:rFonts w:hint="eastAsia" w:ascii="Calibri" w:hAnsi="Calibri" w:cs="Calibri"/>
          <w:color w:val="auto"/>
          <w:szCs w:val="21"/>
          <w:highlight w:val="none"/>
        </w:rPr>
        <w:t>供应</w:t>
      </w:r>
      <w:r>
        <w:rPr>
          <w:rFonts w:hint="eastAsia" w:ascii="宋体" w:hAnsi="宋体" w:cs="宋体"/>
          <w:color w:val="auto"/>
          <w:szCs w:val="21"/>
          <w:highlight w:val="none"/>
        </w:rPr>
        <w:t>商</w:t>
      </w:r>
      <w:r>
        <w:rPr>
          <w:rFonts w:hint="eastAsia"/>
          <w:color w:val="auto"/>
          <w:szCs w:val="21"/>
          <w:highlight w:val="none"/>
        </w:rPr>
        <w:t>类似项目实施情况一览表（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6B9C16E2">
      <w:pPr>
        <w:numPr>
          <w:ilvl w:val="0"/>
          <w:numId w:val="19"/>
        </w:numPr>
        <w:autoSpaceDE w:val="0"/>
        <w:autoSpaceDN w:val="0"/>
        <w:adjustRightInd w:val="0"/>
        <w:spacing w:line="360" w:lineRule="auto"/>
        <w:ind w:firstLine="640"/>
        <w:rPr>
          <w:color w:val="auto"/>
          <w:szCs w:val="21"/>
          <w:highlight w:val="none"/>
        </w:rPr>
      </w:pPr>
      <w:r>
        <w:rPr>
          <w:rFonts w:hint="eastAsia"/>
          <w:color w:val="auto"/>
          <w:szCs w:val="21"/>
          <w:highlight w:val="none"/>
        </w:rPr>
        <w:t>供应商认为需要提供的其他资料（包括可能影响供应商商务内容评分的各类证明材料）（如有）。</w:t>
      </w:r>
    </w:p>
    <w:p w14:paraId="0BE34AF0">
      <w:pPr>
        <w:autoSpaceDE w:val="0"/>
        <w:autoSpaceDN w:val="0"/>
        <w:adjustRightInd w:val="0"/>
        <w:spacing w:line="360" w:lineRule="auto"/>
        <w:ind w:left="426" w:firstLine="57" w:firstLineChars="27"/>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3、报价内容的组成</w:t>
      </w:r>
    </w:p>
    <w:p w14:paraId="0F2AA4D5">
      <w:pPr>
        <w:autoSpaceDE w:val="0"/>
        <w:autoSpaceDN w:val="0"/>
        <w:adjustRightIn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（1）开标一览表（格式详见附件）；</w:t>
      </w:r>
    </w:p>
    <w:p w14:paraId="25069F52">
      <w:pPr>
        <w:autoSpaceDE w:val="0"/>
        <w:autoSpaceDN w:val="0"/>
        <w:adjustRightIn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（2）报价明细表（格式详见附件）；</w:t>
      </w:r>
    </w:p>
    <w:p w14:paraId="04C31897">
      <w:pPr>
        <w:pStyle w:val="13"/>
        <w:spacing w:line="360" w:lineRule="auto"/>
        <w:ind w:firstLine="420" w:firstLineChars="200"/>
        <w:rPr>
          <w:rFonts w:hint="eastAsia" w:asciiTheme="minorEastAsia" w:hAnsiTheme="minorEastAsia" w:eastAsiaTheme="minorEastAsia"/>
          <w:b w:val="0"/>
          <w:bCs/>
          <w:color w:val="auto"/>
          <w:kern w:val="0"/>
          <w:szCs w:val="21"/>
          <w:highlight w:val="none"/>
          <w:lang w:eastAsia="zh-CN"/>
        </w:rPr>
      </w:pP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lang w:val="en-US" w:eastAsia="zh-CN"/>
        </w:rPr>
        <w:t>3</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rPr>
        <w:t>针对报价投标人认为其他需要说明的；</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rPr>
        <w:t>中小企业等声明函或</w:t>
      </w:r>
      <w:r>
        <w:rPr>
          <w:rFonts w:hint="eastAsia" w:asciiTheme="minorEastAsia" w:hAnsiTheme="minorEastAsia" w:eastAsiaTheme="minorEastAsia"/>
          <w:b w:val="0"/>
          <w:bCs/>
          <w:color w:val="auto"/>
          <w:kern w:val="0"/>
          <w:szCs w:val="21"/>
          <w:highlight w:val="none"/>
          <w:lang w:val="en-GB"/>
        </w:rPr>
        <w:t>残疾人福利性单位声明函</w:t>
      </w:r>
      <w:r>
        <w:rPr>
          <w:rFonts w:hint="eastAsia" w:asciiTheme="minorEastAsia" w:hAnsiTheme="minorEastAsia" w:eastAsiaTheme="minorEastAsia"/>
          <w:b w:val="0"/>
          <w:bCs/>
          <w:color w:val="auto"/>
          <w:kern w:val="0"/>
          <w:szCs w:val="21"/>
          <w:highlight w:val="none"/>
          <w:lang w:val="en-US" w:eastAsia="zh-CN"/>
        </w:rPr>
        <w:t>和产品适用政府采购政策情况表</w:t>
      </w:r>
      <w:r>
        <w:rPr>
          <w:rFonts w:hint="eastAsia" w:asciiTheme="minorEastAsia" w:hAnsiTheme="minorEastAsia" w:eastAsiaTheme="minorEastAsia"/>
          <w:b w:val="0"/>
          <w:bCs/>
          <w:color w:val="auto"/>
          <w:kern w:val="0"/>
          <w:szCs w:val="21"/>
          <w:highlight w:val="none"/>
        </w:rPr>
        <w:t>（格式详见附件）</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lang w:val="en-US" w:eastAsia="zh-CN"/>
        </w:rPr>
        <w:t>如有</w:t>
      </w:r>
      <w:r>
        <w:rPr>
          <w:rFonts w:hint="eastAsia" w:asciiTheme="minorEastAsia" w:hAnsiTheme="minorEastAsia" w:eastAsiaTheme="minorEastAsia"/>
          <w:b w:val="0"/>
          <w:bCs/>
          <w:color w:val="auto"/>
          <w:kern w:val="0"/>
          <w:szCs w:val="21"/>
          <w:highlight w:val="none"/>
          <w:lang w:eastAsia="zh-CN"/>
        </w:rPr>
        <w:t>）</w:t>
      </w:r>
    </w:p>
    <w:p w14:paraId="36FE73A8">
      <w:pPr>
        <w:pStyle w:val="13"/>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（二）投标报价</w:t>
      </w:r>
    </w:p>
    <w:p w14:paraId="380201C7">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1.投标供应商应按照招标需求内容、责任范围以及合同条款进行报价。并按“开标一览表”和“报价明细表”规定的格式报出总价和分项价格。投标总价中不得包含招标文件要求以外的内容，否则，在评标时不予核减。</w:t>
      </w:r>
    </w:p>
    <w:p w14:paraId="2FC025BF">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2.投标报价包括本项目采购需求和投入使用的所有费用</w:t>
      </w:r>
      <w:r>
        <w:rPr>
          <w:rFonts w:hint="eastAsia" w:hAnsi="宋体"/>
          <w:color w:val="auto"/>
          <w:szCs w:val="21"/>
          <w:highlight w:val="none"/>
        </w:rPr>
        <w:t>。</w:t>
      </w:r>
    </w:p>
    <w:p w14:paraId="347A32B0">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3.投标报价不得为选择性报价和附有条件的报价。</w:t>
      </w:r>
    </w:p>
    <w:p w14:paraId="71492246">
      <w:pPr>
        <w:pStyle w:val="13"/>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（三）投标文件的有效期</w:t>
      </w:r>
    </w:p>
    <w:p w14:paraId="4320539F">
      <w:pPr>
        <w:pStyle w:val="13"/>
        <w:spacing w:line="360" w:lineRule="auto"/>
        <w:ind w:firstLineChars="200"/>
        <w:rPr>
          <w:rFonts w:ascii="宋体" w:hAnsi="宋体"/>
          <w:color w:val="auto"/>
          <w:szCs w:val="21"/>
          <w:highlight w:val="none"/>
          <w:lang w:val="en-GB"/>
        </w:rPr>
      </w:pPr>
      <w:r>
        <w:rPr>
          <w:rFonts w:hint="eastAsia" w:ascii="宋体" w:hAnsi="宋体"/>
          <w:color w:val="auto"/>
          <w:szCs w:val="21"/>
          <w:highlight w:val="none"/>
        </w:rPr>
        <w:t>1.投标文件有效期为</w:t>
      </w:r>
      <w:r>
        <w:rPr>
          <w:rFonts w:hint="eastAsia" w:ascii="宋体" w:hAnsi="宋体"/>
          <w:color w:val="auto"/>
          <w:szCs w:val="21"/>
          <w:highlight w:val="none"/>
          <w:lang w:val="en-GB"/>
        </w:rPr>
        <w:t>投标截止日起90天。</w:t>
      </w:r>
    </w:p>
    <w:p w14:paraId="0803671A">
      <w:pPr>
        <w:pStyle w:val="13"/>
        <w:spacing w:line="360" w:lineRule="auto"/>
        <w:ind w:firstLineChars="200"/>
        <w:rPr>
          <w:rFonts w:ascii="宋体" w:hAnsi="宋体"/>
          <w:color w:val="auto"/>
          <w:szCs w:val="21"/>
          <w:highlight w:val="none"/>
          <w:lang w:val="en-GB"/>
        </w:rPr>
      </w:pPr>
      <w:r>
        <w:rPr>
          <w:rFonts w:hint="eastAsia" w:ascii="宋体" w:hAnsi="宋体"/>
          <w:color w:val="auto"/>
          <w:szCs w:val="21"/>
          <w:highlight w:val="none"/>
        </w:rPr>
        <w:t>2.</w:t>
      </w:r>
      <w:r>
        <w:rPr>
          <w:rFonts w:hint="eastAsia" w:ascii="宋体" w:hAnsi="宋体"/>
          <w:color w:val="auto"/>
          <w:szCs w:val="21"/>
          <w:highlight w:val="none"/>
          <w:lang w:val="en-GB"/>
        </w:rPr>
        <w:t>在特殊情况下，采购人可与投标供应商协商延长投标文件的有效期，这种要求和答复均以书面形式进行。</w:t>
      </w:r>
    </w:p>
    <w:p w14:paraId="2081B1C4">
      <w:pPr>
        <w:snapToGrid w:val="0"/>
        <w:spacing w:line="360" w:lineRule="auto"/>
        <w:ind w:firstLine="420" w:firstLineChars="200"/>
        <w:rPr>
          <w:rFonts w:asciiTheme="minorEastAsia" w:hAnsiTheme="minorEastAsia" w:eastAsiaTheme="minorEastAsia"/>
          <w:color w:val="auto"/>
          <w:szCs w:val="21"/>
          <w:highlight w:val="none"/>
        </w:rPr>
      </w:pPr>
      <w:r>
        <w:rPr>
          <w:rFonts w:hint="eastAsia" w:ascii="宋体" w:hAnsi="宋体"/>
          <w:color w:val="auto"/>
          <w:szCs w:val="21"/>
          <w:highlight w:val="none"/>
        </w:rPr>
        <w:t xml:space="preserve">3. </w:t>
      </w:r>
      <w:r>
        <w:rPr>
          <w:rFonts w:hint="eastAsia" w:asciiTheme="minorEastAsia" w:hAnsiTheme="minorEastAsia" w:eastAsiaTheme="minorEastAsia"/>
          <w:color w:val="auto"/>
          <w:szCs w:val="21"/>
          <w:highlight w:val="none"/>
        </w:rPr>
        <w:t>中标供应商</w:t>
      </w:r>
      <w:r>
        <w:rPr>
          <w:rFonts w:asciiTheme="minorEastAsia" w:hAnsiTheme="minorEastAsia" w:eastAsiaTheme="minorEastAsia"/>
          <w:color w:val="auto"/>
          <w:szCs w:val="21"/>
          <w:highlight w:val="none"/>
        </w:rPr>
        <w:t>的</w:t>
      </w:r>
      <w:r>
        <w:rPr>
          <w:rFonts w:hint="eastAsia" w:asciiTheme="minorEastAsia" w:hAnsiTheme="minorEastAsia" w:eastAsiaTheme="minorEastAsia"/>
          <w:color w:val="auto"/>
          <w:szCs w:val="21"/>
          <w:highlight w:val="none"/>
        </w:rPr>
        <w:t>电子投标文件</w:t>
      </w:r>
      <w:r>
        <w:rPr>
          <w:rFonts w:asciiTheme="minorEastAsia" w:hAnsiTheme="minorEastAsia" w:eastAsiaTheme="minorEastAsia"/>
          <w:color w:val="auto"/>
          <w:szCs w:val="21"/>
          <w:highlight w:val="none"/>
        </w:rPr>
        <w:t>自开标之日起至合同履行完毕均应保持有效。</w:t>
      </w:r>
    </w:p>
    <w:p w14:paraId="0409A0CA">
      <w:pPr>
        <w:snapToGrid w:val="0"/>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（四）投标文件的签署</w:t>
      </w:r>
    </w:p>
    <w:p w14:paraId="4EE9BA65">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宋体" w:hAnsi="宋体" w:cs="宋体"/>
          <w:bCs/>
          <w:color w:val="auto"/>
          <w:szCs w:val="21"/>
          <w:highlight w:val="none"/>
        </w:rPr>
        <w:t>▲</w:t>
      </w:r>
      <w:r>
        <w:rPr>
          <w:rFonts w:hint="eastAsia" w:asciiTheme="minorEastAsia" w:hAnsiTheme="minorEastAsia" w:eastAsiaTheme="minorEastAsia"/>
          <w:bCs/>
          <w:color w:val="auto"/>
          <w:kern w:val="0"/>
          <w:szCs w:val="21"/>
          <w:highlight w:val="none"/>
        </w:rPr>
        <w:t>1.投标文件需由法定代表人或经其正式授权的代表签字或盖章（本项目如允许联合体投标且投标供应商是联合体的，联合体牵头单位应盖章，并签署联合体牵头单位法定代表人或经其正式授权的代表的全名）。授权代表须出具书面授权证明，其《法定代表人授权书》应附在投标文件中。</w:t>
      </w:r>
    </w:p>
    <w:p w14:paraId="5661659B">
      <w:pPr>
        <w:pStyle w:val="13"/>
        <w:spacing w:line="360" w:lineRule="auto"/>
        <w:ind w:firstLineChars="200"/>
        <w:rPr>
          <w:rFonts w:asciiTheme="minorEastAsia" w:hAnsiTheme="minorEastAsia" w:eastAsiaTheme="minorEastAsia"/>
          <w:bCs/>
          <w:color w:val="auto"/>
          <w:kern w:val="0"/>
          <w:szCs w:val="21"/>
          <w:highlight w:val="none"/>
        </w:rPr>
      </w:pPr>
      <w:r>
        <w:rPr>
          <w:rFonts w:hint="eastAsia" w:asciiTheme="minorEastAsia" w:hAnsiTheme="minorEastAsia" w:eastAsiaTheme="minorEastAsia"/>
          <w:bCs/>
          <w:color w:val="auto"/>
          <w:kern w:val="0"/>
          <w:szCs w:val="21"/>
          <w:highlight w:val="none"/>
        </w:rPr>
        <w:t>2.投标文件中所有的插字、涂改和增删，必须由法定代表人或经其正式授权的代表在旁边签字或盖章才有效。</w:t>
      </w:r>
    </w:p>
    <w:p w14:paraId="19E8BB49">
      <w:pPr>
        <w:autoSpaceDE w:val="0"/>
        <w:autoSpaceDN w:val="0"/>
        <w:adjustRightInd w:val="0"/>
        <w:spacing w:line="360" w:lineRule="auto"/>
        <w:ind w:firstLine="422" w:firstLineChars="200"/>
        <w:rPr>
          <w:rFonts w:asciiTheme="minorEastAsia" w:hAnsiTheme="minorEastAsia"/>
          <w:b/>
          <w:bCs/>
          <w:color w:val="auto"/>
          <w:szCs w:val="21"/>
          <w:highlight w:val="none"/>
        </w:rPr>
      </w:pPr>
      <w:r>
        <w:rPr>
          <w:rFonts w:hint="eastAsia" w:asciiTheme="minorEastAsia" w:hAnsiTheme="minorEastAsia"/>
          <w:b/>
          <w:bCs/>
          <w:color w:val="auto"/>
          <w:szCs w:val="21"/>
          <w:highlight w:val="none"/>
        </w:rPr>
        <w:t>（五）</w:t>
      </w:r>
      <w:r>
        <w:rPr>
          <w:rFonts w:hint="eastAsia" w:asciiTheme="minorEastAsia" w:hAnsiTheme="minorEastAsia" w:eastAsiaTheme="minorEastAsia"/>
          <w:b/>
          <w:bCs/>
          <w:color w:val="auto"/>
          <w:szCs w:val="21"/>
          <w:highlight w:val="none"/>
        </w:rPr>
        <w:t>投标文件</w:t>
      </w:r>
      <w:r>
        <w:rPr>
          <w:rFonts w:hint="eastAsia" w:asciiTheme="minorEastAsia" w:hAnsiTheme="minorEastAsia"/>
          <w:b/>
          <w:bCs/>
          <w:color w:val="auto"/>
          <w:szCs w:val="21"/>
          <w:highlight w:val="none"/>
        </w:rPr>
        <w:t>的递交要求</w:t>
      </w:r>
    </w:p>
    <w:p w14:paraId="1A947E07">
      <w:pPr>
        <w:tabs>
          <w:tab w:val="left" w:pos="1418"/>
        </w:tabs>
        <w:autoSpaceDE w:val="0"/>
        <w:autoSpaceDN w:val="0"/>
        <w:adjustRightIn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ajorEastAsia" w:hAnsiTheme="majorEastAsia" w:eastAsiaTheme="majorEastAsia" w:cstheme="majorEastAsia"/>
          <w:color w:val="auto"/>
          <w:szCs w:val="21"/>
          <w:highlight w:val="none"/>
        </w:rPr>
        <w:t>按照前附表要求提交，</w:t>
      </w:r>
      <w:r>
        <w:rPr>
          <w:rFonts w:hint="eastAsia" w:asciiTheme="minorEastAsia" w:hAnsiTheme="minorEastAsia" w:eastAsiaTheme="minorEastAsia"/>
          <w:color w:val="auto"/>
          <w:kern w:val="0"/>
          <w:szCs w:val="21"/>
          <w:highlight w:val="none"/>
        </w:rPr>
        <w:t>如采购组织机构延长截止时间和开标时间，采购组织机构和投标供应商的权利和义务将受到新的截止时间和开标时间的约束。</w:t>
      </w:r>
    </w:p>
    <w:p w14:paraId="43C9A503">
      <w:pPr>
        <w:snapToGrid w:val="0"/>
        <w:spacing w:line="360" w:lineRule="auto"/>
        <w:ind w:firstLine="422" w:firstLineChars="200"/>
        <w:rPr>
          <w:rFonts w:asciiTheme="minorEastAsia" w:hAnsiTheme="minorEastAsia" w:eastAsiaTheme="minorEastAsia"/>
          <w:b/>
          <w:color w:val="auto"/>
          <w:kern w:val="0"/>
          <w:szCs w:val="21"/>
          <w:highlight w:val="none"/>
        </w:rPr>
      </w:pPr>
      <w:r>
        <w:rPr>
          <w:rFonts w:hint="eastAsia" w:asciiTheme="minorEastAsia" w:hAnsiTheme="minorEastAsia" w:eastAsiaTheme="minorEastAsia"/>
          <w:b/>
          <w:color w:val="auto"/>
          <w:kern w:val="0"/>
          <w:szCs w:val="21"/>
          <w:highlight w:val="none"/>
        </w:rPr>
        <w:t>五、开标</w:t>
      </w:r>
    </w:p>
    <w:p w14:paraId="2E4BBFC2">
      <w:pPr>
        <w:autoSpaceDE w:val="0"/>
        <w:autoSpaceDN w:val="0"/>
        <w:adjustRightInd w:val="0"/>
        <w:spacing w:line="360" w:lineRule="auto"/>
        <w:ind w:firstLine="422" w:firstLineChars="200"/>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（一）开</w:t>
      </w:r>
      <w:r>
        <w:rPr>
          <w:rFonts w:hint="eastAsia" w:asciiTheme="minorEastAsia" w:hAnsiTheme="minorEastAsia" w:eastAsiaTheme="minorEastAsia"/>
          <w:b/>
          <w:color w:val="auto"/>
          <w:szCs w:val="21"/>
          <w:highlight w:val="none"/>
        </w:rPr>
        <w:t>标</w:t>
      </w:r>
      <w:r>
        <w:rPr>
          <w:rFonts w:asciiTheme="minorEastAsia" w:hAnsiTheme="minorEastAsia" w:eastAsiaTheme="minorEastAsia"/>
          <w:b/>
          <w:color w:val="auto"/>
          <w:szCs w:val="21"/>
          <w:highlight w:val="none"/>
        </w:rPr>
        <w:t>程序</w:t>
      </w:r>
    </w:p>
    <w:p w14:paraId="2AFC6188">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1.开标时间到后，主持人准时组织开标；</w:t>
      </w:r>
    </w:p>
    <w:p w14:paraId="0EEA5B69">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2.宣布开标纪律；</w:t>
      </w:r>
    </w:p>
    <w:p w14:paraId="7DBB5EEB">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3.宣布采购组织机构工作人员；</w:t>
      </w:r>
    </w:p>
    <w:p w14:paraId="35CFD8F0">
      <w:pPr>
        <w:pStyle w:val="13"/>
        <w:spacing w:line="360" w:lineRule="auto"/>
        <w:ind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4.投标供应商登录政采云平台，用“项目采购-开标评标”功能对电子投标文件进行在线解密，在线解密时间为开标时间起半个小时内；</w:t>
      </w:r>
    </w:p>
    <w:p w14:paraId="2A74FAD7">
      <w:pPr>
        <w:pStyle w:val="13"/>
        <w:spacing w:line="360" w:lineRule="auto"/>
        <w:ind w:firstLineChars="200"/>
        <w:rPr>
          <w:color w:val="auto"/>
          <w:szCs w:val="21"/>
          <w:highlight w:val="none"/>
        </w:rPr>
      </w:pPr>
      <w:r>
        <w:rPr>
          <w:rFonts w:hint="eastAsia" w:cs="宋体"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采购组织机构</w:t>
      </w:r>
      <w:r>
        <w:rPr>
          <w:rFonts w:hint="eastAsia"/>
          <w:color w:val="auto"/>
          <w:szCs w:val="21"/>
          <w:highlight w:val="none"/>
        </w:rPr>
        <w:t>工作人员当众宣布投标供应商名称、投标价格和招标文件规定的需要宣布的其他内容；（以开标一览表要求为准）</w:t>
      </w:r>
    </w:p>
    <w:p w14:paraId="27A6245C">
      <w:pPr>
        <w:pStyle w:val="13"/>
        <w:spacing w:line="360" w:lineRule="auto"/>
        <w:ind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6.公布开标结果。</w:t>
      </w:r>
    </w:p>
    <w:p w14:paraId="2B6844F5">
      <w:pPr>
        <w:pStyle w:val="13"/>
        <w:spacing w:line="360" w:lineRule="auto"/>
        <w:ind w:firstLine="422" w:firstLineChars="200"/>
        <w:rPr>
          <w:b/>
          <w:bCs/>
          <w:color w:val="auto"/>
          <w:szCs w:val="21"/>
          <w:highlight w:val="none"/>
        </w:rPr>
      </w:pPr>
      <w:r>
        <w:rPr>
          <w:rFonts w:hint="eastAsia"/>
          <w:b/>
          <w:bCs/>
          <w:color w:val="auto"/>
          <w:szCs w:val="21"/>
          <w:highlight w:val="none"/>
        </w:rPr>
        <w:t>（二）开标异议</w:t>
      </w:r>
    </w:p>
    <w:p w14:paraId="1325439F">
      <w:pPr>
        <w:pStyle w:val="13"/>
        <w:spacing w:line="360" w:lineRule="auto"/>
        <w:ind w:firstLineChars="200"/>
        <w:rPr>
          <w:color w:val="auto"/>
          <w:szCs w:val="21"/>
          <w:highlight w:val="none"/>
        </w:rPr>
      </w:pPr>
      <w:r>
        <w:rPr>
          <w:rFonts w:hint="eastAsia"/>
          <w:color w:val="auto"/>
          <w:szCs w:val="21"/>
          <w:highlight w:val="none"/>
        </w:rPr>
        <w:t>投标供应商代表对开标过程和开标记录有疑义，以及认为采购人、采购组织机构相关工作人员有需要回避的情形的，应在法律法规规定的期限内提出询问或者回避申请。</w:t>
      </w:r>
    </w:p>
    <w:p w14:paraId="4AE4FC3B">
      <w:pPr>
        <w:pStyle w:val="13"/>
        <w:spacing w:line="360" w:lineRule="auto"/>
        <w:ind w:firstLine="422" w:firstLineChars="200"/>
        <w:rPr>
          <w:color w:val="auto"/>
          <w:szCs w:val="21"/>
          <w:highlight w:val="none"/>
        </w:rPr>
      </w:pPr>
      <w:r>
        <w:rPr>
          <w:rFonts w:hint="eastAsia"/>
          <w:b/>
          <w:bCs/>
          <w:color w:val="auto"/>
          <w:szCs w:val="21"/>
          <w:highlight w:val="none"/>
        </w:rPr>
        <w:t>（三）</w:t>
      </w:r>
      <w:r>
        <w:rPr>
          <w:rFonts w:hint="eastAsia"/>
          <w:color w:val="auto"/>
          <w:szCs w:val="21"/>
          <w:highlight w:val="none"/>
        </w:rPr>
        <w:t>投标供应商不足三家，不得开标。</w:t>
      </w:r>
    </w:p>
    <w:p w14:paraId="059D40AD">
      <w:pPr>
        <w:pStyle w:val="26"/>
        <w:snapToGrid w:val="0"/>
        <w:spacing w:line="360" w:lineRule="auto"/>
        <w:ind w:firstLine="422" w:firstLineChars="200"/>
        <w:rPr>
          <w:rFonts w:asciiTheme="minorEastAsia" w:hAnsiTheme="minorEastAsia"/>
          <w:b/>
          <w:color w:val="auto"/>
          <w:szCs w:val="21"/>
          <w:highlight w:val="none"/>
        </w:rPr>
      </w:pPr>
      <w:r>
        <w:rPr>
          <w:rFonts w:hint="eastAsia" w:asciiTheme="minorEastAsia" w:hAnsiTheme="minorEastAsia" w:eastAsiaTheme="minorEastAsia"/>
          <w:b/>
          <w:color w:val="auto"/>
          <w:szCs w:val="21"/>
          <w:highlight w:val="none"/>
        </w:rPr>
        <w:t>五、评标（详见第四章）</w:t>
      </w:r>
    </w:p>
    <w:p w14:paraId="55C54F3C">
      <w:pPr>
        <w:pStyle w:val="42"/>
        <w:spacing w:before="0" w:beforeAutospacing="0" w:after="0" w:afterAutospacing="0" w:line="360" w:lineRule="auto"/>
        <w:ind w:firstLine="422" w:firstLineChars="200"/>
        <w:jc w:val="both"/>
        <w:rPr>
          <w:rFonts w:hint="default"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六、定标</w:t>
      </w:r>
    </w:p>
    <w:p w14:paraId="711514D7">
      <w:pPr>
        <w:pStyle w:val="42"/>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（一）</w:t>
      </w:r>
      <w:r>
        <w:rPr>
          <w:color w:val="auto"/>
          <w:sz w:val="21"/>
          <w:szCs w:val="21"/>
          <w:highlight w:val="none"/>
        </w:rPr>
        <w:t>确定中标供应商。</w:t>
      </w:r>
      <w:r>
        <w:rPr>
          <w:rFonts w:asciiTheme="minorEastAsia" w:hAnsiTheme="minorEastAsia" w:eastAsiaTheme="minorEastAsia"/>
          <w:color w:val="auto"/>
          <w:sz w:val="21"/>
          <w:szCs w:val="21"/>
          <w:highlight w:val="none"/>
        </w:rPr>
        <w:t>评标委员会根据采购单位的</w:t>
      </w:r>
      <w:r>
        <w:rPr>
          <w:color w:val="auto"/>
          <w:sz w:val="21"/>
          <w:szCs w:val="21"/>
          <w:highlight w:val="none"/>
        </w:rPr>
        <w:t>《授权意见确认书》</w:t>
      </w:r>
      <w:r>
        <w:rPr>
          <w:rFonts w:asciiTheme="minorEastAsia" w:hAnsiTheme="minorEastAsia" w:eastAsiaTheme="minorEastAsia"/>
          <w:color w:val="auto"/>
          <w:sz w:val="21"/>
          <w:szCs w:val="21"/>
          <w:highlight w:val="none"/>
        </w:rPr>
        <w:t>，推荐中标候选人或确定中标供应商。其中推荐中标候选人的，采购组织机构在评标结束后2个工作日内将评标报告送采购人，采购人自收到评标报告之日起5个工作日内在评标报告推荐的中标候选人中确定中标供应商。</w:t>
      </w:r>
    </w:p>
    <w:p w14:paraId="7417AE67">
      <w:pPr>
        <w:spacing w:line="360" w:lineRule="auto"/>
        <w:ind w:firstLine="420" w:firstLineChars="200"/>
        <w:rPr>
          <w:rFonts w:ascii="宋体" w:hAnsi="宋体"/>
          <w:color w:val="auto"/>
          <w:kern w:val="0"/>
          <w:szCs w:val="21"/>
          <w:highlight w:val="none"/>
        </w:rPr>
      </w:pPr>
      <w:r>
        <w:rPr>
          <w:rFonts w:hint="eastAsia" w:asciiTheme="minorEastAsia" w:hAnsiTheme="minorEastAsia" w:eastAsiaTheme="minorEastAsia"/>
          <w:color w:val="auto"/>
          <w:szCs w:val="21"/>
          <w:highlight w:val="none"/>
        </w:rPr>
        <w:t>（二）</w:t>
      </w:r>
      <w:r>
        <w:rPr>
          <w:rFonts w:hint="eastAsia" w:ascii="宋体" w:hAnsi="宋体"/>
          <w:color w:val="auto"/>
          <w:kern w:val="0"/>
          <w:szCs w:val="21"/>
          <w:highlight w:val="none"/>
        </w:rPr>
        <w:t>发布</w:t>
      </w:r>
      <w:r>
        <w:rPr>
          <w:color w:val="auto"/>
          <w:szCs w:val="21"/>
          <w:highlight w:val="none"/>
        </w:rPr>
        <w:t>中标</w:t>
      </w:r>
      <w:r>
        <w:rPr>
          <w:rFonts w:hint="eastAsia" w:ascii="宋体" w:hAnsi="宋体"/>
          <w:color w:val="auto"/>
          <w:kern w:val="0"/>
          <w:szCs w:val="21"/>
          <w:highlight w:val="none"/>
        </w:rPr>
        <w:t>结果公告。采购组织机构自中标供应商</w:t>
      </w:r>
      <w:r>
        <w:rPr>
          <w:rFonts w:ascii="宋体" w:hAnsi="宋体"/>
          <w:color w:val="auto"/>
          <w:kern w:val="0"/>
          <w:szCs w:val="21"/>
          <w:highlight w:val="none"/>
        </w:rPr>
        <w:t>确定</w:t>
      </w:r>
      <w:r>
        <w:rPr>
          <w:rFonts w:hint="eastAsia" w:ascii="宋体" w:hAnsi="宋体"/>
          <w:color w:val="auto"/>
          <w:kern w:val="0"/>
          <w:szCs w:val="21"/>
          <w:highlight w:val="none"/>
        </w:rPr>
        <w:t>之日起</w:t>
      </w:r>
      <w:r>
        <w:rPr>
          <w:rFonts w:ascii="宋体" w:hAnsi="宋体"/>
          <w:color w:val="auto"/>
          <w:kern w:val="0"/>
          <w:szCs w:val="21"/>
          <w:highlight w:val="none"/>
        </w:rPr>
        <w:t>2个工作日内</w:t>
      </w:r>
      <w:r>
        <w:rPr>
          <w:rFonts w:hint="eastAsia" w:ascii="宋体" w:hAnsi="宋体"/>
          <w:color w:val="auto"/>
          <w:kern w:val="0"/>
          <w:szCs w:val="21"/>
          <w:highlight w:val="none"/>
        </w:rPr>
        <w:t>，</w:t>
      </w:r>
      <w:r>
        <w:rPr>
          <w:rFonts w:ascii="宋体" w:hAnsi="宋体"/>
          <w:color w:val="auto"/>
          <w:kern w:val="0"/>
          <w:szCs w:val="21"/>
          <w:highlight w:val="none"/>
        </w:rPr>
        <w:t>在</w:t>
      </w:r>
      <w:r>
        <w:rPr>
          <w:rFonts w:hint="eastAsia" w:ascii="宋体" w:hAnsi="宋体"/>
          <w:color w:val="auto"/>
          <w:kern w:val="0"/>
          <w:szCs w:val="21"/>
          <w:highlight w:val="none"/>
        </w:rPr>
        <w:t>浙江</w:t>
      </w:r>
      <w:r>
        <w:rPr>
          <w:rFonts w:ascii="宋体" w:hAnsi="宋体"/>
          <w:color w:val="auto"/>
          <w:kern w:val="0"/>
          <w:szCs w:val="21"/>
          <w:highlight w:val="none"/>
        </w:rPr>
        <w:t>省</w:t>
      </w:r>
      <w:r>
        <w:rPr>
          <w:rFonts w:hint="eastAsia" w:ascii="宋体" w:hAnsi="宋体"/>
          <w:color w:val="auto"/>
          <w:kern w:val="0"/>
          <w:szCs w:val="21"/>
          <w:highlight w:val="none"/>
        </w:rPr>
        <w:t>政府采购</w:t>
      </w:r>
      <w:r>
        <w:rPr>
          <w:rFonts w:ascii="宋体" w:hAnsi="宋体"/>
          <w:color w:val="auto"/>
          <w:kern w:val="0"/>
          <w:szCs w:val="21"/>
          <w:highlight w:val="none"/>
        </w:rPr>
        <w:t>网</w:t>
      </w:r>
      <w:r>
        <w:rPr>
          <w:rFonts w:hint="eastAsia" w:ascii="宋体" w:hAnsi="宋体"/>
          <w:color w:val="auto"/>
          <w:kern w:val="0"/>
          <w:szCs w:val="21"/>
          <w:highlight w:val="none"/>
        </w:rPr>
        <w:t>和台州市公共资源交易网上</w:t>
      </w:r>
      <w:r>
        <w:rPr>
          <w:rFonts w:ascii="宋体" w:hAnsi="宋体"/>
          <w:color w:val="auto"/>
          <w:kern w:val="0"/>
          <w:szCs w:val="21"/>
          <w:highlight w:val="none"/>
        </w:rPr>
        <w:t>公告</w:t>
      </w:r>
      <w:r>
        <w:rPr>
          <w:rFonts w:hint="eastAsia" w:ascii="宋体" w:hAnsi="宋体"/>
          <w:color w:val="auto"/>
          <w:kern w:val="0"/>
          <w:szCs w:val="21"/>
          <w:highlight w:val="none"/>
        </w:rPr>
        <w:t>中标结果，</w:t>
      </w:r>
      <w:r>
        <w:rPr>
          <w:color w:val="auto"/>
          <w:szCs w:val="21"/>
          <w:highlight w:val="none"/>
        </w:rPr>
        <w:t>中标结果公告期为 1 个工作日</w:t>
      </w:r>
      <w:r>
        <w:rPr>
          <w:rFonts w:hint="eastAsia" w:ascii="宋体" w:hAnsi="宋体"/>
          <w:color w:val="auto"/>
          <w:kern w:val="0"/>
          <w:szCs w:val="21"/>
          <w:highlight w:val="none"/>
        </w:rPr>
        <w:t>。</w:t>
      </w:r>
    </w:p>
    <w:p w14:paraId="485FB429">
      <w:pPr>
        <w:pStyle w:val="18"/>
        <w:spacing w:line="360" w:lineRule="auto"/>
        <w:ind w:firstLine="420" w:firstLineChars="200"/>
        <w:jc w:val="both"/>
        <w:rPr>
          <w:color w:val="auto"/>
          <w:szCs w:val="21"/>
          <w:highlight w:val="none"/>
        </w:rPr>
      </w:pPr>
      <w:r>
        <w:rPr>
          <w:rFonts w:hint="eastAsia" w:ascii="宋体" w:hAnsi="宋体"/>
          <w:color w:val="auto"/>
          <w:kern w:val="0"/>
          <w:szCs w:val="21"/>
          <w:highlight w:val="none"/>
        </w:rPr>
        <w:t>（三）</w:t>
      </w:r>
      <w:r>
        <w:rPr>
          <w:rFonts w:hint="eastAsia"/>
          <w:color w:val="auto"/>
          <w:szCs w:val="21"/>
          <w:highlight w:val="none"/>
        </w:rPr>
        <w:t>发放中标通知书</w:t>
      </w:r>
      <w:r>
        <w:rPr>
          <w:rFonts w:hint="eastAsia" w:ascii="宋体" w:hAnsi="宋体"/>
          <w:color w:val="auto"/>
          <w:kern w:val="0"/>
          <w:szCs w:val="21"/>
          <w:highlight w:val="none"/>
        </w:rPr>
        <w:t>。采购组织机构在发布中标结果公告的同时，</w:t>
      </w:r>
      <w:r>
        <w:rPr>
          <w:rFonts w:hint="eastAsia"/>
          <w:color w:val="auto"/>
          <w:szCs w:val="21"/>
          <w:highlight w:val="none"/>
        </w:rPr>
        <w:t>通过政采云平台</w:t>
      </w:r>
      <w:r>
        <w:rPr>
          <w:rFonts w:hint="eastAsia" w:ascii="宋体" w:hAnsi="宋体"/>
          <w:color w:val="auto"/>
          <w:kern w:val="0"/>
          <w:szCs w:val="21"/>
          <w:highlight w:val="none"/>
        </w:rPr>
        <w:t>向中标供应商发出中标通知书。</w:t>
      </w:r>
    </w:p>
    <w:p w14:paraId="00825C48">
      <w:pPr>
        <w:spacing w:line="360" w:lineRule="auto"/>
        <w:ind w:firstLine="422" w:firstLineChars="200"/>
        <w:rPr>
          <w:rFonts w:ascii="宋体" w:hAnsi="宋体"/>
          <w:color w:val="auto"/>
          <w:kern w:val="0"/>
          <w:szCs w:val="21"/>
          <w:highlight w:val="none"/>
        </w:rPr>
      </w:pPr>
      <w:r>
        <w:rPr>
          <w:rFonts w:hint="eastAsia" w:asciiTheme="minorEastAsia" w:hAnsiTheme="minorEastAsia" w:eastAsiaTheme="minorEastAsia"/>
          <w:b/>
          <w:color w:val="auto"/>
          <w:szCs w:val="21"/>
          <w:highlight w:val="none"/>
        </w:rPr>
        <w:t>七</w:t>
      </w:r>
      <w:r>
        <w:rPr>
          <w:rFonts w:asciiTheme="minorEastAsia" w:hAnsiTheme="minorEastAsia" w:eastAsiaTheme="minorEastAsia"/>
          <w:b/>
          <w:color w:val="auto"/>
          <w:szCs w:val="21"/>
          <w:highlight w:val="none"/>
        </w:rPr>
        <w:t>、</w:t>
      </w:r>
      <w:r>
        <w:rPr>
          <w:rFonts w:hint="eastAsia" w:ascii="宋体" w:hAnsi="宋体"/>
          <w:b/>
          <w:color w:val="auto"/>
          <w:kern w:val="0"/>
          <w:szCs w:val="21"/>
          <w:highlight w:val="none"/>
        </w:rPr>
        <w:t>合同签订及公告</w:t>
      </w:r>
    </w:p>
    <w:p w14:paraId="584E1242">
      <w:pPr>
        <w:spacing w:line="360" w:lineRule="auto"/>
        <w:ind w:firstLine="422" w:firstLineChars="200"/>
        <w:rPr>
          <w:rFonts w:ascii="宋体" w:hAnsi="宋体"/>
          <w:b/>
          <w:color w:val="auto"/>
          <w:kern w:val="0"/>
          <w:szCs w:val="21"/>
          <w:highlight w:val="none"/>
        </w:rPr>
      </w:pPr>
      <w:r>
        <w:rPr>
          <w:rFonts w:hint="eastAsia" w:ascii="宋体" w:hAnsi="宋体"/>
          <w:b/>
          <w:color w:val="auto"/>
          <w:szCs w:val="21"/>
          <w:highlight w:val="none"/>
        </w:rPr>
        <w:t>（一）签订合同</w:t>
      </w:r>
    </w:p>
    <w:p w14:paraId="23338A6E">
      <w:pPr>
        <w:pStyle w:val="42"/>
        <w:spacing w:before="0" w:beforeAutospacing="0" w:after="0" w:afterAutospacing="0" w:line="360" w:lineRule="auto"/>
        <w:ind w:firstLine="420" w:firstLineChars="200"/>
        <w:jc w:val="both"/>
        <w:rPr>
          <w:rFonts w:hint="default"/>
          <w:color w:val="auto"/>
          <w:sz w:val="21"/>
          <w:szCs w:val="21"/>
          <w:highlight w:val="none"/>
        </w:rPr>
      </w:pPr>
      <w:r>
        <w:rPr>
          <w:color w:val="auto"/>
          <w:sz w:val="21"/>
          <w:szCs w:val="21"/>
          <w:highlight w:val="none"/>
        </w:rPr>
        <w:t>1.采购人应当自中标通知书发出之日起30日内，按照招标文件和中标供应商投标文件内容要求，与中标供应商签订书面合同或者电子合同。所签订的合同不得对招标文件确定的事项和中标供应商电子投标文件作实质性修改。</w:t>
      </w:r>
    </w:p>
    <w:p w14:paraId="1B5DFF6B">
      <w:pPr>
        <w:pStyle w:val="42"/>
        <w:spacing w:before="0" w:beforeAutospacing="0" w:after="0" w:afterAutospacing="0" w:line="360" w:lineRule="auto"/>
        <w:ind w:firstLine="420" w:firstLineChars="200"/>
        <w:jc w:val="both"/>
        <w:rPr>
          <w:rFonts w:hint="default"/>
          <w:color w:val="auto"/>
          <w:sz w:val="21"/>
          <w:szCs w:val="21"/>
          <w:highlight w:val="none"/>
        </w:rPr>
      </w:pPr>
      <w:r>
        <w:rPr>
          <w:color w:val="auto"/>
          <w:sz w:val="21"/>
          <w:szCs w:val="21"/>
          <w:highlight w:val="none"/>
        </w:rPr>
        <w:t>2.采购人不得向中标供应商提出任何不合理的要求作为签订合同的条件。</w:t>
      </w:r>
    </w:p>
    <w:p w14:paraId="4069C449">
      <w:pPr>
        <w:pStyle w:val="42"/>
        <w:spacing w:before="0" w:beforeAutospacing="0" w:after="0" w:afterAutospacing="0" w:line="360" w:lineRule="auto"/>
        <w:ind w:firstLine="420" w:firstLineChars="200"/>
        <w:jc w:val="both"/>
        <w:rPr>
          <w:rFonts w:hint="default"/>
          <w:color w:val="auto"/>
          <w:sz w:val="21"/>
          <w:szCs w:val="21"/>
          <w:highlight w:val="none"/>
        </w:rPr>
      </w:pPr>
      <w:r>
        <w:rPr>
          <w:color w:val="auto"/>
          <w:sz w:val="21"/>
          <w:szCs w:val="21"/>
          <w:highlight w:val="none"/>
        </w:rPr>
        <w:t>3.中标供应商无故拖延、拒签合同的,将取消中标资格。</w:t>
      </w:r>
    </w:p>
    <w:p w14:paraId="24BAD59E">
      <w:pPr>
        <w:pStyle w:val="42"/>
        <w:spacing w:before="0" w:beforeAutospacing="0" w:after="0" w:afterAutospacing="0" w:line="360" w:lineRule="auto"/>
        <w:ind w:firstLine="420" w:firstLineChars="200"/>
        <w:jc w:val="both"/>
        <w:rPr>
          <w:rFonts w:hint="default"/>
          <w:color w:val="auto"/>
          <w:sz w:val="21"/>
          <w:szCs w:val="21"/>
          <w:highlight w:val="none"/>
        </w:rPr>
      </w:pPr>
      <w:r>
        <w:rPr>
          <w:color w:val="auto"/>
          <w:sz w:val="21"/>
          <w:szCs w:val="21"/>
          <w:highlight w:val="none"/>
        </w:rPr>
        <w:t>4.中标供应商拒绝与采购人签订合同的，采购人可以按照评标报告推荐的中标候选人名单排序，确定下一候选人为中标供应商，也可以重新开展政府采购活动。同时，拒绝与采购人签订合同的中标供应商，由同级财政部门依法做出处理。</w:t>
      </w:r>
    </w:p>
    <w:p w14:paraId="76B7B0B5">
      <w:pPr>
        <w:pStyle w:val="42"/>
        <w:spacing w:before="0" w:beforeAutospacing="0" w:after="0" w:afterAutospacing="0" w:line="360" w:lineRule="auto"/>
        <w:ind w:firstLine="420" w:firstLineChars="200"/>
        <w:jc w:val="both"/>
        <w:rPr>
          <w:rFonts w:hint="default"/>
          <w:color w:val="auto"/>
          <w:sz w:val="21"/>
          <w:szCs w:val="21"/>
          <w:highlight w:val="none"/>
        </w:rPr>
      </w:pPr>
      <w:r>
        <w:rPr>
          <w:color w:val="auto"/>
          <w:sz w:val="21"/>
          <w:szCs w:val="21"/>
          <w:highlight w:val="none"/>
        </w:rPr>
        <w:t>5.询问或者质疑事项可能影响中标结果的，采购人应当暂停签订合同，已经签订合同的，应当中止履行合同。</w:t>
      </w:r>
    </w:p>
    <w:p w14:paraId="1ED05727">
      <w:pPr>
        <w:pStyle w:val="42"/>
        <w:spacing w:before="0" w:beforeAutospacing="0" w:after="0" w:afterAutospacing="0" w:line="360" w:lineRule="auto"/>
        <w:ind w:firstLine="422" w:firstLineChars="200"/>
        <w:jc w:val="both"/>
        <w:rPr>
          <w:rFonts w:hint="default" w:cs="仿宋_GB2312"/>
          <w:b/>
          <w:color w:val="auto"/>
          <w:sz w:val="21"/>
          <w:szCs w:val="21"/>
          <w:highlight w:val="none"/>
        </w:rPr>
      </w:pPr>
      <w:r>
        <w:rPr>
          <w:b/>
          <w:color w:val="auto"/>
          <w:sz w:val="21"/>
          <w:szCs w:val="21"/>
          <w:highlight w:val="none"/>
        </w:rPr>
        <w:t>（二）合同公告及备案</w:t>
      </w:r>
    </w:p>
    <w:p w14:paraId="61D9A7BC">
      <w:pPr>
        <w:pStyle w:val="14"/>
        <w:spacing w:after="0" w:line="360" w:lineRule="auto"/>
        <w:ind w:left="0" w:leftChars="0" w:firstLine="420" w:firstLineChars="200"/>
        <w:rPr>
          <w:rFonts w:ascii="宋体" w:hAnsi="宋体"/>
          <w:color w:val="auto"/>
          <w:szCs w:val="21"/>
          <w:highlight w:val="none"/>
        </w:rPr>
      </w:pPr>
      <w:r>
        <w:rPr>
          <w:rFonts w:hint="eastAsia" w:ascii="宋体" w:hAnsi="宋体"/>
          <w:color w:val="auto"/>
          <w:szCs w:val="21"/>
          <w:highlight w:val="none"/>
        </w:rPr>
        <w:t>1.采购人应当自合同签订之日起2个工作日内，</w:t>
      </w:r>
      <w:r>
        <w:rPr>
          <w:rFonts w:ascii="宋体" w:hAnsi="宋体"/>
          <w:color w:val="auto"/>
          <w:kern w:val="0"/>
          <w:szCs w:val="21"/>
          <w:highlight w:val="none"/>
        </w:rPr>
        <w:t>在省级以上财政部门指定的</w:t>
      </w:r>
      <w:r>
        <w:rPr>
          <w:rFonts w:hint="eastAsia" w:ascii="宋体" w:hAnsi="宋体"/>
          <w:color w:val="auto"/>
          <w:kern w:val="0"/>
          <w:szCs w:val="21"/>
          <w:highlight w:val="none"/>
        </w:rPr>
        <w:t>政府采购信息发布</w:t>
      </w:r>
      <w:r>
        <w:rPr>
          <w:rFonts w:ascii="宋体" w:hAnsi="宋体"/>
          <w:color w:val="auto"/>
          <w:kern w:val="0"/>
          <w:szCs w:val="21"/>
          <w:highlight w:val="none"/>
        </w:rPr>
        <w:t>媒体及相关网站</w:t>
      </w:r>
      <w:r>
        <w:rPr>
          <w:rFonts w:hint="eastAsia" w:ascii="宋体" w:hAnsi="宋体"/>
          <w:color w:val="auto"/>
          <w:kern w:val="0"/>
          <w:szCs w:val="21"/>
          <w:highlight w:val="none"/>
        </w:rPr>
        <w:t>上</w:t>
      </w:r>
      <w:r>
        <w:rPr>
          <w:rFonts w:ascii="宋体" w:hAnsi="宋体"/>
          <w:color w:val="auto"/>
          <w:kern w:val="0"/>
          <w:szCs w:val="21"/>
          <w:highlight w:val="none"/>
        </w:rPr>
        <w:t>公告</w:t>
      </w:r>
      <w:r>
        <w:rPr>
          <w:rFonts w:hint="eastAsia" w:ascii="宋体" w:hAnsi="宋体"/>
          <w:color w:val="auto"/>
          <w:szCs w:val="21"/>
          <w:highlight w:val="none"/>
        </w:rPr>
        <w:t>。</w:t>
      </w:r>
    </w:p>
    <w:p w14:paraId="77188A85">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2.采购人应当自合同签订之日起7个工作日内，</w:t>
      </w:r>
      <w:r>
        <w:rPr>
          <w:rFonts w:hint="eastAsia"/>
          <w:color w:val="auto"/>
          <w:szCs w:val="21"/>
          <w:highlight w:val="none"/>
        </w:rPr>
        <w:t>将合同通过政采云平台提交至</w:t>
      </w:r>
      <w:r>
        <w:rPr>
          <w:rFonts w:hint="eastAsia" w:ascii="宋体" w:hAnsi="宋体"/>
          <w:color w:val="auto"/>
          <w:szCs w:val="21"/>
          <w:highlight w:val="none"/>
        </w:rPr>
        <w:t>同级人民政府财政部门备案存档。</w:t>
      </w:r>
    </w:p>
    <w:p w14:paraId="194D4E47">
      <w:pPr>
        <w:pStyle w:val="18"/>
        <w:spacing w:line="360" w:lineRule="auto"/>
        <w:ind w:firstLine="422" w:firstLineChars="200"/>
        <w:jc w:val="both"/>
        <w:rPr>
          <w:rFonts w:ascii="宋体" w:hAnsi="宋体"/>
          <w:b/>
          <w:bCs/>
          <w:color w:val="auto"/>
          <w:szCs w:val="21"/>
          <w:highlight w:val="none"/>
        </w:rPr>
      </w:pPr>
      <w:r>
        <w:rPr>
          <w:rFonts w:hint="eastAsia" w:ascii="宋体" w:hAnsi="宋体"/>
          <w:b/>
          <w:bCs/>
          <w:color w:val="auto"/>
          <w:szCs w:val="21"/>
          <w:highlight w:val="none"/>
        </w:rPr>
        <w:t>八、询问、质疑与投诉</w:t>
      </w:r>
    </w:p>
    <w:p w14:paraId="22DCFBC4">
      <w:pPr>
        <w:pStyle w:val="18"/>
        <w:spacing w:line="360" w:lineRule="auto"/>
        <w:ind w:firstLine="422" w:firstLineChars="200"/>
        <w:jc w:val="both"/>
        <w:rPr>
          <w:rFonts w:ascii="宋体" w:hAnsi="宋体"/>
          <w:b/>
          <w:bCs/>
          <w:color w:val="auto"/>
          <w:szCs w:val="21"/>
          <w:highlight w:val="none"/>
        </w:rPr>
      </w:pPr>
      <w:r>
        <w:rPr>
          <w:rFonts w:hint="eastAsia" w:ascii="宋体" w:hAnsi="宋体"/>
          <w:b/>
          <w:bCs/>
          <w:color w:val="auto"/>
          <w:szCs w:val="21"/>
          <w:highlight w:val="none"/>
        </w:rPr>
        <w:t>（一）询问</w:t>
      </w:r>
    </w:p>
    <w:p w14:paraId="37679629">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投标供应商对政府采购活动事项（招标文件、采购过程和中标结果）有疑问的，可以向采购人或采购组织机构提出询问，采购人或采购组织机构将及时做出答复，但答复的内容不涉及商业秘密。询问可以口头方式提出，也可以书面方式提出。联系方式见第一章“招标公告”中“采购人、采购组织机构的名称、地址和联系方式”。</w:t>
      </w:r>
    </w:p>
    <w:p w14:paraId="3D4A29F8">
      <w:pPr>
        <w:pStyle w:val="18"/>
        <w:spacing w:line="360" w:lineRule="auto"/>
        <w:ind w:firstLine="422" w:firstLineChars="200"/>
        <w:jc w:val="both"/>
        <w:rPr>
          <w:rFonts w:ascii="宋体" w:hAnsi="宋体"/>
          <w:b/>
          <w:bCs/>
          <w:color w:val="auto"/>
          <w:szCs w:val="21"/>
          <w:highlight w:val="none"/>
        </w:rPr>
      </w:pPr>
      <w:r>
        <w:rPr>
          <w:rFonts w:hint="eastAsia" w:ascii="宋体" w:hAnsi="宋体"/>
          <w:b/>
          <w:bCs/>
          <w:color w:val="auto"/>
          <w:szCs w:val="21"/>
          <w:highlight w:val="none"/>
        </w:rPr>
        <w:t>（二）质疑</w:t>
      </w:r>
    </w:p>
    <w:p w14:paraId="7B358594">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1.报名本项目的投标供应商认为招标文件、采购过程和中标结果使自己的权益受到损害的，以书面形式或政采云平台的质疑系统一次性针对同一环节向采购人或采购组织机构提出质疑：</w:t>
      </w:r>
    </w:p>
    <w:p w14:paraId="3AB4F87E">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（1）投标供应商认为招标文件的内容损害其权益的，应当自获取之日或者采购文件公告期限届满之日起7个工作日内提出质疑；</w:t>
      </w:r>
    </w:p>
    <w:p w14:paraId="23E20DA6">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（2）投标供应商对采购过程提出质疑的，应当在各采购程序环节结束之日起7个工作日内一次性以书面形式提出质疑；</w:t>
      </w:r>
    </w:p>
    <w:p w14:paraId="1BC2C2A7">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（3）投标供应商对中标结果提出质疑的，应当在中标结果公告期限届满之日起7个工作日内一次性以书面形式提出质疑；</w:t>
      </w:r>
    </w:p>
    <w:p w14:paraId="31ADD71D">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2.采购人或采购组织机构在收到投标供应商的书面质疑后7个工作日内做出答复，并以书面形式或政采云平台回复质疑投标供应商和其他有关投标供应商，但答复内容不涉及商业秘密。</w:t>
      </w:r>
    </w:p>
    <w:p w14:paraId="08C3B63B">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3.投标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02240E9">
      <w:pPr>
        <w:pStyle w:val="18"/>
        <w:spacing w:line="360" w:lineRule="auto"/>
        <w:ind w:firstLine="422" w:firstLineChars="200"/>
        <w:jc w:val="both"/>
        <w:rPr>
          <w:rFonts w:ascii="宋体" w:hAnsi="宋体"/>
          <w:b/>
          <w:bCs/>
          <w:color w:val="auto"/>
          <w:szCs w:val="21"/>
          <w:highlight w:val="none"/>
        </w:rPr>
      </w:pPr>
      <w:r>
        <w:rPr>
          <w:rFonts w:hint="eastAsia" w:ascii="宋体" w:hAnsi="宋体"/>
          <w:b/>
          <w:bCs/>
          <w:color w:val="auto"/>
          <w:szCs w:val="21"/>
          <w:highlight w:val="none"/>
        </w:rPr>
        <w:t>（三）投诉</w:t>
      </w:r>
    </w:p>
    <w:p w14:paraId="3125389E">
      <w:pPr>
        <w:pStyle w:val="18"/>
        <w:spacing w:line="360" w:lineRule="auto"/>
        <w:ind w:firstLine="420" w:firstLineChars="200"/>
        <w:jc w:val="both"/>
        <w:rPr>
          <w:rFonts w:ascii="宋体" w:hAnsi="宋体"/>
          <w:color w:val="auto"/>
          <w:szCs w:val="21"/>
          <w:highlight w:val="none"/>
        </w:rPr>
      </w:pPr>
      <w:r>
        <w:rPr>
          <w:rFonts w:hint="eastAsia" w:ascii="宋体" w:hAnsi="宋体"/>
          <w:color w:val="auto"/>
          <w:szCs w:val="21"/>
          <w:highlight w:val="none"/>
        </w:rPr>
        <w:t>投标供应商对采购人或采购组织机构的质疑答复不满意或在规定时间内未得到答复的，可以在答复期满后15个工作日内，向同级政府采购监督管理机构投诉。</w:t>
      </w:r>
    </w:p>
    <w:p w14:paraId="4FA4BC53">
      <w:pPr>
        <w:pStyle w:val="18"/>
        <w:spacing w:line="360" w:lineRule="auto"/>
        <w:ind w:firstLine="480" w:firstLineChars="200"/>
        <w:jc w:val="both"/>
        <w:rPr>
          <w:rFonts w:asciiTheme="minorEastAsia" w:hAnsiTheme="minorEastAsia" w:eastAsiaTheme="minorEastAsia"/>
          <w:b/>
          <w:color w:val="auto"/>
          <w:sz w:val="36"/>
          <w:szCs w:val="36"/>
          <w:highlight w:val="none"/>
        </w:rPr>
      </w:pPr>
      <w:r>
        <w:rPr>
          <w:rFonts w:hint="eastAsia" w:ascii="宋体" w:hAnsi="宋体"/>
          <w:color w:val="auto"/>
          <w:sz w:val="24"/>
          <w:highlight w:val="none"/>
        </w:rPr>
        <w:br w:type="page"/>
      </w:r>
    </w:p>
    <w:p w14:paraId="4A1589DE">
      <w:pPr>
        <w:numPr>
          <w:ilvl w:val="0"/>
          <w:numId w:val="15"/>
        </w:numPr>
        <w:spacing w:line="360" w:lineRule="auto"/>
        <w:jc w:val="center"/>
        <w:rPr>
          <w:rFonts w:asciiTheme="minorEastAsia" w:hAnsiTheme="minorEastAsia" w:eastAsiaTheme="minorEastAsia"/>
          <w:b/>
          <w:color w:val="auto"/>
          <w:sz w:val="36"/>
          <w:szCs w:val="36"/>
          <w:highlight w:val="none"/>
        </w:rPr>
      </w:pPr>
      <w:bookmarkStart w:id="33" w:name="_Toc13072_WPSOffice_Level1"/>
      <w:r>
        <w:rPr>
          <w:rFonts w:hint="eastAsia" w:asciiTheme="minorEastAsia" w:hAnsiTheme="minorEastAsia" w:eastAsiaTheme="minorEastAsia"/>
          <w:b/>
          <w:color w:val="auto"/>
          <w:sz w:val="36"/>
          <w:szCs w:val="36"/>
          <w:highlight w:val="none"/>
        </w:rPr>
        <w:t>招标需求</w:t>
      </w:r>
      <w:bookmarkEnd w:id="33"/>
    </w:p>
    <w:p w14:paraId="69CC972C">
      <w:pPr>
        <w:rPr>
          <w:b/>
          <w:color w:val="auto"/>
          <w:sz w:val="24"/>
          <w:szCs w:val="24"/>
          <w:highlight w:val="none"/>
        </w:rPr>
      </w:pPr>
      <w:r>
        <w:rPr>
          <w:rFonts w:hint="eastAsia"/>
          <w:color w:val="auto"/>
          <w:sz w:val="24"/>
          <w:szCs w:val="24"/>
          <w:highlight w:val="none"/>
        </w:rPr>
        <w:t>本次招标共</w:t>
      </w:r>
      <w:r>
        <w:rPr>
          <w:rFonts w:hint="eastAsia"/>
          <w:color w:val="auto"/>
          <w:sz w:val="24"/>
          <w:szCs w:val="24"/>
          <w:highlight w:val="none"/>
          <w:u w:val="single"/>
        </w:rPr>
        <w:t xml:space="preserve"> 一 </w:t>
      </w:r>
      <w:r>
        <w:rPr>
          <w:rFonts w:hint="eastAsia"/>
          <w:color w:val="auto"/>
          <w:sz w:val="24"/>
          <w:szCs w:val="24"/>
          <w:highlight w:val="none"/>
        </w:rPr>
        <w:t>个标段，具体内容如下表：</w:t>
      </w:r>
    </w:p>
    <w:tbl>
      <w:tblPr>
        <w:tblStyle w:val="46"/>
        <w:tblW w:w="5677" w:type="pct"/>
        <w:tblInd w:w="-7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1549"/>
        <w:gridCol w:w="1216"/>
        <w:gridCol w:w="821"/>
        <w:gridCol w:w="531"/>
        <w:gridCol w:w="850"/>
        <w:gridCol w:w="913"/>
        <w:gridCol w:w="1364"/>
        <w:gridCol w:w="2027"/>
      </w:tblGrid>
      <w:tr w14:paraId="4E10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36" w:type="pct"/>
            <w:vAlign w:val="center"/>
          </w:tcPr>
          <w:p w14:paraId="4A12A1EA">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标段号</w:t>
            </w:r>
          </w:p>
        </w:tc>
        <w:tc>
          <w:tcPr>
            <w:tcW w:w="762" w:type="pct"/>
            <w:vAlign w:val="center"/>
          </w:tcPr>
          <w:p w14:paraId="2C026E28">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项目名称</w:t>
            </w:r>
          </w:p>
        </w:tc>
        <w:tc>
          <w:tcPr>
            <w:tcW w:w="598" w:type="pct"/>
            <w:vAlign w:val="center"/>
          </w:tcPr>
          <w:p w14:paraId="168A96BD">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规格</w:t>
            </w:r>
          </w:p>
          <w:p w14:paraId="24BCBA84">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型号</w:t>
            </w:r>
          </w:p>
        </w:tc>
        <w:tc>
          <w:tcPr>
            <w:tcW w:w="404" w:type="pct"/>
            <w:vAlign w:val="center"/>
          </w:tcPr>
          <w:p w14:paraId="440A4232">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数量</w:t>
            </w:r>
          </w:p>
        </w:tc>
        <w:tc>
          <w:tcPr>
            <w:tcW w:w="261" w:type="pct"/>
            <w:vAlign w:val="center"/>
          </w:tcPr>
          <w:p w14:paraId="0F19264F">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单位</w:t>
            </w:r>
          </w:p>
        </w:tc>
        <w:tc>
          <w:tcPr>
            <w:tcW w:w="418" w:type="pct"/>
            <w:vAlign w:val="center"/>
          </w:tcPr>
          <w:p w14:paraId="6FBA1D60">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预算</w:t>
            </w:r>
          </w:p>
          <w:p w14:paraId="0D9D1FE3">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（万元）</w:t>
            </w:r>
          </w:p>
        </w:tc>
        <w:tc>
          <w:tcPr>
            <w:tcW w:w="449" w:type="pct"/>
            <w:vAlign w:val="center"/>
          </w:tcPr>
          <w:p w14:paraId="53ECB8D5">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工期</w:t>
            </w:r>
          </w:p>
        </w:tc>
        <w:tc>
          <w:tcPr>
            <w:tcW w:w="671" w:type="pct"/>
            <w:vAlign w:val="center"/>
          </w:tcPr>
          <w:p w14:paraId="3C75CB1B">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项目地点</w:t>
            </w:r>
          </w:p>
        </w:tc>
        <w:tc>
          <w:tcPr>
            <w:tcW w:w="997" w:type="pct"/>
            <w:vAlign w:val="center"/>
          </w:tcPr>
          <w:p w14:paraId="74DA7483">
            <w:pPr>
              <w:rPr>
                <w:rFonts w:hint="eastAsia" w:ascii="Times New Roman" w:hAnsi="Times New Roman" w:cs="Times New Roman"/>
                <w:b/>
                <w:bCs/>
                <w:color w:val="auto"/>
                <w:sz w:val="24"/>
                <w:szCs w:val="24"/>
                <w:highlight w:val="none"/>
              </w:rPr>
            </w:pPr>
            <w:r>
              <w:rPr>
                <w:rFonts w:hint="eastAsia" w:ascii="Times New Roman" w:hAnsi="Times New Roman" w:cs="Times New Roman"/>
                <w:b/>
                <w:bCs/>
                <w:color w:val="auto"/>
                <w:sz w:val="24"/>
                <w:szCs w:val="24"/>
                <w:highlight w:val="none"/>
              </w:rPr>
              <w:t>备注</w:t>
            </w:r>
          </w:p>
        </w:tc>
      </w:tr>
      <w:tr w14:paraId="43E3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36" w:type="pct"/>
            <w:vAlign w:val="center"/>
          </w:tcPr>
          <w:p w14:paraId="018528B1">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lang w:val="zh-CN"/>
              </w:rPr>
            </w:pPr>
            <w:r>
              <w:rPr>
                <w:rFonts w:hint="eastAsia" w:ascii="Times New Roman" w:hAnsi="Times New Roman" w:cs="Times New Roman"/>
                <w:bCs/>
                <w:color w:val="auto"/>
                <w:szCs w:val="21"/>
                <w:highlight w:val="none"/>
                <w:lang w:val="zh-CN"/>
              </w:rPr>
              <w:t>一</w:t>
            </w:r>
          </w:p>
        </w:tc>
        <w:tc>
          <w:tcPr>
            <w:tcW w:w="762" w:type="pct"/>
            <w:vAlign w:val="center"/>
          </w:tcPr>
          <w:p w14:paraId="4A996782">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lang w:val="zh-CN"/>
              </w:rPr>
            </w:pPr>
            <w:r>
              <w:rPr>
                <w:rFonts w:hint="eastAsia" w:cs="Times New Roman"/>
                <w:bCs/>
                <w:color w:val="auto"/>
                <w:szCs w:val="21"/>
                <w:highlight w:val="none"/>
                <w:lang w:val="zh-CN"/>
              </w:rPr>
              <w:t>2024年电子监控、基础及管路项目（第二次重新招标）</w:t>
            </w:r>
          </w:p>
        </w:tc>
        <w:tc>
          <w:tcPr>
            <w:tcW w:w="598" w:type="pct"/>
            <w:vAlign w:val="center"/>
          </w:tcPr>
          <w:p w14:paraId="0112DD44">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lang w:val="zh-CN"/>
              </w:rPr>
            </w:pPr>
            <w:r>
              <w:rPr>
                <w:rFonts w:hint="eastAsia" w:ascii="Times New Roman" w:hAnsi="Times New Roman" w:cs="Times New Roman"/>
                <w:bCs/>
                <w:color w:val="auto"/>
                <w:szCs w:val="21"/>
                <w:highlight w:val="none"/>
                <w:lang w:val="zh-CN"/>
              </w:rPr>
              <w:t>详见具体技术需求</w:t>
            </w:r>
          </w:p>
        </w:tc>
        <w:tc>
          <w:tcPr>
            <w:tcW w:w="404" w:type="pct"/>
            <w:vAlign w:val="center"/>
          </w:tcPr>
          <w:p w14:paraId="28446E43">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lang w:val="zh-CN"/>
              </w:rPr>
            </w:pPr>
            <w:r>
              <w:rPr>
                <w:rFonts w:hint="eastAsia" w:ascii="Times New Roman" w:hAnsi="Times New Roman" w:cs="Times New Roman"/>
                <w:bCs/>
                <w:color w:val="auto"/>
                <w:szCs w:val="21"/>
                <w:highlight w:val="none"/>
              </w:rPr>
              <w:t>1</w:t>
            </w:r>
          </w:p>
        </w:tc>
        <w:tc>
          <w:tcPr>
            <w:tcW w:w="261" w:type="pct"/>
            <w:vAlign w:val="center"/>
          </w:tcPr>
          <w:p w14:paraId="6073D52C">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lang w:val="zh-CN"/>
              </w:rPr>
            </w:pPr>
            <w:r>
              <w:rPr>
                <w:rFonts w:hint="eastAsia" w:ascii="Times New Roman" w:hAnsi="Times New Roman" w:cs="Times New Roman"/>
                <w:bCs/>
                <w:color w:val="auto"/>
                <w:szCs w:val="21"/>
                <w:highlight w:val="none"/>
                <w:lang w:val="zh-CN"/>
              </w:rPr>
              <w:t>项</w:t>
            </w:r>
          </w:p>
        </w:tc>
        <w:tc>
          <w:tcPr>
            <w:tcW w:w="418" w:type="pct"/>
            <w:vAlign w:val="center"/>
          </w:tcPr>
          <w:p w14:paraId="00830240">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150</w:t>
            </w:r>
          </w:p>
        </w:tc>
        <w:tc>
          <w:tcPr>
            <w:tcW w:w="449" w:type="pct"/>
            <w:vAlign w:val="center"/>
          </w:tcPr>
          <w:p w14:paraId="77ABFCE3">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合同签订后一年</w:t>
            </w:r>
          </w:p>
        </w:tc>
        <w:tc>
          <w:tcPr>
            <w:tcW w:w="671" w:type="pct"/>
            <w:vAlign w:val="center"/>
          </w:tcPr>
          <w:p w14:paraId="7BAF2ADA">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采购人指定地点</w:t>
            </w:r>
          </w:p>
        </w:tc>
        <w:tc>
          <w:tcPr>
            <w:tcW w:w="997" w:type="pct"/>
            <w:vAlign w:val="center"/>
          </w:tcPr>
          <w:p w14:paraId="6E3215DE">
            <w:pPr>
              <w:tabs>
                <w:tab w:val="left" w:pos="180"/>
                <w:tab w:val="left" w:pos="360"/>
                <w:tab w:val="left" w:pos="540"/>
                <w:tab w:val="left" w:pos="8280"/>
              </w:tabs>
              <w:autoSpaceDE w:val="0"/>
              <w:autoSpaceDN w:val="0"/>
              <w:adjustRightInd w:val="0"/>
              <w:spacing w:before="100" w:line="500" w:lineRule="exact"/>
              <w:ind w:right="23" w:rightChars="0"/>
              <w:jc w:val="center"/>
              <w:rPr>
                <w:rFonts w:hint="eastAsia" w:ascii="Times New Roman" w:hAnsi="Times New Roman" w:cs="Times New Roman"/>
                <w:bCs/>
                <w:color w:val="auto"/>
                <w:szCs w:val="21"/>
                <w:highlight w:val="none"/>
              </w:rPr>
            </w:pPr>
            <w:r>
              <w:rPr>
                <w:rFonts w:hint="eastAsia" w:ascii="Times New Roman" w:hAnsi="Times New Roman" w:cs="Times New Roman"/>
                <w:bCs/>
                <w:color w:val="auto"/>
                <w:szCs w:val="21"/>
                <w:highlight w:val="none"/>
              </w:rPr>
              <w:t>本项目采用结算率报价，结算率不得高于99%。</w:t>
            </w:r>
          </w:p>
        </w:tc>
      </w:tr>
    </w:tbl>
    <w:p w14:paraId="72CA8291">
      <w:pPr>
        <w:pStyle w:val="3"/>
        <w:rPr>
          <w:color w:val="auto"/>
          <w:sz w:val="24"/>
          <w:szCs w:val="24"/>
          <w:highlight w:val="none"/>
        </w:rPr>
      </w:pPr>
      <w:r>
        <w:rPr>
          <w:rFonts w:hint="eastAsia"/>
          <w:color w:val="auto"/>
          <w:sz w:val="24"/>
          <w:szCs w:val="24"/>
          <w:highlight w:val="none"/>
        </w:rPr>
        <w:t>备注：1.本项目总结算价不超过150万元，改造维护数量按实结算。</w:t>
      </w:r>
    </w:p>
    <w:p w14:paraId="27003D0F">
      <w:pPr>
        <w:pStyle w:val="3"/>
        <w:rPr>
          <w:rStyle w:val="568"/>
          <w:rFonts w:ascii="宋体" w:hAnsi="宋体" w:eastAsia="宋体" w:cs="宋体"/>
          <w:color w:val="auto"/>
          <w:sz w:val="24"/>
          <w:szCs w:val="24"/>
          <w:highlight w:val="none"/>
        </w:rPr>
      </w:pPr>
      <w:r>
        <w:rPr>
          <w:rStyle w:val="568"/>
          <w:rFonts w:hint="eastAsia" w:ascii="宋体" w:hAnsi="宋体" w:eastAsia="宋体" w:cs="宋体"/>
          <w:color w:val="auto"/>
          <w:sz w:val="24"/>
          <w:szCs w:val="24"/>
          <w:highlight w:val="none"/>
        </w:rPr>
        <w:t>一、整体要求</w:t>
      </w:r>
    </w:p>
    <w:p w14:paraId="69579FE2">
      <w:pPr>
        <w:rPr>
          <w:color w:val="auto"/>
          <w:sz w:val="24"/>
          <w:szCs w:val="24"/>
          <w:highlight w:val="none"/>
        </w:rPr>
      </w:pPr>
      <w:r>
        <w:rPr>
          <w:rFonts w:hint="eastAsia"/>
          <w:color w:val="auto"/>
          <w:sz w:val="24"/>
          <w:szCs w:val="24"/>
          <w:highlight w:val="none"/>
        </w:rPr>
        <w:t>1、本次招标供货内容为</w:t>
      </w:r>
      <w:r>
        <w:rPr>
          <w:rFonts w:hint="eastAsia"/>
          <w:color w:val="auto"/>
          <w:sz w:val="24"/>
          <w:szCs w:val="24"/>
          <w:highlight w:val="none"/>
          <w:lang w:val="zh-CN"/>
        </w:rPr>
        <w:t>2024年电子监控、基础及管路项目（第二次重新招标）</w:t>
      </w:r>
      <w:r>
        <w:rPr>
          <w:rFonts w:hint="eastAsia"/>
          <w:color w:val="auto"/>
          <w:kern w:val="0"/>
          <w:sz w:val="24"/>
          <w:szCs w:val="24"/>
          <w:highlight w:val="none"/>
        </w:rPr>
        <w:t>，</w:t>
      </w:r>
      <w:r>
        <w:rPr>
          <w:rFonts w:hint="eastAsia"/>
          <w:color w:val="auto"/>
          <w:sz w:val="24"/>
          <w:szCs w:val="24"/>
          <w:highlight w:val="none"/>
        </w:rPr>
        <w:t>含设备采购、安装、改造、维护和验收。本次招标将从技术方案、安装、调试、试运行、备品配件、验收、售后服务、维修技术力量等各个方面，对投标方进行全方位的综合考核。</w:t>
      </w:r>
    </w:p>
    <w:p w14:paraId="3D90D4A2">
      <w:pPr>
        <w:rPr>
          <w:color w:val="auto"/>
          <w:sz w:val="24"/>
          <w:szCs w:val="24"/>
          <w:highlight w:val="none"/>
        </w:rPr>
      </w:pPr>
      <w:r>
        <w:rPr>
          <w:rFonts w:hint="eastAsia"/>
          <w:color w:val="auto"/>
          <w:sz w:val="24"/>
          <w:szCs w:val="24"/>
          <w:highlight w:val="none"/>
        </w:rPr>
        <w:t>2、投标人所投的产品必须符合国家标准（无国家标准的应符合行业标准、国际标准）的要求。投标人必须严格按照招标文件要求提供成熟的全新原厂产品和强有力的技术支持及技术服务。投标人必须逐条响应招标文件的技术要求，提供详细的系统实现架构、网络拓扑设计，提供全部设备材料清单的品牌、型号、规格、数量。</w:t>
      </w:r>
    </w:p>
    <w:p w14:paraId="45E0F010">
      <w:pPr>
        <w:rPr>
          <w:color w:val="auto"/>
          <w:sz w:val="24"/>
          <w:szCs w:val="24"/>
          <w:highlight w:val="none"/>
        </w:rPr>
      </w:pPr>
      <w:r>
        <w:rPr>
          <w:rFonts w:hint="eastAsia"/>
          <w:bCs/>
          <w:color w:val="auto"/>
          <w:sz w:val="24"/>
          <w:szCs w:val="24"/>
          <w:highlight w:val="none"/>
        </w:rPr>
        <w:t>3、</w:t>
      </w:r>
      <w:r>
        <w:rPr>
          <w:rFonts w:hint="eastAsia"/>
          <w:color w:val="auto"/>
          <w:sz w:val="24"/>
          <w:szCs w:val="24"/>
          <w:highlight w:val="none"/>
        </w:rPr>
        <w:t>电子警察设备验收前必须通过浙江省计量院的检验（检测费用包含在项目总体费用中）。雷达测速设备每年标定工作由成交供应商负责送检。</w:t>
      </w:r>
    </w:p>
    <w:p w14:paraId="5116459B">
      <w:pPr>
        <w:rPr>
          <w:color w:val="auto"/>
          <w:sz w:val="24"/>
          <w:szCs w:val="24"/>
          <w:highlight w:val="none"/>
        </w:rPr>
      </w:pPr>
      <w:r>
        <w:rPr>
          <w:rFonts w:hint="eastAsia"/>
          <w:color w:val="auto"/>
          <w:sz w:val="24"/>
          <w:szCs w:val="24"/>
          <w:highlight w:val="none"/>
        </w:rPr>
        <w:t>4、成交供应商应根据项目特点和要求，制定切实可行的采购和实施方案。在设备安装前应派员进行实地勘察，确保深化设计合理、运行可靠、维护方便。</w:t>
      </w:r>
    </w:p>
    <w:p w14:paraId="56709EC2">
      <w:pPr>
        <w:rPr>
          <w:b/>
          <w:bCs/>
          <w:color w:val="auto"/>
          <w:sz w:val="24"/>
          <w:szCs w:val="24"/>
          <w:highlight w:val="none"/>
        </w:rPr>
      </w:pPr>
      <w:r>
        <w:rPr>
          <w:rFonts w:hint="eastAsia"/>
          <w:color w:val="auto"/>
          <w:sz w:val="24"/>
          <w:szCs w:val="24"/>
          <w:highlight w:val="none"/>
        </w:rPr>
        <w:t>5、本项目不另行组织现场勘察，投标人应自行考虑本项目的采购设备清单，保证能满足本招标文件的要求，并在投标文件中提供完整的技术资料（包括设备品牌、规格型号、生产厂家、产地及其他主要技术参数和相关文件资料）。</w:t>
      </w:r>
    </w:p>
    <w:p w14:paraId="1CDDE77C">
      <w:pPr>
        <w:rPr>
          <w:color w:val="auto"/>
          <w:sz w:val="24"/>
          <w:szCs w:val="24"/>
          <w:highlight w:val="none"/>
        </w:rPr>
      </w:pPr>
      <w:r>
        <w:rPr>
          <w:rFonts w:hint="eastAsia"/>
          <w:color w:val="auto"/>
          <w:sz w:val="24"/>
          <w:szCs w:val="24"/>
          <w:highlight w:val="none"/>
        </w:rPr>
        <w:t>6、投标人有责任对所投产品的完整性、合理性、规范性等负责。必须对采购人需求进行详细的深化设计，对设备配置的合理性进行充分论证，有偏差时进行具体说明，并制作深化设计方案，开标时供专家评审。成交供应商为实现招标要求且投标清单中未列举的设备，所增加设备涉及的所有费用由成交供应商自行负责。</w:t>
      </w:r>
    </w:p>
    <w:p w14:paraId="3CB13B28">
      <w:pPr>
        <w:rPr>
          <w:color w:val="auto"/>
          <w:sz w:val="24"/>
          <w:szCs w:val="24"/>
          <w:highlight w:val="none"/>
        </w:rPr>
      </w:pPr>
      <w:r>
        <w:rPr>
          <w:rFonts w:hint="eastAsia"/>
          <w:color w:val="auto"/>
          <w:sz w:val="24"/>
          <w:szCs w:val="24"/>
          <w:highlight w:val="none"/>
        </w:rPr>
        <w:t>7、本项目设备所涉及的相关软件不得设置使用年限限制（使用硬件加密的，硬件加密设备应终生维护），终生免费升级。如果任何第三方提出侵权指控与采购人无关，成交供应商须与第三方交涉并承担可能发生的责任与一切费用。如采购人因此而遭致损失的，成交供应商应赔偿该损失。</w:t>
      </w:r>
    </w:p>
    <w:p w14:paraId="75C8D1AD">
      <w:pPr>
        <w:rPr>
          <w:color w:val="auto"/>
          <w:sz w:val="24"/>
          <w:szCs w:val="24"/>
          <w:highlight w:val="none"/>
        </w:rPr>
      </w:pPr>
      <w:r>
        <w:rPr>
          <w:rFonts w:hint="eastAsia"/>
          <w:color w:val="auto"/>
          <w:sz w:val="24"/>
          <w:szCs w:val="24"/>
          <w:highlight w:val="none"/>
        </w:rPr>
        <w:t>8、成交供应商提供的技术资料应是能确保系统运行所需的管理、运营及维护等有关的全套技术资料，验收前还应向采购人提供不少于以下列明的中文（或带有中文摘要的英文）技术资料,并提供货物原装品牌的证明文件或资料。</w:t>
      </w:r>
    </w:p>
    <w:p w14:paraId="54179E49">
      <w:pPr>
        <w:rPr>
          <w:color w:val="auto"/>
          <w:sz w:val="24"/>
          <w:szCs w:val="24"/>
          <w:highlight w:val="none"/>
        </w:rPr>
      </w:pPr>
      <w:r>
        <w:rPr>
          <w:rFonts w:hint="eastAsia"/>
          <w:color w:val="auto"/>
          <w:sz w:val="24"/>
          <w:szCs w:val="24"/>
          <w:highlight w:val="none"/>
        </w:rPr>
        <w:t>（1）产品技术说明书；</w:t>
      </w:r>
    </w:p>
    <w:p w14:paraId="49528629">
      <w:pPr>
        <w:rPr>
          <w:color w:val="auto"/>
          <w:sz w:val="24"/>
          <w:szCs w:val="24"/>
          <w:highlight w:val="none"/>
        </w:rPr>
      </w:pPr>
      <w:r>
        <w:rPr>
          <w:rFonts w:hint="eastAsia"/>
          <w:color w:val="auto"/>
          <w:sz w:val="24"/>
          <w:szCs w:val="24"/>
          <w:highlight w:val="none"/>
        </w:rPr>
        <w:t>（2）安装手册；</w:t>
      </w:r>
    </w:p>
    <w:p w14:paraId="732386E5">
      <w:pPr>
        <w:rPr>
          <w:color w:val="auto"/>
          <w:sz w:val="24"/>
          <w:szCs w:val="24"/>
          <w:highlight w:val="none"/>
        </w:rPr>
      </w:pPr>
      <w:r>
        <w:rPr>
          <w:rFonts w:hint="eastAsia"/>
          <w:color w:val="auto"/>
          <w:sz w:val="24"/>
          <w:szCs w:val="24"/>
          <w:highlight w:val="none"/>
        </w:rPr>
        <w:t>（3）操作手册；</w:t>
      </w:r>
    </w:p>
    <w:p w14:paraId="2ECE2EDF">
      <w:pPr>
        <w:rPr>
          <w:color w:val="auto"/>
          <w:sz w:val="24"/>
          <w:szCs w:val="24"/>
          <w:highlight w:val="none"/>
        </w:rPr>
      </w:pPr>
      <w:r>
        <w:rPr>
          <w:rFonts w:hint="eastAsia"/>
          <w:color w:val="auto"/>
          <w:sz w:val="24"/>
          <w:szCs w:val="24"/>
          <w:highlight w:val="none"/>
        </w:rPr>
        <w:t>（4）维修手册；</w:t>
      </w:r>
    </w:p>
    <w:p w14:paraId="2C3B636B">
      <w:pPr>
        <w:rPr>
          <w:color w:val="auto"/>
          <w:sz w:val="24"/>
          <w:szCs w:val="24"/>
          <w:highlight w:val="none"/>
        </w:rPr>
      </w:pPr>
      <w:r>
        <w:rPr>
          <w:rFonts w:hint="eastAsia"/>
          <w:color w:val="auto"/>
          <w:sz w:val="24"/>
          <w:szCs w:val="24"/>
          <w:highlight w:val="none"/>
        </w:rPr>
        <w:t>（5）端口连接图；</w:t>
      </w:r>
    </w:p>
    <w:p w14:paraId="5D2FADE8">
      <w:pPr>
        <w:rPr>
          <w:color w:val="auto"/>
          <w:sz w:val="24"/>
          <w:szCs w:val="24"/>
          <w:highlight w:val="none"/>
        </w:rPr>
      </w:pPr>
      <w:r>
        <w:rPr>
          <w:rFonts w:hint="eastAsia"/>
          <w:color w:val="auto"/>
          <w:sz w:val="24"/>
          <w:szCs w:val="24"/>
          <w:highlight w:val="none"/>
        </w:rPr>
        <w:t>（6）出厂明细表（装箱单）；</w:t>
      </w:r>
    </w:p>
    <w:p w14:paraId="345CED61">
      <w:pPr>
        <w:rPr>
          <w:color w:val="auto"/>
          <w:sz w:val="24"/>
          <w:szCs w:val="24"/>
          <w:highlight w:val="none"/>
        </w:rPr>
      </w:pPr>
      <w:r>
        <w:rPr>
          <w:rFonts w:hint="eastAsia"/>
          <w:color w:val="auto"/>
          <w:sz w:val="24"/>
          <w:szCs w:val="24"/>
          <w:highlight w:val="none"/>
        </w:rPr>
        <w:t>（7）产品技术标准（含验收标准）和试验方法；</w:t>
      </w:r>
    </w:p>
    <w:p w14:paraId="17389B31">
      <w:pPr>
        <w:rPr>
          <w:color w:val="auto"/>
          <w:sz w:val="24"/>
          <w:szCs w:val="24"/>
          <w:highlight w:val="none"/>
        </w:rPr>
      </w:pPr>
      <w:r>
        <w:rPr>
          <w:rFonts w:hint="eastAsia"/>
          <w:color w:val="auto"/>
          <w:sz w:val="24"/>
          <w:szCs w:val="24"/>
          <w:highlight w:val="none"/>
        </w:rPr>
        <w:t>（8）硬件产品出厂检验报告和合格证书；</w:t>
      </w:r>
    </w:p>
    <w:p w14:paraId="6B0AB5BF">
      <w:pPr>
        <w:rPr>
          <w:color w:val="auto"/>
          <w:sz w:val="24"/>
          <w:szCs w:val="24"/>
          <w:highlight w:val="none"/>
        </w:rPr>
      </w:pPr>
      <w:r>
        <w:rPr>
          <w:rFonts w:hint="eastAsia"/>
          <w:color w:val="auto"/>
          <w:sz w:val="24"/>
          <w:szCs w:val="24"/>
          <w:highlight w:val="none"/>
        </w:rPr>
        <w:t>（9）本项目各设备的公安部产品检测报告；</w:t>
      </w:r>
    </w:p>
    <w:p w14:paraId="02086B81">
      <w:pPr>
        <w:rPr>
          <w:color w:val="auto"/>
          <w:sz w:val="24"/>
          <w:szCs w:val="24"/>
          <w:highlight w:val="none"/>
        </w:rPr>
      </w:pPr>
      <w:r>
        <w:rPr>
          <w:rFonts w:hint="eastAsia"/>
          <w:color w:val="auto"/>
          <w:sz w:val="24"/>
          <w:szCs w:val="24"/>
          <w:highlight w:val="none"/>
        </w:rPr>
        <w:t>（10）提供杆件、钢材生产厂家质保书；</w:t>
      </w:r>
    </w:p>
    <w:p w14:paraId="095CAB89">
      <w:pPr>
        <w:rPr>
          <w:color w:val="auto"/>
          <w:sz w:val="24"/>
          <w:szCs w:val="24"/>
          <w:highlight w:val="none"/>
        </w:rPr>
      </w:pPr>
      <w:r>
        <w:rPr>
          <w:rFonts w:hint="eastAsia"/>
          <w:color w:val="auto"/>
          <w:sz w:val="24"/>
          <w:szCs w:val="24"/>
          <w:highlight w:val="none"/>
        </w:rPr>
        <w:t>（11）提供项目拓扑图及网络配置清单；</w:t>
      </w:r>
    </w:p>
    <w:p w14:paraId="30C90758">
      <w:pPr>
        <w:rPr>
          <w:color w:val="auto"/>
          <w:sz w:val="24"/>
          <w:szCs w:val="24"/>
          <w:highlight w:val="none"/>
        </w:rPr>
      </w:pPr>
      <w:r>
        <w:rPr>
          <w:rFonts w:hint="eastAsia"/>
          <w:color w:val="auto"/>
          <w:sz w:val="24"/>
          <w:szCs w:val="24"/>
          <w:highlight w:val="none"/>
        </w:rPr>
        <w:t>（12）摄像机、前端智能交通控制终端、一体化高速球机等产品的检测报告。</w:t>
      </w:r>
    </w:p>
    <w:p w14:paraId="0CAE6388">
      <w:pPr>
        <w:rPr>
          <w:color w:val="auto"/>
          <w:sz w:val="24"/>
          <w:szCs w:val="24"/>
          <w:highlight w:val="none"/>
        </w:rPr>
      </w:pPr>
      <w:r>
        <w:rPr>
          <w:rFonts w:hint="eastAsia"/>
          <w:color w:val="auto"/>
          <w:sz w:val="24"/>
          <w:szCs w:val="24"/>
          <w:highlight w:val="none"/>
        </w:rPr>
        <w:t>（13）其他相关文件资料。</w:t>
      </w:r>
    </w:p>
    <w:p w14:paraId="7FA59B9A">
      <w:pPr>
        <w:rPr>
          <w:color w:val="auto"/>
          <w:sz w:val="24"/>
          <w:szCs w:val="24"/>
          <w:highlight w:val="none"/>
        </w:rPr>
      </w:pPr>
      <w:r>
        <w:rPr>
          <w:rFonts w:hint="eastAsia"/>
          <w:color w:val="auto"/>
          <w:sz w:val="24"/>
          <w:szCs w:val="24"/>
          <w:highlight w:val="none"/>
        </w:rPr>
        <w:t>成交供应商应负责在项目验收前将系统的全部有关技术文件、资料及测试、试验报告等文档汇集成册交付采购人。</w:t>
      </w:r>
    </w:p>
    <w:p w14:paraId="31BC1B21">
      <w:pPr>
        <w:pStyle w:val="26"/>
        <w:rPr>
          <w:color w:val="auto"/>
          <w:sz w:val="24"/>
          <w:szCs w:val="24"/>
          <w:highlight w:val="none"/>
        </w:rPr>
      </w:pPr>
      <w:r>
        <w:rPr>
          <w:rFonts w:hint="eastAsia"/>
          <w:color w:val="auto"/>
          <w:sz w:val="24"/>
          <w:szCs w:val="24"/>
          <w:highlight w:val="none"/>
        </w:rPr>
        <w:t>9、工作范围如下：</w:t>
      </w:r>
    </w:p>
    <w:p w14:paraId="40BEEA48">
      <w:pPr>
        <w:rPr>
          <w:color w:val="auto"/>
          <w:sz w:val="24"/>
          <w:szCs w:val="24"/>
          <w:highlight w:val="none"/>
        </w:rPr>
      </w:pPr>
      <w:r>
        <w:rPr>
          <w:rFonts w:hint="eastAsia"/>
          <w:color w:val="auto"/>
          <w:sz w:val="24"/>
          <w:szCs w:val="24"/>
          <w:highlight w:val="none"/>
        </w:rPr>
        <w:t>硬件方面：所有设备涉及安装、调试、运行、维护、保修等一切工作。</w:t>
      </w:r>
    </w:p>
    <w:p w14:paraId="6A8EC5A8">
      <w:pPr>
        <w:rPr>
          <w:color w:val="auto"/>
          <w:sz w:val="24"/>
          <w:szCs w:val="24"/>
          <w:highlight w:val="none"/>
        </w:rPr>
      </w:pPr>
      <w:r>
        <w:rPr>
          <w:rFonts w:hint="eastAsia"/>
          <w:color w:val="auto"/>
          <w:sz w:val="24"/>
          <w:szCs w:val="24"/>
          <w:highlight w:val="none"/>
        </w:rPr>
        <w:t>调试部分：电子警察、卡口等设备及产生的数据、高清视频与录像等必须无条件接入台州交警视频运行管理平台及台州交警违法录入相关平台，接入零费用。</w:t>
      </w:r>
    </w:p>
    <w:p w14:paraId="5F3291DB">
      <w:pPr>
        <w:rPr>
          <w:color w:val="auto"/>
          <w:sz w:val="24"/>
          <w:szCs w:val="24"/>
          <w:highlight w:val="none"/>
        </w:rPr>
      </w:pPr>
      <w:r>
        <w:rPr>
          <w:rFonts w:hint="eastAsia"/>
          <w:color w:val="auto"/>
          <w:sz w:val="24"/>
          <w:szCs w:val="24"/>
          <w:highlight w:val="none"/>
        </w:rPr>
        <w:t>10、本项目运营维护期内使用设备涉及有硬盘故障的，应更换新硬盘，故障硬盘交由采购方消磁处理后交还成交供应商。</w:t>
      </w:r>
    </w:p>
    <w:p w14:paraId="19086D58">
      <w:pPr>
        <w:pStyle w:val="567"/>
        <w:rPr>
          <w:color w:val="auto"/>
          <w:sz w:val="24"/>
          <w:szCs w:val="24"/>
          <w:highlight w:val="none"/>
        </w:rPr>
      </w:pPr>
      <w:r>
        <w:rPr>
          <w:rFonts w:hint="eastAsia"/>
          <w:bCs/>
          <w:color w:val="auto"/>
          <w:sz w:val="24"/>
          <w:szCs w:val="24"/>
          <w:highlight w:val="none"/>
        </w:rPr>
        <w:t>11、</w:t>
      </w:r>
      <w:r>
        <w:rPr>
          <w:rFonts w:hint="eastAsia"/>
          <w:color w:val="auto"/>
          <w:sz w:val="24"/>
          <w:szCs w:val="24"/>
          <w:highlight w:val="none"/>
        </w:rPr>
        <w:t>中标单位应完全配合本项目监理单位工作，对经采购人（或使用人）授权监理单位签发的通知单等，中标单位都应按要求予以回复及执行。</w:t>
      </w:r>
    </w:p>
    <w:p w14:paraId="114D2ED4">
      <w:pPr>
        <w:rPr>
          <w:rStyle w:val="568"/>
          <w:rFonts w:ascii="宋体" w:hAnsi="宋体" w:eastAsia="宋体" w:cs="宋体"/>
          <w:b/>
          <w:bCs/>
          <w:color w:val="auto"/>
          <w:sz w:val="24"/>
          <w:szCs w:val="24"/>
          <w:highlight w:val="none"/>
        </w:rPr>
      </w:pPr>
      <w:r>
        <w:rPr>
          <w:rFonts w:hint="eastAsia"/>
          <w:color w:val="auto"/>
          <w:sz w:val="24"/>
          <w:szCs w:val="24"/>
          <w:highlight w:val="none"/>
        </w:rPr>
        <w:t>二、</w:t>
      </w:r>
      <w:r>
        <w:rPr>
          <w:rStyle w:val="568"/>
          <w:rFonts w:hint="eastAsia" w:ascii="宋体" w:hAnsi="宋体" w:eastAsia="宋体" w:cs="宋体"/>
          <w:b/>
          <w:bCs/>
          <w:color w:val="auto"/>
          <w:sz w:val="24"/>
          <w:szCs w:val="24"/>
          <w:highlight w:val="none"/>
        </w:rPr>
        <w:t>建设依据</w:t>
      </w:r>
    </w:p>
    <w:p w14:paraId="7822C525">
      <w:pPr>
        <w:rPr>
          <w:color w:val="auto"/>
          <w:sz w:val="24"/>
          <w:szCs w:val="24"/>
          <w:highlight w:val="none"/>
        </w:rPr>
      </w:pPr>
      <w:r>
        <w:rPr>
          <w:rFonts w:hint="eastAsia"/>
          <w:color w:val="auto"/>
          <w:sz w:val="24"/>
          <w:szCs w:val="24"/>
          <w:highlight w:val="none"/>
        </w:rPr>
        <w:t>《道路车辆智能监测记录系统通用技术条件》（GA/T 497-2016）</w:t>
      </w:r>
    </w:p>
    <w:p w14:paraId="0C880877">
      <w:pPr>
        <w:rPr>
          <w:color w:val="auto"/>
          <w:sz w:val="24"/>
          <w:szCs w:val="24"/>
          <w:highlight w:val="none"/>
        </w:rPr>
      </w:pPr>
      <w:r>
        <w:rPr>
          <w:rFonts w:hint="eastAsia"/>
          <w:color w:val="auto"/>
          <w:sz w:val="24"/>
          <w:szCs w:val="24"/>
          <w:highlight w:val="none"/>
        </w:rPr>
        <w:t>《人行横道道路交通安全违法行为监测记录系统通用技术条件》（GA/T1244-2015）</w:t>
      </w:r>
    </w:p>
    <w:p w14:paraId="261E38F4">
      <w:pPr>
        <w:rPr>
          <w:color w:val="auto"/>
          <w:sz w:val="24"/>
          <w:szCs w:val="24"/>
          <w:highlight w:val="none"/>
        </w:rPr>
      </w:pPr>
      <w:r>
        <w:rPr>
          <w:rFonts w:hint="eastAsia"/>
          <w:color w:val="auto"/>
          <w:sz w:val="24"/>
          <w:szCs w:val="24"/>
          <w:highlight w:val="none"/>
        </w:rPr>
        <w:t>《闯红灯自动记录系统通用技术条件》（GA/T 496—2014）</w:t>
      </w:r>
    </w:p>
    <w:p w14:paraId="71F8C652">
      <w:pPr>
        <w:rPr>
          <w:color w:val="auto"/>
          <w:sz w:val="24"/>
          <w:szCs w:val="24"/>
          <w:highlight w:val="none"/>
        </w:rPr>
      </w:pPr>
      <w:r>
        <w:rPr>
          <w:rFonts w:hint="eastAsia"/>
          <w:color w:val="auto"/>
          <w:sz w:val="24"/>
          <w:szCs w:val="24"/>
          <w:highlight w:val="none"/>
        </w:rPr>
        <w:t>《机动车号牌图像自动识别技术规范》（GA/T 833—2016）</w:t>
      </w:r>
    </w:p>
    <w:p w14:paraId="4477D6A7">
      <w:pPr>
        <w:rPr>
          <w:color w:val="auto"/>
          <w:sz w:val="24"/>
          <w:szCs w:val="24"/>
          <w:highlight w:val="none"/>
        </w:rPr>
      </w:pPr>
      <w:r>
        <w:rPr>
          <w:rFonts w:hint="eastAsia"/>
          <w:color w:val="auto"/>
          <w:sz w:val="24"/>
          <w:szCs w:val="24"/>
          <w:highlight w:val="none"/>
        </w:rPr>
        <w:t>《公安交通管理外场设备基础设施施工通用要求》（GA/T652—2017）</w:t>
      </w:r>
    </w:p>
    <w:p w14:paraId="51790A93">
      <w:pPr>
        <w:rPr>
          <w:color w:val="auto"/>
          <w:sz w:val="24"/>
          <w:szCs w:val="24"/>
          <w:highlight w:val="none"/>
        </w:rPr>
      </w:pPr>
      <w:r>
        <w:rPr>
          <w:rFonts w:hint="eastAsia"/>
          <w:color w:val="auto"/>
          <w:sz w:val="24"/>
          <w:szCs w:val="24"/>
          <w:highlight w:val="none"/>
        </w:rPr>
        <w:t>《道路交通技术监控设备运行维护规范》（GA/1043—2013）</w:t>
      </w:r>
    </w:p>
    <w:p w14:paraId="7A469216">
      <w:pPr>
        <w:rPr>
          <w:color w:val="auto"/>
          <w:sz w:val="24"/>
          <w:szCs w:val="24"/>
          <w:highlight w:val="none"/>
        </w:rPr>
      </w:pPr>
      <w:r>
        <w:rPr>
          <w:rFonts w:hint="eastAsia"/>
          <w:color w:val="auto"/>
          <w:sz w:val="24"/>
          <w:szCs w:val="24"/>
          <w:highlight w:val="none"/>
        </w:rPr>
        <w:t>《道路交通安全违法行为图像取证技术规范》（GA/T 832—2014）</w:t>
      </w:r>
    </w:p>
    <w:p w14:paraId="0085B989">
      <w:pPr>
        <w:rPr>
          <w:color w:val="auto"/>
          <w:sz w:val="24"/>
          <w:szCs w:val="24"/>
          <w:highlight w:val="none"/>
        </w:rPr>
      </w:pPr>
      <w:r>
        <w:rPr>
          <w:rFonts w:hint="eastAsia"/>
          <w:color w:val="auto"/>
          <w:sz w:val="24"/>
          <w:szCs w:val="24"/>
          <w:highlight w:val="none"/>
        </w:rPr>
        <w:t>《交通技术监控成像补光装置通用技术条件》（GA/T1202—2022）</w:t>
      </w:r>
    </w:p>
    <w:p w14:paraId="67D23F22">
      <w:pPr>
        <w:rPr>
          <w:color w:val="auto"/>
          <w:sz w:val="24"/>
          <w:szCs w:val="24"/>
          <w:highlight w:val="none"/>
        </w:rPr>
      </w:pPr>
      <w:r>
        <w:rPr>
          <w:rFonts w:hint="eastAsia"/>
          <w:color w:val="auto"/>
          <w:sz w:val="24"/>
          <w:szCs w:val="24"/>
          <w:highlight w:val="none"/>
        </w:rPr>
        <w:t>《LED道路交通诱导可变信息标志》（GA/T 484-2018）</w:t>
      </w:r>
    </w:p>
    <w:p w14:paraId="31439241">
      <w:pPr>
        <w:rPr>
          <w:color w:val="auto"/>
          <w:sz w:val="24"/>
          <w:szCs w:val="24"/>
          <w:highlight w:val="none"/>
        </w:rPr>
      </w:pPr>
      <w:r>
        <w:rPr>
          <w:rFonts w:hint="eastAsia"/>
          <w:color w:val="auto"/>
          <w:sz w:val="24"/>
          <w:szCs w:val="24"/>
          <w:highlight w:val="none"/>
        </w:rPr>
        <w:t>《公安交通指挥系统设计规范》（GA/T 515 系列标准）</w:t>
      </w:r>
    </w:p>
    <w:p w14:paraId="593A1F7D">
      <w:pPr>
        <w:rPr>
          <w:color w:val="auto"/>
          <w:sz w:val="24"/>
          <w:szCs w:val="24"/>
          <w:highlight w:val="none"/>
        </w:rPr>
      </w:pPr>
      <w:r>
        <w:rPr>
          <w:rFonts w:hint="eastAsia"/>
          <w:color w:val="auto"/>
          <w:sz w:val="24"/>
          <w:szCs w:val="24"/>
          <w:highlight w:val="none"/>
        </w:rPr>
        <w:t>《道路交通标志和标线》（GB5768 系列标准）</w:t>
      </w:r>
    </w:p>
    <w:p w14:paraId="55AFA4E9">
      <w:pPr>
        <w:rPr>
          <w:color w:val="auto"/>
          <w:sz w:val="24"/>
          <w:szCs w:val="24"/>
          <w:highlight w:val="none"/>
        </w:rPr>
      </w:pPr>
      <w:r>
        <w:rPr>
          <w:rFonts w:hint="eastAsia"/>
          <w:color w:val="auto"/>
          <w:sz w:val="24"/>
          <w:szCs w:val="24"/>
          <w:highlight w:val="none"/>
        </w:rPr>
        <w:t>《道路交通信号灯》（GB 14887-2011）</w:t>
      </w:r>
    </w:p>
    <w:p w14:paraId="62A0BD49">
      <w:pPr>
        <w:rPr>
          <w:color w:val="auto"/>
          <w:sz w:val="24"/>
          <w:szCs w:val="24"/>
          <w:highlight w:val="none"/>
        </w:rPr>
      </w:pPr>
      <w:r>
        <w:rPr>
          <w:rFonts w:hint="eastAsia"/>
          <w:color w:val="auto"/>
          <w:sz w:val="24"/>
          <w:szCs w:val="24"/>
          <w:highlight w:val="none"/>
        </w:rPr>
        <w:t>《中华人民共和国机动车号牌》（GA 36-2018）</w:t>
      </w:r>
    </w:p>
    <w:p w14:paraId="3B6AEED6">
      <w:pPr>
        <w:rPr>
          <w:color w:val="auto"/>
          <w:sz w:val="24"/>
          <w:szCs w:val="24"/>
          <w:highlight w:val="none"/>
        </w:rPr>
      </w:pPr>
      <w:r>
        <w:rPr>
          <w:rFonts w:hint="eastAsia"/>
          <w:color w:val="auto"/>
          <w:sz w:val="24"/>
          <w:szCs w:val="24"/>
          <w:highlight w:val="none"/>
        </w:rPr>
        <w:t>《城市道路交通标志和标线设置规范》（GB51038—2015）</w:t>
      </w:r>
    </w:p>
    <w:p w14:paraId="0DA2008D">
      <w:pPr>
        <w:rPr>
          <w:color w:val="auto"/>
          <w:sz w:val="24"/>
          <w:szCs w:val="24"/>
          <w:highlight w:val="none"/>
        </w:rPr>
      </w:pPr>
      <w:r>
        <w:rPr>
          <w:rFonts w:hint="eastAsia"/>
          <w:color w:val="auto"/>
          <w:sz w:val="24"/>
          <w:szCs w:val="24"/>
          <w:highlight w:val="none"/>
        </w:rPr>
        <w:t>《公安交通管理外场设备基础设施施工通用要求》（GA/T 652—2017）</w:t>
      </w:r>
    </w:p>
    <w:p w14:paraId="17A52895">
      <w:pPr>
        <w:rPr>
          <w:rFonts w:asciiTheme="minorEastAsia" w:hAnsiTheme="minorEastAsia" w:eastAsiaTheme="minorEastAsia"/>
          <w:color w:val="auto"/>
          <w:sz w:val="24"/>
          <w:szCs w:val="24"/>
          <w:highlight w:val="none"/>
        </w:rPr>
      </w:pPr>
      <w:r>
        <w:rPr>
          <w:rFonts w:hint="eastAsia"/>
          <w:color w:val="auto"/>
          <w:sz w:val="24"/>
          <w:szCs w:val="24"/>
          <w:highlight w:val="none"/>
        </w:rPr>
        <w:t>国家、地方政府相关规定、规范和行业的标准要求等。</w:t>
      </w:r>
    </w:p>
    <w:p w14:paraId="59C37262">
      <w:pPr>
        <w:pStyle w:val="3"/>
        <w:rPr>
          <w:color w:val="auto"/>
          <w:sz w:val="24"/>
          <w:szCs w:val="24"/>
          <w:highlight w:val="none"/>
        </w:rPr>
      </w:pPr>
      <w:r>
        <w:rPr>
          <w:rFonts w:hint="eastAsia"/>
          <w:color w:val="auto"/>
          <w:sz w:val="24"/>
          <w:szCs w:val="24"/>
          <w:highlight w:val="none"/>
        </w:rPr>
        <w:t>三、具体技术规格及要求</w:t>
      </w:r>
      <w:r>
        <w:rPr>
          <w:rFonts w:hint="eastAsia"/>
          <w:color w:val="auto"/>
          <w:sz w:val="24"/>
          <w:szCs w:val="24"/>
          <w:highlight w:val="none"/>
        </w:rPr>
        <w:tab/>
      </w:r>
    </w:p>
    <w:p w14:paraId="0CB1AF1E">
      <w:pPr>
        <w:pStyle w:val="3"/>
        <w:rPr>
          <w:color w:val="auto"/>
          <w:sz w:val="24"/>
          <w:szCs w:val="24"/>
          <w:highlight w:val="none"/>
        </w:rPr>
      </w:pPr>
      <w:r>
        <w:rPr>
          <w:rFonts w:hint="eastAsia"/>
          <w:color w:val="auto"/>
          <w:sz w:val="24"/>
          <w:szCs w:val="24"/>
          <w:highlight w:val="none"/>
        </w:rPr>
        <w:t>1.电子警察</w:t>
      </w:r>
      <w:r>
        <w:rPr>
          <w:rStyle w:val="568"/>
          <w:rFonts w:hint="eastAsia" w:ascii="宋体" w:hAnsi="宋体" w:eastAsia="宋体" w:cs="宋体"/>
          <w:color w:val="auto"/>
          <w:sz w:val="24"/>
          <w:szCs w:val="24"/>
          <w:highlight w:val="none"/>
        </w:rPr>
        <w:t>系统</w:t>
      </w:r>
      <w:r>
        <w:rPr>
          <w:rFonts w:hint="eastAsia"/>
          <w:color w:val="auto"/>
          <w:sz w:val="24"/>
          <w:szCs w:val="24"/>
          <w:highlight w:val="none"/>
        </w:rPr>
        <w:t>要求</w:t>
      </w:r>
    </w:p>
    <w:p w14:paraId="550AFDA7">
      <w:pPr>
        <w:pStyle w:val="3"/>
        <w:rPr>
          <w:color w:val="auto"/>
          <w:sz w:val="24"/>
          <w:szCs w:val="24"/>
          <w:highlight w:val="none"/>
        </w:rPr>
      </w:pPr>
      <w:r>
        <w:rPr>
          <w:rFonts w:hint="eastAsia"/>
          <w:color w:val="auto"/>
          <w:sz w:val="24"/>
          <w:szCs w:val="24"/>
          <w:highlight w:val="none"/>
        </w:rPr>
        <w:t>通过电子警察的建设能够实现全天候抓拍闯红灯、不按导向车道行驶（包含可变车道）、路口逆行、单行线逆行、路口滞留、越线停车、左转不让直行、右转不让左转、掉头不让直行、机动车占用非机动车道、违规占用专用车道、不礼让行人、开车打电话、不系安全带、非机动车载人、非机动车逆行、闯禁令、等一系列违法行为。</w:t>
      </w:r>
    </w:p>
    <w:p w14:paraId="56C2AF1A">
      <w:pPr>
        <w:rPr>
          <w:color w:val="auto"/>
          <w:sz w:val="24"/>
          <w:szCs w:val="24"/>
          <w:highlight w:val="none"/>
        </w:rPr>
      </w:pPr>
      <w:r>
        <w:rPr>
          <w:rFonts w:hint="eastAsia"/>
          <w:color w:val="auto"/>
          <w:sz w:val="24"/>
          <w:szCs w:val="24"/>
          <w:highlight w:val="none"/>
        </w:rPr>
        <w:t>（1）闯红灯行为捕获功能</w:t>
      </w:r>
    </w:p>
    <w:p w14:paraId="075FD832">
      <w:pPr>
        <w:rPr>
          <w:color w:val="auto"/>
          <w:sz w:val="24"/>
          <w:szCs w:val="24"/>
          <w:highlight w:val="none"/>
        </w:rPr>
      </w:pPr>
      <w:r>
        <w:rPr>
          <w:rFonts w:hint="eastAsia"/>
          <w:color w:val="auto"/>
          <w:sz w:val="24"/>
          <w:szCs w:val="24"/>
          <w:highlight w:val="none"/>
        </w:rPr>
        <w:t>能对闯红灯交通违法行为进行抓拍，且必须符合《闯红灯自动记录系统通用技术条件（GA/T 496-2014）》和《道路交通安全违法行为图像取证技术规范（GA/T 832-2014）》的相关技术要求,确保违法特征要素齐全，执法证据可信、有效。</w:t>
      </w:r>
    </w:p>
    <w:p w14:paraId="79026A23">
      <w:pPr>
        <w:rPr>
          <w:color w:val="auto"/>
          <w:sz w:val="24"/>
          <w:szCs w:val="24"/>
          <w:highlight w:val="none"/>
        </w:rPr>
      </w:pPr>
      <w:r>
        <w:rPr>
          <w:rFonts w:hint="eastAsia"/>
          <w:color w:val="auto"/>
          <w:sz w:val="24"/>
          <w:szCs w:val="24"/>
          <w:highlight w:val="none"/>
        </w:rPr>
        <w:t>应采用多相位红灯信号接口，可根据不同车道设置红灯信号和组合红灯信号。高清抓拍摄像机应有红灯电源同步控制功能，保证闯红灯状态下车道对应红灯相位与摄像机拍摄保持同步。红绿灯信号线要单独接出，不得多方向并线，以适应信号灯配时方案的调整。</w:t>
      </w:r>
    </w:p>
    <w:p w14:paraId="26F77185">
      <w:pPr>
        <w:rPr>
          <w:color w:val="auto"/>
          <w:sz w:val="24"/>
          <w:szCs w:val="24"/>
          <w:highlight w:val="none"/>
        </w:rPr>
      </w:pPr>
      <w:r>
        <w:rPr>
          <w:rFonts w:hint="eastAsia"/>
          <w:color w:val="auto"/>
          <w:sz w:val="24"/>
          <w:szCs w:val="24"/>
          <w:highlight w:val="none"/>
        </w:rPr>
        <w:t>提供GA/T 496-2014《闯红灯自动记录系统通用技术条件》的检测报告中技术指标作为衡量是否满足要求的依据。</w:t>
      </w:r>
    </w:p>
    <w:p w14:paraId="3F244792">
      <w:pPr>
        <w:rPr>
          <w:color w:val="auto"/>
          <w:sz w:val="24"/>
          <w:szCs w:val="24"/>
          <w:highlight w:val="none"/>
        </w:rPr>
      </w:pPr>
      <w:r>
        <w:rPr>
          <w:rFonts w:hint="eastAsia"/>
          <w:color w:val="auto"/>
          <w:sz w:val="24"/>
          <w:szCs w:val="24"/>
          <w:highlight w:val="none"/>
        </w:rPr>
        <w:t>（2）交通违法行为捕获功能</w:t>
      </w:r>
    </w:p>
    <w:p w14:paraId="631D9BC6">
      <w:pPr>
        <w:rPr>
          <w:color w:val="auto"/>
          <w:sz w:val="24"/>
          <w:szCs w:val="24"/>
          <w:highlight w:val="none"/>
        </w:rPr>
      </w:pPr>
      <w:r>
        <w:rPr>
          <w:rFonts w:hint="eastAsia"/>
          <w:color w:val="auto"/>
          <w:sz w:val="24"/>
          <w:szCs w:val="24"/>
          <w:highlight w:val="none"/>
        </w:rPr>
        <w:t>除对闯红灯交通违法行为进行抓拍以外，电子警察还应能捕获以下类型的交通违法行为：</w:t>
      </w:r>
    </w:p>
    <w:p w14:paraId="0D62BB81">
      <w:pPr>
        <w:rPr>
          <w:color w:val="auto"/>
          <w:sz w:val="24"/>
          <w:szCs w:val="24"/>
          <w:highlight w:val="none"/>
        </w:rPr>
      </w:pPr>
      <w:r>
        <w:rPr>
          <w:rFonts w:hint="eastAsia"/>
          <w:color w:val="auto"/>
          <w:sz w:val="24"/>
          <w:szCs w:val="24"/>
          <w:highlight w:val="none"/>
        </w:rPr>
        <w:t>1）不按导向车道行驶</w:t>
      </w:r>
    </w:p>
    <w:p w14:paraId="008E4AD7">
      <w:pPr>
        <w:rPr>
          <w:color w:val="auto"/>
          <w:sz w:val="24"/>
          <w:szCs w:val="24"/>
          <w:highlight w:val="none"/>
        </w:rPr>
      </w:pPr>
      <w:r>
        <w:rPr>
          <w:rFonts w:hint="eastAsia"/>
          <w:color w:val="auto"/>
          <w:sz w:val="24"/>
          <w:szCs w:val="24"/>
          <w:highlight w:val="none"/>
        </w:rPr>
        <w:t>2）路口逆行、单行线逆行</w:t>
      </w:r>
    </w:p>
    <w:p w14:paraId="6DEF87F8">
      <w:pPr>
        <w:rPr>
          <w:color w:val="auto"/>
          <w:sz w:val="24"/>
          <w:szCs w:val="24"/>
          <w:highlight w:val="none"/>
        </w:rPr>
      </w:pPr>
      <w:r>
        <w:rPr>
          <w:rFonts w:hint="eastAsia"/>
          <w:color w:val="auto"/>
          <w:sz w:val="24"/>
          <w:szCs w:val="24"/>
          <w:highlight w:val="none"/>
        </w:rPr>
        <w:t>3）实线变道</w:t>
      </w:r>
    </w:p>
    <w:p w14:paraId="3F85F501">
      <w:pPr>
        <w:rPr>
          <w:color w:val="auto"/>
          <w:sz w:val="24"/>
          <w:szCs w:val="24"/>
          <w:highlight w:val="none"/>
        </w:rPr>
      </w:pPr>
      <w:r>
        <w:rPr>
          <w:rFonts w:hint="eastAsia"/>
          <w:color w:val="auto"/>
          <w:sz w:val="24"/>
          <w:szCs w:val="24"/>
          <w:highlight w:val="none"/>
        </w:rPr>
        <w:t>4）支持路口滞留、越线停车、左转不让直行、右转不让左转、掉头不让直行等行为抓拍</w:t>
      </w:r>
    </w:p>
    <w:p w14:paraId="001B08C6">
      <w:pPr>
        <w:rPr>
          <w:color w:val="auto"/>
          <w:sz w:val="24"/>
          <w:szCs w:val="24"/>
          <w:highlight w:val="none"/>
        </w:rPr>
      </w:pPr>
      <w:r>
        <w:rPr>
          <w:rFonts w:hint="eastAsia"/>
          <w:color w:val="auto"/>
          <w:sz w:val="24"/>
          <w:szCs w:val="24"/>
          <w:highlight w:val="none"/>
        </w:rPr>
        <w:t>5）机动车占用非机动车道、违法规定占用专用车道、支持不礼让行人抓拍</w:t>
      </w:r>
    </w:p>
    <w:p w14:paraId="294F5193">
      <w:pPr>
        <w:rPr>
          <w:color w:val="auto"/>
          <w:sz w:val="24"/>
          <w:szCs w:val="24"/>
          <w:highlight w:val="none"/>
        </w:rPr>
      </w:pPr>
      <w:r>
        <w:rPr>
          <w:rFonts w:hint="eastAsia"/>
          <w:color w:val="auto"/>
          <w:sz w:val="24"/>
          <w:szCs w:val="24"/>
          <w:highlight w:val="none"/>
        </w:rPr>
        <w:t>6）支持开车打电话以及不系安全带违法行为的捕获，支持人脸与车牌、车辆关联显示</w:t>
      </w:r>
    </w:p>
    <w:p w14:paraId="0047AB14">
      <w:pPr>
        <w:rPr>
          <w:color w:val="auto"/>
          <w:sz w:val="24"/>
          <w:szCs w:val="24"/>
          <w:highlight w:val="none"/>
        </w:rPr>
      </w:pPr>
      <w:r>
        <w:rPr>
          <w:rFonts w:hint="eastAsia"/>
          <w:color w:val="auto"/>
          <w:sz w:val="24"/>
          <w:szCs w:val="24"/>
          <w:highlight w:val="none"/>
        </w:rPr>
        <w:t>7）支持二、三轮车载人、非机动车逆行、不戴安全头盔、闯红灯、越线停车等功能检测</w:t>
      </w:r>
    </w:p>
    <w:p w14:paraId="3F3DC03E">
      <w:pPr>
        <w:rPr>
          <w:color w:val="auto"/>
          <w:sz w:val="24"/>
          <w:szCs w:val="24"/>
          <w:highlight w:val="none"/>
        </w:rPr>
      </w:pPr>
      <w:r>
        <w:rPr>
          <w:rFonts w:hint="eastAsia"/>
          <w:color w:val="auto"/>
          <w:sz w:val="24"/>
          <w:szCs w:val="24"/>
          <w:highlight w:val="none"/>
        </w:rPr>
        <w:t>8）支持货车、拖拉机、农用车等车辆驶入禁行区域的抓拍；</w:t>
      </w:r>
    </w:p>
    <w:p w14:paraId="3009286A">
      <w:pPr>
        <w:rPr>
          <w:color w:val="auto"/>
          <w:sz w:val="24"/>
          <w:szCs w:val="24"/>
          <w:highlight w:val="none"/>
        </w:rPr>
      </w:pPr>
      <w:r>
        <w:rPr>
          <w:rFonts w:hint="eastAsia"/>
          <w:color w:val="auto"/>
          <w:sz w:val="24"/>
          <w:szCs w:val="24"/>
          <w:highlight w:val="none"/>
        </w:rPr>
        <w:t>9）其他交通违法行为的捕获</w:t>
      </w:r>
    </w:p>
    <w:p w14:paraId="1BFACC14">
      <w:pPr>
        <w:rPr>
          <w:color w:val="auto"/>
          <w:sz w:val="24"/>
          <w:szCs w:val="24"/>
          <w:highlight w:val="none"/>
        </w:rPr>
      </w:pPr>
      <w:r>
        <w:rPr>
          <w:rFonts w:hint="eastAsia"/>
          <w:color w:val="auto"/>
          <w:sz w:val="24"/>
          <w:szCs w:val="24"/>
          <w:highlight w:val="none"/>
        </w:rPr>
        <w:t>10）车辆捕获功能</w:t>
      </w:r>
    </w:p>
    <w:p w14:paraId="3F51C52E">
      <w:pPr>
        <w:rPr>
          <w:color w:val="auto"/>
          <w:sz w:val="24"/>
          <w:szCs w:val="24"/>
          <w:highlight w:val="none"/>
        </w:rPr>
      </w:pPr>
      <w:r>
        <w:rPr>
          <w:rFonts w:hint="eastAsia"/>
          <w:color w:val="auto"/>
          <w:sz w:val="24"/>
          <w:szCs w:val="24"/>
          <w:highlight w:val="none"/>
        </w:rPr>
        <w:t>11）支持多拍过滤功能，在可设置的时间段内多次经过的车辆只抓拍一次</w:t>
      </w:r>
    </w:p>
    <w:p w14:paraId="50898E47">
      <w:pPr>
        <w:rPr>
          <w:color w:val="auto"/>
          <w:sz w:val="24"/>
          <w:szCs w:val="24"/>
          <w:highlight w:val="none"/>
        </w:rPr>
      </w:pPr>
      <w:r>
        <w:rPr>
          <w:rFonts w:hint="eastAsia"/>
          <w:color w:val="auto"/>
          <w:sz w:val="24"/>
          <w:szCs w:val="24"/>
          <w:highlight w:val="none"/>
        </w:rPr>
        <w:t>12）支持设备安全接入功能，设备只能被管理平台控制，不能通过其他方式登录或者控制设备</w:t>
      </w:r>
    </w:p>
    <w:p w14:paraId="17E60AA3">
      <w:pPr>
        <w:rPr>
          <w:color w:val="auto"/>
          <w:sz w:val="24"/>
          <w:szCs w:val="24"/>
          <w:highlight w:val="none"/>
        </w:rPr>
      </w:pPr>
      <w:r>
        <w:rPr>
          <w:rFonts w:hint="eastAsia"/>
          <w:color w:val="auto"/>
          <w:sz w:val="24"/>
          <w:szCs w:val="24"/>
          <w:highlight w:val="none"/>
        </w:rPr>
        <w:t>（3）高清照片抓拍功能</w:t>
      </w:r>
    </w:p>
    <w:p w14:paraId="64AA8AD3">
      <w:pPr>
        <w:rPr>
          <w:color w:val="auto"/>
          <w:sz w:val="24"/>
          <w:szCs w:val="24"/>
          <w:highlight w:val="none"/>
        </w:rPr>
      </w:pPr>
      <w:r>
        <w:rPr>
          <w:rFonts w:hint="eastAsia"/>
          <w:color w:val="auto"/>
          <w:sz w:val="24"/>
          <w:szCs w:val="24"/>
          <w:highlight w:val="none"/>
        </w:rPr>
        <w:t>抓拍的900万像素高清照片图片格式为JPEG/24bit。照片上应叠加时间、地点、方向、车牌号码、车牌颜色等信息。</w:t>
      </w:r>
    </w:p>
    <w:p w14:paraId="16AAFF89">
      <w:pPr>
        <w:rPr>
          <w:color w:val="auto"/>
          <w:sz w:val="24"/>
          <w:szCs w:val="24"/>
          <w:highlight w:val="none"/>
        </w:rPr>
      </w:pPr>
      <w:r>
        <w:rPr>
          <w:rFonts w:hint="eastAsia"/>
          <w:color w:val="auto"/>
          <w:sz w:val="24"/>
          <w:szCs w:val="24"/>
          <w:highlight w:val="none"/>
        </w:rPr>
        <w:t>（4）驾驶人面部特征记录</w:t>
      </w:r>
    </w:p>
    <w:p w14:paraId="670B3C90">
      <w:pPr>
        <w:rPr>
          <w:color w:val="auto"/>
          <w:sz w:val="24"/>
          <w:szCs w:val="24"/>
          <w:highlight w:val="none"/>
        </w:rPr>
      </w:pPr>
      <w:r>
        <w:rPr>
          <w:rFonts w:hint="eastAsia"/>
          <w:color w:val="auto"/>
          <w:sz w:val="24"/>
          <w:szCs w:val="24"/>
          <w:highlight w:val="none"/>
        </w:rPr>
        <w:t>应能记录机动车闯红灯行为对应驾驶人面部特征的图片，驾驶人面部的分辨率应不小于50×50像素点（依据《闯红灯自动记录系统通用技术条件（GA/T 496-2014）》标准规定），作为认定机动车闯红灯违法驾驶人的参考资料。</w:t>
      </w:r>
    </w:p>
    <w:p w14:paraId="4A42150D">
      <w:pPr>
        <w:rPr>
          <w:color w:val="auto"/>
          <w:sz w:val="24"/>
          <w:szCs w:val="24"/>
          <w:highlight w:val="none"/>
        </w:rPr>
      </w:pPr>
      <w:r>
        <w:rPr>
          <w:rFonts w:hint="eastAsia"/>
          <w:color w:val="auto"/>
          <w:sz w:val="24"/>
          <w:szCs w:val="24"/>
          <w:highlight w:val="none"/>
        </w:rPr>
        <w:t>（5）高清照片防篡改功能</w:t>
      </w:r>
    </w:p>
    <w:p w14:paraId="0B46F2B1">
      <w:pPr>
        <w:rPr>
          <w:color w:val="auto"/>
          <w:sz w:val="24"/>
          <w:szCs w:val="24"/>
          <w:highlight w:val="none"/>
        </w:rPr>
      </w:pPr>
      <w:r>
        <w:rPr>
          <w:rFonts w:hint="eastAsia"/>
          <w:color w:val="auto"/>
          <w:sz w:val="24"/>
          <w:szCs w:val="24"/>
          <w:highlight w:val="none"/>
        </w:rPr>
        <w:t>抓拍的高清照片应叠加不可见水印的方式实现图片防篡改功能。利用水印验证工具能验证高清照片是否被篡改。</w:t>
      </w:r>
    </w:p>
    <w:p w14:paraId="0B3F67C3">
      <w:pPr>
        <w:rPr>
          <w:color w:val="auto"/>
          <w:sz w:val="24"/>
          <w:szCs w:val="24"/>
          <w:highlight w:val="none"/>
        </w:rPr>
      </w:pPr>
      <w:r>
        <w:rPr>
          <w:rFonts w:hint="eastAsia"/>
          <w:color w:val="auto"/>
          <w:sz w:val="24"/>
          <w:szCs w:val="24"/>
          <w:highlight w:val="none"/>
        </w:rPr>
        <w:t>（6）交通流量数据检测</w:t>
      </w:r>
    </w:p>
    <w:p w14:paraId="2153C842">
      <w:pPr>
        <w:rPr>
          <w:color w:val="auto"/>
          <w:sz w:val="24"/>
          <w:szCs w:val="24"/>
          <w:highlight w:val="none"/>
        </w:rPr>
      </w:pPr>
      <w:r>
        <w:rPr>
          <w:rFonts w:hint="eastAsia"/>
          <w:color w:val="auto"/>
          <w:sz w:val="24"/>
          <w:szCs w:val="24"/>
          <w:highlight w:val="none"/>
        </w:rPr>
        <w:t>电子警察前端还应具备交通流量基本数据检测，通过光纤网络传输到辖区大队中心机房存储。</w:t>
      </w:r>
    </w:p>
    <w:p w14:paraId="08953FEF">
      <w:pPr>
        <w:rPr>
          <w:color w:val="auto"/>
          <w:sz w:val="24"/>
          <w:szCs w:val="24"/>
          <w:highlight w:val="none"/>
        </w:rPr>
      </w:pPr>
      <w:r>
        <w:rPr>
          <w:rFonts w:hint="eastAsia"/>
          <w:color w:val="auto"/>
          <w:sz w:val="24"/>
          <w:szCs w:val="24"/>
          <w:highlight w:val="none"/>
        </w:rPr>
        <w:t>（7）通行记录</w:t>
      </w:r>
    </w:p>
    <w:p w14:paraId="51DBF6B4">
      <w:pPr>
        <w:rPr>
          <w:color w:val="auto"/>
          <w:sz w:val="24"/>
          <w:szCs w:val="24"/>
          <w:highlight w:val="none"/>
        </w:rPr>
      </w:pPr>
      <w:r>
        <w:rPr>
          <w:rFonts w:hint="eastAsia"/>
          <w:color w:val="auto"/>
          <w:sz w:val="24"/>
          <w:szCs w:val="24"/>
          <w:highlight w:val="none"/>
        </w:rPr>
        <w:t>能够对通过监控点视频检测分析区域的机动车进行自动记录，抓拍1张照片并生成一条机动车通行记录（包括车身图片、号牌、通行时间、通行地点、方向、车型）。</w:t>
      </w:r>
    </w:p>
    <w:p w14:paraId="685F4248">
      <w:pPr>
        <w:rPr>
          <w:color w:val="auto"/>
          <w:sz w:val="24"/>
          <w:szCs w:val="24"/>
          <w:highlight w:val="none"/>
        </w:rPr>
      </w:pPr>
      <w:r>
        <w:rPr>
          <w:rFonts w:hint="eastAsia"/>
          <w:color w:val="auto"/>
          <w:sz w:val="24"/>
          <w:szCs w:val="24"/>
          <w:highlight w:val="none"/>
        </w:rPr>
        <w:t>（8）全时录像功能</w:t>
      </w:r>
    </w:p>
    <w:p w14:paraId="71F6C4B8">
      <w:pPr>
        <w:rPr>
          <w:color w:val="auto"/>
          <w:sz w:val="24"/>
          <w:szCs w:val="24"/>
          <w:highlight w:val="none"/>
        </w:rPr>
      </w:pPr>
      <w:r>
        <w:rPr>
          <w:rFonts w:hint="eastAsia"/>
          <w:color w:val="auto"/>
          <w:sz w:val="24"/>
          <w:szCs w:val="24"/>
          <w:highlight w:val="none"/>
        </w:rPr>
        <w:t>前端设备应具备一周7×24小时的全时录像功能，实时传往中心，可以通过网络远程调阅，并可在前端缓存。</w:t>
      </w:r>
    </w:p>
    <w:p w14:paraId="68D656EA">
      <w:pPr>
        <w:rPr>
          <w:color w:val="auto"/>
          <w:sz w:val="24"/>
          <w:szCs w:val="24"/>
          <w:highlight w:val="none"/>
        </w:rPr>
      </w:pPr>
      <w:r>
        <w:rPr>
          <w:rFonts w:hint="eastAsia"/>
          <w:color w:val="auto"/>
          <w:sz w:val="24"/>
          <w:szCs w:val="24"/>
          <w:highlight w:val="none"/>
        </w:rPr>
        <w:t>（9）前端数据缓存功能</w:t>
      </w:r>
    </w:p>
    <w:p w14:paraId="67319FA9">
      <w:pPr>
        <w:rPr>
          <w:color w:val="auto"/>
          <w:sz w:val="24"/>
          <w:szCs w:val="24"/>
          <w:highlight w:val="none"/>
        </w:rPr>
      </w:pPr>
      <w:r>
        <w:rPr>
          <w:rFonts w:hint="eastAsia"/>
          <w:color w:val="auto"/>
          <w:sz w:val="24"/>
          <w:szCs w:val="24"/>
          <w:highlight w:val="none"/>
        </w:rPr>
        <w:t>电警、卡口前端控制主机应采用嵌入式设计，配备不少于4个SATA硬盘接口，标配硬盘容量≥4TB，最大可扩容至不少于16TB。</w:t>
      </w:r>
    </w:p>
    <w:p w14:paraId="05A16927">
      <w:pPr>
        <w:rPr>
          <w:color w:val="auto"/>
          <w:sz w:val="24"/>
          <w:szCs w:val="24"/>
          <w:highlight w:val="none"/>
        </w:rPr>
      </w:pPr>
      <w:r>
        <w:rPr>
          <w:rFonts w:hint="eastAsia"/>
          <w:color w:val="auto"/>
          <w:sz w:val="24"/>
          <w:szCs w:val="24"/>
          <w:highlight w:val="none"/>
        </w:rPr>
        <w:t>高清抓拍摄像机应具备保存短期数据功能，前端摄像机存储容量≥32GB。</w:t>
      </w:r>
    </w:p>
    <w:p w14:paraId="0142058A">
      <w:pPr>
        <w:rPr>
          <w:color w:val="auto"/>
          <w:sz w:val="24"/>
          <w:szCs w:val="24"/>
          <w:highlight w:val="none"/>
        </w:rPr>
      </w:pPr>
      <w:r>
        <w:rPr>
          <w:rFonts w:hint="eastAsia"/>
          <w:color w:val="auto"/>
          <w:sz w:val="24"/>
          <w:szCs w:val="24"/>
          <w:highlight w:val="none"/>
        </w:rPr>
        <w:t>电警、卡口前端控制主机应具备数据分类管理功能，可为数据信息、图片及视频独立分配存储空间。</w:t>
      </w:r>
    </w:p>
    <w:p w14:paraId="008F77D0">
      <w:pPr>
        <w:rPr>
          <w:color w:val="auto"/>
          <w:sz w:val="24"/>
          <w:szCs w:val="24"/>
          <w:highlight w:val="none"/>
        </w:rPr>
      </w:pPr>
      <w:r>
        <w:rPr>
          <w:rFonts w:hint="eastAsia"/>
          <w:color w:val="auto"/>
          <w:sz w:val="24"/>
          <w:szCs w:val="24"/>
          <w:highlight w:val="none"/>
        </w:rPr>
        <w:t>要求采用以下缓存机制：电警控制主机与中心系统的通信链路工作正常时，记录信息应经电警控制主机上传中心系统；当通信链路发生故障时，记录信息缓存在电警控制主机硬盘内，当通信链路恢复正常后，缓存在硬盘的记录信息应自动补录到中心系统。</w:t>
      </w:r>
    </w:p>
    <w:p w14:paraId="24D630C4">
      <w:pPr>
        <w:rPr>
          <w:color w:val="auto"/>
          <w:sz w:val="24"/>
          <w:szCs w:val="24"/>
          <w:highlight w:val="none"/>
        </w:rPr>
      </w:pPr>
      <w:r>
        <w:rPr>
          <w:rFonts w:hint="eastAsia"/>
          <w:color w:val="auto"/>
          <w:sz w:val="24"/>
          <w:szCs w:val="24"/>
          <w:highlight w:val="none"/>
        </w:rPr>
        <w:t>高清抓拍摄像机在抓拍高清照片的同时，应能输出高清视频码流，码流格式为H.264、H.265或以上。高清视频码流应能保存在电警前端控制主机，不允许额外添置DVR或NVR。</w:t>
      </w:r>
    </w:p>
    <w:p w14:paraId="6CF89BB5">
      <w:pPr>
        <w:rPr>
          <w:color w:val="auto"/>
          <w:sz w:val="24"/>
          <w:szCs w:val="24"/>
          <w:highlight w:val="none"/>
        </w:rPr>
      </w:pPr>
      <w:r>
        <w:rPr>
          <w:rFonts w:hint="eastAsia"/>
          <w:color w:val="auto"/>
          <w:sz w:val="24"/>
          <w:szCs w:val="24"/>
          <w:highlight w:val="none"/>
        </w:rPr>
        <w:t>（10）防雷抗风要求</w:t>
      </w:r>
    </w:p>
    <w:p w14:paraId="6AD3D090">
      <w:pPr>
        <w:rPr>
          <w:color w:val="auto"/>
          <w:sz w:val="24"/>
          <w:szCs w:val="24"/>
          <w:highlight w:val="none"/>
        </w:rPr>
      </w:pPr>
      <w:r>
        <w:rPr>
          <w:rFonts w:hint="eastAsia"/>
          <w:color w:val="auto"/>
          <w:sz w:val="24"/>
          <w:szCs w:val="24"/>
          <w:highlight w:val="none"/>
        </w:rPr>
        <w:t>应具备外部和内部二级避雷措施，符合当地沿海最高等级抗风要求。</w:t>
      </w:r>
    </w:p>
    <w:p w14:paraId="1D8D44E4">
      <w:pPr>
        <w:rPr>
          <w:color w:val="auto"/>
          <w:sz w:val="24"/>
          <w:szCs w:val="24"/>
          <w:highlight w:val="none"/>
        </w:rPr>
      </w:pPr>
      <w:r>
        <w:rPr>
          <w:rFonts w:hint="eastAsia"/>
          <w:color w:val="auto"/>
          <w:sz w:val="24"/>
          <w:szCs w:val="24"/>
          <w:highlight w:val="none"/>
        </w:rPr>
        <w:t>（11）补光设备</w:t>
      </w:r>
    </w:p>
    <w:p w14:paraId="0C5025FF">
      <w:pPr>
        <w:rPr>
          <w:b/>
          <w:color w:val="auto"/>
          <w:sz w:val="24"/>
          <w:szCs w:val="24"/>
          <w:highlight w:val="none"/>
        </w:rPr>
      </w:pPr>
      <w:r>
        <w:rPr>
          <w:rFonts w:hint="eastAsia"/>
          <w:color w:val="auto"/>
          <w:sz w:val="24"/>
          <w:szCs w:val="24"/>
          <w:highlight w:val="none"/>
        </w:rPr>
        <w:t>电子警察抓拍的视频和图片在符合处罚要求的前提，从环保及减少光污染角度出发，建议使用环境光进行自然补光，尽量减少道路上的光污染源。</w:t>
      </w:r>
      <w:r>
        <w:rPr>
          <w:rFonts w:hint="eastAsia"/>
          <w:b/>
          <w:color w:val="auto"/>
          <w:sz w:val="24"/>
          <w:szCs w:val="24"/>
          <w:highlight w:val="none"/>
        </w:rPr>
        <w:t xml:space="preserve"> </w:t>
      </w:r>
    </w:p>
    <w:p w14:paraId="4FA95F06">
      <w:pPr>
        <w:rPr>
          <w:color w:val="auto"/>
          <w:sz w:val="24"/>
          <w:szCs w:val="24"/>
          <w:highlight w:val="none"/>
        </w:rPr>
      </w:pPr>
      <w:r>
        <w:rPr>
          <w:rFonts w:hint="eastAsia"/>
          <w:color w:val="auto"/>
          <w:sz w:val="24"/>
          <w:szCs w:val="24"/>
          <w:highlight w:val="none"/>
        </w:rPr>
        <w:t>（12）主要技术指标</w:t>
      </w:r>
    </w:p>
    <w:p w14:paraId="6205A46E">
      <w:pPr>
        <w:pStyle w:val="20"/>
        <w:rPr>
          <w:color w:val="auto"/>
          <w:sz w:val="24"/>
          <w:szCs w:val="24"/>
          <w:highlight w:val="none"/>
        </w:rPr>
      </w:pPr>
    </w:p>
    <w:tbl>
      <w:tblPr>
        <w:tblStyle w:val="46"/>
        <w:tblW w:w="8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42"/>
        <w:gridCol w:w="1869"/>
        <w:gridCol w:w="4163"/>
        <w:gridCol w:w="2248"/>
      </w:tblGrid>
      <w:tr w14:paraId="79B1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311" w:type="dxa"/>
            <w:gridSpan w:val="2"/>
            <w:vAlign w:val="center"/>
          </w:tcPr>
          <w:p w14:paraId="4FEEE7D3">
            <w:pPr>
              <w:pStyle w:val="20"/>
              <w:rPr>
                <w:color w:val="auto"/>
                <w:sz w:val="24"/>
                <w:szCs w:val="24"/>
                <w:highlight w:val="none"/>
                <w:lang w:val="zh-CN"/>
              </w:rPr>
            </w:pPr>
            <w:r>
              <w:rPr>
                <w:rFonts w:hint="eastAsia"/>
                <w:color w:val="auto"/>
                <w:sz w:val="24"/>
                <w:szCs w:val="24"/>
                <w:highlight w:val="none"/>
                <w:lang w:val="zh-CN"/>
              </w:rPr>
              <w:t>闯红灯功能基本要求</w:t>
            </w:r>
          </w:p>
        </w:tc>
        <w:tc>
          <w:tcPr>
            <w:tcW w:w="4163" w:type="dxa"/>
            <w:vAlign w:val="center"/>
          </w:tcPr>
          <w:p w14:paraId="1CCC1740">
            <w:pPr>
              <w:pStyle w:val="20"/>
              <w:rPr>
                <w:color w:val="auto"/>
                <w:sz w:val="24"/>
                <w:szCs w:val="24"/>
                <w:highlight w:val="none"/>
                <w:lang w:val="zh-CN"/>
              </w:rPr>
            </w:pPr>
            <w:r>
              <w:rPr>
                <w:rFonts w:hint="eastAsia"/>
                <w:color w:val="auto"/>
                <w:sz w:val="24"/>
                <w:szCs w:val="24"/>
                <w:highlight w:val="none"/>
                <w:lang w:val="zh-CN"/>
              </w:rPr>
              <w:t>功能和性能指标</w:t>
            </w:r>
          </w:p>
        </w:tc>
        <w:tc>
          <w:tcPr>
            <w:tcW w:w="2248" w:type="dxa"/>
            <w:vAlign w:val="center"/>
          </w:tcPr>
          <w:p w14:paraId="54844C52">
            <w:pPr>
              <w:pStyle w:val="20"/>
              <w:rPr>
                <w:color w:val="auto"/>
                <w:sz w:val="24"/>
                <w:szCs w:val="24"/>
                <w:highlight w:val="none"/>
                <w:lang w:val="zh-CN"/>
              </w:rPr>
            </w:pPr>
            <w:r>
              <w:rPr>
                <w:rFonts w:hint="eastAsia"/>
                <w:color w:val="auto"/>
                <w:sz w:val="24"/>
                <w:szCs w:val="24"/>
                <w:highlight w:val="none"/>
                <w:lang w:val="zh-CN"/>
              </w:rPr>
              <w:t>备注</w:t>
            </w:r>
          </w:p>
        </w:tc>
      </w:tr>
      <w:tr w14:paraId="2FCA8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atLeast"/>
          <w:jc w:val="center"/>
        </w:trPr>
        <w:tc>
          <w:tcPr>
            <w:tcW w:w="442" w:type="dxa"/>
            <w:vAlign w:val="center"/>
          </w:tcPr>
          <w:p w14:paraId="0D660605">
            <w:pPr>
              <w:pStyle w:val="20"/>
              <w:rPr>
                <w:color w:val="auto"/>
                <w:sz w:val="24"/>
                <w:szCs w:val="24"/>
                <w:highlight w:val="none"/>
                <w:lang w:val="zh-CN"/>
              </w:rPr>
            </w:pPr>
            <w:r>
              <w:rPr>
                <w:rFonts w:hint="eastAsia"/>
                <w:color w:val="auto"/>
                <w:sz w:val="24"/>
                <w:szCs w:val="24"/>
                <w:highlight w:val="none"/>
                <w:lang w:val="zh-CN"/>
              </w:rPr>
              <w:t>1</w:t>
            </w:r>
          </w:p>
        </w:tc>
        <w:tc>
          <w:tcPr>
            <w:tcW w:w="1869" w:type="dxa"/>
            <w:vAlign w:val="center"/>
          </w:tcPr>
          <w:p w14:paraId="03437A54">
            <w:pPr>
              <w:pStyle w:val="20"/>
              <w:rPr>
                <w:color w:val="auto"/>
                <w:sz w:val="24"/>
                <w:szCs w:val="24"/>
                <w:highlight w:val="none"/>
                <w:lang w:val="zh-CN"/>
              </w:rPr>
            </w:pPr>
            <w:r>
              <w:rPr>
                <w:rFonts w:hint="eastAsia"/>
                <w:color w:val="auto"/>
                <w:sz w:val="24"/>
                <w:szCs w:val="24"/>
                <w:highlight w:val="none"/>
                <w:lang w:val="zh-CN"/>
              </w:rPr>
              <w:t>违法行为捕获率</w:t>
            </w:r>
          </w:p>
        </w:tc>
        <w:tc>
          <w:tcPr>
            <w:tcW w:w="4163" w:type="dxa"/>
            <w:vAlign w:val="center"/>
          </w:tcPr>
          <w:p w14:paraId="5F5D88C6">
            <w:pPr>
              <w:pStyle w:val="20"/>
              <w:rPr>
                <w:color w:val="auto"/>
                <w:sz w:val="24"/>
                <w:szCs w:val="24"/>
                <w:highlight w:val="none"/>
              </w:rPr>
            </w:pPr>
            <w:r>
              <w:rPr>
                <w:rFonts w:hint="eastAsia"/>
                <w:color w:val="auto"/>
                <w:sz w:val="24"/>
                <w:szCs w:val="24"/>
                <w:highlight w:val="none"/>
              </w:rPr>
              <w:t>有效记录数</w:t>
            </w:r>
            <w:r>
              <w:rPr>
                <w:rStyle w:val="569"/>
                <w:rFonts w:hint="eastAsia" w:ascii="宋体" w:hAnsi="宋体" w:cs="宋体"/>
                <w:color w:val="auto"/>
                <w:sz w:val="24"/>
                <w:szCs w:val="24"/>
                <w:highlight w:val="none"/>
              </w:rPr>
              <w:t>与实际闯</w:t>
            </w:r>
            <w:r>
              <w:rPr>
                <w:rFonts w:hint="eastAsia"/>
                <w:color w:val="auto"/>
                <w:sz w:val="24"/>
                <w:szCs w:val="24"/>
                <w:highlight w:val="none"/>
              </w:rPr>
              <w:t>红灯记录数之比。在标注的适用条件下，闯红灯捕获率应不小于90％。</w:t>
            </w:r>
          </w:p>
        </w:tc>
        <w:tc>
          <w:tcPr>
            <w:tcW w:w="2248" w:type="dxa"/>
            <w:vAlign w:val="center"/>
          </w:tcPr>
          <w:p w14:paraId="529FFF45">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r w14:paraId="6AFDF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14:paraId="7DBDA07B">
            <w:pPr>
              <w:pStyle w:val="20"/>
              <w:rPr>
                <w:color w:val="auto"/>
                <w:sz w:val="24"/>
                <w:szCs w:val="24"/>
                <w:highlight w:val="none"/>
                <w:lang w:val="zh-CN"/>
              </w:rPr>
            </w:pPr>
            <w:r>
              <w:rPr>
                <w:rFonts w:hint="eastAsia"/>
                <w:color w:val="auto"/>
                <w:sz w:val="24"/>
                <w:szCs w:val="24"/>
                <w:highlight w:val="none"/>
                <w:lang w:val="zh-CN"/>
              </w:rPr>
              <w:t>2</w:t>
            </w:r>
          </w:p>
        </w:tc>
        <w:tc>
          <w:tcPr>
            <w:tcW w:w="1869" w:type="dxa"/>
            <w:vAlign w:val="center"/>
          </w:tcPr>
          <w:p w14:paraId="58E7EEA1">
            <w:pPr>
              <w:pStyle w:val="20"/>
              <w:rPr>
                <w:color w:val="auto"/>
                <w:sz w:val="24"/>
                <w:szCs w:val="24"/>
                <w:highlight w:val="none"/>
                <w:lang w:val="zh-CN"/>
              </w:rPr>
            </w:pPr>
            <w:r>
              <w:rPr>
                <w:rFonts w:hint="eastAsia"/>
                <w:color w:val="auto"/>
                <w:sz w:val="24"/>
                <w:szCs w:val="24"/>
                <w:highlight w:val="none"/>
                <w:lang w:val="zh-CN"/>
              </w:rPr>
              <w:t>违法行为记录有效率</w:t>
            </w:r>
          </w:p>
        </w:tc>
        <w:tc>
          <w:tcPr>
            <w:tcW w:w="4163" w:type="dxa"/>
            <w:vAlign w:val="center"/>
          </w:tcPr>
          <w:p w14:paraId="35F4FE7E">
            <w:pPr>
              <w:pStyle w:val="20"/>
              <w:rPr>
                <w:color w:val="auto"/>
                <w:sz w:val="24"/>
                <w:szCs w:val="24"/>
                <w:highlight w:val="none"/>
              </w:rPr>
            </w:pPr>
            <w:r>
              <w:rPr>
                <w:rFonts w:hint="eastAsia"/>
                <w:color w:val="auto"/>
                <w:sz w:val="24"/>
                <w:szCs w:val="24"/>
                <w:highlight w:val="none"/>
              </w:rPr>
              <w:t>在标注的适用条件下，记录有效率应不小于80％。</w:t>
            </w:r>
          </w:p>
        </w:tc>
        <w:tc>
          <w:tcPr>
            <w:tcW w:w="2248" w:type="dxa"/>
            <w:vAlign w:val="center"/>
          </w:tcPr>
          <w:p w14:paraId="4B380979">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r w14:paraId="0AAC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14:paraId="3233521F">
            <w:pPr>
              <w:pStyle w:val="20"/>
              <w:rPr>
                <w:color w:val="auto"/>
                <w:sz w:val="24"/>
                <w:szCs w:val="24"/>
                <w:highlight w:val="none"/>
                <w:lang w:val="zh-CN"/>
              </w:rPr>
            </w:pPr>
            <w:r>
              <w:rPr>
                <w:rFonts w:hint="eastAsia"/>
                <w:color w:val="auto"/>
                <w:sz w:val="24"/>
                <w:szCs w:val="24"/>
                <w:highlight w:val="none"/>
                <w:lang w:val="zh-CN"/>
              </w:rPr>
              <w:t>3</w:t>
            </w:r>
          </w:p>
        </w:tc>
        <w:tc>
          <w:tcPr>
            <w:tcW w:w="1869" w:type="dxa"/>
            <w:vAlign w:val="center"/>
          </w:tcPr>
          <w:p w14:paraId="6DC49BB6">
            <w:pPr>
              <w:pStyle w:val="20"/>
              <w:rPr>
                <w:color w:val="auto"/>
                <w:sz w:val="24"/>
                <w:szCs w:val="24"/>
                <w:highlight w:val="none"/>
                <w:lang w:val="zh-CN"/>
              </w:rPr>
            </w:pPr>
            <w:r>
              <w:rPr>
                <w:rFonts w:hint="eastAsia"/>
                <w:color w:val="auto"/>
                <w:sz w:val="24"/>
                <w:szCs w:val="24"/>
                <w:highlight w:val="none"/>
                <w:lang w:val="zh-CN"/>
              </w:rPr>
              <w:t>计时误差</w:t>
            </w:r>
          </w:p>
        </w:tc>
        <w:tc>
          <w:tcPr>
            <w:tcW w:w="4163" w:type="dxa"/>
            <w:vAlign w:val="center"/>
          </w:tcPr>
          <w:p w14:paraId="7F561472">
            <w:pPr>
              <w:pStyle w:val="570"/>
              <w:rPr>
                <w:color w:val="auto"/>
                <w:sz w:val="24"/>
                <w:szCs w:val="24"/>
                <w:highlight w:val="none"/>
              </w:rPr>
            </w:pPr>
            <w:r>
              <w:rPr>
                <w:rFonts w:hint="eastAsia"/>
                <w:color w:val="auto"/>
                <w:sz w:val="24"/>
                <w:szCs w:val="24"/>
                <w:highlight w:val="none"/>
              </w:rPr>
              <w:t>闯红灯自动记录单元24h计时误差应不超过1s。</w:t>
            </w:r>
          </w:p>
        </w:tc>
        <w:tc>
          <w:tcPr>
            <w:tcW w:w="2248" w:type="dxa"/>
            <w:vAlign w:val="center"/>
          </w:tcPr>
          <w:p w14:paraId="21AD6245">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r w14:paraId="1065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9" w:hRule="atLeast"/>
          <w:jc w:val="center"/>
        </w:trPr>
        <w:tc>
          <w:tcPr>
            <w:tcW w:w="442" w:type="dxa"/>
            <w:vAlign w:val="center"/>
          </w:tcPr>
          <w:p w14:paraId="65ACC445">
            <w:pPr>
              <w:pStyle w:val="20"/>
              <w:rPr>
                <w:color w:val="auto"/>
                <w:sz w:val="24"/>
                <w:szCs w:val="24"/>
                <w:highlight w:val="none"/>
                <w:lang w:val="zh-CN"/>
              </w:rPr>
            </w:pPr>
            <w:r>
              <w:rPr>
                <w:rFonts w:hint="eastAsia"/>
                <w:color w:val="auto"/>
                <w:sz w:val="24"/>
                <w:szCs w:val="24"/>
                <w:highlight w:val="none"/>
                <w:lang w:val="zh-CN"/>
              </w:rPr>
              <w:t>4</w:t>
            </w:r>
          </w:p>
        </w:tc>
        <w:tc>
          <w:tcPr>
            <w:tcW w:w="1869" w:type="dxa"/>
            <w:vAlign w:val="center"/>
          </w:tcPr>
          <w:p w14:paraId="6FD253DC">
            <w:pPr>
              <w:pStyle w:val="20"/>
              <w:rPr>
                <w:color w:val="auto"/>
                <w:sz w:val="24"/>
                <w:szCs w:val="24"/>
                <w:highlight w:val="none"/>
                <w:lang w:val="zh-CN"/>
              </w:rPr>
            </w:pPr>
            <w:r>
              <w:rPr>
                <w:rFonts w:hint="eastAsia"/>
                <w:color w:val="auto"/>
                <w:sz w:val="24"/>
                <w:szCs w:val="24"/>
                <w:highlight w:val="none"/>
                <w:lang w:val="zh-CN"/>
              </w:rPr>
              <w:t>数据传输</w:t>
            </w:r>
          </w:p>
        </w:tc>
        <w:tc>
          <w:tcPr>
            <w:tcW w:w="4163" w:type="dxa"/>
            <w:vAlign w:val="center"/>
          </w:tcPr>
          <w:p w14:paraId="2C5419FE">
            <w:pPr>
              <w:pStyle w:val="20"/>
              <w:rPr>
                <w:color w:val="auto"/>
                <w:sz w:val="24"/>
                <w:szCs w:val="24"/>
                <w:highlight w:val="none"/>
              </w:rPr>
            </w:pPr>
            <w:r>
              <w:rPr>
                <w:rFonts w:hint="eastAsia"/>
                <w:color w:val="auto"/>
                <w:sz w:val="24"/>
                <w:szCs w:val="24"/>
                <w:highlight w:val="none"/>
              </w:rPr>
              <w:t>闯红灯自动记录单元应具备联网数据传输或现场数据下载功能。</w:t>
            </w:r>
          </w:p>
          <w:p w14:paraId="36940A86">
            <w:pPr>
              <w:pStyle w:val="20"/>
              <w:rPr>
                <w:color w:val="auto"/>
                <w:sz w:val="24"/>
                <w:szCs w:val="24"/>
                <w:highlight w:val="none"/>
              </w:rPr>
            </w:pPr>
            <w:r>
              <w:rPr>
                <w:rFonts w:hint="eastAsia"/>
                <w:color w:val="auto"/>
                <w:sz w:val="24"/>
                <w:szCs w:val="24"/>
                <w:highlight w:val="none"/>
              </w:rPr>
              <w:t>通过网络将机动车闯红灯信息自动传输到指定数据中心，且信息传输应具有防丢失、防篡改等功能。视频数据传输应符合GB/T 28181-2016《公共安全视频监控联网系统信息传输、交换、控制技术要求 》的要求。</w:t>
            </w:r>
          </w:p>
          <w:p w14:paraId="3A425590">
            <w:pPr>
              <w:pStyle w:val="20"/>
              <w:rPr>
                <w:color w:val="auto"/>
                <w:sz w:val="24"/>
                <w:szCs w:val="24"/>
                <w:highlight w:val="none"/>
              </w:rPr>
            </w:pPr>
            <w:r>
              <w:rPr>
                <w:rFonts w:hint="eastAsia"/>
                <w:color w:val="auto"/>
                <w:sz w:val="24"/>
                <w:szCs w:val="24"/>
                <w:highlight w:val="none"/>
              </w:rPr>
              <w:t>现场将机动车闯红灯信息人工或自动下载到存储介质中后带回数据中心，下载过程不得删改原始信息，且应自动生成下载日志信息，包括下载人、下载时间等信息。</w:t>
            </w:r>
          </w:p>
        </w:tc>
        <w:tc>
          <w:tcPr>
            <w:tcW w:w="2248" w:type="dxa"/>
            <w:vAlign w:val="center"/>
          </w:tcPr>
          <w:p w14:paraId="7F905B6F">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r w14:paraId="4E4A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14:paraId="6B359AD0">
            <w:pPr>
              <w:pStyle w:val="20"/>
              <w:rPr>
                <w:color w:val="auto"/>
                <w:sz w:val="24"/>
                <w:szCs w:val="24"/>
                <w:highlight w:val="none"/>
                <w:lang w:val="zh-CN"/>
              </w:rPr>
            </w:pPr>
            <w:r>
              <w:rPr>
                <w:rFonts w:hint="eastAsia"/>
                <w:color w:val="auto"/>
                <w:sz w:val="24"/>
                <w:szCs w:val="24"/>
                <w:highlight w:val="none"/>
                <w:lang w:val="zh-CN"/>
              </w:rPr>
              <w:t>5</w:t>
            </w:r>
          </w:p>
        </w:tc>
        <w:tc>
          <w:tcPr>
            <w:tcW w:w="1869" w:type="dxa"/>
            <w:vAlign w:val="center"/>
          </w:tcPr>
          <w:p w14:paraId="756D6993">
            <w:pPr>
              <w:pStyle w:val="20"/>
              <w:rPr>
                <w:color w:val="auto"/>
                <w:sz w:val="24"/>
                <w:szCs w:val="24"/>
                <w:highlight w:val="none"/>
                <w:lang w:val="zh-CN"/>
              </w:rPr>
            </w:pPr>
            <w:r>
              <w:rPr>
                <w:rFonts w:hint="eastAsia"/>
                <w:color w:val="auto"/>
                <w:sz w:val="24"/>
                <w:szCs w:val="24"/>
                <w:highlight w:val="none"/>
                <w:lang w:val="zh-CN"/>
              </w:rPr>
              <w:t>全景车辆图片内容</w:t>
            </w:r>
          </w:p>
        </w:tc>
        <w:tc>
          <w:tcPr>
            <w:tcW w:w="4163" w:type="dxa"/>
            <w:vAlign w:val="center"/>
          </w:tcPr>
          <w:p w14:paraId="5396F38C">
            <w:pPr>
              <w:pStyle w:val="20"/>
              <w:rPr>
                <w:color w:val="auto"/>
                <w:sz w:val="24"/>
                <w:szCs w:val="24"/>
                <w:highlight w:val="none"/>
                <w:lang w:val="zh-CN"/>
              </w:rPr>
            </w:pPr>
            <w:r>
              <w:rPr>
                <w:rFonts w:hint="eastAsia"/>
                <w:color w:val="auto"/>
                <w:sz w:val="24"/>
                <w:szCs w:val="24"/>
                <w:highlight w:val="none"/>
                <w:lang w:val="zh-CN"/>
              </w:rPr>
              <w:t>看清车牌、车型特征、停车线、信号灯</w:t>
            </w:r>
          </w:p>
        </w:tc>
        <w:tc>
          <w:tcPr>
            <w:tcW w:w="2248" w:type="dxa"/>
            <w:vAlign w:val="center"/>
          </w:tcPr>
          <w:p w14:paraId="6ACB2118">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r w14:paraId="3F78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442" w:type="dxa"/>
            <w:vAlign w:val="center"/>
          </w:tcPr>
          <w:p w14:paraId="41B581D6">
            <w:pPr>
              <w:pStyle w:val="20"/>
              <w:rPr>
                <w:color w:val="auto"/>
                <w:sz w:val="24"/>
                <w:szCs w:val="24"/>
                <w:highlight w:val="none"/>
                <w:lang w:val="zh-CN"/>
              </w:rPr>
            </w:pPr>
            <w:r>
              <w:rPr>
                <w:rFonts w:hint="eastAsia"/>
                <w:color w:val="auto"/>
                <w:sz w:val="24"/>
                <w:szCs w:val="24"/>
                <w:highlight w:val="none"/>
                <w:lang w:val="zh-CN"/>
              </w:rPr>
              <w:t>6</w:t>
            </w:r>
          </w:p>
        </w:tc>
        <w:tc>
          <w:tcPr>
            <w:tcW w:w="1869" w:type="dxa"/>
            <w:vAlign w:val="center"/>
          </w:tcPr>
          <w:p w14:paraId="2D5624A1">
            <w:pPr>
              <w:pStyle w:val="20"/>
              <w:rPr>
                <w:color w:val="auto"/>
                <w:sz w:val="24"/>
                <w:szCs w:val="24"/>
                <w:highlight w:val="none"/>
                <w:lang w:val="zh-CN"/>
              </w:rPr>
            </w:pPr>
            <w:r>
              <w:rPr>
                <w:rFonts w:hint="eastAsia"/>
                <w:color w:val="auto"/>
                <w:sz w:val="24"/>
                <w:szCs w:val="24"/>
                <w:highlight w:val="none"/>
                <w:lang w:val="zh-CN"/>
              </w:rPr>
              <w:t>产品通过相关部门的检测</w:t>
            </w:r>
          </w:p>
        </w:tc>
        <w:tc>
          <w:tcPr>
            <w:tcW w:w="4163" w:type="dxa"/>
            <w:vAlign w:val="center"/>
          </w:tcPr>
          <w:p w14:paraId="30A725B7">
            <w:pPr>
              <w:pStyle w:val="20"/>
              <w:rPr>
                <w:color w:val="auto"/>
                <w:sz w:val="24"/>
                <w:szCs w:val="24"/>
                <w:highlight w:val="none"/>
                <w:lang w:val="zh-CN"/>
              </w:rPr>
            </w:pPr>
            <w:r>
              <w:rPr>
                <w:rFonts w:hint="eastAsia"/>
                <w:color w:val="auto"/>
                <w:sz w:val="24"/>
                <w:szCs w:val="24"/>
                <w:highlight w:val="none"/>
                <w:lang w:val="zh-CN"/>
              </w:rPr>
              <w:t>提供检测报告，检测标准为</w:t>
            </w:r>
            <w:r>
              <w:rPr>
                <w:rFonts w:hint="eastAsia"/>
                <w:color w:val="auto"/>
                <w:sz w:val="24"/>
                <w:szCs w:val="24"/>
                <w:highlight w:val="none"/>
              </w:rPr>
              <w:t>GA/T 496–2014《闯红灯自动记录系统通用技术条件》</w:t>
            </w:r>
          </w:p>
        </w:tc>
        <w:tc>
          <w:tcPr>
            <w:tcW w:w="2248" w:type="dxa"/>
            <w:vAlign w:val="center"/>
          </w:tcPr>
          <w:p w14:paraId="12AED12E">
            <w:pPr>
              <w:pStyle w:val="20"/>
              <w:rPr>
                <w:color w:val="auto"/>
                <w:sz w:val="24"/>
                <w:szCs w:val="24"/>
                <w:highlight w:val="none"/>
                <w:lang w:val="zh-CN"/>
              </w:rPr>
            </w:pPr>
          </w:p>
        </w:tc>
      </w:tr>
      <w:tr w14:paraId="089A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9" w:hRule="atLeast"/>
          <w:jc w:val="center"/>
        </w:trPr>
        <w:tc>
          <w:tcPr>
            <w:tcW w:w="442" w:type="dxa"/>
            <w:vAlign w:val="center"/>
          </w:tcPr>
          <w:p w14:paraId="041E88FE">
            <w:pPr>
              <w:pStyle w:val="20"/>
              <w:rPr>
                <w:color w:val="auto"/>
                <w:sz w:val="24"/>
                <w:szCs w:val="24"/>
                <w:highlight w:val="none"/>
                <w:lang w:val="zh-CN"/>
              </w:rPr>
            </w:pPr>
            <w:r>
              <w:rPr>
                <w:rFonts w:hint="eastAsia"/>
                <w:color w:val="auto"/>
                <w:sz w:val="24"/>
                <w:szCs w:val="24"/>
                <w:highlight w:val="none"/>
                <w:lang w:val="zh-CN"/>
              </w:rPr>
              <w:t>7</w:t>
            </w:r>
          </w:p>
        </w:tc>
        <w:tc>
          <w:tcPr>
            <w:tcW w:w="1869" w:type="dxa"/>
            <w:vAlign w:val="center"/>
          </w:tcPr>
          <w:p w14:paraId="63CD770C">
            <w:pPr>
              <w:pStyle w:val="20"/>
              <w:rPr>
                <w:color w:val="auto"/>
                <w:sz w:val="24"/>
                <w:szCs w:val="24"/>
                <w:highlight w:val="none"/>
                <w:lang w:val="zh-CN"/>
              </w:rPr>
            </w:pPr>
            <w:r>
              <w:rPr>
                <w:rFonts w:hint="eastAsia"/>
                <w:color w:val="auto"/>
                <w:sz w:val="24"/>
                <w:szCs w:val="24"/>
                <w:highlight w:val="none"/>
                <w:lang w:val="zh-CN"/>
              </w:rPr>
              <w:t>违法图片记录要求</w:t>
            </w:r>
          </w:p>
          <w:p w14:paraId="0D2C54BA">
            <w:pPr>
              <w:pStyle w:val="20"/>
              <w:rPr>
                <w:color w:val="auto"/>
                <w:sz w:val="24"/>
                <w:szCs w:val="24"/>
                <w:highlight w:val="none"/>
                <w:lang w:val="zh-CN"/>
              </w:rPr>
            </w:pPr>
          </w:p>
        </w:tc>
        <w:tc>
          <w:tcPr>
            <w:tcW w:w="4163" w:type="dxa"/>
            <w:vAlign w:val="center"/>
          </w:tcPr>
          <w:p w14:paraId="0D3E1B9D">
            <w:pPr>
              <w:pStyle w:val="20"/>
              <w:rPr>
                <w:color w:val="auto"/>
                <w:sz w:val="24"/>
                <w:szCs w:val="24"/>
                <w:highlight w:val="none"/>
                <w:lang w:val="zh-CN"/>
              </w:rPr>
            </w:pPr>
            <w:r>
              <w:rPr>
                <w:rFonts w:hint="eastAsia"/>
                <w:color w:val="auto"/>
                <w:sz w:val="24"/>
                <w:szCs w:val="24"/>
                <w:highlight w:val="none"/>
                <w:lang w:val="zh-CN"/>
              </w:rPr>
              <w:t>图像分辨率≥</w:t>
            </w:r>
            <w:r>
              <w:rPr>
                <w:rFonts w:hint="eastAsia"/>
                <w:color w:val="auto"/>
                <w:sz w:val="24"/>
                <w:szCs w:val="24"/>
                <w:highlight w:val="none"/>
              </w:rPr>
              <w:t>9</w:t>
            </w:r>
            <w:r>
              <w:rPr>
                <w:rFonts w:hint="eastAsia"/>
                <w:color w:val="auto"/>
                <w:sz w:val="24"/>
                <w:szCs w:val="24"/>
                <w:highlight w:val="none"/>
                <w:lang w:val="zh-CN"/>
              </w:rPr>
              <w:t>00万像素</w:t>
            </w:r>
          </w:p>
          <w:p w14:paraId="455D3513">
            <w:pPr>
              <w:pStyle w:val="20"/>
              <w:rPr>
                <w:color w:val="auto"/>
                <w:sz w:val="24"/>
                <w:szCs w:val="24"/>
                <w:highlight w:val="none"/>
              </w:rPr>
            </w:pPr>
            <w:r>
              <w:rPr>
                <w:rFonts w:hint="eastAsia"/>
                <w:color w:val="auto"/>
                <w:sz w:val="24"/>
                <w:szCs w:val="24"/>
                <w:highlight w:val="none"/>
              </w:rPr>
              <w:t>拍摄的图片应符合以下要求：</w:t>
            </w:r>
          </w:p>
          <w:p w14:paraId="020B1059">
            <w:pPr>
              <w:pStyle w:val="20"/>
              <w:rPr>
                <w:color w:val="auto"/>
                <w:sz w:val="24"/>
                <w:szCs w:val="24"/>
                <w:highlight w:val="none"/>
              </w:rPr>
            </w:pPr>
            <w:r>
              <w:rPr>
                <w:rFonts w:hint="eastAsia"/>
                <w:color w:val="auto"/>
                <w:sz w:val="24"/>
                <w:szCs w:val="24"/>
                <w:highlight w:val="none"/>
              </w:rPr>
              <w:t>a） 应采用JPEG格式，JPEG图片编码应符合ISO/IEC 15444:2000的要求；</w:t>
            </w:r>
          </w:p>
          <w:p w14:paraId="06D6B74F">
            <w:pPr>
              <w:pStyle w:val="20"/>
              <w:rPr>
                <w:color w:val="auto"/>
                <w:sz w:val="24"/>
                <w:szCs w:val="24"/>
                <w:highlight w:val="none"/>
              </w:rPr>
            </w:pPr>
            <w:r>
              <w:rPr>
                <w:rFonts w:hint="eastAsia"/>
                <w:color w:val="auto"/>
                <w:sz w:val="24"/>
                <w:szCs w:val="24"/>
                <w:highlight w:val="none"/>
              </w:rPr>
              <w:t>b） 应具有防篡改功能；</w:t>
            </w:r>
          </w:p>
          <w:p w14:paraId="2E97972F">
            <w:pPr>
              <w:pStyle w:val="20"/>
              <w:rPr>
                <w:color w:val="auto"/>
                <w:sz w:val="24"/>
                <w:szCs w:val="24"/>
                <w:highlight w:val="none"/>
              </w:rPr>
            </w:pPr>
            <w:r>
              <w:rPr>
                <w:rFonts w:hint="eastAsia"/>
                <w:color w:val="auto"/>
                <w:sz w:val="24"/>
                <w:szCs w:val="24"/>
                <w:highlight w:val="none"/>
              </w:rPr>
              <w:t>c） 应包含时间信息，至少精确到0.1s；</w:t>
            </w:r>
          </w:p>
          <w:p w14:paraId="159700F6">
            <w:pPr>
              <w:pStyle w:val="20"/>
              <w:rPr>
                <w:color w:val="auto"/>
                <w:sz w:val="24"/>
                <w:szCs w:val="24"/>
                <w:highlight w:val="none"/>
              </w:rPr>
            </w:pPr>
            <w:r>
              <w:rPr>
                <w:rFonts w:hint="eastAsia"/>
                <w:color w:val="auto"/>
                <w:sz w:val="24"/>
                <w:szCs w:val="24"/>
                <w:highlight w:val="none"/>
              </w:rPr>
              <w:t>d） 应符合GA/T 832-2014《道路交通安全违法行为图像取证技术规范 》的要求；</w:t>
            </w:r>
          </w:p>
          <w:p w14:paraId="446ED7F7">
            <w:pPr>
              <w:pStyle w:val="20"/>
              <w:rPr>
                <w:color w:val="auto"/>
                <w:sz w:val="24"/>
                <w:szCs w:val="24"/>
                <w:highlight w:val="none"/>
              </w:rPr>
            </w:pPr>
            <w:r>
              <w:rPr>
                <w:rFonts w:hint="eastAsia"/>
                <w:color w:val="auto"/>
                <w:sz w:val="24"/>
                <w:szCs w:val="24"/>
                <w:highlight w:val="none"/>
              </w:rPr>
              <w:t>e） 最终图片应合成为一个图片文件，且至少应包含：时间、地点、方向、车道和设备编号等信息，设备编号规则应符合GA/T 1043-2013《道路交通技术监控设备运行维护规范  》的要求；</w:t>
            </w:r>
          </w:p>
          <w:p w14:paraId="2C06C440">
            <w:pPr>
              <w:pStyle w:val="20"/>
              <w:rPr>
                <w:color w:val="auto"/>
                <w:sz w:val="24"/>
                <w:szCs w:val="24"/>
                <w:highlight w:val="none"/>
              </w:rPr>
            </w:pPr>
            <w:r>
              <w:rPr>
                <w:rFonts w:hint="eastAsia"/>
                <w:color w:val="auto"/>
                <w:sz w:val="24"/>
                <w:szCs w:val="24"/>
                <w:highlight w:val="none"/>
              </w:rPr>
              <w:t>f） 合成的图片清晰度应能满足人工对车辆号牌号码认定的要求，图片不应出现红灯信号泛白、光晕等颜色失真现象；图片合成时，不得出现原始图片遗漏、错位等情形。</w:t>
            </w:r>
          </w:p>
        </w:tc>
        <w:tc>
          <w:tcPr>
            <w:tcW w:w="2248" w:type="dxa"/>
            <w:vAlign w:val="center"/>
          </w:tcPr>
          <w:p w14:paraId="1CEE65D0">
            <w:pPr>
              <w:pStyle w:val="20"/>
              <w:rPr>
                <w:color w:val="auto"/>
                <w:sz w:val="24"/>
                <w:szCs w:val="24"/>
                <w:highlight w:val="none"/>
                <w:lang w:val="zh-CN"/>
              </w:rPr>
            </w:pPr>
            <w:r>
              <w:rPr>
                <w:rFonts w:hint="eastAsia"/>
                <w:color w:val="auto"/>
                <w:sz w:val="24"/>
                <w:szCs w:val="24"/>
                <w:highlight w:val="none"/>
              </w:rPr>
              <w:t>GA/T 496–2014《闯红灯自动记录系统通用技术条件》</w:t>
            </w:r>
          </w:p>
          <w:p w14:paraId="4A82BA22">
            <w:pPr>
              <w:pStyle w:val="20"/>
              <w:rPr>
                <w:color w:val="auto"/>
                <w:sz w:val="24"/>
                <w:szCs w:val="24"/>
                <w:highlight w:val="none"/>
                <w:lang w:val="zh-CN"/>
              </w:rPr>
            </w:pPr>
          </w:p>
        </w:tc>
      </w:tr>
      <w:tr w14:paraId="0A1C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14:paraId="1C685E73">
            <w:pPr>
              <w:pStyle w:val="20"/>
              <w:rPr>
                <w:color w:val="auto"/>
                <w:sz w:val="24"/>
                <w:szCs w:val="24"/>
                <w:highlight w:val="none"/>
              </w:rPr>
            </w:pPr>
            <w:r>
              <w:rPr>
                <w:rFonts w:hint="eastAsia"/>
                <w:color w:val="auto"/>
                <w:sz w:val="24"/>
                <w:szCs w:val="24"/>
                <w:highlight w:val="none"/>
              </w:rPr>
              <w:t>8</w:t>
            </w:r>
          </w:p>
        </w:tc>
        <w:tc>
          <w:tcPr>
            <w:tcW w:w="1869" w:type="dxa"/>
            <w:vAlign w:val="center"/>
          </w:tcPr>
          <w:p w14:paraId="3738AE0C">
            <w:pPr>
              <w:pStyle w:val="20"/>
              <w:rPr>
                <w:color w:val="auto"/>
                <w:sz w:val="24"/>
                <w:szCs w:val="24"/>
                <w:highlight w:val="none"/>
                <w:lang w:val="zh-CN"/>
              </w:rPr>
            </w:pPr>
            <w:r>
              <w:rPr>
                <w:rFonts w:hint="eastAsia"/>
                <w:color w:val="auto"/>
                <w:sz w:val="24"/>
                <w:szCs w:val="24"/>
                <w:highlight w:val="none"/>
                <w:lang w:val="zh-CN"/>
              </w:rPr>
              <w:t>兼卡口图片记录要求</w:t>
            </w:r>
          </w:p>
        </w:tc>
        <w:tc>
          <w:tcPr>
            <w:tcW w:w="4163" w:type="dxa"/>
            <w:vAlign w:val="center"/>
          </w:tcPr>
          <w:p w14:paraId="37C46D09">
            <w:pPr>
              <w:pStyle w:val="20"/>
              <w:rPr>
                <w:color w:val="auto"/>
                <w:sz w:val="24"/>
                <w:szCs w:val="24"/>
                <w:highlight w:val="none"/>
                <w:lang w:val="zh-CN"/>
              </w:rPr>
            </w:pPr>
            <w:r>
              <w:rPr>
                <w:rFonts w:hint="eastAsia"/>
                <w:color w:val="auto"/>
                <w:sz w:val="24"/>
                <w:szCs w:val="24"/>
                <w:highlight w:val="none"/>
                <w:lang w:val="zh-CN"/>
              </w:rPr>
              <w:t>图片格式应采用JPEG格式，JPEG图片编码应符合ISO/IEC 15444:2000的要求。</w:t>
            </w:r>
          </w:p>
          <w:p w14:paraId="0E3C576B">
            <w:pPr>
              <w:pStyle w:val="20"/>
              <w:rPr>
                <w:color w:val="auto"/>
                <w:sz w:val="24"/>
                <w:szCs w:val="24"/>
                <w:highlight w:val="none"/>
                <w:lang w:val="zh-CN"/>
              </w:rPr>
            </w:pPr>
            <w:r>
              <w:rPr>
                <w:rFonts w:hint="eastAsia"/>
                <w:color w:val="auto"/>
                <w:sz w:val="24"/>
                <w:szCs w:val="24"/>
                <w:highlight w:val="none"/>
                <w:lang w:val="zh-CN"/>
              </w:rPr>
              <w:t>图像分辨率≥</w:t>
            </w:r>
            <w:r>
              <w:rPr>
                <w:rFonts w:hint="eastAsia"/>
                <w:color w:val="auto"/>
                <w:sz w:val="24"/>
                <w:szCs w:val="24"/>
                <w:highlight w:val="none"/>
              </w:rPr>
              <w:t>9</w:t>
            </w:r>
            <w:r>
              <w:rPr>
                <w:rFonts w:hint="eastAsia"/>
                <w:color w:val="auto"/>
                <w:sz w:val="24"/>
                <w:szCs w:val="24"/>
                <w:highlight w:val="none"/>
                <w:lang w:val="zh-CN"/>
              </w:rPr>
              <w:t>00万像素</w:t>
            </w:r>
          </w:p>
          <w:p w14:paraId="7987E9F9">
            <w:pPr>
              <w:pStyle w:val="20"/>
              <w:rPr>
                <w:color w:val="auto"/>
                <w:sz w:val="24"/>
                <w:szCs w:val="24"/>
                <w:highlight w:val="none"/>
                <w:lang w:val="zh-CN"/>
              </w:rPr>
            </w:pPr>
            <w:r>
              <w:rPr>
                <w:rFonts w:hint="eastAsia"/>
                <w:color w:val="auto"/>
                <w:sz w:val="24"/>
                <w:szCs w:val="24"/>
                <w:highlight w:val="none"/>
                <w:lang w:val="zh-CN"/>
              </w:rPr>
              <w:t>记录1幅机动车号牌图片+1幅全景图片，至少应包含：时间、地点、方向、车道、号牌等信息，以上信息应在图片中叠加。</w:t>
            </w:r>
          </w:p>
          <w:p w14:paraId="34F6AC8A">
            <w:pPr>
              <w:pStyle w:val="20"/>
              <w:rPr>
                <w:color w:val="auto"/>
                <w:sz w:val="24"/>
                <w:szCs w:val="24"/>
                <w:highlight w:val="none"/>
                <w:lang w:val="zh-CN"/>
              </w:rPr>
            </w:pPr>
            <w:r>
              <w:rPr>
                <w:rFonts w:hint="eastAsia"/>
                <w:color w:val="auto"/>
                <w:sz w:val="24"/>
                <w:szCs w:val="24"/>
                <w:highlight w:val="none"/>
                <w:lang w:val="zh-CN"/>
              </w:rPr>
              <w:t>能够捕获所有时间经过被监控车道的车辆图像（包括红灯、黄灯、绿灯期间），通过车辆车速在5km/h~1</w:t>
            </w:r>
            <w:r>
              <w:rPr>
                <w:rFonts w:hint="eastAsia"/>
                <w:color w:val="auto"/>
                <w:sz w:val="24"/>
                <w:szCs w:val="24"/>
                <w:highlight w:val="none"/>
              </w:rPr>
              <w:t>2</w:t>
            </w:r>
            <w:r>
              <w:rPr>
                <w:rFonts w:hint="eastAsia"/>
                <w:color w:val="auto"/>
                <w:sz w:val="24"/>
                <w:szCs w:val="24"/>
                <w:highlight w:val="none"/>
                <w:lang w:val="zh-CN"/>
              </w:rPr>
              <w:t>0km/h范围内时，自动抓拍车辆图像并记录车辆通过的信息，包括：时间、地点、方向、号牌等，并自动进行号牌识别。</w:t>
            </w:r>
          </w:p>
        </w:tc>
        <w:tc>
          <w:tcPr>
            <w:tcW w:w="2248" w:type="dxa"/>
            <w:vAlign w:val="center"/>
          </w:tcPr>
          <w:p w14:paraId="0A1F91F6">
            <w:pPr>
              <w:pStyle w:val="20"/>
              <w:rPr>
                <w:color w:val="auto"/>
                <w:sz w:val="24"/>
                <w:szCs w:val="24"/>
                <w:highlight w:val="none"/>
                <w:lang w:val="zh-CN"/>
              </w:rPr>
            </w:pPr>
            <w:r>
              <w:rPr>
                <w:rFonts w:hint="eastAsia"/>
                <w:color w:val="auto"/>
                <w:sz w:val="24"/>
                <w:szCs w:val="24"/>
                <w:highlight w:val="none"/>
                <w:lang w:val="zh-CN"/>
              </w:rPr>
              <w:t>数据、图片能上传到中心服务器；根据采购人需求同时应将过车信息上传到台州市公安局交通警察局指定平台</w:t>
            </w:r>
          </w:p>
        </w:tc>
      </w:tr>
      <w:tr w14:paraId="3DA52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4" w:hRule="atLeast"/>
          <w:jc w:val="center"/>
        </w:trPr>
        <w:tc>
          <w:tcPr>
            <w:tcW w:w="442" w:type="dxa"/>
            <w:vAlign w:val="center"/>
          </w:tcPr>
          <w:p w14:paraId="31F605DB">
            <w:pPr>
              <w:pStyle w:val="20"/>
              <w:rPr>
                <w:color w:val="auto"/>
                <w:sz w:val="24"/>
                <w:szCs w:val="24"/>
                <w:highlight w:val="none"/>
              </w:rPr>
            </w:pPr>
            <w:r>
              <w:rPr>
                <w:rFonts w:hint="eastAsia"/>
                <w:color w:val="auto"/>
                <w:sz w:val="24"/>
                <w:szCs w:val="24"/>
                <w:highlight w:val="none"/>
              </w:rPr>
              <w:t>9</w:t>
            </w:r>
          </w:p>
        </w:tc>
        <w:tc>
          <w:tcPr>
            <w:tcW w:w="1869" w:type="dxa"/>
            <w:vAlign w:val="center"/>
          </w:tcPr>
          <w:p w14:paraId="00440AE4">
            <w:pPr>
              <w:pStyle w:val="20"/>
              <w:rPr>
                <w:color w:val="auto"/>
                <w:sz w:val="24"/>
                <w:szCs w:val="24"/>
                <w:highlight w:val="none"/>
                <w:lang w:val="zh-CN"/>
              </w:rPr>
            </w:pPr>
            <w:r>
              <w:rPr>
                <w:rFonts w:hint="eastAsia"/>
                <w:color w:val="auto"/>
                <w:sz w:val="24"/>
                <w:szCs w:val="24"/>
                <w:highlight w:val="none"/>
                <w:lang w:val="zh-CN"/>
              </w:rPr>
              <w:t>兼卡口车辆图像捕获率</w:t>
            </w:r>
          </w:p>
        </w:tc>
        <w:tc>
          <w:tcPr>
            <w:tcW w:w="4163" w:type="dxa"/>
            <w:vAlign w:val="center"/>
          </w:tcPr>
          <w:p w14:paraId="3ACC495B">
            <w:pPr>
              <w:pStyle w:val="20"/>
              <w:rPr>
                <w:color w:val="auto"/>
                <w:sz w:val="24"/>
                <w:szCs w:val="24"/>
                <w:highlight w:val="none"/>
              </w:rPr>
            </w:pPr>
            <w:r>
              <w:rPr>
                <w:rFonts w:hint="eastAsia"/>
                <w:color w:val="auto"/>
                <w:sz w:val="24"/>
                <w:szCs w:val="24"/>
                <w:highlight w:val="none"/>
              </w:rPr>
              <w:t>应能清晰记录通过车辆的图片，捕获率应不小于95%。检查系统是否具有通过车辆图像记录功能，并按GA/T 497-2016《道路车辆智能监测记录系统通用技术条件》的方法测试车辆图像捕获率。</w:t>
            </w:r>
          </w:p>
        </w:tc>
        <w:tc>
          <w:tcPr>
            <w:tcW w:w="2248" w:type="dxa"/>
            <w:vAlign w:val="center"/>
          </w:tcPr>
          <w:p w14:paraId="3A344C82">
            <w:pPr>
              <w:pStyle w:val="20"/>
              <w:rPr>
                <w:color w:val="auto"/>
                <w:sz w:val="24"/>
                <w:szCs w:val="24"/>
                <w:highlight w:val="none"/>
                <w:lang w:val="zh-CN"/>
              </w:rPr>
            </w:pPr>
            <w:r>
              <w:rPr>
                <w:rFonts w:hint="eastAsia"/>
                <w:color w:val="auto"/>
                <w:sz w:val="24"/>
                <w:szCs w:val="24"/>
                <w:highlight w:val="none"/>
                <w:lang w:val="zh-CN"/>
              </w:rPr>
              <w:t xml:space="preserve">5km/h～120km/h行驶的车辆（含摩托车等所有机动车）； </w:t>
            </w:r>
          </w:p>
        </w:tc>
      </w:tr>
      <w:tr w14:paraId="0F71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center"/>
        </w:trPr>
        <w:tc>
          <w:tcPr>
            <w:tcW w:w="442" w:type="dxa"/>
            <w:vAlign w:val="center"/>
          </w:tcPr>
          <w:p w14:paraId="03D58C81">
            <w:pPr>
              <w:pStyle w:val="20"/>
              <w:rPr>
                <w:color w:val="auto"/>
                <w:sz w:val="24"/>
                <w:szCs w:val="24"/>
                <w:highlight w:val="none"/>
              </w:rPr>
            </w:pPr>
            <w:r>
              <w:rPr>
                <w:rFonts w:hint="eastAsia"/>
                <w:color w:val="auto"/>
                <w:sz w:val="24"/>
                <w:szCs w:val="24"/>
                <w:highlight w:val="none"/>
                <w:lang w:val="zh-CN"/>
              </w:rPr>
              <w:t>1</w:t>
            </w:r>
            <w:r>
              <w:rPr>
                <w:rFonts w:hint="eastAsia"/>
                <w:color w:val="auto"/>
                <w:sz w:val="24"/>
                <w:szCs w:val="24"/>
                <w:highlight w:val="none"/>
              </w:rPr>
              <w:t>0</w:t>
            </w:r>
          </w:p>
        </w:tc>
        <w:tc>
          <w:tcPr>
            <w:tcW w:w="1869" w:type="dxa"/>
            <w:vAlign w:val="center"/>
          </w:tcPr>
          <w:p w14:paraId="0F0013A4">
            <w:pPr>
              <w:pStyle w:val="20"/>
              <w:rPr>
                <w:color w:val="auto"/>
                <w:sz w:val="24"/>
                <w:szCs w:val="24"/>
                <w:highlight w:val="none"/>
                <w:lang w:val="zh-CN"/>
              </w:rPr>
            </w:pPr>
            <w:r>
              <w:rPr>
                <w:rFonts w:hint="eastAsia"/>
                <w:color w:val="auto"/>
                <w:sz w:val="24"/>
                <w:szCs w:val="24"/>
                <w:highlight w:val="none"/>
                <w:lang w:val="zh-CN"/>
              </w:rPr>
              <w:t>兼卡口车牌捕获识别准确率</w:t>
            </w:r>
          </w:p>
        </w:tc>
        <w:tc>
          <w:tcPr>
            <w:tcW w:w="4163" w:type="dxa"/>
            <w:vAlign w:val="center"/>
          </w:tcPr>
          <w:p w14:paraId="2DDAE238">
            <w:pPr>
              <w:pStyle w:val="20"/>
              <w:rPr>
                <w:color w:val="auto"/>
                <w:sz w:val="24"/>
                <w:szCs w:val="24"/>
                <w:highlight w:val="none"/>
                <w:lang w:val="zh-CN"/>
              </w:rPr>
            </w:pPr>
            <w:r>
              <w:rPr>
                <w:rFonts w:hint="eastAsia"/>
                <w:color w:val="auto"/>
                <w:sz w:val="24"/>
                <w:szCs w:val="24"/>
                <w:highlight w:val="none"/>
              </w:rPr>
              <w:t>应具备车辆号牌自动识别功能，用于号牌识别的字符库应齐全，能识别GA 36-2018《</w:t>
            </w:r>
            <w:r>
              <w:rPr>
                <w:rFonts w:hint="eastAsia"/>
                <w:color w:val="auto"/>
                <w:sz w:val="24"/>
                <w:szCs w:val="24"/>
                <w:highlight w:val="none"/>
                <w:shd w:val="clear" w:color="auto" w:fill="FFFFFF"/>
              </w:rPr>
              <w:t>中华人民共和国机动车号牌</w:t>
            </w:r>
            <w:r>
              <w:rPr>
                <w:rFonts w:hint="eastAsia"/>
                <w:color w:val="auto"/>
                <w:sz w:val="24"/>
                <w:szCs w:val="24"/>
                <w:highlight w:val="none"/>
              </w:rPr>
              <w:t>》规定的号牌（除临时号牌外）、武警汽车号牌和军队汽车号牌。日间车辆号牌识别准确率应不小于90%；夜间车辆号牌识别准确率应不小于80%。</w:t>
            </w:r>
          </w:p>
        </w:tc>
        <w:tc>
          <w:tcPr>
            <w:tcW w:w="2248" w:type="dxa"/>
            <w:vAlign w:val="center"/>
          </w:tcPr>
          <w:p w14:paraId="1E25520E">
            <w:pPr>
              <w:pStyle w:val="20"/>
              <w:rPr>
                <w:color w:val="auto"/>
                <w:sz w:val="24"/>
                <w:szCs w:val="24"/>
                <w:highlight w:val="none"/>
                <w:lang w:val="zh-CN"/>
              </w:rPr>
            </w:pPr>
            <w:r>
              <w:rPr>
                <w:rFonts w:hint="eastAsia"/>
                <w:color w:val="auto"/>
                <w:sz w:val="24"/>
                <w:szCs w:val="24"/>
                <w:highlight w:val="none"/>
              </w:rPr>
              <w:t>GA/T 496–2014《闯红灯自动记录系统通用技术条件》</w:t>
            </w:r>
          </w:p>
        </w:tc>
      </w:tr>
    </w:tbl>
    <w:p w14:paraId="717457F5">
      <w:pPr>
        <w:rPr>
          <w:color w:val="auto"/>
          <w:sz w:val="24"/>
          <w:szCs w:val="24"/>
          <w:highlight w:val="none"/>
        </w:rPr>
      </w:pPr>
    </w:p>
    <w:p w14:paraId="248C9A5A">
      <w:pPr>
        <w:pStyle w:val="5"/>
        <w:rPr>
          <w:color w:val="auto"/>
          <w:sz w:val="24"/>
          <w:szCs w:val="24"/>
          <w:highlight w:val="none"/>
        </w:rPr>
      </w:pPr>
      <w:r>
        <w:rPr>
          <w:rFonts w:hint="eastAsia"/>
          <w:color w:val="auto"/>
          <w:sz w:val="24"/>
          <w:szCs w:val="24"/>
          <w:highlight w:val="none"/>
        </w:rPr>
        <w:t>2、卡口监控</w:t>
      </w:r>
      <w:r>
        <w:rPr>
          <w:rStyle w:val="568"/>
          <w:rFonts w:hint="eastAsia" w:ascii="宋体" w:hAnsi="宋体" w:eastAsia="宋体" w:cs="宋体"/>
          <w:color w:val="auto"/>
          <w:sz w:val="24"/>
          <w:szCs w:val="24"/>
          <w:highlight w:val="none"/>
        </w:rPr>
        <w:t>系统</w:t>
      </w:r>
      <w:r>
        <w:rPr>
          <w:rFonts w:hint="eastAsia"/>
          <w:color w:val="auto"/>
          <w:sz w:val="24"/>
          <w:szCs w:val="24"/>
          <w:highlight w:val="none"/>
        </w:rPr>
        <w:t>要求</w:t>
      </w:r>
    </w:p>
    <w:p w14:paraId="6D340D40">
      <w:pPr>
        <w:rPr>
          <w:color w:val="auto"/>
          <w:sz w:val="24"/>
          <w:szCs w:val="24"/>
          <w:highlight w:val="none"/>
        </w:rPr>
      </w:pPr>
      <w:r>
        <w:rPr>
          <w:rFonts w:hint="eastAsia"/>
          <w:color w:val="auto"/>
          <w:sz w:val="24"/>
          <w:szCs w:val="24"/>
          <w:highlight w:val="none"/>
        </w:rPr>
        <w:t>在道路横断面设置抓拍摄像机，能自动采集各车道、道路截面和路口的交通流量等交通基础数据。本期项目主要安装前端流量数据采集设备，功能如下：</w:t>
      </w:r>
    </w:p>
    <w:p w14:paraId="5005B3D5">
      <w:pPr>
        <w:pStyle w:val="7"/>
        <w:ind w:left="0" w:leftChars="0" w:firstLine="0" w:firstLineChars="0"/>
        <w:rPr>
          <w:color w:val="auto"/>
          <w:sz w:val="24"/>
          <w:szCs w:val="24"/>
          <w:highlight w:val="none"/>
        </w:rPr>
      </w:pPr>
      <w:r>
        <w:rPr>
          <w:rFonts w:hint="eastAsia"/>
          <w:color w:val="auto"/>
          <w:sz w:val="24"/>
          <w:szCs w:val="24"/>
          <w:highlight w:val="none"/>
        </w:rPr>
        <w:t>（1）交通流采集功能</w:t>
      </w:r>
    </w:p>
    <w:p w14:paraId="3468EF77">
      <w:pPr>
        <w:rPr>
          <w:color w:val="auto"/>
          <w:sz w:val="24"/>
          <w:szCs w:val="24"/>
          <w:highlight w:val="none"/>
        </w:rPr>
      </w:pPr>
      <w:r>
        <w:rPr>
          <w:rFonts w:hint="eastAsia"/>
          <w:color w:val="auto"/>
          <w:sz w:val="24"/>
          <w:szCs w:val="24"/>
          <w:highlight w:val="none"/>
        </w:rPr>
        <w:t>交通流检测摄像机自动采集交通流数据。</w:t>
      </w:r>
    </w:p>
    <w:p w14:paraId="4F3CBC04">
      <w:pPr>
        <w:rPr>
          <w:color w:val="auto"/>
          <w:sz w:val="24"/>
          <w:szCs w:val="24"/>
          <w:highlight w:val="none"/>
        </w:rPr>
      </w:pPr>
      <w:r>
        <w:rPr>
          <w:rFonts w:hint="eastAsia"/>
          <w:color w:val="auto"/>
          <w:sz w:val="24"/>
          <w:szCs w:val="24"/>
          <w:highlight w:val="none"/>
        </w:rPr>
        <w:t>交通流量：交通流量是指在选定时间段内通过道路某一地点、某一断面或某一车道的交通实体数。从车流量的大小可以判定交通的拥挤状况，从而决定采取何种</w:t>
      </w:r>
      <w:r>
        <w:rPr>
          <w:rFonts w:hint="eastAsia"/>
          <w:color w:val="auto"/>
          <w:sz w:val="24"/>
          <w:szCs w:val="24"/>
          <w:highlight w:val="none"/>
        </w:rPr>
        <w:fldChar w:fldCharType="begin"/>
      </w:r>
      <w:r>
        <w:rPr>
          <w:color w:val="auto"/>
          <w:sz w:val="24"/>
          <w:szCs w:val="24"/>
          <w:highlight w:val="none"/>
        </w:rPr>
        <w:instrText xml:space="preserve"> HYPERLINK "http://www.baike.com/sowiki/%E4%BA%A4%E9%80%9A%E7%AE%A1%E7%90%86?prd=content_doc_search" \o "交通管理" </w:instrText>
      </w:r>
      <w:r>
        <w:rPr>
          <w:rFonts w:hint="eastAsia"/>
          <w:color w:val="auto"/>
          <w:sz w:val="24"/>
          <w:szCs w:val="24"/>
          <w:highlight w:val="none"/>
        </w:rPr>
        <w:fldChar w:fldCharType="separate"/>
      </w:r>
      <w:r>
        <w:rPr>
          <w:rFonts w:hint="eastAsia"/>
          <w:color w:val="auto"/>
          <w:sz w:val="24"/>
          <w:szCs w:val="24"/>
          <w:highlight w:val="none"/>
        </w:rPr>
        <w:t>交通管理</w:t>
      </w:r>
      <w:r>
        <w:rPr>
          <w:rFonts w:hint="eastAsia"/>
          <w:color w:val="auto"/>
          <w:sz w:val="24"/>
          <w:szCs w:val="24"/>
          <w:highlight w:val="none"/>
        </w:rPr>
        <w:fldChar w:fldCharType="end"/>
      </w:r>
      <w:r>
        <w:rPr>
          <w:rFonts w:hint="eastAsia"/>
          <w:color w:val="auto"/>
          <w:sz w:val="24"/>
          <w:szCs w:val="24"/>
          <w:highlight w:val="none"/>
        </w:rPr>
        <w:t>措施,因此对</w:t>
      </w:r>
      <w:r>
        <w:rPr>
          <w:rFonts w:hint="eastAsia"/>
          <w:color w:val="auto"/>
          <w:sz w:val="24"/>
          <w:szCs w:val="24"/>
          <w:highlight w:val="none"/>
        </w:rPr>
        <w:fldChar w:fldCharType="begin"/>
      </w:r>
      <w:r>
        <w:rPr>
          <w:rFonts w:hint="eastAsia"/>
          <w:color w:val="auto"/>
          <w:sz w:val="24"/>
          <w:szCs w:val="24"/>
          <w:highlight w:val="none"/>
        </w:rPr>
        <w:instrText xml:space="preserve"> HYPERLINK "http://www.baike.com/sowiki/%E4%BA%A4%E9%80%9A%E9%87%8F?prd=content_doc_search" \o "交通量" </w:instrText>
      </w:r>
      <w:r>
        <w:rPr>
          <w:rFonts w:hint="eastAsia"/>
          <w:color w:val="auto"/>
          <w:sz w:val="24"/>
          <w:szCs w:val="24"/>
          <w:highlight w:val="none"/>
        </w:rPr>
        <w:fldChar w:fldCharType="separate"/>
      </w:r>
      <w:r>
        <w:rPr>
          <w:rFonts w:hint="eastAsia"/>
          <w:color w:val="auto"/>
          <w:sz w:val="24"/>
          <w:szCs w:val="24"/>
          <w:highlight w:val="none"/>
        </w:rPr>
        <w:t>交通量</w:t>
      </w:r>
      <w:r>
        <w:rPr>
          <w:rFonts w:hint="eastAsia"/>
          <w:color w:val="auto"/>
          <w:sz w:val="24"/>
          <w:szCs w:val="24"/>
          <w:highlight w:val="none"/>
        </w:rPr>
        <w:fldChar w:fldCharType="end"/>
      </w:r>
      <w:r>
        <w:rPr>
          <w:rFonts w:hint="eastAsia"/>
          <w:color w:val="auto"/>
          <w:sz w:val="24"/>
          <w:szCs w:val="24"/>
          <w:highlight w:val="none"/>
        </w:rPr>
        <w:t>的准确检测在交通工程中占有十分重要的位置。</w:t>
      </w:r>
    </w:p>
    <w:p w14:paraId="586873A3">
      <w:pPr>
        <w:pStyle w:val="7"/>
        <w:ind w:left="0" w:leftChars="0" w:firstLine="0" w:firstLineChars="0"/>
        <w:rPr>
          <w:color w:val="auto"/>
          <w:sz w:val="24"/>
          <w:szCs w:val="24"/>
          <w:highlight w:val="none"/>
        </w:rPr>
      </w:pPr>
      <w:r>
        <w:rPr>
          <w:rFonts w:hint="eastAsia"/>
          <w:color w:val="auto"/>
          <w:sz w:val="24"/>
          <w:szCs w:val="24"/>
          <w:highlight w:val="none"/>
        </w:rPr>
        <w:t>（2）应能捕获以下类型的交通违法行为：</w:t>
      </w:r>
    </w:p>
    <w:p w14:paraId="45EB1216">
      <w:pPr>
        <w:rPr>
          <w:color w:val="auto"/>
          <w:sz w:val="24"/>
          <w:szCs w:val="24"/>
          <w:highlight w:val="none"/>
        </w:rPr>
      </w:pPr>
      <w:r>
        <w:rPr>
          <w:rFonts w:hint="eastAsia"/>
          <w:color w:val="auto"/>
          <w:sz w:val="24"/>
          <w:szCs w:val="24"/>
          <w:highlight w:val="none"/>
        </w:rPr>
        <w:t>1）货车违反规定通行</w:t>
      </w:r>
    </w:p>
    <w:p w14:paraId="5C45090B">
      <w:pPr>
        <w:rPr>
          <w:color w:val="auto"/>
          <w:sz w:val="24"/>
          <w:szCs w:val="24"/>
          <w:highlight w:val="none"/>
        </w:rPr>
      </w:pPr>
      <w:r>
        <w:rPr>
          <w:rFonts w:hint="eastAsia"/>
          <w:color w:val="auto"/>
          <w:sz w:val="24"/>
          <w:szCs w:val="24"/>
          <w:highlight w:val="none"/>
        </w:rPr>
        <w:t>2）机动车单行线逆行</w:t>
      </w:r>
    </w:p>
    <w:p w14:paraId="1653A798">
      <w:pPr>
        <w:rPr>
          <w:color w:val="auto"/>
          <w:sz w:val="24"/>
          <w:szCs w:val="24"/>
          <w:highlight w:val="none"/>
        </w:rPr>
      </w:pPr>
      <w:r>
        <w:rPr>
          <w:rFonts w:hint="eastAsia"/>
          <w:color w:val="auto"/>
          <w:sz w:val="24"/>
          <w:szCs w:val="24"/>
          <w:highlight w:val="none"/>
        </w:rPr>
        <w:t>3）机动车违反规定占用专用车道</w:t>
      </w:r>
    </w:p>
    <w:p w14:paraId="6CABE3A1">
      <w:pPr>
        <w:rPr>
          <w:color w:val="auto"/>
          <w:sz w:val="24"/>
          <w:szCs w:val="24"/>
          <w:highlight w:val="none"/>
        </w:rPr>
      </w:pPr>
      <w:r>
        <w:rPr>
          <w:rFonts w:hint="eastAsia"/>
          <w:color w:val="auto"/>
          <w:sz w:val="24"/>
          <w:szCs w:val="24"/>
          <w:highlight w:val="none"/>
        </w:rPr>
        <w:t>4）抓拍车头的相机要支持自动识别开车打电话、不系安全带。</w:t>
      </w:r>
    </w:p>
    <w:p w14:paraId="7797B1B4">
      <w:pPr>
        <w:rPr>
          <w:color w:val="auto"/>
          <w:sz w:val="24"/>
          <w:szCs w:val="24"/>
          <w:highlight w:val="none"/>
        </w:rPr>
      </w:pPr>
      <w:r>
        <w:rPr>
          <w:rFonts w:hint="eastAsia"/>
          <w:color w:val="auto"/>
          <w:sz w:val="24"/>
          <w:szCs w:val="24"/>
          <w:highlight w:val="none"/>
        </w:rPr>
        <w:t>5）支持机动车不礼让行人抓拍</w:t>
      </w:r>
    </w:p>
    <w:p w14:paraId="4D44FC6F">
      <w:pPr>
        <w:rPr>
          <w:color w:val="auto"/>
          <w:sz w:val="24"/>
          <w:szCs w:val="24"/>
          <w:highlight w:val="none"/>
        </w:rPr>
      </w:pPr>
      <w:r>
        <w:rPr>
          <w:rFonts w:hint="eastAsia"/>
          <w:color w:val="auto"/>
          <w:sz w:val="24"/>
          <w:szCs w:val="24"/>
          <w:highlight w:val="none"/>
        </w:rPr>
        <w:t>6）支持非机动车违法行为抓拍（占用机动车、不戴头盔、载人），支持对机动车、非机动车人脸抠图及上传</w:t>
      </w:r>
    </w:p>
    <w:p w14:paraId="67C3D0A8">
      <w:pPr>
        <w:rPr>
          <w:color w:val="auto"/>
          <w:sz w:val="24"/>
          <w:szCs w:val="24"/>
          <w:highlight w:val="none"/>
        </w:rPr>
      </w:pPr>
      <w:r>
        <w:rPr>
          <w:rFonts w:hint="eastAsia"/>
          <w:color w:val="auto"/>
          <w:sz w:val="24"/>
          <w:szCs w:val="24"/>
          <w:highlight w:val="none"/>
        </w:rPr>
        <w:t>7）其他交通违法行为的捕获</w:t>
      </w:r>
    </w:p>
    <w:p w14:paraId="363730B6">
      <w:pPr>
        <w:pStyle w:val="7"/>
        <w:ind w:left="0" w:leftChars="0" w:firstLine="0" w:firstLineChars="0"/>
        <w:rPr>
          <w:color w:val="auto"/>
          <w:sz w:val="24"/>
          <w:szCs w:val="24"/>
          <w:highlight w:val="none"/>
        </w:rPr>
      </w:pPr>
      <w:r>
        <w:rPr>
          <w:rFonts w:hint="eastAsia"/>
          <w:color w:val="auto"/>
          <w:sz w:val="24"/>
          <w:szCs w:val="24"/>
          <w:highlight w:val="none"/>
        </w:rPr>
        <w:t>（3）机动车通行信息记录功能 </w:t>
      </w:r>
    </w:p>
    <w:p w14:paraId="09BFDB4C">
      <w:pPr>
        <w:rPr>
          <w:color w:val="auto"/>
          <w:sz w:val="24"/>
          <w:szCs w:val="24"/>
          <w:highlight w:val="none"/>
        </w:rPr>
      </w:pPr>
      <w:r>
        <w:rPr>
          <w:rFonts w:hint="eastAsia"/>
          <w:color w:val="auto"/>
          <w:sz w:val="24"/>
          <w:szCs w:val="24"/>
          <w:highlight w:val="none"/>
        </w:rPr>
        <w:t>能够对通过监控点视频检测分析区域的机动车进行自动记录，抓拍1张照片并生成一条机动车通行记录（包括车身图片、号牌、通行时间、通行地点、方向、车型）,根据所拍摄的车辆特征图片，通过机动车号牌定位、字符切分、字符匹配和图像预处理实现号牌自动识别和特征识别功能。过车图片需要看清车内驾驶人员，人脸抠图符合人脸比对要求，同时又考虑减少光污染等。</w:t>
      </w:r>
    </w:p>
    <w:p w14:paraId="5FE68558">
      <w:pPr>
        <w:pStyle w:val="7"/>
        <w:ind w:left="0" w:leftChars="0" w:firstLine="0" w:firstLineChars="0"/>
        <w:rPr>
          <w:color w:val="auto"/>
          <w:sz w:val="24"/>
          <w:szCs w:val="24"/>
          <w:highlight w:val="none"/>
        </w:rPr>
      </w:pPr>
      <w:r>
        <w:rPr>
          <w:rFonts w:hint="eastAsia"/>
          <w:color w:val="auto"/>
          <w:sz w:val="24"/>
          <w:szCs w:val="24"/>
          <w:highlight w:val="none"/>
        </w:rPr>
        <w:t>（4）主要技术指标</w:t>
      </w:r>
    </w:p>
    <w:tbl>
      <w:tblPr>
        <w:tblStyle w:val="46"/>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28"/>
        <w:gridCol w:w="1869"/>
        <w:gridCol w:w="4163"/>
        <w:gridCol w:w="2248"/>
      </w:tblGrid>
      <w:tr w14:paraId="1D32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2697" w:type="dxa"/>
            <w:gridSpan w:val="2"/>
            <w:vAlign w:val="center"/>
          </w:tcPr>
          <w:p w14:paraId="07C99C71">
            <w:pPr>
              <w:pStyle w:val="20"/>
              <w:rPr>
                <w:color w:val="auto"/>
                <w:sz w:val="24"/>
                <w:szCs w:val="24"/>
                <w:highlight w:val="none"/>
                <w:lang w:val="zh-CN"/>
              </w:rPr>
            </w:pPr>
            <w:r>
              <w:rPr>
                <w:rFonts w:hint="eastAsia"/>
                <w:color w:val="auto"/>
                <w:sz w:val="24"/>
                <w:szCs w:val="24"/>
                <w:highlight w:val="none"/>
                <w:lang w:val="zh-CN"/>
              </w:rPr>
              <w:t>功能基本要求</w:t>
            </w:r>
          </w:p>
        </w:tc>
        <w:tc>
          <w:tcPr>
            <w:tcW w:w="4163" w:type="dxa"/>
            <w:vAlign w:val="center"/>
          </w:tcPr>
          <w:p w14:paraId="60F09950">
            <w:pPr>
              <w:pStyle w:val="20"/>
              <w:rPr>
                <w:color w:val="auto"/>
                <w:sz w:val="24"/>
                <w:szCs w:val="24"/>
                <w:highlight w:val="none"/>
                <w:lang w:val="zh-CN"/>
              </w:rPr>
            </w:pPr>
            <w:r>
              <w:rPr>
                <w:rFonts w:hint="eastAsia"/>
                <w:color w:val="auto"/>
                <w:sz w:val="24"/>
                <w:szCs w:val="24"/>
                <w:highlight w:val="none"/>
                <w:lang w:val="zh-CN"/>
              </w:rPr>
              <w:t>功能和性能指标</w:t>
            </w:r>
          </w:p>
        </w:tc>
        <w:tc>
          <w:tcPr>
            <w:tcW w:w="2248" w:type="dxa"/>
            <w:vAlign w:val="center"/>
          </w:tcPr>
          <w:p w14:paraId="3A4E8987">
            <w:pPr>
              <w:pStyle w:val="20"/>
              <w:rPr>
                <w:color w:val="auto"/>
                <w:sz w:val="24"/>
                <w:szCs w:val="24"/>
                <w:highlight w:val="none"/>
                <w:lang w:val="zh-CN"/>
              </w:rPr>
            </w:pPr>
            <w:r>
              <w:rPr>
                <w:rFonts w:hint="eastAsia"/>
                <w:color w:val="auto"/>
                <w:sz w:val="24"/>
                <w:szCs w:val="24"/>
                <w:highlight w:val="none"/>
                <w:lang w:val="zh-CN"/>
              </w:rPr>
              <w:t>备注</w:t>
            </w:r>
          </w:p>
        </w:tc>
      </w:tr>
      <w:tr w14:paraId="269C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1" w:hRule="atLeast"/>
          <w:jc w:val="center"/>
        </w:trPr>
        <w:tc>
          <w:tcPr>
            <w:tcW w:w="828" w:type="dxa"/>
            <w:vAlign w:val="center"/>
          </w:tcPr>
          <w:p w14:paraId="52BEE5D1">
            <w:pPr>
              <w:pStyle w:val="20"/>
              <w:rPr>
                <w:color w:val="auto"/>
                <w:sz w:val="24"/>
                <w:szCs w:val="24"/>
                <w:highlight w:val="none"/>
                <w:lang w:val="zh-CN"/>
              </w:rPr>
            </w:pPr>
            <w:r>
              <w:rPr>
                <w:rFonts w:hint="eastAsia"/>
                <w:color w:val="auto"/>
                <w:sz w:val="24"/>
                <w:szCs w:val="24"/>
                <w:highlight w:val="none"/>
                <w:lang w:val="zh-CN"/>
              </w:rPr>
              <w:t>1</w:t>
            </w:r>
          </w:p>
        </w:tc>
        <w:tc>
          <w:tcPr>
            <w:tcW w:w="1869" w:type="dxa"/>
            <w:vAlign w:val="center"/>
          </w:tcPr>
          <w:p w14:paraId="4EE796FA">
            <w:pPr>
              <w:pStyle w:val="20"/>
              <w:rPr>
                <w:color w:val="auto"/>
                <w:sz w:val="24"/>
                <w:szCs w:val="24"/>
                <w:highlight w:val="none"/>
                <w:lang w:val="zh-CN"/>
              </w:rPr>
            </w:pPr>
            <w:r>
              <w:rPr>
                <w:rFonts w:hint="eastAsia"/>
                <w:color w:val="auto"/>
                <w:sz w:val="24"/>
                <w:szCs w:val="24"/>
                <w:highlight w:val="none"/>
                <w:lang w:val="zh-CN"/>
              </w:rPr>
              <w:t>车辆图像捕获率</w:t>
            </w:r>
          </w:p>
        </w:tc>
        <w:tc>
          <w:tcPr>
            <w:tcW w:w="4163" w:type="dxa"/>
            <w:vAlign w:val="center"/>
          </w:tcPr>
          <w:p w14:paraId="64908C39">
            <w:pPr>
              <w:pStyle w:val="20"/>
              <w:rPr>
                <w:color w:val="auto"/>
                <w:sz w:val="24"/>
                <w:szCs w:val="24"/>
                <w:highlight w:val="none"/>
              </w:rPr>
            </w:pPr>
            <w:r>
              <w:rPr>
                <w:rFonts w:hint="eastAsia"/>
                <w:color w:val="auto"/>
                <w:sz w:val="24"/>
                <w:szCs w:val="24"/>
                <w:highlight w:val="none"/>
              </w:rPr>
              <w:t>应能清晰记录通过车辆的图片，捕获率应不小于99%。</w:t>
            </w:r>
          </w:p>
        </w:tc>
        <w:tc>
          <w:tcPr>
            <w:tcW w:w="2248" w:type="dxa"/>
            <w:vAlign w:val="center"/>
          </w:tcPr>
          <w:p w14:paraId="28C16986">
            <w:pPr>
              <w:pStyle w:val="20"/>
              <w:rPr>
                <w:color w:val="auto"/>
                <w:sz w:val="24"/>
                <w:szCs w:val="24"/>
                <w:highlight w:val="none"/>
                <w:lang w:val="zh-CN"/>
              </w:rPr>
            </w:pPr>
            <w:r>
              <w:rPr>
                <w:rFonts w:hint="eastAsia"/>
                <w:color w:val="auto"/>
                <w:sz w:val="24"/>
                <w:szCs w:val="24"/>
                <w:highlight w:val="none"/>
                <w:lang w:val="zh-CN"/>
              </w:rPr>
              <w:t xml:space="preserve"> </w:t>
            </w:r>
            <w:r>
              <w:rPr>
                <w:rFonts w:hint="eastAsia"/>
                <w:color w:val="auto"/>
                <w:sz w:val="24"/>
                <w:szCs w:val="24"/>
                <w:highlight w:val="none"/>
              </w:rPr>
              <w:t>GA/T 497-2016《道路车辆智能监测记录系统通用技术条件》</w:t>
            </w:r>
          </w:p>
        </w:tc>
      </w:tr>
      <w:tr w14:paraId="5FB52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14:paraId="334CA04A">
            <w:pPr>
              <w:pStyle w:val="20"/>
              <w:rPr>
                <w:color w:val="auto"/>
                <w:sz w:val="24"/>
                <w:szCs w:val="24"/>
                <w:highlight w:val="none"/>
                <w:lang w:val="zh-CN"/>
              </w:rPr>
            </w:pPr>
            <w:r>
              <w:rPr>
                <w:rFonts w:hint="eastAsia"/>
                <w:color w:val="auto"/>
                <w:sz w:val="24"/>
                <w:szCs w:val="24"/>
                <w:highlight w:val="none"/>
                <w:lang w:val="zh-CN"/>
              </w:rPr>
              <w:t>2</w:t>
            </w:r>
          </w:p>
        </w:tc>
        <w:tc>
          <w:tcPr>
            <w:tcW w:w="1869" w:type="dxa"/>
            <w:vAlign w:val="center"/>
          </w:tcPr>
          <w:p w14:paraId="59FDFEF1">
            <w:pPr>
              <w:pStyle w:val="20"/>
              <w:rPr>
                <w:color w:val="auto"/>
                <w:sz w:val="24"/>
                <w:szCs w:val="24"/>
                <w:highlight w:val="none"/>
                <w:lang w:val="zh-CN"/>
              </w:rPr>
            </w:pPr>
            <w:r>
              <w:rPr>
                <w:rFonts w:hint="eastAsia"/>
                <w:color w:val="auto"/>
                <w:sz w:val="24"/>
                <w:szCs w:val="24"/>
                <w:highlight w:val="none"/>
                <w:lang w:val="zh-CN"/>
              </w:rPr>
              <w:t>号牌识别准确率</w:t>
            </w:r>
          </w:p>
        </w:tc>
        <w:tc>
          <w:tcPr>
            <w:tcW w:w="4163" w:type="dxa"/>
            <w:vAlign w:val="center"/>
          </w:tcPr>
          <w:p w14:paraId="5296FA0E">
            <w:pPr>
              <w:pStyle w:val="20"/>
              <w:rPr>
                <w:color w:val="auto"/>
                <w:sz w:val="24"/>
                <w:szCs w:val="24"/>
                <w:highlight w:val="none"/>
                <w:lang w:val="zh-CN"/>
              </w:rPr>
            </w:pPr>
            <w:r>
              <w:rPr>
                <w:rFonts w:hint="eastAsia"/>
                <w:color w:val="auto"/>
                <w:sz w:val="24"/>
                <w:szCs w:val="24"/>
                <w:highlight w:val="none"/>
              </w:rPr>
              <w:t>应具备车辆号牌自动识别功能，用于号牌识别的字符库应齐全，能识别GA 36-2018《</w:t>
            </w:r>
            <w:r>
              <w:rPr>
                <w:rFonts w:hint="eastAsia"/>
                <w:color w:val="auto"/>
                <w:sz w:val="24"/>
                <w:szCs w:val="24"/>
                <w:highlight w:val="none"/>
                <w:shd w:val="clear" w:color="auto" w:fill="FFFFFF"/>
              </w:rPr>
              <w:t>中华人民共和国机动车号牌</w:t>
            </w:r>
            <w:r>
              <w:rPr>
                <w:rFonts w:hint="eastAsia"/>
                <w:color w:val="auto"/>
                <w:sz w:val="24"/>
                <w:szCs w:val="24"/>
                <w:highlight w:val="none"/>
              </w:rPr>
              <w:t>》规定的号牌（除临时号牌外）、武警汽车号牌和军队汽车号牌。日间车辆号牌识别准确率应不小于95%；夜间车辆号牌识别准确率应不小于90%。</w:t>
            </w:r>
          </w:p>
        </w:tc>
        <w:tc>
          <w:tcPr>
            <w:tcW w:w="2248" w:type="dxa"/>
            <w:vAlign w:val="center"/>
          </w:tcPr>
          <w:p w14:paraId="7BD20C7A">
            <w:pPr>
              <w:pStyle w:val="20"/>
              <w:rPr>
                <w:color w:val="auto"/>
                <w:sz w:val="24"/>
                <w:szCs w:val="24"/>
                <w:highlight w:val="none"/>
                <w:lang w:val="zh-CN"/>
              </w:rPr>
            </w:pPr>
            <w:r>
              <w:rPr>
                <w:rFonts w:hint="eastAsia"/>
                <w:color w:val="auto"/>
                <w:sz w:val="24"/>
                <w:szCs w:val="24"/>
                <w:highlight w:val="none"/>
              </w:rPr>
              <w:t>GA/T 497-2016《道路车辆智能监测记录系统通用技术条件》</w:t>
            </w:r>
          </w:p>
        </w:tc>
      </w:tr>
      <w:tr w14:paraId="791F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85" w:hRule="atLeast"/>
          <w:jc w:val="center"/>
        </w:trPr>
        <w:tc>
          <w:tcPr>
            <w:tcW w:w="828" w:type="dxa"/>
            <w:vAlign w:val="center"/>
          </w:tcPr>
          <w:p w14:paraId="508EE49E">
            <w:pPr>
              <w:pStyle w:val="20"/>
              <w:rPr>
                <w:color w:val="auto"/>
                <w:sz w:val="24"/>
                <w:szCs w:val="24"/>
                <w:highlight w:val="none"/>
                <w:lang w:val="zh-CN"/>
              </w:rPr>
            </w:pPr>
            <w:r>
              <w:rPr>
                <w:rFonts w:hint="eastAsia"/>
                <w:color w:val="auto"/>
                <w:sz w:val="24"/>
                <w:szCs w:val="24"/>
                <w:highlight w:val="none"/>
                <w:lang w:val="zh-CN"/>
              </w:rPr>
              <w:t>3</w:t>
            </w:r>
          </w:p>
        </w:tc>
        <w:tc>
          <w:tcPr>
            <w:tcW w:w="1869" w:type="dxa"/>
            <w:vAlign w:val="center"/>
          </w:tcPr>
          <w:p w14:paraId="78DA72B6">
            <w:pPr>
              <w:pStyle w:val="20"/>
              <w:rPr>
                <w:color w:val="auto"/>
                <w:sz w:val="24"/>
                <w:szCs w:val="24"/>
                <w:highlight w:val="none"/>
                <w:lang w:val="zh-CN"/>
              </w:rPr>
            </w:pPr>
            <w:r>
              <w:rPr>
                <w:rFonts w:hint="eastAsia"/>
                <w:color w:val="auto"/>
                <w:sz w:val="24"/>
                <w:szCs w:val="24"/>
                <w:highlight w:val="none"/>
                <w:lang w:val="zh-CN"/>
              </w:rPr>
              <w:t>计时误差</w:t>
            </w:r>
          </w:p>
        </w:tc>
        <w:tc>
          <w:tcPr>
            <w:tcW w:w="4163" w:type="dxa"/>
            <w:vAlign w:val="center"/>
          </w:tcPr>
          <w:p w14:paraId="6D50C4E4">
            <w:pPr>
              <w:pStyle w:val="570"/>
              <w:rPr>
                <w:color w:val="auto"/>
                <w:sz w:val="24"/>
                <w:szCs w:val="24"/>
                <w:highlight w:val="none"/>
              </w:rPr>
            </w:pPr>
            <w:r>
              <w:rPr>
                <w:rFonts w:hint="eastAsia"/>
                <w:color w:val="auto"/>
                <w:sz w:val="24"/>
                <w:szCs w:val="24"/>
                <w:highlight w:val="none"/>
              </w:rPr>
              <w:t>系统时间应于北京时间同步，24h计时误差应不超过1s。</w:t>
            </w:r>
          </w:p>
        </w:tc>
        <w:tc>
          <w:tcPr>
            <w:tcW w:w="2248" w:type="dxa"/>
            <w:vAlign w:val="center"/>
          </w:tcPr>
          <w:p w14:paraId="1A4F5B44">
            <w:pPr>
              <w:pStyle w:val="20"/>
              <w:rPr>
                <w:color w:val="auto"/>
                <w:sz w:val="24"/>
                <w:szCs w:val="24"/>
                <w:highlight w:val="none"/>
                <w:lang w:val="zh-CN"/>
              </w:rPr>
            </w:pPr>
          </w:p>
        </w:tc>
      </w:tr>
      <w:tr w14:paraId="31E6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14:paraId="1B4F809B">
            <w:pPr>
              <w:pStyle w:val="20"/>
              <w:rPr>
                <w:color w:val="auto"/>
                <w:sz w:val="24"/>
                <w:szCs w:val="24"/>
                <w:highlight w:val="none"/>
                <w:lang w:val="zh-CN"/>
              </w:rPr>
            </w:pPr>
            <w:r>
              <w:rPr>
                <w:rFonts w:hint="eastAsia"/>
                <w:color w:val="auto"/>
                <w:sz w:val="24"/>
                <w:szCs w:val="24"/>
                <w:highlight w:val="none"/>
              </w:rPr>
              <w:t>4</w:t>
            </w:r>
          </w:p>
        </w:tc>
        <w:tc>
          <w:tcPr>
            <w:tcW w:w="1869" w:type="dxa"/>
            <w:vAlign w:val="center"/>
          </w:tcPr>
          <w:p w14:paraId="6B083FC7">
            <w:pPr>
              <w:pStyle w:val="20"/>
              <w:rPr>
                <w:color w:val="auto"/>
                <w:sz w:val="24"/>
                <w:szCs w:val="24"/>
                <w:highlight w:val="none"/>
                <w:lang w:val="zh-CN"/>
              </w:rPr>
            </w:pPr>
            <w:r>
              <w:rPr>
                <w:rFonts w:hint="eastAsia"/>
                <w:color w:val="auto"/>
                <w:sz w:val="24"/>
                <w:szCs w:val="24"/>
                <w:highlight w:val="none"/>
                <w:lang w:val="zh-CN"/>
              </w:rPr>
              <w:t>全景车辆图片内容</w:t>
            </w:r>
          </w:p>
        </w:tc>
        <w:tc>
          <w:tcPr>
            <w:tcW w:w="4163" w:type="dxa"/>
            <w:vAlign w:val="center"/>
          </w:tcPr>
          <w:p w14:paraId="53C05722">
            <w:pPr>
              <w:pStyle w:val="20"/>
              <w:rPr>
                <w:color w:val="auto"/>
                <w:sz w:val="24"/>
                <w:szCs w:val="24"/>
                <w:highlight w:val="none"/>
                <w:lang w:val="zh-CN"/>
              </w:rPr>
            </w:pPr>
            <w:r>
              <w:rPr>
                <w:rFonts w:hint="eastAsia"/>
                <w:color w:val="auto"/>
                <w:sz w:val="24"/>
                <w:szCs w:val="24"/>
                <w:highlight w:val="none"/>
                <w:lang w:val="zh-CN"/>
              </w:rPr>
              <w:t>看清车牌、车型特征等</w:t>
            </w:r>
          </w:p>
        </w:tc>
        <w:tc>
          <w:tcPr>
            <w:tcW w:w="2248" w:type="dxa"/>
            <w:vAlign w:val="center"/>
          </w:tcPr>
          <w:p w14:paraId="1329AE7A">
            <w:pPr>
              <w:pStyle w:val="20"/>
              <w:rPr>
                <w:color w:val="auto"/>
                <w:sz w:val="24"/>
                <w:szCs w:val="24"/>
                <w:highlight w:val="none"/>
                <w:lang w:val="zh-CN"/>
              </w:rPr>
            </w:pPr>
            <w:r>
              <w:rPr>
                <w:rFonts w:hint="eastAsia"/>
                <w:color w:val="auto"/>
                <w:sz w:val="24"/>
                <w:szCs w:val="24"/>
                <w:highlight w:val="none"/>
              </w:rPr>
              <w:t>GA/T 497-2016《道路车辆智能监测记录系统通用技术条件》</w:t>
            </w:r>
          </w:p>
        </w:tc>
      </w:tr>
      <w:tr w14:paraId="30F6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 w:hRule="atLeast"/>
          <w:jc w:val="center"/>
        </w:trPr>
        <w:tc>
          <w:tcPr>
            <w:tcW w:w="828" w:type="dxa"/>
            <w:vAlign w:val="center"/>
          </w:tcPr>
          <w:p w14:paraId="488DF5DB">
            <w:pPr>
              <w:pStyle w:val="20"/>
              <w:rPr>
                <w:color w:val="auto"/>
                <w:sz w:val="24"/>
                <w:szCs w:val="24"/>
                <w:highlight w:val="none"/>
              </w:rPr>
            </w:pPr>
            <w:r>
              <w:rPr>
                <w:rFonts w:hint="eastAsia"/>
                <w:color w:val="auto"/>
                <w:sz w:val="24"/>
                <w:szCs w:val="24"/>
                <w:highlight w:val="none"/>
              </w:rPr>
              <w:t>5</w:t>
            </w:r>
          </w:p>
        </w:tc>
        <w:tc>
          <w:tcPr>
            <w:tcW w:w="1869" w:type="dxa"/>
            <w:vAlign w:val="center"/>
          </w:tcPr>
          <w:p w14:paraId="1D5EE8EC">
            <w:pPr>
              <w:pStyle w:val="20"/>
              <w:rPr>
                <w:color w:val="auto"/>
                <w:sz w:val="24"/>
                <w:szCs w:val="24"/>
                <w:highlight w:val="none"/>
                <w:lang w:val="zh-CN"/>
              </w:rPr>
            </w:pPr>
            <w:r>
              <w:rPr>
                <w:rFonts w:hint="eastAsia"/>
                <w:color w:val="auto"/>
                <w:sz w:val="24"/>
                <w:szCs w:val="24"/>
                <w:highlight w:val="none"/>
                <w:lang w:val="zh-CN"/>
              </w:rPr>
              <w:t>其他识别</w:t>
            </w:r>
          </w:p>
        </w:tc>
        <w:tc>
          <w:tcPr>
            <w:tcW w:w="4163" w:type="dxa"/>
            <w:vAlign w:val="center"/>
          </w:tcPr>
          <w:p w14:paraId="6EBA591B">
            <w:pPr>
              <w:pStyle w:val="20"/>
              <w:rPr>
                <w:color w:val="auto"/>
                <w:sz w:val="24"/>
                <w:szCs w:val="24"/>
                <w:highlight w:val="none"/>
              </w:rPr>
            </w:pPr>
            <w:r>
              <w:rPr>
                <w:rFonts w:hint="eastAsia"/>
                <w:color w:val="auto"/>
                <w:sz w:val="24"/>
                <w:szCs w:val="24"/>
                <w:highlight w:val="none"/>
                <w:lang w:val="zh-CN"/>
              </w:rPr>
              <w:t>车型、品牌、车身颜色识别准确率符合</w:t>
            </w:r>
            <w:r>
              <w:rPr>
                <w:rFonts w:hint="eastAsia"/>
                <w:color w:val="auto"/>
                <w:sz w:val="24"/>
                <w:szCs w:val="24"/>
                <w:highlight w:val="none"/>
              </w:rPr>
              <w:t>GAT/833标准要求。</w:t>
            </w:r>
          </w:p>
        </w:tc>
        <w:tc>
          <w:tcPr>
            <w:tcW w:w="2248" w:type="dxa"/>
            <w:vAlign w:val="center"/>
          </w:tcPr>
          <w:p w14:paraId="1372217A">
            <w:pPr>
              <w:pStyle w:val="20"/>
              <w:rPr>
                <w:color w:val="auto"/>
                <w:sz w:val="24"/>
                <w:szCs w:val="24"/>
                <w:highlight w:val="none"/>
              </w:rPr>
            </w:pPr>
          </w:p>
        </w:tc>
      </w:tr>
    </w:tbl>
    <w:p w14:paraId="19446CA2">
      <w:pPr>
        <w:pStyle w:val="5"/>
        <w:rPr>
          <w:color w:val="auto"/>
          <w:sz w:val="24"/>
          <w:szCs w:val="24"/>
          <w:highlight w:val="none"/>
        </w:rPr>
      </w:pPr>
      <w:r>
        <w:rPr>
          <w:rFonts w:hint="eastAsia"/>
          <w:color w:val="auto"/>
          <w:sz w:val="24"/>
          <w:szCs w:val="24"/>
          <w:highlight w:val="none"/>
        </w:rPr>
        <w:t>3、枪球联动式监控</w:t>
      </w:r>
      <w:r>
        <w:rPr>
          <w:rStyle w:val="568"/>
          <w:rFonts w:hint="eastAsia" w:ascii="宋体" w:hAnsi="宋体" w:eastAsia="宋体" w:cs="宋体"/>
          <w:color w:val="auto"/>
          <w:sz w:val="24"/>
          <w:szCs w:val="24"/>
          <w:highlight w:val="none"/>
        </w:rPr>
        <w:t>系统要求</w:t>
      </w:r>
    </w:p>
    <w:p w14:paraId="5B422617">
      <w:pPr>
        <w:pStyle w:val="7"/>
        <w:ind w:left="0" w:leftChars="0" w:firstLine="0" w:firstLineChars="0"/>
        <w:jc w:val="both"/>
        <w:rPr>
          <w:color w:val="auto"/>
          <w:sz w:val="24"/>
          <w:szCs w:val="24"/>
          <w:highlight w:val="none"/>
        </w:rPr>
      </w:pPr>
      <w:bookmarkStart w:id="34" w:name="_Toc45032599"/>
      <w:r>
        <w:rPr>
          <w:rFonts w:hint="eastAsia"/>
          <w:color w:val="auto"/>
          <w:sz w:val="24"/>
          <w:szCs w:val="24"/>
          <w:highlight w:val="none"/>
        </w:rPr>
        <w:t>（1）布控跟踪接力功能</w:t>
      </w:r>
      <w:bookmarkEnd w:id="34"/>
    </w:p>
    <w:p w14:paraId="50C8C7D4">
      <w:pPr>
        <w:rPr>
          <w:color w:val="auto"/>
          <w:sz w:val="24"/>
          <w:szCs w:val="24"/>
          <w:highlight w:val="none"/>
        </w:rPr>
      </w:pPr>
      <w:bookmarkStart w:id="35" w:name="_Toc45032601"/>
      <w:r>
        <w:rPr>
          <w:rFonts w:hint="eastAsia"/>
          <w:color w:val="auto"/>
          <w:sz w:val="24"/>
          <w:szCs w:val="24"/>
          <w:highlight w:val="none"/>
        </w:rPr>
        <w:t>采购人以现有的数据库、接口或者通过台州交警视频运行管理平台提供需要布控的车牌号和号牌类型等信息，本次安装的前端相机自动把数据下载到相机中（也可以从后台主动下发到相机中）。</w:t>
      </w:r>
    </w:p>
    <w:p w14:paraId="7A3EB087">
      <w:pPr>
        <w:rPr>
          <w:color w:val="auto"/>
          <w:sz w:val="24"/>
          <w:szCs w:val="24"/>
          <w:highlight w:val="none"/>
        </w:rPr>
      </w:pPr>
      <w:r>
        <w:rPr>
          <w:rFonts w:hint="eastAsia"/>
          <w:color w:val="auto"/>
          <w:sz w:val="24"/>
          <w:szCs w:val="24"/>
          <w:highlight w:val="none"/>
        </w:rPr>
        <w:t>前端相机应支持车辆布控跟踪视频接力功能。前端相机（枪球联动式监控设备）实时检测道路经过的车辆信息，并与相机中布控的车辆信息进行比对，比对成功即进行预警，锁定并持续跟踪目标。当车辆进入第一个枪球一体机可视范围时，球机抓拍到车辆后，启动跟踪模式，球机平滑变倍跟踪车辆，并将全景视频及当前跟踪视频展示在第一列中，当车辆驶出当前跟踪枪球一体机球机跟踪范围时，行进方向的下一个枪球一体机球机自动调整预置位，识别到车辆车牌后启动跟踪模式，此时，当前跟踪视频及枪球一体机全景视频左移到第一列跟踪视频显示屏中，下一个枪球一体机视频作为预监视频到第二列，同样，上方为枪机全景视频，下方为球机跟踪视频画面。</w:t>
      </w:r>
    </w:p>
    <w:p w14:paraId="7A7C95BF">
      <w:pPr>
        <w:rPr>
          <w:color w:val="auto"/>
          <w:sz w:val="24"/>
          <w:szCs w:val="24"/>
          <w:highlight w:val="none"/>
        </w:rPr>
      </w:pPr>
      <w:r>
        <w:rPr>
          <w:rFonts w:hint="eastAsia"/>
          <w:color w:val="auto"/>
          <w:sz w:val="24"/>
          <w:szCs w:val="24"/>
          <w:highlight w:val="none"/>
        </w:rPr>
        <w:t>前端摄像机要能根据采购人要求对布控跟踪的目标设定优先级别。当一个前端相机的画面内同时出现多个同一级别的布控目标时按先捕获先跟踪原则进行锁定跟踪；当有不同级别的布控目标时，仅对最高级别的布控目标进行锁定跟踪。</w:t>
      </w:r>
    </w:p>
    <w:p w14:paraId="35EBD466">
      <w:pPr>
        <w:rPr>
          <w:color w:val="auto"/>
          <w:sz w:val="24"/>
          <w:szCs w:val="24"/>
          <w:highlight w:val="none"/>
        </w:rPr>
      </w:pPr>
      <w:r>
        <w:rPr>
          <w:rFonts w:hint="eastAsia"/>
          <w:color w:val="auto"/>
          <w:sz w:val="24"/>
          <w:szCs w:val="24"/>
          <w:highlight w:val="none"/>
        </w:rPr>
        <w:t>布控跟踪功能要与采购人现有的电子警察、卡口系统所产生的过车记录相结合，并能实时展示目标的最新过车记录及图片。</w:t>
      </w:r>
    </w:p>
    <w:p w14:paraId="3970565A">
      <w:pPr>
        <w:rPr>
          <w:color w:val="auto"/>
          <w:sz w:val="24"/>
          <w:szCs w:val="24"/>
          <w:highlight w:val="none"/>
        </w:rPr>
      </w:pPr>
      <w:r>
        <w:rPr>
          <w:rFonts w:hint="eastAsia"/>
          <w:color w:val="auto"/>
          <w:sz w:val="24"/>
          <w:szCs w:val="24"/>
          <w:highlight w:val="none"/>
        </w:rPr>
        <w:t>前端相机应能设置人工控制、布控跟踪和事件监测等3种工作模式，每个相机的工作模式可以在台州交警视频运行管理平台或者类似的模块中可以直观展示，并能批量下发相机的工作模式。高权限用户可以指定任何一台相机的工作模式，低权限工作只能指定对应的相机工作模式，且不能与高权限用户指定的模式冲突。</w:t>
      </w:r>
    </w:p>
    <w:p w14:paraId="1E9DA774">
      <w:pPr>
        <w:rPr>
          <w:color w:val="auto"/>
          <w:sz w:val="24"/>
          <w:szCs w:val="24"/>
          <w:highlight w:val="none"/>
        </w:rPr>
      </w:pPr>
      <w:r>
        <w:rPr>
          <w:rFonts w:hint="eastAsia"/>
          <w:color w:val="auto"/>
          <w:sz w:val="24"/>
          <w:szCs w:val="24"/>
          <w:highlight w:val="none"/>
        </w:rPr>
        <w:t>布控跟踪功能遇到特定的场景时，如相邻两个相机能实现感知，当车辆经过一个摄像机时，根据车辆行驶方向可自动预估达到下个摄像机时间，如下个摄像机该时间未捕获该车，能自动上传一条预警信息。</w:t>
      </w:r>
    </w:p>
    <w:p w14:paraId="4D6DBD33">
      <w:pPr>
        <w:rPr>
          <w:color w:val="auto"/>
          <w:sz w:val="24"/>
          <w:szCs w:val="24"/>
          <w:highlight w:val="none"/>
        </w:rPr>
      </w:pPr>
      <w:r>
        <w:rPr>
          <w:rFonts w:hint="eastAsia"/>
          <w:color w:val="auto"/>
          <w:sz w:val="24"/>
          <w:szCs w:val="24"/>
          <w:highlight w:val="none"/>
        </w:rPr>
        <w:t>前端相机在布控跟踪目标车辆时，遇到检测死角情况下，能自动进行合理角度的复位继续布控跟踪。</w:t>
      </w:r>
    </w:p>
    <w:p w14:paraId="7D0DAA71">
      <w:pPr>
        <w:pStyle w:val="7"/>
        <w:ind w:left="0" w:leftChars="0" w:firstLine="0" w:firstLineChars="0"/>
        <w:rPr>
          <w:color w:val="auto"/>
          <w:sz w:val="24"/>
          <w:szCs w:val="24"/>
          <w:highlight w:val="none"/>
        </w:rPr>
      </w:pPr>
      <w:r>
        <w:rPr>
          <w:rFonts w:hint="eastAsia"/>
          <w:color w:val="auto"/>
          <w:sz w:val="24"/>
          <w:szCs w:val="24"/>
          <w:highlight w:val="none"/>
        </w:rPr>
        <w:t>（2）违法行为自动取证功能</w:t>
      </w:r>
      <w:bookmarkEnd w:id="35"/>
    </w:p>
    <w:p w14:paraId="6837EE3D">
      <w:pPr>
        <w:rPr>
          <w:color w:val="auto"/>
          <w:sz w:val="24"/>
          <w:szCs w:val="24"/>
          <w:highlight w:val="none"/>
        </w:rPr>
      </w:pPr>
      <w:r>
        <w:rPr>
          <w:rFonts w:hint="eastAsia"/>
          <w:color w:val="auto"/>
          <w:sz w:val="24"/>
          <w:szCs w:val="24"/>
          <w:highlight w:val="none"/>
        </w:rPr>
        <w:t>前端相机应支持违法停车、逆向行驶、压线行驶、不按规定变更车道行驶、非机动车在机动车行驶、违法掉头行为等违法行为检测自动检测并抓拍功能，取证图片要求符合《道路交通安全违法行为图像取证技术规范（GA/T 832-2014）》的相关技术要求。确保违法特征要素齐全，执法证据可信、有效。</w:t>
      </w:r>
    </w:p>
    <w:p w14:paraId="53FBB4CB">
      <w:pPr>
        <w:rPr>
          <w:color w:val="auto"/>
          <w:sz w:val="24"/>
          <w:szCs w:val="24"/>
          <w:highlight w:val="none"/>
        </w:rPr>
      </w:pPr>
      <w:r>
        <w:rPr>
          <w:rFonts w:hint="eastAsia"/>
          <w:color w:val="auto"/>
          <w:sz w:val="24"/>
          <w:szCs w:val="24"/>
          <w:highlight w:val="none"/>
        </w:rPr>
        <w:t>① 违停抓拍</w:t>
      </w:r>
    </w:p>
    <w:p w14:paraId="6ECE286C">
      <w:pPr>
        <w:rPr>
          <w:color w:val="auto"/>
          <w:sz w:val="24"/>
          <w:szCs w:val="24"/>
          <w:highlight w:val="none"/>
        </w:rPr>
      </w:pPr>
      <w:r>
        <w:rPr>
          <w:rFonts w:hint="eastAsia"/>
          <w:color w:val="auto"/>
          <w:sz w:val="24"/>
          <w:szCs w:val="24"/>
          <w:highlight w:val="none"/>
        </w:rPr>
        <w:t>能对道路两旁禁停区域违停车辆进行检测和取证。可以根据用户的实际需求调整最大停车时限，当车辆在禁止停车区域停车在限定时间以上的，进行违章抓拍取证。一组取证信息包括不同时间段的三张全景图片、一张能够看清车牌的特写图片、以及一段违章过程录像，图片中叠加时间、地点、车牌号码等信息。</w:t>
      </w:r>
    </w:p>
    <w:p w14:paraId="4F6BC7B6">
      <w:pPr>
        <w:rPr>
          <w:color w:val="auto"/>
          <w:sz w:val="24"/>
          <w:szCs w:val="24"/>
          <w:highlight w:val="none"/>
        </w:rPr>
      </w:pPr>
      <w:r>
        <w:rPr>
          <w:rFonts w:hint="eastAsia"/>
          <w:color w:val="auto"/>
          <w:sz w:val="24"/>
          <w:szCs w:val="24"/>
          <w:highlight w:val="none"/>
        </w:rPr>
        <w:t>②逆行抓拍</w:t>
      </w:r>
    </w:p>
    <w:p w14:paraId="14AA9911">
      <w:pPr>
        <w:rPr>
          <w:color w:val="auto"/>
          <w:sz w:val="24"/>
          <w:szCs w:val="24"/>
          <w:highlight w:val="none"/>
        </w:rPr>
      </w:pPr>
      <w:r>
        <w:rPr>
          <w:rFonts w:hint="eastAsia"/>
          <w:color w:val="auto"/>
          <w:sz w:val="24"/>
          <w:szCs w:val="24"/>
          <w:highlight w:val="none"/>
        </w:rPr>
        <w:t>能对车辆行进方向进行分析并判断是否存在逆行行为，抓拍车辆逆行图片并对车辆信息进行提取，形成违法图片，上传后端平台。</w:t>
      </w:r>
    </w:p>
    <w:p w14:paraId="181DDA2C">
      <w:pPr>
        <w:rPr>
          <w:color w:val="auto"/>
          <w:sz w:val="24"/>
          <w:szCs w:val="24"/>
          <w:highlight w:val="none"/>
        </w:rPr>
      </w:pPr>
      <w:r>
        <w:rPr>
          <w:rFonts w:hint="eastAsia"/>
          <w:color w:val="auto"/>
          <w:sz w:val="24"/>
          <w:szCs w:val="24"/>
          <w:highlight w:val="none"/>
        </w:rPr>
        <w:t>③压线抓拍</w:t>
      </w:r>
    </w:p>
    <w:p w14:paraId="48430E70">
      <w:pPr>
        <w:rPr>
          <w:color w:val="auto"/>
          <w:sz w:val="24"/>
          <w:szCs w:val="24"/>
          <w:highlight w:val="none"/>
        </w:rPr>
      </w:pPr>
      <w:r>
        <w:rPr>
          <w:rFonts w:hint="eastAsia"/>
          <w:color w:val="auto"/>
          <w:sz w:val="24"/>
          <w:szCs w:val="24"/>
          <w:highlight w:val="none"/>
        </w:rPr>
        <w:t>应根据实际行车路线，预设规则框，设备会对压线车辆进行自动取证，记录压线全过程，形成违法图片上传后端平台。</w:t>
      </w:r>
    </w:p>
    <w:p w14:paraId="7792D458">
      <w:pPr>
        <w:rPr>
          <w:color w:val="auto"/>
          <w:sz w:val="24"/>
          <w:szCs w:val="24"/>
          <w:highlight w:val="none"/>
        </w:rPr>
      </w:pPr>
      <w:r>
        <w:rPr>
          <w:rFonts w:hint="eastAsia"/>
          <w:color w:val="auto"/>
          <w:sz w:val="24"/>
          <w:szCs w:val="24"/>
          <w:highlight w:val="none"/>
        </w:rPr>
        <w:t>④ 变道抓拍</w:t>
      </w:r>
    </w:p>
    <w:p w14:paraId="3FAB1F1F">
      <w:pPr>
        <w:rPr>
          <w:color w:val="auto"/>
          <w:sz w:val="24"/>
          <w:szCs w:val="24"/>
          <w:highlight w:val="none"/>
        </w:rPr>
      </w:pPr>
      <w:r>
        <w:rPr>
          <w:rFonts w:hint="eastAsia"/>
          <w:color w:val="auto"/>
          <w:sz w:val="24"/>
          <w:szCs w:val="24"/>
          <w:highlight w:val="none"/>
        </w:rPr>
        <w:t>应根据实际行车路线，预设规则框，前端设备对实线变道车辆进行自动取证，记录实线变道全过程，形成违法图片上传后端平台。</w:t>
      </w:r>
    </w:p>
    <w:p w14:paraId="33B42F1E">
      <w:pPr>
        <w:rPr>
          <w:color w:val="auto"/>
          <w:sz w:val="24"/>
          <w:szCs w:val="24"/>
          <w:highlight w:val="none"/>
        </w:rPr>
      </w:pPr>
      <w:r>
        <w:rPr>
          <w:rFonts w:hint="eastAsia"/>
          <w:color w:val="auto"/>
          <w:sz w:val="24"/>
          <w:szCs w:val="24"/>
          <w:highlight w:val="none"/>
        </w:rPr>
        <w:t>⑤机占非抓拍</w:t>
      </w:r>
    </w:p>
    <w:p w14:paraId="104B0515">
      <w:pPr>
        <w:rPr>
          <w:color w:val="auto"/>
          <w:sz w:val="24"/>
          <w:szCs w:val="24"/>
          <w:highlight w:val="none"/>
        </w:rPr>
      </w:pPr>
      <w:r>
        <w:rPr>
          <w:rFonts w:hint="eastAsia"/>
          <w:color w:val="auto"/>
          <w:sz w:val="24"/>
          <w:szCs w:val="24"/>
          <w:highlight w:val="none"/>
        </w:rPr>
        <w:t>应根据实际道路规划，预设规则框，前端设备能够识别机动车，对机动车占用非机动车道行驶的行为进行抓拍，形成违法图片上传后端平台。</w:t>
      </w:r>
    </w:p>
    <w:p w14:paraId="54B8F8E3">
      <w:pPr>
        <w:rPr>
          <w:color w:val="auto"/>
          <w:sz w:val="24"/>
          <w:szCs w:val="24"/>
          <w:highlight w:val="none"/>
        </w:rPr>
      </w:pPr>
      <w:r>
        <w:rPr>
          <w:rFonts w:hint="eastAsia"/>
          <w:color w:val="auto"/>
          <w:sz w:val="24"/>
          <w:szCs w:val="24"/>
          <w:highlight w:val="none"/>
        </w:rPr>
        <w:t>⑥非占机抓拍</w:t>
      </w:r>
    </w:p>
    <w:p w14:paraId="5A2F5C38">
      <w:pPr>
        <w:rPr>
          <w:color w:val="auto"/>
          <w:sz w:val="24"/>
          <w:szCs w:val="24"/>
          <w:highlight w:val="none"/>
        </w:rPr>
      </w:pPr>
      <w:r>
        <w:rPr>
          <w:rFonts w:hint="eastAsia"/>
          <w:color w:val="auto"/>
          <w:sz w:val="24"/>
          <w:szCs w:val="24"/>
          <w:highlight w:val="none"/>
        </w:rPr>
        <w:t>应根据实际道路规划，预设规则框，前端设备能够识别非机动车，对非机动车占用机动车道行驶的行为进行抓拍，形成违法图片上传后端平台</w:t>
      </w:r>
    </w:p>
    <w:p w14:paraId="191D9D7B">
      <w:pPr>
        <w:rPr>
          <w:color w:val="auto"/>
          <w:sz w:val="24"/>
          <w:szCs w:val="24"/>
          <w:highlight w:val="none"/>
        </w:rPr>
      </w:pPr>
      <w:r>
        <w:rPr>
          <w:rFonts w:hint="eastAsia"/>
          <w:color w:val="auto"/>
          <w:sz w:val="24"/>
          <w:szCs w:val="24"/>
          <w:highlight w:val="none"/>
        </w:rPr>
        <w:t>⑦违章掉头抓拍</w:t>
      </w:r>
    </w:p>
    <w:p w14:paraId="31274A96">
      <w:pPr>
        <w:rPr>
          <w:color w:val="auto"/>
          <w:sz w:val="24"/>
          <w:szCs w:val="24"/>
          <w:highlight w:val="none"/>
        </w:rPr>
      </w:pPr>
      <w:r>
        <w:rPr>
          <w:rFonts w:hint="eastAsia"/>
          <w:color w:val="auto"/>
          <w:sz w:val="24"/>
          <w:szCs w:val="24"/>
          <w:highlight w:val="none"/>
        </w:rPr>
        <w:t>设备可对车辆违章掉头全程及车辆的车牌信息进行抓拍取证，形成违法图片，上传后端平台。</w:t>
      </w:r>
    </w:p>
    <w:p w14:paraId="26544877">
      <w:pPr>
        <w:pStyle w:val="7"/>
        <w:ind w:left="0" w:leftChars="0" w:firstLine="0" w:firstLineChars="0"/>
        <w:rPr>
          <w:color w:val="auto"/>
          <w:sz w:val="24"/>
          <w:szCs w:val="24"/>
          <w:highlight w:val="none"/>
        </w:rPr>
      </w:pPr>
      <w:bookmarkStart w:id="36" w:name="_Toc45032602"/>
      <w:r>
        <w:rPr>
          <w:rFonts w:hint="eastAsia"/>
          <w:color w:val="auto"/>
          <w:sz w:val="24"/>
          <w:szCs w:val="24"/>
          <w:highlight w:val="none"/>
        </w:rPr>
        <w:t>（3）事件自动检测功能</w:t>
      </w:r>
      <w:bookmarkEnd w:id="36"/>
    </w:p>
    <w:p w14:paraId="29932FFD">
      <w:pPr>
        <w:rPr>
          <w:color w:val="auto"/>
          <w:sz w:val="24"/>
          <w:szCs w:val="24"/>
          <w:highlight w:val="none"/>
        </w:rPr>
      </w:pPr>
      <w:r>
        <w:rPr>
          <w:rFonts w:hint="eastAsia"/>
          <w:color w:val="auto"/>
          <w:sz w:val="24"/>
          <w:szCs w:val="24"/>
          <w:highlight w:val="none"/>
        </w:rPr>
        <w:t>应内置算法支持抛洒物检测、行人检测、拥堵检测、路障检测、交通事故检测、浓雾检测等，并上传平台实现事件报警功能。</w:t>
      </w:r>
    </w:p>
    <w:p w14:paraId="58E1F2E5">
      <w:pPr>
        <w:rPr>
          <w:color w:val="auto"/>
          <w:sz w:val="24"/>
          <w:szCs w:val="24"/>
          <w:highlight w:val="none"/>
        </w:rPr>
      </w:pPr>
      <w:r>
        <w:rPr>
          <w:rFonts w:hint="eastAsia"/>
          <w:color w:val="auto"/>
          <w:sz w:val="24"/>
          <w:szCs w:val="24"/>
          <w:highlight w:val="none"/>
        </w:rPr>
        <w:t>①抛撒物检测</w:t>
      </w:r>
    </w:p>
    <w:p w14:paraId="593E2ABA">
      <w:pPr>
        <w:rPr>
          <w:color w:val="auto"/>
          <w:sz w:val="24"/>
          <w:szCs w:val="24"/>
          <w:highlight w:val="none"/>
        </w:rPr>
      </w:pPr>
      <w:r>
        <w:rPr>
          <w:rFonts w:hint="eastAsia"/>
          <w:color w:val="auto"/>
          <w:sz w:val="24"/>
          <w:szCs w:val="24"/>
          <w:highlight w:val="none"/>
        </w:rPr>
        <w:t>应内置抛撒物检测算法，对道路上的抛撒物进行检测，当检测区域内出现抛撒物，系统应能够自动放大抓拍并向后端平台进行报警。</w:t>
      </w:r>
    </w:p>
    <w:p w14:paraId="098AE9DF">
      <w:pPr>
        <w:rPr>
          <w:color w:val="auto"/>
          <w:sz w:val="24"/>
          <w:szCs w:val="24"/>
          <w:highlight w:val="none"/>
        </w:rPr>
      </w:pPr>
      <w:r>
        <w:rPr>
          <w:rFonts w:hint="eastAsia"/>
          <w:color w:val="auto"/>
          <w:sz w:val="24"/>
          <w:szCs w:val="24"/>
          <w:highlight w:val="none"/>
        </w:rPr>
        <w:t>② 行人检测</w:t>
      </w:r>
    </w:p>
    <w:p w14:paraId="7B020E2E">
      <w:pPr>
        <w:rPr>
          <w:color w:val="auto"/>
          <w:sz w:val="24"/>
          <w:szCs w:val="24"/>
          <w:highlight w:val="none"/>
        </w:rPr>
      </w:pPr>
      <w:r>
        <w:rPr>
          <w:rFonts w:hint="eastAsia"/>
          <w:color w:val="auto"/>
          <w:sz w:val="24"/>
          <w:szCs w:val="24"/>
          <w:highlight w:val="none"/>
        </w:rPr>
        <w:t>应能够识别行人、二轮车，对实际道路上的禁行区域进行预置规则设置，当行人、二轮车出现在进行区域时，作为事件报警上传后端平台。</w:t>
      </w:r>
    </w:p>
    <w:p w14:paraId="38087CF6">
      <w:pPr>
        <w:rPr>
          <w:color w:val="auto"/>
          <w:sz w:val="24"/>
          <w:szCs w:val="24"/>
          <w:highlight w:val="none"/>
        </w:rPr>
      </w:pPr>
      <w:r>
        <w:rPr>
          <w:rFonts w:hint="eastAsia"/>
          <w:color w:val="auto"/>
          <w:sz w:val="24"/>
          <w:szCs w:val="24"/>
          <w:highlight w:val="none"/>
        </w:rPr>
        <w:t>③拥堵检测</w:t>
      </w:r>
    </w:p>
    <w:p w14:paraId="71315660">
      <w:pPr>
        <w:rPr>
          <w:color w:val="auto"/>
          <w:sz w:val="24"/>
          <w:szCs w:val="24"/>
          <w:highlight w:val="none"/>
        </w:rPr>
      </w:pPr>
      <w:r>
        <w:rPr>
          <w:rFonts w:hint="eastAsia"/>
          <w:color w:val="auto"/>
          <w:sz w:val="24"/>
          <w:szCs w:val="24"/>
          <w:highlight w:val="none"/>
        </w:rPr>
        <w:t>应能够对监测场景内车辆排队长队做检测，判断当前是否发生拥堵，并生成事件报警上传后端平台。</w:t>
      </w:r>
    </w:p>
    <w:p w14:paraId="14889DB9">
      <w:pPr>
        <w:rPr>
          <w:color w:val="auto"/>
          <w:sz w:val="24"/>
          <w:szCs w:val="24"/>
          <w:highlight w:val="none"/>
        </w:rPr>
      </w:pPr>
      <w:r>
        <w:rPr>
          <w:rFonts w:hint="eastAsia"/>
          <w:color w:val="auto"/>
          <w:sz w:val="24"/>
          <w:szCs w:val="24"/>
          <w:highlight w:val="none"/>
        </w:rPr>
        <w:t>④路障检测</w:t>
      </w:r>
    </w:p>
    <w:p w14:paraId="29BF825C">
      <w:pPr>
        <w:rPr>
          <w:color w:val="auto"/>
          <w:sz w:val="24"/>
          <w:szCs w:val="24"/>
          <w:highlight w:val="none"/>
        </w:rPr>
      </w:pPr>
      <w:r>
        <w:rPr>
          <w:rFonts w:hint="eastAsia"/>
          <w:color w:val="auto"/>
          <w:sz w:val="24"/>
          <w:szCs w:val="24"/>
          <w:highlight w:val="none"/>
        </w:rPr>
        <w:t>支持对路面上的路障（圆锥筒等）进行检测，并生成报警事件上传后端平台。</w:t>
      </w:r>
    </w:p>
    <w:p w14:paraId="5C125987">
      <w:pPr>
        <w:rPr>
          <w:color w:val="auto"/>
          <w:sz w:val="24"/>
          <w:szCs w:val="24"/>
          <w:highlight w:val="none"/>
        </w:rPr>
      </w:pPr>
      <w:r>
        <w:rPr>
          <w:rFonts w:hint="eastAsia"/>
          <w:color w:val="auto"/>
          <w:sz w:val="24"/>
          <w:szCs w:val="24"/>
          <w:highlight w:val="none"/>
        </w:rPr>
        <w:t>⑤交通事故检测</w:t>
      </w:r>
    </w:p>
    <w:p w14:paraId="63A19B8D">
      <w:pPr>
        <w:rPr>
          <w:color w:val="auto"/>
          <w:sz w:val="24"/>
          <w:szCs w:val="24"/>
          <w:highlight w:val="none"/>
        </w:rPr>
      </w:pPr>
      <w:r>
        <w:rPr>
          <w:rFonts w:hint="eastAsia"/>
          <w:color w:val="auto"/>
          <w:sz w:val="24"/>
          <w:szCs w:val="24"/>
          <w:highlight w:val="none"/>
        </w:rPr>
        <w:t>应内置算法，对道路上的通行车辆进行智能分析，对车辆事故进行分析识别，并通过相机进行记录抓拍，形成取证录像，生成报警事件上传后端平台</w:t>
      </w:r>
    </w:p>
    <w:p w14:paraId="39FCCD9D">
      <w:pPr>
        <w:rPr>
          <w:color w:val="auto"/>
          <w:sz w:val="24"/>
          <w:szCs w:val="24"/>
          <w:highlight w:val="none"/>
        </w:rPr>
      </w:pPr>
      <w:r>
        <w:rPr>
          <w:rFonts w:hint="eastAsia"/>
          <w:color w:val="auto"/>
          <w:sz w:val="24"/>
          <w:szCs w:val="24"/>
          <w:highlight w:val="none"/>
        </w:rPr>
        <w:t>⑥浓雾检测</w:t>
      </w:r>
    </w:p>
    <w:p w14:paraId="12BFC572">
      <w:pPr>
        <w:rPr>
          <w:color w:val="auto"/>
          <w:sz w:val="24"/>
          <w:szCs w:val="24"/>
          <w:highlight w:val="none"/>
        </w:rPr>
      </w:pPr>
      <w:r>
        <w:rPr>
          <w:rFonts w:hint="eastAsia"/>
          <w:color w:val="auto"/>
          <w:sz w:val="24"/>
          <w:szCs w:val="24"/>
          <w:highlight w:val="none"/>
        </w:rPr>
        <w:t>应能够对恶劣天气进行分析判断，通过相机可视范围判断浓雾情况，不并根据不同的浓雾级别生成报警事件上传后端平台。</w:t>
      </w:r>
      <w:bookmarkStart w:id="37" w:name="_Toc45032603"/>
    </w:p>
    <w:bookmarkEnd w:id="37"/>
    <w:p w14:paraId="04AA0553">
      <w:pPr>
        <w:pStyle w:val="7"/>
        <w:ind w:left="0" w:leftChars="0" w:firstLine="0" w:firstLineChars="0"/>
        <w:rPr>
          <w:color w:val="auto"/>
          <w:sz w:val="24"/>
          <w:szCs w:val="24"/>
          <w:highlight w:val="none"/>
        </w:rPr>
      </w:pPr>
      <w:bookmarkStart w:id="38" w:name="_Toc45032605"/>
      <w:bookmarkStart w:id="39" w:name="_Toc433812668"/>
      <w:bookmarkStart w:id="40" w:name="_Toc41465494"/>
      <w:bookmarkStart w:id="41" w:name="_Toc41465496"/>
      <w:r>
        <w:rPr>
          <w:rFonts w:hint="eastAsia"/>
          <w:color w:val="auto"/>
          <w:sz w:val="24"/>
          <w:szCs w:val="24"/>
          <w:highlight w:val="none"/>
        </w:rPr>
        <w:t>（4）多场景快速轮询取证功能</w:t>
      </w:r>
      <w:bookmarkEnd w:id="38"/>
      <w:bookmarkEnd w:id="39"/>
      <w:bookmarkEnd w:id="40"/>
    </w:p>
    <w:p w14:paraId="3F17E4CF">
      <w:pPr>
        <w:rPr>
          <w:color w:val="auto"/>
          <w:sz w:val="24"/>
          <w:szCs w:val="24"/>
          <w:highlight w:val="none"/>
        </w:rPr>
      </w:pPr>
      <w:r>
        <w:rPr>
          <w:rFonts w:hint="eastAsia"/>
          <w:color w:val="auto"/>
          <w:sz w:val="24"/>
          <w:szCs w:val="24"/>
          <w:highlight w:val="none"/>
        </w:rPr>
        <w:t>针对球机同一个时间只能监控一个场景，而前端监控点可能有多个场景需要监控，各个场景发生违法停车的时间段不同的情况，支持多场景巡航取证，可根据实际情况设置巡航计划，最多支持16个预置违法检测场景，能有效提高取证效率。</w:t>
      </w:r>
    </w:p>
    <w:p w14:paraId="7226E904">
      <w:pPr>
        <w:pStyle w:val="7"/>
        <w:ind w:left="0" w:leftChars="0" w:firstLine="0" w:firstLineChars="0"/>
        <w:rPr>
          <w:color w:val="auto"/>
          <w:sz w:val="24"/>
          <w:szCs w:val="24"/>
          <w:highlight w:val="none"/>
        </w:rPr>
      </w:pPr>
      <w:bookmarkStart w:id="42" w:name="_Toc41465493"/>
      <w:bookmarkStart w:id="43" w:name="_Toc433812667"/>
      <w:bookmarkStart w:id="44" w:name="_Toc45032606"/>
      <w:r>
        <w:rPr>
          <w:rFonts w:hint="eastAsia"/>
          <w:color w:val="auto"/>
          <w:sz w:val="24"/>
          <w:szCs w:val="24"/>
          <w:highlight w:val="none"/>
        </w:rPr>
        <w:t>（5）多目标处理功能</w:t>
      </w:r>
      <w:bookmarkEnd w:id="42"/>
      <w:bookmarkEnd w:id="43"/>
      <w:bookmarkEnd w:id="44"/>
    </w:p>
    <w:p w14:paraId="1C477488">
      <w:pPr>
        <w:rPr>
          <w:color w:val="auto"/>
          <w:sz w:val="24"/>
          <w:szCs w:val="24"/>
          <w:highlight w:val="none"/>
        </w:rPr>
      </w:pPr>
      <w:r>
        <w:rPr>
          <w:rFonts w:hint="eastAsia"/>
          <w:color w:val="auto"/>
          <w:sz w:val="24"/>
          <w:szCs w:val="24"/>
          <w:highlight w:val="none"/>
        </w:rPr>
        <w:t>可对检测区域内多个违法车辆进行检测取证，最多支持同时处理20个目标。</w:t>
      </w:r>
    </w:p>
    <w:p w14:paraId="763C19AF">
      <w:pPr>
        <w:rPr>
          <w:color w:val="auto"/>
          <w:sz w:val="24"/>
          <w:szCs w:val="24"/>
          <w:highlight w:val="none"/>
        </w:rPr>
      </w:pPr>
      <w:r>
        <w:rPr>
          <w:rFonts w:hint="eastAsia"/>
          <w:color w:val="auto"/>
          <w:sz w:val="24"/>
          <w:szCs w:val="24"/>
          <w:highlight w:val="none"/>
        </w:rPr>
        <w:t>对于同一场景下多目标同时进入检测区域的情况，系统首先对检测到的第一个目标采集第一组全景和特写图片，在球机回归预置位后再对检测区域内其它未进入抓拍队列的违法车辆进行第一组全景和特写图片的采集，然后按照设定的取证时限依次对抓拍队列中的车辆进行第二组全景和特写图片的采集及违法记录生成。多于多场景巡航取证时，系统除可以对新进入检测场景的违法车辆进行检测取证，也可以对场景内已停放的车辆进行检测取证。</w:t>
      </w:r>
    </w:p>
    <w:p w14:paraId="23A3E382">
      <w:pPr>
        <w:pStyle w:val="7"/>
        <w:ind w:left="0" w:leftChars="0" w:firstLine="0" w:firstLineChars="0"/>
        <w:rPr>
          <w:color w:val="auto"/>
          <w:sz w:val="24"/>
          <w:szCs w:val="24"/>
          <w:highlight w:val="none"/>
        </w:rPr>
      </w:pPr>
      <w:bookmarkStart w:id="45" w:name="_Toc45032607"/>
      <w:r>
        <w:rPr>
          <w:rFonts w:hint="eastAsia"/>
          <w:color w:val="auto"/>
          <w:sz w:val="24"/>
          <w:szCs w:val="24"/>
          <w:highlight w:val="none"/>
        </w:rPr>
        <w:t>（6）图像防篡改功能</w:t>
      </w:r>
      <w:bookmarkEnd w:id="41"/>
      <w:bookmarkEnd w:id="45"/>
    </w:p>
    <w:p w14:paraId="3DBDD21E">
      <w:pPr>
        <w:rPr>
          <w:color w:val="auto"/>
          <w:sz w:val="24"/>
          <w:szCs w:val="24"/>
          <w:highlight w:val="none"/>
        </w:rPr>
      </w:pPr>
      <w:r>
        <w:rPr>
          <w:rFonts w:hint="eastAsia"/>
          <w:color w:val="auto"/>
          <w:sz w:val="24"/>
          <w:szCs w:val="24"/>
          <w:highlight w:val="none"/>
        </w:rPr>
        <w:t>记录的原始图像信息具备防篡改功能，对记录的每条违法记录图片叠加水印等防伪信息，防止在传输、存储、处理等过程中被人为篡改。</w:t>
      </w:r>
    </w:p>
    <w:p w14:paraId="161CCAD1">
      <w:pPr>
        <w:pStyle w:val="7"/>
        <w:ind w:left="0" w:leftChars="0" w:firstLine="0" w:firstLineChars="0"/>
        <w:rPr>
          <w:color w:val="auto"/>
          <w:sz w:val="24"/>
          <w:szCs w:val="24"/>
          <w:highlight w:val="none"/>
        </w:rPr>
      </w:pPr>
      <w:bookmarkStart w:id="46" w:name="_Toc41465497"/>
      <w:bookmarkStart w:id="47" w:name="_Toc45032608"/>
      <w:r>
        <w:rPr>
          <w:rFonts w:hint="eastAsia"/>
          <w:color w:val="auto"/>
          <w:sz w:val="24"/>
          <w:szCs w:val="24"/>
          <w:highlight w:val="none"/>
        </w:rPr>
        <w:t>（7）数据断点续传功能</w:t>
      </w:r>
      <w:bookmarkEnd w:id="46"/>
      <w:bookmarkEnd w:id="47"/>
    </w:p>
    <w:p w14:paraId="75A39BC9">
      <w:pPr>
        <w:rPr>
          <w:color w:val="auto"/>
          <w:sz w:val="24"/>
          <w:szCs w:val="24"/>
          <w:highlight w:val="none"/>
        </w:rPr>
      </w:pPr>
      <w:r>
        <w:rPr>
          <w:rFonts w:hint="eastAsia"/>
          <w:color w:val="auto"/>
          <w:sz w:val="24"/>
          <w:szCs w:val="24"/>
          <w:highlight w:val="none"/>
        </w:rPr>
        <w:t>支持断点续传功能。当遇到网络中断或其他故障时，车辆信息存储在前端设备中，待故障排除后自动续传。</w:t>
      </w:r>
    </w:p>
    <w:p w14:paraId="23C2FE02">
      <w:pPr>
        <w:pStyle w:val="7"/>
        <w:ind w:left="0" w:leftChars="0" w:firstLine="0" w:firstLineChars="0"/>
        <w:rPr>
          <w:color w:val="auto"/>
          <w:sz w:val="24"/>
          <w:szCs w:val="24"/>
          <w:highlight w:val="none"/>
        </w:rPr>
      </w:pPr>
      <w:bookmarkStart w:id="48" w:name="_Toc41465499"/>
      <w:bookmarkStart w:id="49" w:name="_Toc45032609"/>
      <w:r>
        <w:rPr>
          <w:rFonts w:hint="eastAsia"/>
          <w:color w:val="auto"/>
          <w:sz w:val="24"/>
          <w:szCs w:val="24"/>
          <w:highlight w:val="none"/>
        </w:rPr>
        <w:t>（8）自动校时功能</w:t>
      </w:r>
      <w:bookmarkEnd w:id="48"/>
      <w:bookmarkEnd w:id="49"/>
    </w:p>
    <w:p w14:paraId="5EAA4646">
      <w:pPr>
        <w:rPr>
          <w:color w:val="auto"/>
          <w:sz w:val="24"/>
          <w:szCs w:val="24"/>
          <w:highlight w:val="none"/>
        </w:rPr>
      </w:pPr>
      <w:r>
        <w:rPr>
          <w:rFonts w:hint="eastAsia"/>
          <w:color w:val="auto"/>
          <w:sz w:val="24"/>
          <w:szCs w:val="24"/>
          <w:highlight w:val="none"/>
        </w:rPr>
        <w:t>24h内的计时误差不超过1.0s，所有前端设备点位每日至少与监控中心系统时钟同步一次。</w:t>
      </w:r>
    </w:p>
    <w:p w14:paraId="637D7F78">
      <w:pPr>
        <w:pStyle w:val="7"/>
        <w:ind w:left="0" w:leftChars="0" w:firstLine="0" w:firstLineChars="0"/>
        <w:rPr>
          <w:color w:val="auto"/>
          <w:sz w:val="24"/>
          <w:szCs w:val="24"/>
          <w:highlight w:val="none"/>
        </w:rPr>
      </w:pPr>
      <w:bookmarkStart w:id="50" w:name="_Toc45032610"/>
      <w:bookmarkStart w:id="51" w:name="_Toc41465500"/>
      <w:r>
        <w:rPr>
          <w:rFonts w:hint="eastAsia"/>
          <w:color w:val="auto"/>
          <w:sz w:val="24"/>
          <w:szCs w:val="24"/>
          <w:highlight w:val="none"/>
        </w:rPr>
        <w:t>（9） 网络远程维护功能</w:t>
      </w:r>
      <w:bookmarkEnd w:id="50"/>
      <w:bookmarkEnd w:id="51"/>
    </w:p>
    <w:p w14:paraId="3E69B054">
      <w:pPr>
        <w:rPr>
          <w:color w:val="auto"/>
          <w:sz w:val="24"/>
          <w:szCs w:val="24"/>
          <w:highlight w:val="none"/>
        </w:rPr>
      </w:pPr>
      <w:r>
        <w:rPr>
          <w:rFonts w:hint="eastAsia"/>
          <w:color w:val="auto"/>
          <w:sz w:val="24"/>
          <w:szCs w:val="24"/>
          <w:highlight w:val="none"/>
        </w:rPr>
        <w:t>中心管理软件可以实时查看前端设备的运行状态，支持通过网络实现远程维护、远程设置和远程升级等功能。</w:t>
      </w:r>
    </w:p>
    <w:p w14:paraId="2F54D68C">
      <w:pPr>
        <w:pStyle w:val="7"/>
        <w:ind w:left="0" w:leftChars="0" w:firstLine="0" w:firstLineChars="0"/>
        <w:rPr>
          <w:color w:val="auto"/>
          <w:sz w:val="24"/>
          <w:szCs w:val="24"/>
          <w:highlight w:val="none"/>
        </w:rPr>
      </w:pPr>
      <w:bookmarkStart w:id="52" w:name="_Toc45032611"/>
      <w:r>
        <w:rPr>
          <w:rFonts w:hint="eastAsia"/>
          <w:color w:val="auto"/>
          <w:sz w:val="24"/>
          <w:szCs w:val="24"/>
          <w:highlight w:val="none"/>
        </w:rPr>
        <w:t>（10） 语音联动功能</w:t>
      </w:r>
      <w:bookmarkEnd w:id="52"/>
    </w:p>
    <w:p w14:paraId="2F5280BE">
      <w:pPr>
        <w:rPr>
          <w:color w:val="auto"/>
          <w:sz w:val="24"/>
          <w:szCs w:val="24"/>
          <w:highlight w:val="none"/>
        </w:rPr>
      </w:pPr>
      <w:r>
        <w:rPr>
          <w:rFonts w:hint="eastAsia"/>
          <w:color w:val="auto"/>
          <w:sz w:val="24"/>
          <w:szCs w:val="24"/>
          <w:highlight w:val="none"/>
        </w:rPr>
        <w:t>应支持语音联动功能，当有停车、逆行、压线、变道、掉头、拥堵、机动车占用非机动车道现象被触发时，前端设备应分别发出不同的语言提示。</w:t>
      </w:r>
    </w:p>
    <w:p w14:paraId="60BB1625">
      <w:pPr>
        <w:pStyle w:val="7"/>
        <w:ind w:left="0" w:leftChars="0" w:firstLine="0" w:firstLineChars="0"/>
        <w:rPr>
          <w:color w:val="auto"/>
          <w:sz w:val="24"/>
          <w:szCs w:val="24"/>
          <w:highlight w:val="none"/>
        </w:rPr>
      </w:pPr>
      <w:bookmarkStart w:id="53" w:name="_Toc41465489"/>
      <w:bookmarkStart w:id="54" w:name="_Toc45032612"/>
      <w:r>
        <w:rPr>
          <w:rFonts w:hint="eastAsia"/>
          <w:color w:val="auto"/>
          <w:sz w:val="24"/>
          <w:szCs w:val="24"/>
          <w:highlight w:val="none"/>
        </w:rPr>
        <w:t>（11）车牌自动识别功能</w:t>
      </w:r>
      <w:bookmarkEnd w:id="53"/>
      <w:bookmarkEnd w:id="54"/>
    </w:p>
    <w:p w14:paraId="67BE595F">
      <w:pPr>
        <w:rPr>
          <w:color w:val="auto"/>
          <w:sz w:val="24"/>
          <w:szCs w:val="24"/>
          <w:highlight w:val="none"/>
        </w:rPr>
      </w:pPr>
      <w:r>
        <w:rPr>
          <w:rFonts w:hint="eastAsia"/>
          <w:color w:val="auto"/>
          <w:sz w:val="24"/>
          <w:szCs w:val="24"/>
          <w:highlight w:val="none"/>
        </w:rPr>
        <w:t>能够自动识别车牌号码，减少人工识别输入车牌的工作，提高效率。车牌自动识别功能包括车牌号码和车牌颜色的识别。</w:t>
      </w:r>
    </w:p>
    <w:p w14:paraId="6949CF4D">
      <w:pPr>
        <w:rPr>
          <w:color w:val="auto"/>
          <w:sz w:val="24"/>
          <w:szCs w:val="24"/>
          <w:highlight w:val="none"/>
        </w:rPr>
      </w:pPr>
      <w:r>
        <w:rPr>
          <w:rFonts w:hint="eastAsia"/>
          <w:color w:val="auto"/>
          <w:sz w:val="24"/>
          <w:szCs w:val="24"/>
          <w:highlight w:val="none"/>
        </w:rPr>
        <w:t>系统具备对符合GA36-2018《中华人民共和国机动车号牌》标准的民用车牌、警用车牌、使领馆车牌、新能源车牌的号牌自动识别能力，并且具备对2012式军车号牌、2012式武警部队号牌的自动识别能力，所能识别的字符包括：</w:t>
      </w:r>
    </w:p>
    <w:tbl>
      <w:tblPr>
        <w:tblStyle w:val="46"/>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6146"/>
      </w:tblGrid>
      <w:tr w14:paraId="1DCE48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1BFB30E5">
            <w:pPr>
              <w:pStyle w:val="20"/>
              <w:rPr>
                <w:color w:val="auto"/>
                <w:sz w:val="24"/>
                <w:szCs w:val="24"/>
                <w:highlight w:val="none"/>
              </w:rPr>
            </w:pPr>
            <w:r>
              <w:rPr>
                <w:rFonts w:hint="eastAsia"/>
                <w:color w:val="auto"/>
                <w:sz w:val="24"/>
                <w:szCs w:val="24"/>
                <w:highlight w:val="none"/>
              </w:rPr>
              <w:t>阿拉伯数字</w:t>
            </w:r>
          </w:p>
        </w:tc>
        <w:tc>
          <w:tcPr>
            <w:tcW w:w="6146" w:type="dxa"/>
            <w:vAlign w:val="center"/>
          </w:tcPr>
          <w:p w14:paraId="0DC58662">
            <w:pPr>
              <w:pStyle w:val="20"/>
              <w:rPr>
                <w:color w:val="auto"/>
                <w:sz w:val="24"/>
                <w:szCs w:val="24"/>
                <w:highlight w:val="none"/>
              </w:rPr>
            </w:pPr>
            <w:r>
              <w:rPr>
                <w:rFonts w:hint="eastAsia"/>
                <w:color w:val="auto"/>
                <w:sz w:val="24"/>
                <w:szCs w:val="24"/>
                <w:highlight w:val="none"/>
              </w:rPr>
              <w:t>“0～9”十个</w:t>
            </w:r>
          </w:p>
        </w:tc>
      </w:tr>
      <w:tr w14:paraId="140204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2F89B338">
            <w:pPr>
              <w:pStyle w:val="20"/>
              <w:rPr>
                <w:color w:val="auto"/>
                <w:sz w:val="24"/>
                <w:szCs w:val="24"/>
                <w:highlight w:val="none"/>
              </w:rPr>
            </w:pPr>
            <w:r>
              <w:rPr>
                <w:rFonts w:hint="eastAsia"/>
                <w:color w:val="auto"/>
                <w:sz w:val="24"/>
                <w:szCs w:val="24"/>
                <w:highlight w:val="none"/>
              </w:rPr>
              <w:t>英文字母</w:t>
            </w:r>
          </w:p>
        </w:tc>
        <w:tc>
          <w:tcPr>
            <w:tcW w:w="6146" w:type="dxa"/>
            <w:vAlign w:val="center"/>
          </w:tcPr>
          <w:p w14:paraId="35356F3B">
            <w:pPr>
              <w:pStyle w:val="20"/>
              <w:rPr>
                <w:color w:val="auto"/>
                <w:sz w:val="24"/>
                <w:szCs w:val="24"/>
                <w:highlight w:val="none"/>
              </w:rPr>
            </w:pPr>
            <w:r>
              <w:rPr>
                <w:rFonts w:hint="eastAsia"/>
                <w:color w:val="auto"/>
                <w:sz w:val="24"/>
                <w:szCs w:val="24"/>
                <w:highlight w:val="none"/>
              </w:rPr>
              <w:t>“A～Z”二十六个</w:t>
            </w:r>
          </w:p>
        </w:tc>
      </w:tr>
      <w:tr w14:paraId="1A0A07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0B8B4C40">
            <w:pPr>
              <w:pStyle w:val="20"/>
              <w:rPr>
                <w:color w:val="auto"/>
                <w:sz w:val="24"/>
                <w:szCs w:val="24"/>
                <w:highlight w:val="none"/>
              </w:rPr>
            </w:pPr>
            <w:r>
              <w:rPr>
                <w:rFonts w:hint="eastAsia"/>
                <w:color w:val="auto"/>
                <w:sz w:val="24"/>
                <w:szCs w:val="24"/>
                <w:highlight w:val="none"/>
              </w:rPr>
              <w:t>省、自治区、直辖市简称用汉字</w:t>
            </w:r>
          </w:p>
        </w:tc>
        <w:tc>
          <w:tcPr>
            <w:tcW w:w="6146" w:type="dxa"/>
            <w:vAlign w:val="center"/>
          </w:tcPr>
          <w:p w14:paraId="0C02B1F6">
            <w:pPr>
              <w:pStyle w:val="20"/>
              <w:rPr>
                <w:color w:val="auto"/>
                <w:sz w:val="24"/>
                <w:szCs w:val="24"/>
                <w:highlight w:val="none"/>
              </w:rPr>
            </w:pPr>
            <w:r>
              <w:rPr>
                <w:rFonts w:hint="eastAsia"/>
                <w:color w:val="auto"/>
                <w:sz w:val="24"/>
                <w:szCs w:val="24"/>
                <w:highlight w:val="none"/>
              </w:rPr>
              <w:t>京、津、晋、冀、蒙、辽、吉、黑、沪、苏、浙、皖、闽、赣、鲁、豫、鄂、湘、粤、桂、琼、川、贵、云、藏、陕、甘、青、宁、新、渝</w:t>
            </w:r>
          </w:p>
        </w:tc>
      </w:tr>
      <w:tr w14:paraId="212B6A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688A0D19">
            <w:pPr>
              <w:pStyle w:val="20"/>
              <w:rPr>
                <w:color w:val="auto"/>
                <w:sz w:val="24"/>
                <w:szCs w:val="24"/>
                <w:highlight w:val="none"/>
              </w:rPr>
            </w:pPr>
            <w:r>
              <w:rPr>
                <w:rFonts w:hint="eastAsia"/>
                <w:color w:val="auto"/>
                <w:sz w:val="24"/>
                <w:szCs w:val="24"/>
                <w:highlight w:val="none"/>
              </w:rPr>
              <w:t>专用号牌简称用汉字</w:t>
            </w:r>
          </w:p>
        </w:tc>
        <w:tc>
          <w:tcPr>
            <w:tcW w:w="6146" w:type="dxa"/>
            <w:vAlign w:val="center"/>
          </w:tcPr>
          <w:p w14:paraId="47ECC0F2">
            <w:pPr>
              <w:pStyle w:val="20"/>
              <w:rPr>
                <w:color w:val="auto"/>
                <w:sz w:val="24"/>
                <w:szCs w:val="24"/>
                <w:highlight w:val="none"/>
              </w:rPr>
            </w:pPr>
            <w:r>
              <w:rPr>
                <w:rFonts w:hint="eastAsia"/>
                <w:color w:val="auto"/>
                <w:sz w:val="24"/>
                <w:szCs w:val="24"/>
                <w:highlight w:val="none"/>
              </w:rPr>
              <w:t>领、使、警、学、挂、港、澳、试、超</w:t>
            </w:r>
          </w:p>
        </w:tc>
      </w:tr>
      <w:tr w14:paraId="5A6BE4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32832418">
            <w:pPr>
              <w:pStyle w:val="20"/>
              <w:rPr>
                <w:color w:val="auto"/>
                <w:sz w:val="24"/>
                <w:szCs w:val="24"/>
                <w:highlight w:val="none"/>
              </w:rPr>
            </w:pPr>
            <w:r>
              <w:rPr>
                <w:rFonts w:hint="eastAsia"/>
                <w:color w:val="auto"/>
                <w:sz w:val="24"/>
                <w:szCs w:val="24"/>
                <w:highlight w:val="none"/>
              </w:rPr>
              <w:t>12式武警号牌字符</w:t>
            </w:r>
          </w:p>
        </w:tc>
        <w:tc>
          <w:tcPr>
            <w:tcW w:w="6146" w:type="dxa"/>
            <w:vAlign w:val="center"/>
          </w:tcPr>
          <w:p w14:paraId="1EE30731">
            <w:pPr>
              <w:pStyle w:val="20"/>
              <w:rPr>
                <w:color w:val="auto"/>
                <w:sz w:val="24"/>
                <w:szCs w:val="24"/>
                <w:highlight w:val="none"/>
              </w:rPr>
            </w:pPr>
            <w:r>
              <w:rPr>
                <w:rFonts w:hint="eastAsia"/>
                <w:color w:val="auto"/>
                <w:sz w:val="24"/>
                <w:szCs w:val="24"/>
                <w:highlight w:val="none"/>
              </w:rPr>
              <w:t>WJ样式的字母、省份简称汉字、警种字母（X、B、T、S、H、J、D）、数字</w:t>
            </w:r>
          </w:p>
        </w:tc>
      </w:tr>
      <w:tr w14:paraId="29771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vAlign w:val="center"/>
          </w:tcPr>
          <w:p w14:paraId="6AC11EE9">
            <w:pPr>
              <w:pStyle w:val="20"/>
              <w:rPr>
                <w:color w:val="auto"/>
                <w:sz w:val="24"/>
                <w:szCs w:val="24"/>
                <w:highlight w:val="none"/>
              </w:rPr>
            </w:pPr>
            <w:r>
              <w:rPr>
                <w:rFonts w:hint="eastAsia"/>
                <w:color w:val="auto"/>
                <w:sz w:val="24"/>
                <w:szCs w:val="24"/>
                <w:highlight w:val="none"/>
              </w:rPr>
              <w:t>12式军车号牌字符</w:t>
            </w:r>
          </w:p>
        </w:tc>
        <w:tc>
          <w:tcPr>
            <w:tcW w:w="6146" w:type="dxa"/>
            <w:vAlign w:val="center"/>
          </w:tcPr>
          <w:p w14:paraId="5CA93CC3">
            <w:pPr>
              <w:pStyle w:val="20"/>
              <w:rPr>
                <w:color w:val="auto"/>
                <w:sz w:val="24"/>
                <w:szCs w:val="24"/>
                <w:highlight w:val="none"/>
              </w:rPr>
            </w:pPr>
            <w:r>
              <w:rPr>
                <w:rFonts w:hint="eastAsia"/>
                <w:color w:val="auto"/>
                <w:sz w:val="24"/>
                <w:szCs w:val="24"/>
                <w:highlight w:val="none"/>
              </w:rPr>
              <w:t>各军区/各军兵种部拼音缩写字母、各军区/各军兵种部下辖各部属机构拼音缩写字母、数字</w:t>
            </w:r>
          </w:p>
        </w:tc>
      </w:tr>
    </w:tbl>
    <w:p w14:paraId="269FA538">
      <w:pPr>
        <w:rPr>
          <w:color w:val="auto"/>
          <w:sz w:val="24"/>
          <w:szCs w:val="24"/>
          <w:highlight w:val="none"/>
        </w:rPr>
      </w:pPr>
      <w:r>
        <w:rPr>
          <w:rFonts w:hint="eastAsia"/>
          <w:color w:val="auto"/>
          <w:sz w:val="24"/>
          <w:szCs w:val="24"/>
          <w:highlight w:val="none"/>
        </w:rPr>
        <w:t>能识别黑、白、蓝、黄、绿五种车牌颜色。</w:t>
      </w:r>
    </w:p>
    <w:p w14:paraId="217C4E1D">
      <w:pPr>
        <w:rPr>
          <w:color w:val="auto"/>
          <w:sz w:val="24"/>
          <w:szCs w:val="24"/>
          <w:highlight w:val="none"/>
        </w:rPr>
      </w:pPr>
      <w:r>
        <w:rPr>
          <w:rFonts w:hint="eastAsia"/>
          <w:color w:val="auto"/>
          <w:sz w:val="24"/>
          <w:szCs w:val="24"/>
          <w:highlight w:val="none"/>
        </w:rPr>
        <w:t>能够识别新能源车牌。新能源汽车号牌是为更好区分辨识新能源汽车，实施差异化交通管理而设计的全新号牌，具体分为小型新能源汽车号牌和大型新能源汽车号牌，其中小型新能源汽车号牌为渐变绿色，大型新能源汽车号牌为黄绿双拼色（见下图）。</w:t>
      </w:r>
    </w:p>
    <w:p w14:paraId="4FC75FFC">
      <w:pPr>
        <w:pStyle w:val="20"/>
        <w:rPr>
          <w:color w:val="auto"/>
          <w:sz w:val="24"/>
          <w:szCs w:val="24"/>
          <w:highlight w:val="none"/>
        </w:rPr>
      </w:pPr>
      <w:r>
        <w:rPr>
          <w:rFonts w:hint="eastAsia"/>
          <w:color w:val="auto"/>
          <w:sz w:val="24"/>
          <w:szCs w:val="24"/>
          <w:highlight w:val="none"/>
        </w:rPr>
        <w:drawing>
          <wp:anchor distT="0" distB="0" distL="114935" distR="114935" simplePos="0" relativeHeight="251662336" behindDoc="0" locked="0" layoutInCell="1" allowOverlap="1">
            <wp:simplePos x="0" y="0"/>
            <wp:positionH relativeFrom="column">
              <wp:posOffset>602615</wp:posOffset>
            </wp:positionH>
            <wp:positionV relativeFrom="paragraph">
              <wp:posOffset>223520</wp:posOffset>
            </wp:positionV>
            <wp:extent cx="3725545" cy="2611755"/>
            <wp:effectExtent l="0" t="0" r="8255" b="9525"/>
            <wp:wrapTopAndBottom/>
            <wp:docPr id="9" name="图片 9" descr="15951591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595159158(1)"/>
                    <pic:cNvPicPr>
                      <a:picLocks noChangeAspect="1"/>
                    </pic:cNvPicPr>
                  </pic:nvPicPr>
                  <pic:blipFill>
                    <a:blip r:embed="rId9"/>
                    <a:stretch>
                      <a:fillRect/>
                    </a:stretch>
                  </pic:blipFill>
                  <pic:spPr>
                    <a:xfrm>
                      <a:off x="0" y="0"/>
                      <a:ext cx="3725545" cy="2611755"/>
                    </a:xfrm>
                    <a:prstGeom prst="rect">
                      <a:avLst/>
                    </a:prstGeom>
                  </pic:spPr>
                </pic:pic>
              </a:graphicData>
            </a:graphic>
          </wp:anchor>
        </w:drawing>
      </w:r>
    </w:p>
    <w:p w14:paraId="437972E8">
      <w:pPr>
        <w:rPr>
          <w:b/>
          <w:bCs/>
          <w:color w:val="auto"/>
          <w:sz w:val="24"/>
          <w:szCs w:val="24"/>
          <w:highlight w:val="none"/>
        </w:rPr>
      </w:pPr>
      <w:bookmarkStart w:id="55" w:name="_Toc41465553"/>
      <w:r>
        <w:rPr>
          <w:rFonts w:hint="eastAsia"/>
          <w:color w:val="auto"/>
          <w:sz w:val="24"/>
          <w:szCs w:val="24"/>
          <w:highlight w:val="none"/>
        </w:rPr>
        <w:t>新能源号牌实例</w:t>
      </w:r>
      <w:bookmarkEnd w:id="55"/>
    </w:p>
    <w:p w14:paraId="0EBC74BC">
      <w:pPr>
        <w:rPr>
          <w:color w:val="auto"/>
          <w:sz w:val="24"/>
          <w:szCs w:val="24"/>
          <w:highlight w:val="none"/>
        </w:rPr>
      </w:pPr>
      <w:r>
        <w:rPr>
          <w:rFonts w:hint="eastAsia"/>
          <w:color w:val="auto"/>
          <w:sz w:val="24"/>
          <w:szCs w:val="24"/>
          <w:highlight w:val="none"/>
        </w:rPr>
        <w:t>以上功能如前端摄像机本身无法实现，可通过后端软件功能予以实现（费用包含在投标报价中）。</w:t>
      </w:r>
    </w:p>
    <w:p w14:paraId="3CDC5D1B">
      <w:pPr>
        <w:pStyle w:val="5"/>
        <w:rPr>
          <w:rStyle w:val="568"/>
          <w:rFonts w:ascii="宋体" w:hAnsi="宋体" w:eastAsia="宋体" w:cs="宋体"/>
          <w:color w:val="auto"/>
          <w:sz w:val="24"/>
          <w:szCs w:val="24"/>
          <w:highlight w:val="none"/>
        </w:rPr>
      </w:pPr>
      <w:r>
        <w:rPr>
          <w:rStyle w:val="568"/>
          <w:rFonts w:hint="eastAsia" w:ascii="宋体" w:hAnsi="宋体" w:eastAsia="宋体" w:cs="宋体"/>
          <w:color w:val="auto"/>
          <w:sz w:val="24"/>
          <w:szCs w:val="24"/>
          <w:highlight w:val="none"/>
        </w:rPr>
        <w:t>4、违停自动抓拍系统要求</w:t>
      </w:r>
    </w:p>
    <w:p w14:paraId="03510ABD">
      <w:pPr>
        <w:pStyle w:val="7"/>
        <w:ind w:left="0" w:leftChars="0" w:firstLine="0" w:firstLineChars="0"/>
        <w:rPr>
          <w:color w:val="auto"/>
          <w:sz w:val="24"/>
          <w:szCs w:val="24"/>
          <w:highlight w:val="none"/>
        </w:rPr>
      </w:pPr>
      <w:bookmarkStart w:id="56" w:name="_Toc433812662"/>
      <w:bookmarkStart w:id="57" w:name="_Toc462671678"/>
      <w:bookmarkStart w:id="58" w:name="_Toc345508653"/>
      <w:bookmarkStart w:id="59" w:name="_Toc382495927"/>
      <w:bookmarkStart w:id="60" w:name="_Toc439338559"/>
      <w:bookmarkStart w:id="61" w:name="_Toc340665347"/>
      <w:r>
        <w:rPr>
          <w:rFonts w:hint="eastAsia"/>
          <w:color w:val="auto"/>
          <w:sz w:val="24"/>
          <w:szCs w:val="24"/>
          <w:highlight w:val="none"/>
        </w:rPr>
        <w:t>（1）违法停车自动取证功能</w:t>
      </w:r>
      <w:bookmarkEnd w:id="56"/>
      <w:bookmarkEnd w:id="57"/>
      <w:bookmarkEnd w:id="58"/>
      <w:bookmarkEnd w:id="59"/>
      <w:bookmarkEnd w:id="60"/>
    </w:p>
    <w:p w14:paraId="76C646EB">
      <w:pPr>
        <w:rPr>
          <w:color w:val="auto"/>
          <w:sz w:val="24"/>
          <w:szCs w:val="24"/>
          <w:highlight w:val="none"/>
        </w:rPr>
      </w:pPr>
      <w:r>
        <w:rPr>
          <w:rFonts w:hint="eastAsia"/>
          <w:color w:val="auto"/>
          <w:sz w:val="24"/>
          <w:szCs w:val="24"/>
          <w:highlight w:val="none"/>
        </w:rPr>
        <w:t>系统能对道路两旁禁停区域违停车辆进行检测和取证。可以根据用户的实际需求调整最大停车时限，当车辆在禁止停车区域停车时，能自动获取车辆违法信息（包含违法时间、号牌、违法地址等），并将该条信息作为预警信息及时上传到违法校录平台，由违法校录平台提醒车辆所有人在限定时间内驶离。若该车辆未在规定时间内驶离，则系统再获其他不同时间段的三张图片，其中违法时间取最后一张照片时间，最大停车时间可后台调整。</w:t>
      </w:r>
      <w:bookmarkStart w:id="62" w:name="_Toc382495928"/>
      <w:bookmarkStart w:id="63" w:name="_Toc345508656"/>
      <w:bookmarkStart w:id="64" w:name="_Toc340665349"/>
      <w:bookmarkStart w:id="65" w:name="_Toc345508654"/>
    </w:p>
    <w:p w14:paraId="33985CA3">
      <w:pPr>
        <w:pStyle w:val="7"/>
        <w:ind w:left="0" w:leftChars="0" w:firstLine="0" w:firstLineChars="0"/>
        <w:rPr>
          <w:color w:val="auto"/>
          <w:sz w:val="24"/>
          <w:szCs w:val="24"/>
          <w:highlight w:val="none"/>
        </w:rPr>
      </w:pPr>
      <w:bookmarkStart w:id="66" w:name="_Toc462671679"/>
      <w:bookmarkStart w:id="67" w:name="_Toc433812663"/>
      <w:bookmarkStart w:id="68" w:name="_Toc439338560"/>
      <w:r>
        <w:rPr>
          <w:rFonts w:hint="eastAsia"/>
          <w:color w:val="auto"/>
          <w:sz w:val="24"/>
          <w:szCs w:val="24"/>
          <w:highlight w:val="none"/>
        </w:rPr>
        <w:t>（2）车牌自动识别功能</w:t>
      </w:r>
      <w:bookmarkEnd w:id="62"/>
      <w:bookmarkEnd w:id="63"/>
      <w:bookmarkEnd w:id="64"/>
      <w:bookmarkEnd w:id="66"/>
      <w:bookmarkEnd w:id="67"/>
      <w:bookmarkEnd w:id="68"/>
    </w:p>
    <w:p w14:paraId="4CED3967">
      <w:pPr>
        <w:rPr>
          <w:color w:val="auto"/>
          <w:sz w:val="24"/>
          <w:szCs w:val="24"/>
          <w:highlight w:val="none"/>
        </w:rPr>
      </w:pPr>
      <w:r>
        <w:rPr>
          <w:rFonts w:hint="eastAsia"/>
          <w:color w:val="auto"/>
          <w:sz w:val="24"/>
          <w:szCs w:val="24"/>
          <w:highlight w:val="none"/>
        </w:rPr>
        <w:t>系统能够自动对违停车辆进行跟踪放大，自动识别车牌号码，减少人工识别输入车牌的工作，提高效率。车牌自动识别功能包括车牌号码和车牌颜色的识别。</w:t>
      </w:r>
    </w:p>
    <w:p w14:paraId="76412CA7">
      <w:pPr>
        <w:pStyle w:val="418"/>
        <w:ind w:firstLine="480"/>
        <w:rPr>
          <w:color w:val="auto"/>
          <w:sz w:val="24"/>
          <w:szCs w:val="24"/>
          <w:highlight w:val="none"/>
        </w:rPr>
      </w:pPr>
      <w:r>
        <w:rPr>
          <w:rFonts w:hint="eastAsia"/>
          <w:color w:val="auto"/>
          <w:sz w:val="24"/>
          <w:szCs w:val="24"/>
          <w:highlight w:val="none"/>
        </w:rPr>
        <w:t>系统具备对符合“GA36-2014”标准的民用车牌、警用车牌、使领馆车牌、新能源的号牌自动识别能力，并且具备对2012式军车号牌、2012式武警部队号牌的自动识别能力，所能识别的字符包括：</w:t>
      </w:r>
    </w:p>
    <w:tbl>
      <w:tblPr>
        <w:tblStyle w:val="46"/>
        <w:tblW w:w="87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78"/>
        <w:gridCol w:w="5982"/>
      </w:tblGrid>
      <w:tr w14:paraId="2EE52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49E6E316">
            <w:pPr>
              <w:rPr>
                <w:color w:val="auto"/>
                <w:sz w:val="24"/>
                <w:szCs w:val="24"/>
                <w:highlight w:val="none"/>
              </w:rPr>
            </w:pPr>
            <w:r>
              <w:rPr>
                <w:rFonts w:hint="eastAsia"/>
                <w:color w:val="auto"/>
                <w:sz w:val="24"/>
                <w:szCs w:val="24"/>
                <w:highlight w:val="none"/>
              </w:rPr>
              <w:t>阿拉伯数字</w:t>
            </w:r>
          </w:p>
        </w:tc>
        <w:tc>
          <w:tcPr>
            <w:tcW w:w="5982" w:type="dxa"/>
            <w:vAlign w:val="center"/>
          </w:tcPr>
          <w:p w14:paraId="7FE270FA">
            <w:pPr>
              <w:rPr>
                <w:color w:val="auto"/>
                <w:sz w:val="24"/>
                <w:szCs w:val="24"/>
                <w:highlight w:val="none"/>
              </w:rPr>
            </w:pPr>
            <w:r>
              <w:rPr>
                <w:rFonts w:hint="eastAsia"/>
                <w:color w:val="auto"/>
                <w:sz w:val="24"/>
                <w:szCs w:val="24"/>
                <w:highlight w:val="none"/>
              </w:rPr>
              <w:t>“0～9”十个</w:t>
            </w:r>
          </w:p>
        </w:tc>
      </w:tr>
      <w:tr w14:paraId="63FC1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66D59B26">
            <w:pPr>
              <w:rPr>
                <w:color w:val="auto"/>
                <w:sz w:val="24"/>
                <w:szCs w:val="24"/>
                <w:highlight w:val="none"/>
              </w:rPr>
            </w:pPr>
            <w:r>
              <w:rPr>
                <w:rFonts w:hint="eastAsia"/>
                <w:color w:val="auto"/>
                <w:sz w:val="24"/>
                <w:szCs w:val="24"/>
                <w:highlight w:val="none"/>
              </w:rPr>
              <w:t>英文字母</w:t>
            </w:r>
          </w:p>
        </w:tc>
        <w:tc>
          <w:tcPr>
            <w:tcW w:w="5982" w:type="dxa"/>
            <w:vAlign w:val="center"/>
          </w:tcPr>
          <w:p w14:paraId="18FF7791">
            <w:pPr>
              <w:rPr>
                <w:color w:val="auto"/>
                <w:sz w:val="24"/>
                <w:szCs w:val="24"/>
                <w:highlight w:val="none"/>
              </w:rPr>
            </w:pPr>
            <w:r>
              <w:rPr>
                <w:rFonts w:hint="eastAsia"/>
                <w:color w:val="auto"/>
                <w:sz w:val="24"/>
                <w:szCs w:val="24"/>
                <w:highlight w:val="none"/>
              </w:rPr>
              <w:t>“A～Z”二十六个</w:t>
            </w:r>
          </w:p>
        </w:tc>
      </w:tr>
      <w:tr w14:paraId="35DF47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252F704B">
            <w:pPr>
              <w:rPr>
                <w:color w:val="auto"/>
                <w:sz w:val="24"/>
                <w:szCs w:val="24"/>
                <w:highlight w:val="none"/>
              </w:rPr>
            </w:pPr>
            <w:r>
              <w:rPr>
                <w:rFonts w:hint="eastAsia"/>
                <w:color w:val="auto"/>
                <w:sz w:val="24"/>
                <w:szCs w:val="24"/>
                <w:highlight w:val="none"/>
              </w:rPr>
              <w:t>省、自治区、直辖市简称用汉字</w:t>
            </w:r>
          </w:p>
        </w:tc>
        <w:tc>
          <w:tcPr>
            <w:tcW w:w="5982" w:type="dxa"/>
            <w:vAlign w:val="center"/>
          </w:tcPr>
          <w:p w14:paraId="5686C3B4">
            <w:pPr>
              <w:rPr>
                <w:color w:val="auto"/>
                <w:sz w:val="24"/>
                <w:szCs w:val="24"/>
                <w:highlight w:val="none"/>
              </w:rPr>
            </w:pPr>
            <w:r>
              <w:rPr>
                <w:rFonts w:hint="eastAsia"/>
                <w:color w:val="auto"/>
                <w:sz w:val="24"/>
                <w:szCs w:val="24"/>
                <w:highlight w:val="none"/>
              </w:rPr>
              <w:t>京、津、晋、冀、蒙、辽、吉、黑、沪、苏、浙、皖、闽、赣、鲁、豫、鄂、湘、粤、桂、琼、川、贵、云、藏、陕、甘、青、宁、新、渝</w:t>
            </w:r>
          </w:p>
        </w:tc>
      </w:tr>
      <w:tr w14:paraId="27A3D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2BC9C601">
            <w:pPr>
              <w:rPr>
                <w:color w:val="auto"/>
                <w:sz w:val="24"/>
                <w:szCs w:val="24"/>
                <w:highlight w:val="none"/>
              </w:rPr>
            </w:pPr>
            <w:r>
              <w:rPr>
                <w:rFonts w:hint="eastAsia"/>
                <w:color w:val="auto"/>
                <w:sz w:val="24"/>
                <w:szCs w:val="24"/>
                <w:highlight w:val="none"/>
              </w:rPr>
              <w:t>专用号牌简称用汉字</w:t>
            </w:r>
          </w:p>
        </w:tc>
        <w:tc>
          <w:tcPr>
            <w:tcW w:w="5982" w:type="dxa"/>
            <w:vAlign w:val="center"/>
          </w:tcPr>
          <w:p w14:paraId="603670AA">
            <w:pPr>
              <w:rPr>
                <w:color w:val="auto"/>
                <w:sz w:val="24"/>
                <w:szCs w:val="24"/>
                <w:highlight w:val="none"/>
              </w:rPr>
            </w:pPr>
            <w:r>
              <w:rPr>
                <w:rFonts w:hint="eastAsia"/>
                <w:color w:val="auto"/>
                <w:sz w:val="24"/>
                <w:szCs w:val="24"/>
                <w:highlight w:val="none"/>
              </w:rPr>
              <w:t>领、使、警、学、挂、港、澳、试、超</w:t>
            </w:r>
          </w:p>
        </w:tc>
      </w:tr>
      <w:tr w14:paraId="59D8C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5D8D8089">
            <w:pPr>
              <w:rPr>
                <w:color w:val="auto"/>
                <w:sz w:val="24"/>
                <w:szCs w:val="24"/>
                <w:highlight w:val="none"/>
              </w:rPr>
            </w:pPr>
            <w:r>
              <w:rPr>
                <w:rFonts w:hint="eastAsia"/>
                <w:color w:val="auto"/>
                <w:sz w:val="24"/>
                <w:szCs w:val="24"/>
                <w:highlight w:val="none"/>
              </w:rPr>
              <w:t>12式武警号牌字符</w:t>
            </w:r>
          </w:p>
        </w:tc>
        <w:tc>
          <w:tcPr>
            <w:tcW w:w="5982" w:type="dxa"/>
            <w:vAlign w:val="center"/>
          </w:tcPr>
          <w:p w14:paraId="7ECD4109">
            <w:pPr>
              <w:rPr>
                <w:color w:val="auto"/>
                <w:sz w:val="24"/>
                <w:szCs w:val="24"/>
                <w:highlight w:val="none"/>
              </w:rPr>
            </w:pPr>
            <w:r>
              <w:rPr>
                <w:rFonts w:hint="eastAsia"/>
                <w:color w:val="auto"/>
                <w:sz w:val="24"/>
                <w:szCs w:val="24"/>
                <w:highlight w:val="none"/>
              </w:rPr>
              <w:t>WJ样式的字母、省份简称汉字、警种字母（X、B、T、S、H、J、D）、数字</w:t>
            </w:r>
          </w:p>
        </w:tc>
      </w:tr>
      <w:tr w14:paraId="28BEC4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78" w:type="dxa"/>
            <w:vAlign w:val="center"/>
          </w:tcPr>
          <w:p w14:paraId="69EEFAC0">
            <w:pPr>
              <w:rPr>
                <w:color w:val="auto"/>
                <w:sz w:val="24"/>
                <w:szCs w:val="24"/>
                <w:highlight w:val="none"/>
              </w:rPr>
            </w:pPr>
            <w:r>
              <w:rPr>
                <w:rFonts w:hint="eastAsia"/>
                <w:color w:val="auto"/>
                <w:sz w:val="24"/>
                <w:szCs w:val="24"/>
                <w:highlight w:val="none"/>
              </w:rPr>
              <w:t>12式军车号牌字符</w:t>
            </w:r>
          </w:p>
        </w:tc>
        <w:tc>
          <w:tcPr>
            <w:tcW w:w="5982" w:type="dxa"/>
            <w:vAlign w:val="center"/>
          </w:tcPr>
          <w:p w14:paraId="775511DD">
            <w:pPr>
              <w:rPr>
                <w:color w:val="auto"/>
                <w:sz w:val="24"/>
                <w:szCs w:val="24"/>
                <w:highlight w:val="none"/>
              </w:rPr>
            </w:pPr>
            <w:r>
              <w:rPr>
                <w:rFonts w:hint="eastAsia"/>
                <w:color w:val="auto"/>
                <w:sz w:val="24"/>
                <w:szCs w:val="24"/>
                <w:highlight w:val="none"/>
              </w:rPr>
              <w:t>各军区/各军兵种部拼音缩写字母、各军区/各军兵种部下辖各部属机构拼音缩写字母、数字</w:t>
            </w:r>
          </w:p>
        </w:tc>
      </w:tr>
    </w:tbl>
    <w:p w14:paraId="0533CC73">
      <w:pPr>
        <w:pStyle w:val="418"/>
        <w:ind w:firstLine="480"/>
        <w:rPr>
          <w:color w:val="auto"/>
          <w:sz w:val="24"/>
          <w:szCs w:val="24"/>
          <w:highlight w:val="none"/>
        </w:rPr>
      </w:pPr>
      <w:bookmarkStart w:id="69" w:name="_Toc433812664"/>
      <w:r>
        <w:rPr>
          <w:rFonts w:hint="eastAsia"/>
          <w:color w:val="auto"/>
          <w:sz w:val="24"/>
          <w:szCs w:val="24"/>
          <w:highlight w:val="none"/>
        </w:rPr>
        <w:t>系统能识别黑、白、蓝、黄、绿五种车牌颜色。</w:t>
      </w:r>
    </w:p>
    <w:p w14:paraId="7CBAFF84">
      <w:pPr>
        <w:pStyle w:val="7"/>
        <w:ind w:left="0" w:leftChars="0" w:firstLine="0" w:firstLineChars="0"/>
        <w:rPr>
          <w:color w:val="auto"/>
          <w:sz w:val="24"/>
          <w:szCs w:val="24"/>
          <w:highlight w:val="none"/>
        </w:rPr>
      </w:pPr>
      <w:bookmarkStart w:id="70" w:name="_Toc439338561"/>
      <w:bookmarkStart w:id="71" w:name="_Toc462671680"/>
      <w:r>
        <w:rPr>
          <w:rFonts w:hint="eastAsia"/>
          <w:color w:val="auto"/>
          <w:sz w:val="24"/>
          <w:szCs w:val="24"/>
          <w:highlight w:val="none"/>
        </w:rPr>
        <w:t>（3）其它违法行为自动取证功能</w:t>
      </w:r>
      <w:bookmarkEnd w:id="69"/>
      <w:bookmarkEnd w:id="70"/>
      <w:bookmarkEnd w:id="71"/>
    </w:p>
    <w:p w14:paraId="77585232">
      <w:pPr>
        <w:rPr>
          <w:color w:val="auto"/>
          <w:sz w:val="24"/>
          <w:szCs w:val="24"/>
          <w:highlight w:val="none"/>
        </w:rPr>
      </w:pPr>
      <w:r>
        <w:rPr>
          <w:rFonts w:hint="eastAsia"/>
          <w:color w:val="auto"/>
          <w:sz w:val="24"/>
          <w:szCs w:val="24"/>
          <w:highlight w:val="none"/>
        </w:rPr>
        <w:t>系统在有效检测范围内，除了能对违停进行自动取证外，还可以对逆行、压线、变道、机占非、违法掉头等其它违法行为进行自动取证，取证信息与违停取证类似，同时也具备车牌自动识别功能。</w:t>
      </w:r>
    </w:p>
    <w:p w14:paraId="2456B78A">
      <w:pPr>
        <w:pStyle w:val="7"/>
        <w:ind w:left="0" w:leftChars="0" w:firstLine="0" w:firstLineChars="0"/>
        <w:rPr>
          <w:color w:val="auto"/>
          <w:sz w:val="24"/>
          <w:szCs w:val="24"/>
          <w:highlight w:val="none"/>
        </w:rPr>
      </w:pPr>
      <w:bookmarkStart w:id="72" w:name="_Toc433812666"/>
      <w:bookmarkStart w:id="73" w:name="_Toc439338563"/>
      <w:bookmarkStart w:id="74" w:name="_Toc462671682"/>
      <w:bookmarkStart w:id="75" w:name="_Toc303185592"/>
      <w:bookmarkStart w:id="76" w:name="_Toc408516958"/>
      <w:bookmarkStart w:id="77" w:name="_Toc433364232"/>
      <w:r>
        <w:rPr>
          <w:rFonts w:hint="eastAsia"/>
          <w:color w:val="auto"/>
          <w:sz w:val="24"/>
          <w:szCs w:val="24"/>
          <w:highlight w:val="none"/>
        </w:rPr>
        <w:t>（4）手动取证功能</w:t>
      </w:r>
      <w:bookmarkEnd w:id="72"/>
      <w:bookmarkEnd w:id="73"/>
      <w:bookmarkEnd w:id="74"/>
    </w:p>
    <w:p w14:paraId="06A5CDD4">
      <w:pPr>
        <w:pStyle w:val="418"/>
        <w:ind w:firstLine="480"/>
        <w:rPr>
          <w:color w:val="auto"/>
          <w:sz w:val="24"/>
          <w:szCs w:val="24"/>
          <w:highlight w:val="none"/>
        </w:rPr>
      </w:pPr>
      <w:r>
        <w:rPr>
          <w:rFonts w:hint="eastAsia"/>
          <w:color w:val="auto"/>
          <w:sz w:val="24"/>
          <w:szCs w:val="24"/>
          <w:highlight w:val="none"/>
        </w:rPr>
        <w:t>系统支持手动取证功能，包括手动跟踪取证和自动跟踪取证。开启手动抓拍取证后，系统能对违法停车、违法压线、违法变道、违法逆行、违法掉头、闯禁左、闯禁右、闯禁行区、机动车非法占用非机动车道等车辆违法行为进行抓拍取证：</w:t>
      </w:r>
    </w:p>
    <w:p w14:paraId="200B52AB">
      <w:pPr>
        <w:pStyle w:val="418"/>
        <w:ind w:firstLine="480"/>
        <w:rPr>
          <w:color w:val="auto"/>
          <w:sz w:val="24"/>
          <w:szCs w:val="24"/>
          <w:highlight w:val="none"/>
        </w:rPr>
      </w:pPr>
      <w:r>
        <w:rPr>
          <w:rFonts w:hint="eastAsia"/>
          <w:color w:val="auto"/>
          <w:sz w:val="24"/>
          <w:szCs w:val="24"/>
          <w:highlight w:val="none"/>
        </w:rPr>
        <w:t>手动跟踪取证模式</w:t>
      </w:r>
    </w:p>
    <w:p w14:paraId="7832BBC3">
      <w:pPr>
        <w:pStyle w:val="418"/>
        <w:ind w:firstLine="480"/>
        <w:rPr>
          <w:color w:val="auto"/>
          <w:sz w:val="24"/>
          <w:szCs w:val="24"/>
          <w:highlight w:val="none"/>
        </w:rPr>
      </w:pPr>
      <w:r>
        <w:rPr>
          <w:rFonts w:hint="eastAsia"/>
          <w:color w:val="auto"/>
          <w:sz w:val="24"/>
          <w:szCs w:val="24"/>
          <w:highlight w:val="none"/>
        </w:rPr>
        <w:t>通过键盘操控跟踪放大，识别车辆，手动抓拍图片。球机与键盘算法的优化，使键盘跟踪控制流畅，延时小。</w:t>
      </w:r>
    </w:p>
    <w:p w14:paraId="3BF3F1AA">
      <w:pPr>
        <w:pStyle w:val="418"/>
        <w:ind w:firstLine="480"/>
        <w:rPr>
          <w:color w:val="auto"/>
          <w:sz w:val="24"/>
          <w:szCs w:val="24"/>
          <w:highlight w:val="none"/>
        </w:rPr>
      </w:pPr>
      <w:r>
        <w:rPr>
          <w:rFonts w:hint="eastAsia"/>
          <w:color w:val="auto"/>
          <w:sz w:val="24"/>
          <w:szCs w:val="24"/>
          <w:highlight w:val="none"/>
        </w:rPr>
        <w:t>自动跟踪取证模式</w:t>
      </w:r>
    </w:p>
    <w:p w14:paraId="1D108D54">
      <w:pPr>
        <w:pStyle w:val="418"/>
        <w:ind w:firstLine="480"/>
        <w:rPr>
          <w:color w:val="auto"/>
          <w:sz w:val="24"/>
          <w:szCs w:val="24"/>
          <w:highlight w:val="none"/>
        </w:rPr>
      </w:pPr>
      <w:r>
        <w:rPr>
          <w:rFonts w:hint="eastAsia"/>
          <w:color w:val="auto"/>
          <w:sz w:val="24"/>
          <w:szCs w:val="24"/>
          <w:highlight w:val="none"/>
        </w:rPr>
        <w:t>此模式下，可以通过鼠标点选或框选车辆，球机就能自动跟踪、变倍放大抓拍、识别车辆。</w:t>
      </w:r>
    </w:p>
    <w:p w14:paraId="63CBF1BD">
      <w:pPr>
        <w:pStyle w:val="418"/>
        <w:ind w:firstLine="480"/>
        <w:rPr>
          <w:color w:val="auto"/>
          <w:sz w:val="24"/>
          <w:szCs w:val="24"/>
          <w:highlight w:val="none"/>
        </w:rPr>
      </w:pPr>
      <w:r>
        <w:rPr>
          <w:rFonts w:hint="eastAsia"/>
          <w:color w:val="auto"/>
          <w:sz w:val="24"/>
          <w:szCs w:val="24"/>
          <w:highlight w:val="none"/>
        </w:rPr>
        <w:t>自动取证工作模式和手动取证工作模式可自由切换，既可通过设置时间段来切换，也可以任意时候手动切换，满足用户不同业务需求。</w:t>
      </w:r>
    </w:p>
    <w:p w14:paraId="6FB48E58">
      <w:pPr>
        <w:pStyle w:val="7"/>
        <w:ind w:left="0" w:leftChars="0" w:firstLine="0" w:firstLineChars="0"/>
        <w:rPr>
          <w:color w:val="auto"/>
          <w:sz w:val="24"/>
          <w:szCs w:val="24"/>
          <w:highlight w:val="none"/>
        </w:rPr>
      </w:pPr>
      <w:bookmarkStart w:id="78" w:name="_Toc462671683"/>
      <w:bookmarkStart w:id="79" w:name="_Toc439338567"/>
      <w:r>
        <w:rPr>
          <w:rFonts w:hint="eastAsia"/>
          <w:color w:val="auto"/>
          <w:sz w:val="24"/>
          <w:szCs w:val="24"/>
          <w:highlight w:val="none"/>
        </w:rPr>
        <w:t>（5）图像防篡改功能</w:t>
      </w:r>
      <w:bookmarkEnd w:id="75"/>
      <w:bookmarkEnd w:id="76"/>
      <w:bookmarkEnd w:id="77"/>
      <w:bookmarkEnd w:id="78"/>
      <w:bookmarkEnd w:id="79"/>
    </w:p>
    <w:p w14:paraId="21DE7E7E">
      <w:pPr>
        <w:rPr>
          <w:color w:val="auto"/>
          <w:sz w:val="24"/>
          <w:szCs w:val="24"/>
          <w:highlight w:val="none"/>
        </w:rPr>
      </w:pPr>
      <w:r>
        <w:rPr>
          <w:rFonts w:hint="eastAsia"/>
          <w:color w:val="auto"/>
          <w:sz w:val="24"/>
          <w:szCs w:val="24"/>
          <w:highlight w:val="none"/>
        </w:rPr>
        <w:t>系统记录的原始图像信息具备防篡改功能，对记录的每条违法记录图片叠加水印等防伪信息，防止在传输、存储、处理等过程中被人为篡改。</w:t>
      </w:r>
    </w:p>
    <w:p w14:paraId="1A1127F7">
      <w:pPr>
        <w:pStyle w:val="7"/>
        <w:ind w:left="0" w:leftChars="0" w:firstLine="0" w:firstLineChars="0"/>
        <w:rPr>
          <w:color w:val="auto"/>
          <w:sz w:val="24"/>
          <w:szCs w:val="24"/>
          <w:highlight w:val="none"/>
        </w:rPr>
      </w:pPr>
      <w:bookmarkStart w:id="80" w:name="_Toc439338568"/>
      <w:bookmarkStart w:id="81" w:name="_Toc462671684"/>
      <w:r>
        <w:rPr>
          <w:rFonts w:hint="eastAsia"/>
          <w:color w:val="auto"/>
          <w:sz w:val="24"/>
          <w:szCs w:val="24"/>
          <w:highlight w:val="none"/>
        </w:rPr>
        <w:t>（6）数据断点续传功能</w:t>
      </w:r>
      <w:bookmarkEnd w:id="80"/>
      <w:bookmarkEnd w:id="81"/>
    </w:p>
    <w:p w14:paraId="73264061">
      <w:pPr>
        <w:rPr>
          <w:color w:val="auto"/>
          <w:sz w:val="24"/>
          <w:szCs w:val="24"/>
          <w:highlight w:val="none"/>
        </w:rPr>
      </w:pPr>
      <w:r>
        <w:rPr>
          <w:rFonts w:hint="eastAsia"/>
          <w:color w:val="auto"/>
          <w:sz w:val="24"/>
          <w:szCs w:val="24"/>
          <w:highlight w:val="none"/>
        </w:rPr>
        <w:t>系统支持断点续传功能。当遇到网络中断或其他故障时，车辆信息存储在前端设备中，待故障排除后自动续传。</w:t>
      </w:r>
    </w:p>
    <w:bookmarkEnd w:id="61"/>
    <w:bookmarkEnd w:id="65"/>
    <w:p w14:paraId="79170597">
      <w:pPr>
        <w:pStyle w:val="6"/>
        <w:ind w:left="0" w:leftChars="0" w:firstLine="0" w:firstLineChars="0"/>
        <w:rPr>
          <w:color w:val="auto"/>
          <w:sz w:val="24"/>
          <w:szCs w:val="24"/>
          <w:highlight w:val="none"/>
        </w:rPr>
      </w:pPr>
      <w:bookmarkStart w:id="82" w:name="_Toc439338570"/>
      <w:bookmarkStart w:id="83" w:name="_Toc462671685"/>
      <w:bookmarkStart w:id="84" w:name="_Toc345508655"/>
      <w:bookmarkStart w:id="85" w:name="_Toc340665348"/>
      <w:r>
        <w:rPr>
          <w:rFonts w:hint="eastAsia"/>
          <w:color w:val="auto"/>
          <w:sz w:val="24"/>
          <w:szCs w:val="24"/>
          <w:highlight w:val="none"/>
        </w:rPr>
        <w:t>（7）自动校时功能</w:t>
      </w:r>
      <w:bookmarkEnd w:id="82"/>
      <w:bookmarkEnd w:id="83"/>
    </w:p>
    <w:p w14:paraId="3DD91571">
      <w:pPr>
        <w:rPr>
          <w:color w:val="auto"/>
          <w:sz w:val="24"/>
          <w:szCs w:val="24"/>
          <w:highlight w:val="none"/>
        </w:rPr>
      </w:pPr>
      <w:r>
        <w:rPr>
          <w:rFonts w:hint="eastAsia"/>
          <w:color w:val="auto"/>
          <w:sz w:val="24"/>
          <w:szCs w:val="24"/>
          <w:highlight w:val="none"/>
        </w:rPr>
        <w:t>系统设计24h内的计时误差不超过1.0s，所有前端设备点位每日至少与监控中心系统时钟同步一次。</w:t>
      </w:r>
    </w:p>
    <w:bookmarkEnd w:id="84"/>
    <w:bookmarkEnd w:id="85"/>
    <w:p w14:paraId="3B1560A6">
      <w:pPr>
        <w:pStyle w:val="6"/>
        <w:ind w:left="0" w:leftChars="0" w:firstLine="0" w:firstLineChars="0"/>
        <w:rPr>
          <w:color w:val="auto"/>
          <w:sz w:val="24"/>
          <w:szCs w:val="24"/>
          <w:highlight w:val="none"/>
        </w:rPr>
      </w:pPr>
      <w:r>
        <w:rPr>
          <w:rFonts w:hint="eastAsia"/>
          <w:iCs/>
          <w:color w:val="auto"/>
          <w:sz w:val="24"/>
          <w:szCs w:val="24"/>
          <w:highlight w:val="none"/>
        </w:rPr>
        <w:t>5、</w:t>
      </w:r>
      <w:r>
        <w:rPr>
          <w:rFonts w:hint="eastAsia"/>
          <w:color w:val="auto"/>
          <w:sz w:val="24"/>
          <w:szCs w:val="24"/>
          <w:highlight w:val="none"/>
        </w:rPr>
        <w:t>制高点监控系统要求</w:t>
      </w:r>
    </w:p>
    <w:p w14:paraId="543AAA5F">
      <w:pPr>
        <w:pStyle w:val="7"/>
        <w:ind w:left="0" w:leftChars="0" w:firstLine="0" w:firstLineChars="0"/>
        <w:rPr>
          <w:color w:val="auto"/>
          <w:sz w:val="24"/>
          <w:szCs w:val="24"/>
          <w:highlight w:val="none"/>
        </w:rPr>
      </w:pPr>
      <w:r>
        <w:rPr>
          <w:rFonts w:hint="eastAsia"/>
          <w:color w:val="auto"/>
          <w:sz w:val="24"/>
          <w:szCs w:val="24"/>
          <w:highlight w:val="none"/>
        </w:rPr>
        <w:t>（1）道路全断面视频监控</w:t>
      </w:r>
    </w:p>
    <w:p w14:paraId="68AF16F4">
      <w:pPr>
        <w:rPr>
          <w:color w:val="auto"/>
          <w:sz w:val="24"/>
          <w:szCs w:val="24"/>
          <w:highlight w:val="none"/>
        </w:rPr>
      </w:pPr>
      <w:r>
        <w:rPr>
          <w:rFonts w:hint="eastAsia"/>
          <w:color w:val="auto"/>
          <w:sz w:val="24"/>
          <w:szCs w:val="24"/>
          <w:highlight w:val="none"/>
        </w:rPr>
        <w:t>支持不小于270度全景画面拼接，对道路全断面进行7*24小时不间断监控，能够在指挥中心实时调看相机的高清视频图像。</w:t>
      </w:r>
    </w:p>
    <w:p w14:paraId="514FCDC8">
      <w:pPr>
        <w:pStyle w:val="7"/>
        <w:ind w:left="0" w:leftChars="0" w:firstLine="0" w:firstLineChars="0"/>
        <w:rPr>
          <w:color w:val="auto"/>
          <w:sz w:val="24"/>
          <w:szCs w:val="24"/>
          <w:highlight w:val="none"/>
        </w:rPr>
      </w:pPr>
      <w:r>
        <w:rPr>
          <w:rFonts w:hint="eastAsia"/>
          <w:color w:val="auto"/>
          <w:sz w:val="24"/>
          <w:szCs w:val="24"/>
          <w:highlight w:val="none"/>
        </w:rPr>
        <w:t>（2）拥堵检测</w:t>
      </w:r>
    </w:p>
    <w:p w14:paraId="1CDD3C9C">
      <w:pPr>
        <w:rPr>
          <w:color w:val="auto"/>
          <w:sz w:val="24"/>
          <w:szCs w:val="24"/>
          <w:highlight w:val="none"/>
        </w:rPr>
      </w:pPr>
      <w:r>
        <w:rPr>
          <w:rFonts w:hint="eastAsia"/>
          <w:color w:val="auto"/>
          <w:sz w:val="24"/>
          <w:szCs w:val="24"/>
          <w:highlight w:val="none"/>
        </w:rPr>
        <w:t>支持对道路全断面进行检测，自动检测拥堵情况，对拥堵事件进行抓拍，并进行报警上传。</w:t>
      </w:r>
    </w:p>
    <w:p w14:paraId="71AE8EF6">
      <w:pPr>
        <w:pStyle w:val="7"/>
        <w:ind w:left="0" w:leftChars="0" w:firstLine="0" w:firstLineChars="0"/>
        <w:rPr>
          <w:color w:val="auto"/>
          <w:sz w:val="24"/>
          <w:szCs w:val="24"/>
          <w:highlight w:val="none"/>
        </w:rPr>
      </w:pPr>
      <w:r>
        <w:rPr>
          <w:rFonts w:hint="eastAsia"/>
          <w:color w:val="auto"/>
          <w:sz w:val="24"/>
          <w:szCs w:val="24"/>
          <w:highlight w:val="none"/>
        </w:rPr>
        <w:t>（3）快速聚焦功能</w:t>
      </w:r>
    </w:p>
    <w:p w14:paraId="644B963A">
      <w:pPr>
        <w:rPr>
          <w:color w:val="auto"/>
          <w:sz w:val="24"/>
          <w:szCs w:val="24"/>
          <w:highlight w:val="none"/>
        </w:rPr>
      </w:pPr>
      <w:r>
        <w:rPr>
          <w:rFonts w:hint="eastAsia"/>
          <w:color w:val="auto"/>
          <w:sz w:val="24"/>
          <w:szCs w:val="24"/>
          <w:highlight w:val="none"/>
        </w:rPr>
        <w:t>支持机动车跟踪功能，支持快速聚焦跟踪车辆目标并录像，单帧回放录像每一帧清晰可见。</w:t>
      </w:r>
    </w:p>
    <w:p w14:paraId="44C59DA7">
      <w:pPr>
        <w:pStyle w:val="7"/>
        <w:ind w:left="0" w:leftChars="0" w:firstLine="0" w:firstLineChars="0"/>
        <w:rPr>
          <w:color w:val="auto"/>
          <w:sz w:val="24"/>
          <w:szCs w:val="24"/>
          <w:highlight w:val="none"/>
        </w:rPr>
      </w:pPr>
      <w:r>
        <w:rPr>
          <w:rFonts w:hint="eastAsia"/>
          <w:color w:val="auto"/>
          <w:sz w:val="24"/>
          <w:szCs w:val="24"/>
          <w:highlight w:val="none"/>
        </w:rPr>
        <w:t>（4）录像存储</w:t>
      </w:r>
    </w:p>
    <w:p w14:paraId="05182F35">
      <w:pPr>
        <w:rPr>
          <w:color w:val="auto"/>
          <w:sz w:val="24"/>
          <w:szCs w:val="24"/>
          <w:highlight w:val="none"/>
        </w:rPr>
      </w:pPr>
      <w:r>
        <w:rPr>
          <w:rFonts w:hint="eastAsia"/>
          <w:color w:val="auto"/>
          <w:sz w:val="24"/>
          <w:szCs w:val="24"/>
          <w:highlight w:val="none"/>
        </w:rPr>
        <w:t>录像支持前端存储和中心存储，相机的视音频信号接入视频处理单元存储数据，达到相机存储的需要，以供事后调查取证；也可部署存储服务器和存储设备，适合大容量多通道并发的中心存储需求。</w:t>
      </w:r>
    </w:p>
    <w:p w14:paraId="3EE8DE2C">
      <w:pPr>
        <w:pStyle w:val="7"/>
        <w:ind w:left="0" w:leftChars="0" w:firstLine="0" w:firstLineChars="0"/>
        <w:rPr>
          <w:color w:val="auto"/>
          <w:sz w:val="24"/>
          <w:szCs w:val="24"/>
          <w:highlight w:val="none"/>
        </w:rPr>
      </w:pPr>
      <w:r>
        <w:rPr>
          <w:rFonts w:hint="eastAsia"/>
          <w:color w:val="auto"/>
          <w:sz w:val="24"/>
          <w:szCs w:val="24"/>
          <w:highlight w:val="none"/>
        </w:rPr>
        <w:t>（5）智能雨刷</w:t>
      </w:r>
    </w:p>
    <w:p w14:paraId="77CD27B5">
      <w:pPr>
        <w:rPr>
          <w:color w:val="auto"/>
          <w:sz w:val="24"/>
          <w:szCs w:val="24"/>
          <w:highlight w:val="none"/>
        </w:rPr>
      </w:pPr>
      <w:r>
        <w:rPr>
          <w:rFonts w:hint="eastAsia"/>
          <w:color w:val="auto"/>
          <w:sz w:val="24"/>
          <w:szCs w:val="24"/>
          <w:highlight w:val="none"/>
        </w:rPr>
        <w:t>由于高点比较容易受到风沙、雾霾和其他异物的影响，容易造成相机镜面有异物。相机需支持雨刷功能，当前端相机镜面有异物时，后端维护人员能通过网络对相机镜面进行清洁，减少前端人工维护成本和维护时间。</w:t>
      </w:r>
    </w:p>
    <w:p w14:paraId="0D271A7C">
      <w:pPr>
        <w:pStyle w:val="7"/>
        <w:ind w:left="0" w:leftChars="0" w:firstLine="0" w:firstLineChars="0"/>
        <w:rPr>
          <w:color w:val="auto"/>
          <w:sz w:val="24"/>
          <w:szCs w:val="24"/>
          <w:highlight w:val="none"/>
        </w:rPr>
      </w:pPr>
      <w:r>
        <w:rPr>
          <w:rFonts w:hint="eastAsia"/>
          <w:color w:val="auto"/>
          <w:sz w:val="24"/>
          <w:szCs w:val="24"/>
          <w:highlight w:val="none"/>
        </w:rPr>
        <w:t>（6）图像防篡改功能</w:t>
      </w:r>
    </w:p>
    <w:p w14:paraId="20A6C7E9">
      <w:pPr>
        <w:rPr>
          <w:color w:val="auto"/>
          <w:sz w:val="24"/>
          <w:szCs w:val="24"/>
          <w:highlight w:val="none"/>
        </w:rPr>
      </w:pPr>
      <w:r>
        <w:rPr>
          <w:rFonts w:hint="eastAsia"/>
          <w:color w:val="auto"/>
          <w:sz w:val="24"/>
          <w:szCs w:val="24"/>
          <w:highlight w:val="none"/>
        </w:rPr>
        <w:t>记录的原始图像信息具备防篡改功能，避免在传输、处理、存储的过程中被人为篡改。</w:t>
      </w:r>
    </w:p>
    <w:p w14:paraId="74B3D856">
      <w:pPr>
        <w:pStyle w:val="7"/>
        <w:ind w:left="0" w:leftChars="0" w:firstLine="0" w:firstLineChars="0"/>
        <w:rPr>
          <w:color w:val="auto"/>
          <w:sz w:val="24"/>
          <w:szCs w:val="24"/>
          <w:highlight w:val="none"/>
        </w:rPr>
      </w:pPr>
      <w:r>
        <w:rPr>
          <w:rFonts w:hint="eastAsia"/>
          <w:color w:val="auto"/>
          <w:sz w:val="24"/>
          <w:szCs w:val="24"/>
          <w:highlight w:val="none"/>
        </w:rPr>
        <w:t>（7）网络远程维护功能</w:t>
      </w:r>
    </w:p>
    <w:p w14:paraId="6F8E4EC4">
      <w:pPr>
        <w:rPr>
          <w:color w:val="auto"/>
          <w:sz w:val="24"/>
          <w:szCs w:val="24"/>
          <w:highlight w:val="none"/>
        </w:rPr>
      </w:pPr>
      <w:r>
        <w:rPr>
          <w:rFonts w:hint="eastAsia"/>
          <w:color w:val="auto"/>
          <w:sz w:val="24"/>
          <w:szCs w:val="24"/>
          <w:highlight w:val="none"/>
        </w:rPr>
        <w:t>预留了时间校正接口、参数设置接口、运行情况的诊断接口和恢复接口，可对相机进行设置、调试及维护。管理员可以实时查看相机的运行状态。可通过网络实现远程维护、远程设置和远程升级等功能。</w:t>
      </w:r>
    </w:p>
    <w:p w14:paraId="4A4F39B6">
      <w:pPr>
        <w:pStyle w:val="7"/>
        <w:ind w:left="0" w:leftChars="0" w:firstLine="0" w:firstLineChars="0"/>
        <w:rPr>
          <w:color w:val="auto"/>
          <w:sz w:val="24"/>
          <w:szCs w:val="24"/>
          <w:highlight w:val="none"/>
        </w:rPr>
      </w:pPr>
      <w:r>
        <w:rPr>
          <w:rFonts w:hint="eastAsia"/>
          <w:color w:val="auto"/>
          <w:sz w:val="24"/>
          <w:szCs w:val="24"/>
          <w:highlight w:val="none"/>
        </w:rPr>
        <w:t>（8）自动校时功能</w:t>
      </w:r>
    </w:p>
    <w:p w14:paraId="0CBFE76A">
      <w:pPr>
        <w:rPr>
          <w:color w:val="auto"/>
          <w:sz w:val="24"/>
          <w:szCs w:val="24"/>
          <w:highlight w:val="none"/>
        </w:rPr>
      </w:pPr>
      <w:r>
        <w:rPr>
          <w:rFonts w:hint="eastAsia"/>
          <w:color w:val="auto"/>
          <w:sz w:val="24"/>
          <w:szCs w:val="24"/>
          <w:highlight w:val="none"/>
        </w:rPr>
        <w:t>24h内的计时误差不超过1.0s，所有前端设备点位每日至少与监控中心系统时钟同步一次。</w:t>
      </w:r>
    </w:p>
    <w:p w14:paraId="074E726A">
      <w:pPr>
        <w:pStyle w:val="7"/>
        <w:ind w:left="0" w:leftChars="0" w:firstLine="0" w:firstLineChars="0"/>
        <w:rPr>
          <w:color w:val="auto"/>
          <w:sz w:val="24"/>
          <w:szCs w:val="24"/>
          <w:highlight w:val="none"/>
        </w:rPr>
      </w:pPr>
      <w:r>
        <w:rPr>
          <w:rFonts w:hint="eastAsia"/>
          <w:color w:val="auto"/>
          <w:sz w:val="24"/>
          <w:szCs w:val="24"/>
          <w:highlight w:val="none"/>
        </w:rPr>
        <w:t>（9）视频联动功能</w:t>
      </w:r>
    </w:p>
    <w:p w14:paraId="0518F744">
      <w:pPr>
        <w:rPr>
          <w:color w:val="auto"/>
          <w:sz w:val="24"/>
          <w:szCs w:val="24"/>
          <w:highlight w:val="none"/>
        </w:rPr>
      </w:pPr>
      <w:r>
        <w:rPr>
          <w:rFonts w:hint="eastAsia"/>
          <w:color w:val="auto"/>
          <w:sz w:val="24"/>
          <w:szCs w:val="24"/>
          <w:highlight w:val="none"/>
        </w:rPr>
        <w:t>支持在全景视频监控画面中添加其他视频监控标签，支持在全景画面中点击标签，并打开标签点视频画面。</w:t>
      </w:r>
    </w:p>
    <w:p w14:paraId="0F1FD07F">
      <w:pPr>
        <w:pStyle w:val="5"/>
        <w:rPr>
          <w:color w:val="auto"/>
          <w:sz w:val="24"/>
          <w:szCs w:val="24"/>
          <w:highlight w:val="none"/>
        </w:rPr>
      </w:pPr>
      <w:r>
        <w:rPr>
          <w:rFonts w:hint="eastAsia"/>
          <w:color w:val="auto"/>
          <w:sz w:val="24"/>
          <w:szCs w:val="24"/>
          <w:highlight w:val="none"/>
        </w:rPr>
        <w:t>6、云存储系统设备技术要求</w:t>
      </w:r>
    </w:p>
    <w:p w14:paraId="242D0E3E">
      <w:pPr>
        <w:rPr>
          <w:color w:val="auto"/>
          <w:sz w:val="24"/>
          <w:szCs w:val="24"/>
          <w:highlight w:val="none"/>
        </w:rPr>
      </w:pPr>
      <w:r>
        <w:rPr>
          <w:rFonts w:hint="eastAsia"/>
          <w:color w:val="auto"/>
          <w:sz w:val="24"/>
          <w:szCs w:val="24"/>
          <w:highlight w:val="none"/>
        </w:rPr>
        <w:t>采用存储全域虚拟化技术对具有海量存储需求的用户提供透明存储构架，可持续扩容避免瓶颈限制，可以更有效的进行资源管理，灵活增减空间，达到最大程度上合理利用空间的效果。</w:t>
      </w:r>
    </w:p>
    <w:p w14:paraId="66F0D31E">
      <w:pPr>
        <w:rPr>
          <w:color w:val="auto"/>
          <w:sz w:val="24"/>
          <w:szCs w:val="24"/>
          <w:highlight w:val="none"/>
        </w:rPr>
      </w:pPr>
      <w:r>
        <w:rPr>
          <w:rFonts w:hint="eastAsia"/>
          <w:color w:val="auto"/>
          <w:sz w:val="24"/>
          <w:szCs w:val="24"/>
          <w:highlight w:val="none"/>
        </w:rPr>
        <w:t>采用集群技术，解决单/多节点失效问题，并利用负载均衡技术充分利用各存储节点的性能，提升系统的可靠性和安全性。</w:t>
      </w:r>
    </w:p>
    <w:p w14:paraId="6E83B5E3">
      <w:pPr>
        <w:rPr>
          <w:color w:val="auto"/>
          <w:sz w:val="24"/>
          <w:szCs w:val="24"/>
          <w:highlight w:val="none"/>
        </w:rPr>
      </w:pPr>
      <w:r>
        <w:rPr>
          <w:rFonts w:hint="eastAsia"/>
          <w:color w:val="auto"/>
          <w:sz w:val="24"/>
          <w:szCs w:val="24"/>
          <w:highlight w:val="none"/>
        </w:rPr>
        <w:t>采用统一完善的接口，降低对接成本、平台维护成本和用户管理的复杂度。</w:t>
      </w:r>
    </w:p>
    <w:p w14:paraId="095DC18F">
      <w:pPr>
        <w:rPr>
          <w:color w:val="auto"/>
          <w:sz w:val="24"/>
          <w:szCs w:val="24"/>
          <w:highlight w:val="none"/>
        </w:rPr>
      </w:pPr>
      <w:r>
        <w:rPr>
          <w:rFonts w:hint="eastAsia"/>
          <w:color w:val="auto"/>
          <w:sz w:val="24"/>
          <w:szCs w:val="24"/>
          <w:highlight w:val="none"/>
        </w:rPr>
        <w:t>采用开放的集成构架，使其可兼容业界各类iSCSI/FC存储设备，保护用户现有存储投资资源。</w:t>
      </w:r>
    </w:p>
    <w:p w14:paraId="0BDBB2A1">
      <w:pPr>
        <w:rPr>
          <w:color w:val="auto"/>
          <w:sz w:val="24"/>
          <w:szCs w:val="24"/>
          <w:highlight w:val="none"/>
        </w:rPr>
      </w:pPr>
      <w:r>
        <w:rPr>
          <w:rFonts w:hint="eastAsia"/>
          <w:color w:val="auto"/>
          <w:sz w:val="24"/>
          <w:szCs w:val="24"/>
          <w:highlight w:val="none"/>
        </w:rPr>
        <w:t>采用数据备份和容灾技术，保证云存储中的数据不丢失，确证云存储服务的安全稳定。</w:t>
      </w:r>
    </w:p>
    <w:p w14:paraId="042F5552">
      <w:pPr>
        <w:rPr>
          <w:color w:val="auto"/>
          <w:sz w:val="24"/>
          <w:szCs w:val="24"/>
          <w:highlight w:val="none"/>
        </w:rPr>
      </w:pPr>
      <w:r>
        <w:rPr>
          <w:rFonts w:hint="eastAsia"/>
          <w:color w:val="auto"/>
          <w:sz w:val="24"/>
          <w:szCs w:val="24"/>
          <w:highlight w:val="none"/>
        </w:rPr>
        <w:t>支持视频流、图片流直存和转存在同一套云存储环境混合部署。</w:t>
      </w:r>
    </w:p>
    <w:p w14:paraId="538669E4">
      <w:pPr>
        <w:rPr>
          <w:color w:val="auto"/>
          <w:sz w:val="24"/>
          <w:szCs w:val="24"/>
          <w:highlight w:val="none"/>
        </w:rPr>
      </w:pPr>
      <w:r>
        <w:rPr>
          <w:rFonts w:hint="eastAsia"/>
          <w:color w:val="auto"/>
          <w:sz w:val="24"/>
          <w:szCs w:val="24"/>
          <w:highlight w:val="none"/>
        </w:rPr>
        <w:t>支持在不需要任何平台情况下，支持直接在云存储上进行前端添加、删除，配置录像存储路径、录像配额，录像计划下发，支持视频录像检索、回放转发、直播等集成视频功能；支持手动控制开启录像。</w:t>
      </w:r>
    </w:p>
    <w:p w14:paraId="60AC7D09">
      <w:pPr>
        <w:rPr>
          <w:color w:val="auto"/>
          <w:sz w:val="24"/>
          <w:szCs w:val="24"/>
          <w:highlight w:val="none"/>
        </w:rPr>
      </w:pPr>
      <w:r>
        <w:rPr>
          <w:rFonts w:hint="eastAsia"/>
          <w:color w:val="auto"/>
          <w:sz w:val="24"/>
          <w:szCs w:val="24"/>
          <w:highlight w:val="none"/>
        </w:rPr>
        <w:t>支持多种网络部署模式,支持多网口绑定，提供带宽聚合，实现网络带宽的负载均衡；</w:t>
      </w:r>
    </w:p>
    <w:p w14:paraId="71FA70E5">
      <w:pPr>
        <w:rPr>
          <w:color w:val="auto"/>
          <w:sz w:val="24"/>
          <w:szCs w:val="24"/>
          <w:highlight w:val="none"/>
        </w:rPr>
      </w:pPr>
      <w:r>
        <w:rPr>
          <w:rFonts w:hint="eastAsia"/>
          <w:color w:val="auto"/>
          <w:sz w:val="24"/>
          <w:szCs w:val="24"/>
          <w:highlight w:val="none"/>
        </w:rPr>
        <w:t>支持快照功能，支持卷克隆功能；</w:t>
      </w:r>
    </w:p>
    <w:p w14:paraId="4E3A0702">
      <w:pPr>
        <w:rPr>
          <w:color w:val="auto"/>
          <w:sz w:val="24"/>
          <w:szCs w:val="24"/>
          <w:highlight w:val="none"/>
        </w:rPr>
      </w:pPr>
    </w:p>
    <w:p w14:paraId="6D5C024A">
      <w:pPr>
        <w:rPr>
          <w:bCs/>
          <w:color w:val="auto"/>
          <w:kern w:val="0"/>
          <w:sz w:val="24"/>
          <w:szCs w:val="24"/>
          <w:highlight w:val="none"/>
        </w:rPr>
      </w:pPr>
      <w:r>
        <w:rPr>
          <w:rFonts w:hint="eastAsia"/>
          <w:color w:val="auto"/>
          <w:sz w:val="24"/>
          <w:szCs w:val="24"/>
          <w:highlight w:val="none"/>
        </w:rPr>
        <w:t>四、外场设施安装技术要求（参照，如有相关国家标准，按国家标准执行）</w:t>
      </w:r>
    </w:p>
    <w:p w14:paraId="2C6EC806">
      <w:pPr>
        <w:pStyle w:val="5"/>
        <w:rPr>
          <w:color w:val="auto"/>
          <w:sz w:val="24"/>
          <w:szCs w:val="24"/>
          <w:highlight w:val="none"/>
        </w:rPr>
      </w:pPr>
      <w:r>
        <w:rPr>
          <w:rFonts w:hint="eastAsia"/>
          <w:color w:val="auto"/>
          <w:sz w:val="24"/>
          <w:szCs w:val="24"/>
          <w:highlight w:val="none"/>
        </w:rPr>
        <w:t>1、杆件规格要求</w:t>
      </w:r>
    </w:p>
    <w:p w14:paraId="53BF7310">
      <w:pPr>
        <w:rPr>
          <w:color w:val="auto"/>
          <w:sz w:val="24"/>
          <w:szCs w:val="24"/>
          <w:highlight w:val="none"/>
          <w:lang w:val="zh-CN"/>
        </w:rPr>
      </w:pPr>
      <w:r>
        <w:rPr>
          <w:rFonts w:hint="eastAsia"/>
          <w:color w:val="auto"/>
          <w:sz w:val="24"/>
          <w:szCs w:val="24"/>
          <w:highlight w:val="none"/>
          <w:lang w:val="zh-CN"/>
        </w:rPr>
        <w:t>（1）通用要求</w:t>
      </w:r>
    </w:p>
    <w:p w14:paraId="5B05584A">
      <w:pPr>
        <w:rPr>
          <w:b/>
          <w:bCs/>
          <w:color w:val="auto"/>
          <w:sz w:val="24"/>
          <w:szCs w:val="24"/>
          <w:highlight w:val="none"/>
          <w:lang w:val="zh-CN"/>
        </w:rPr>
      </w:pPr>
      <w:r>
        <w:rPr>
          <w:rFonts w:hint="eastAsia"/>
          <w:color w:val="auto"/>
          <w:sz w:val="24"/>
          <w:szCs w:val="24"/>
          <w:highlight w:val="none"/>
          <w:lang w:val="zh-CN"/>
        </w:rPr>
        <w:t>杆件钢材及连接件的规格、型号、镀锌须符合《碳素结构钢》GB 700的要求。</w:t>
      </w:r>
      <w:r>
        <w:rPr>
          <w:rFonts w:hint="eastAsia"/>
          <w:color w:val="auto"/>
          <w:sz w:val="24"/>
          <w:szCs w:val="24"/>
          <w:highlight w:val="none"/>
        </w:rPr>
        <w:t>信号灯及电子警察杆件为八角形锥形镀锌钢管，</w:t>
      </w:r>
      <w:r>
        <w:rPr>
          <w:rFonts w:hint="eastAsia"/>
          <w:color w:val="auto"/>
          <w:sz w:val="24"/>
          <w:szCs w:val="24"/>
          <w:highlight w:val="none"/>
          <w:lang w:val="zh-CN"/>
        </w:rPr>
        <w:t>必须经热镀锌防锈处理</w:t>
      </w:r>
      <w:r>
        <w:rPr>
          <w:rFonts w:hint="eastAsia"/>
          <w:b/>
          <w:bCs/>
          <w:color w:val="auto"/>
          <w:sz w:val="24"/>
          <w:szCs w:val="24"/>
          <w:highlight w:val="none"/>
        </w:rPr>
        <w:t>(各辖区杆件样式、颜色要当地实际情况建设)</w:t>
      </w:r>
      <w:r>
        <w:rPr>
          <w:rFonts w:hint="eastAsia"/>
          <w:b/>
          <w:bCs/>
          <w:color w:val="auto"/>
          <w:sz w:val="24"/>
          <w:szCs w:val="24"/>
          <w:highlight w:val="none"/>
          <w:lang w:val="zh-CN"/>
        </w:rPr>
        <w:t>。</w:t>
      </w:r>
    </w:p>
    <w:p w14:paraId="52A94146">
      <w:pPr>
        <w:rPr>
          <w:color w:val="auto"/>
          <w:sz w:val="24"/>
          <w:szCs w:val="24"/>
          <w:highlight w:val="none"/>
        </w:rPr>
      </w:pPr>
      <w:r>
        <w:rPr>
          <w:rFonts w:hint="eastAsia"/>
          <w:color w:val="auto"/>
          <w:sz w:val="24"/>
          <w:szCs w:val="24"/>
          <w:highlight w:val="none"/>
        </w:rPr>
        <w:t>（2）型杆件规格要求：</w:t>
      </w:r>
    </w:p>
    <w:p w14:paraId="645A75C8">
      <w:pPr>
        <w:rPr>
          <w:color w:val="auto"/>
          <w:sz w:val="24"/>
          <w:szCs w:val="24"/>
          <w:highlight w:val="none"/>
        </w:rPr>
      </w:pPr>
      <w:r>
        <w:rPr>
          <w:rFonts w:hint="eastAsia"/>
          <w:color w:val="auto"/>
          <w:sz w:val="24"/>
          <w:szCs w:val="24"/>
          <w:highlight w:val="none"/>
        </w:rPr>
        <w:t>副杆长4米至7米的L型杆件：主杆壁厚≥6mm，副杆壁厚≥4mm，主杆的高度不低于6.5米，主杆下（外）口径的对边不小于300 mm，上（外）口径的对边不小于250 mm，副杆大头（外）口径的对边不小于220 mm，小头（外）口径的对边不小于100 mm。</w:t>
      </w:r>
    </w:p>
    <w:p w14:paraId="043F7853">
      <w:pPr>
        <w:rPr>
          <w:color w:val="auto"/>
          <w:sz w:val="24"/>
          <w:szCs w:val="24"/>
          <w:highlight w:val="none"/>
        </w:rPr>
      </w:pPr>
      <w:r>
        <w:rPr>
          <w:rFonts w:hint="eastAsia"/>
          <w:color w:val="auto"/>
          <w:sz w:val="24"/>
          <w:szCs w:val="24"/>
          <w:highlight w:val="none"/>
        </w:rPr>
        <w:t>副杆长度8米至12米的L型杆件：主杆壁厚≥8mm，副杆壁厚≥4mm，主杆的高度不低于6.5米，主杆下（外）口径的对边不小于320 mm，上（外）口径的对边不小于280 mm，副杆大头（外）口径的对边不小于240 mm，小头（外）口径的对边不小于110 mm。</w:t>
      </w:r>
    </w:p>
    <w:p w14:paraId="07C654A1">
      <w:pPr>
        <w:rPr>
          <w:color w:val="auto"/>
          <w:sz w:val="24"/>
          <w:szCs w:val="24"/>
          <w:highlight w:val="none"/>
        </w:rPr>
      </w:pPr>
      <w:r>
        <w:rPr>
          <w:rFonts w:hint="eastAsia"/>
          <w:color w:val="auto"/>
          <w:sz w:val="24"/>
          <w:szCs w:val="24"/>
          <w:highlight w:val="none"/>
        </w:rPr>
        <w:t>副杆长度13米至15米的L型杆件：主杆壁厚≥8mm，副杆壁厚≥6mm，主杆的高度不低于6.5米，主杆下（外）口径的对边不小于370 mm，上（外）口径的对边不小于320 mm，副杆大头（外）口径的对边不小于320 mm，小头（外）口径的对边不小于110 mm。</w:t>
      </w:r>
    </w:p>
    <w:p w14:paraId="71B9C947">
      <w:pPr>
        <w:rPr>
          <w:color w:val="auto"/>
          <w:sz w:val="24"/>
          <w:szCs w:val="24"/>
          <w:highlight w:val="none"/>
        </w:rPr>
      </w:pPr>
      <w:r>
        <w:rPr>
          <w:rFonts w:hint="eastAsia"/>
          <w:color w:val="auto"/>
          <w:sz w:val="24"/>
          <w:szCs w:val="24"/>
          <w:highlight w:val="none"/>
        </w:rPr>
        <w:t>副杆4米至7米的L型杆件：杆底盘法兰底平面直径≥550mm，螺丝孔位置直径≥450mm钢板厚度≥20mm，法兰底盘与主杆的支撑板（五边梯形）≥8块，高度≥250 mm，厚度≥16mm，梯形上部份≥20mm，下部分≥100mm；主杆与副杆的法兰盘尺寸≥400mm*400mm，厚度不小于16mm，支撑板（五边梯形）≥4块，高度≥200 mm，厚度≥12mm，梯形上部份≥20mm下部分≥100mm。</w:t>
      </w:r>
    </w:p>
    <w:p w14:paraId="439CC40A">
      <w:pPr>
        <w:rPr>
          <w:color w:val="auto"/>
          <w:sz w:val="24"/>
          <w:szCs w:val="24"/>
          <w:highlight w:val="none"/>
        </w:rPr>
      </w:pPr>
      <w:r>
        <w:rPr>
          <w:rFonts w:hint="eastAsia"/>
          <w:color w:val="auto"/>
          <w:sz w:val="24"/>
          <w:szCs w:val="24"/>
          <w:highlight w:val="none"/>
        </w:rPr>
        <w:t>副杆8米至12米的L型杆件：杆底盘法兰底平面直径≥550mm，螺丝孔位置直径≥450mm钢板厚度≥20mm，法兰底盘与主杆的支撑板（五边梯形）≥8块，高度≥250 mm，厚度≥16mm，梯形上部份≥20mm，下部分≥90mm；主杆与副杆的法兰盘尺寸≥450mm*450mm，厚度不小于20mm，支撑板（五边梯形）≥6块，高度≥200 mm，厚度≥12mm，梯形上部份≥20mm下部分≥100mm。</w:t>
      </w:r>
    </w:p>
    <w:p w14:paraId="59DA9B45">
      <w:pPr>
        <w:rPr>
          <w:color w:val="auto"/>
          <w:sz w:val="24"/>
          <w:szCs w:val="24"/>
          <w:highlight w:val="none"/>
        </w:rPr>
      </w:pPr>
      <w:r>
        <w:rPr>
          <w:rFonts w:hint="eastAsia"/>
          <w:color w:val="auto"/>
          <w:sz w:val="24"/>
          <w:szCs w:val="24"/>
          <w:highlight w:val="none"/>
        </w:rPr>
        <w:t xml:space="preserve">副杆13米至15的L型杆件杆底盘法兰底平面直径≥650mm，螺丝孔位置直径≥550mm钢板厚度≥20mm，法兰底盘与主杆的支撑板（五边梯形）≥8块，高度≥300 mm，厚度≥16mm，梯形上部份≥20mm，下部分≥110mm；主杆与副杆的法兰盘尺寸≥520mm*520mm，厚度不小于20mm，支撑板（五边梯形）≥8块，高度≥200 mm，厚度≥12mm，梯形上部份≥20mm下部分≥100mm。      </w:t>
      </w:r>
    </w:p>
    <w:p w14:paraId="5ECFEDC9">
      <w:pPr>
        <w:rPr>
          <w:color w:val="auto"/>
          <w:sz w:val="24"/>
          <w:szCs w:val="24"/>
          <w:highlight w:val="none"/>
        </w:rPr>
      </w:pPr>
      <w:r>
        <w:rPr>
          <w:rFonts w:hint="eastAsia"/>
          <w:color w:val="auto"/>
          <w:sz w:val="24"/>
          <w:szCs w:val="24"/>
          <w:highlight w:val="none"/>
        </w:rPr>
        <w:t>（3）T型杆件规格要求：</w:t>
      </w:r>
    </w:p>
    <w:p w14:paraId="033BA400">
      <w:pPr>
        <w:rPr>
          <w:color w:val="auto"/>
          <w:sz w:val="24"/>
          <w:szCs w:val="24"/>
          <w:highlight w:val="none"/>
        </w:rPr>
      </w:pPr>
      <w:r>
        <w:rPr>
          <w:rFonts w:hint="eastAsia"/>
          <w:color w:val="auto"/>
          <w:sz w:val="24"/>
          <w:szCs w:val="24"/>
          <w:highlight w:val="none"/>
        </w:rPr>
        <w:t>副杆长度≤8的T型杆件：主杆壁厚≥8mm，副杆壁厚≥4mm，主杆的高度不低于6.5米，主杆下（外）口径的对边不小于350 mm，上（外）口径的对边不小于300 mm，副杆大头（外）口径的对边不小于250 mm，小头（外）口径的对边不小于100 mm；</w:t>
      </w:r>
    </w:p>
    <w:p w14:paraId="15F7E92D">
      <w:pPr>
        <w:rPr>
          <w:color w:val="auto"/>
          <w:sz w:val="24"/>
          <w:szCs w:val="24"/>
          <w:highlight w:val="none"/>
        </w:rPr>
      </w:pPr>
      <w:r>
        <w:rPr>
          <w:rFonts w:hint="eastAsia"/>
          <w:color w:val="auto"/>
          <w:sz w:val="24"/>
          <w:szCs w:val="24"/>
          <w:highlight w:val="none"/>
        </w:rPr>
        <w:t>副杆长度9米至11米的T型杆件：主杆壁厚≥8mm，副杆壁厚≥5mm，主杆的高度不低于6.5米，主杆下（外）口径的对边不小于360 mm，上（外）口径的对边不小于310 mm，副杆大头（外）口径的对边不小于280 mm，小头（外）口径的对边不小于110 mm；</w:t>
      </w:r>
    </w:p>
    <w:p w14:paraId="4CF92EC2">
      <w:pPr>
        <w:rPr>
          <w:color w:val="auto"/>
          <w:sz w:val="24"/>
          <w:szCs w:val="24"/>
          <w:highlight w:val="none"/>
        </w:rPr>
      </w:pPr>
      <w:r>
        <w:rPr>
          <w:rFonts w:hint="eastAsia"/>
          <w:color w:val="auto"/>
          <w:sz w:val="24"/>
          <w:szCs w:val="24"/>
          <w:highlight w:val="none"/>
        </w:rPr>
        <w:t xml:space="preserve">副杆长度12米至15米的T型杆件：主杆壁厚≥10mm，副杆壁厚≥6mm，主杆的高度不低于6.5米，主杆下（外）口径的对边不小于370 mm，上（外）口径的对边不小于320 mm，副杆大头（外）口径的对边不小于320 mm，小头（外）口径的对边不小于110 mm； </w:t>
      </w:r>
    </w:p>
    <w:p w14:paraId="4C42FD3D">
      <w:pPr>
        <w:rPr>
          <w:color w:val="auto"/>
          <w:sz w:val="24"/>
          <w:szCs w:val="24"/>
          <w:highlight w:val="none"/>
        </w:rPr>
      </w:pPr>
      <w:r>
        <w:rPr>
          <w:rFonts w:hint="eastAsia"/>
          <w:color w:val="auto"/>
          <w:sz w:val="24"/>
          <w:szCs w:val="24"/>
          <w:highlight w:val="none"/>
        </w:rPr>
        <w:t>副杆≤8米的T型杆件杆底盘法兰底平面直径≥600mm，螺丝孔位置直径≥450mm钢板厚度≥20 mm，法兰底盘与主杆的支撑板（五边梯形）≥8块，高度≥250 mm，厚度≥16mm，梯形上部份≥20mm，下部分≥110mm；主杆与副杆的法兰盘尺寸≥450mm*450mm，厚度≥16mm，支撑板（五边梯形）≥4块，高度≥200 mm，厚度≥12mm，梯形上部份≥20mm下部分≥100mm；</w:t>
      </w:r>
    </w:p>
    <w:p w14:paraId="0C0A4A59">
      <w:pPr>
        <w:rPr>
          <w:color w:val="auto"/>
          <w:sz w:val="24"/>
          <w:szCs w:val="24"/>
          <w:highlight w:val="none"/>
        </w:rPr>
      </w:pPr>
      <w:r>
        <w:rPr>
          <w:rFonts w:hint="eastAsia"/>
          <w:color w:val="auto"/>
          <w:sz w:val="24"/>
          <w:szCs w:val="24"/>
          <w:highlight w:val="none"/>
        </w:rPr>
        <w:t>副杆≤11米的T型杆件杆底盘法兰底平面直径≥600mm，螺丝孔位置直径≥450mm钢板厚度≥20 mm，法兰底盘与主杆的支撑板（五边梯形）≥8块，高度≥250 mm，厚度≥16mm，梯形上部份≥20mm，下部分≥110mm；主杆与副杆的法兰盘尺寸≥450mm*450mm，厚度≥20mm，支撑板（五边梯形）≥6块，高度≥200 mm，厚度≥12mm，梯形上部份≥20mm下部分≥100mm；</w:t>
      </w:r>
    </w:p>
    <w:p w14:paraId="2214C21D">
      <w:pPr>
        <w:rPr>
          <w:color w:val="auto"/>
          <w:sz w:val="24"/>
          <w:szCs w:val="24"/>
          <w:highlight w:val="none"/>
        </w:rPr>
      </w:pPr>
      <w:r>
        <w:rPr>
          <w:rFonts w:hint="eastAsia"/>
          <w:color w:val="auto"/>
          <w:sz w:val="24"/>
          <w:szCs w:val="24"/>
          <w:highlight w:val="none"/>
        </w:rPr>
        <w:t>副杆12米至15的T型杆件:杆底盘法兰底平面直径≥700mm，螺丝孔位置直径≥550mm钢板厚度≥22 mm，法兰底盘与主杆的支撑板（五边梯形）≥8块，高度≥300 mm，厚度≥16mm，梯形上部份≥20mm，下部分≥110mm；主杆与副杆的法兰盘尺寸≥520mm*520mm，厚度≥20mm，支撑板（五边梯形）≥8块，高度≥200 mm，厚度≥12mm，梯形上部份≥20mm下部分≥100mm，固定螺帽须热镀锌。</w:t>
      </w:r>
    </w:p>
    <w:p w14:paraId="511E42A4">
      <w:pPr>
        <w:rPr>
          <w:color w:val="auto"/>
          <w:sz w:val="24"/>
          <w:szCs w:val="24"/>
          <w:highlight w:val="none"/>
        </w:rPr>
      </w:pPr>
      <w:r>
        <w:rPr>
          <w:rFonts w:hint="eastAsia"/>
          <w:color w:val="auto"/>
          <w:sz w:val="24"/>
          <w:szCs w:val="24"/>
          <w:highlight w:val="none"/>
        </w:rPr>
        <w:t>（4）测速箱直立杆规格要求：</w:t>
      </w:r>
    </w:p>
    <w:p w14:paraId="73A299B6">
      <w:pPr>
        <w:rPr>
          <w:color w:val="auto"/>
          <w:sz w:val="24"/>
          <w:szCs w:val="24"/>
          <w:highlight w:val="none"/>
        </w:rPr>
      </w:pPr>
      <w:r>
        <w:rPr>
          <w:rFonts w:hint="eastAsia"/>
          <w:color w:val="auto"/>
          <w:sz w:val="24"/>
          <w:szCs w:val="24"/>
          <w:highlight w:val="none"/>
        </w:rPr>
        <w:t>杆体不小于1600mm*Φ114,杆底盘法兰底平面直径不小于300mm，螺丝孔位置直径不小于180mm钢板厚度不小于12 mm，法兰底盘与主杆的支撑板（五边梯形）不小于6块，高度不小于165 mm，厚度不小于10mm，梯形上部份不小于20mm，下部分不小于100mm,含活动支架360度旋转可调节。</w:t>
      </w:r>
    </w:p>
    <w:p w14:paraId="27FA741C">
      <w:pPr>
        <w:rPr>
          <w:color w:val="auto"/>
          <w:sz w:val="24"/>
          <w:szCs w:val="24"/>
          <w:highlight w:val="none"/>
        </w:rPr>
      </w:pPr>
      <w:r>
        <w:rPr>
          <w:rFonts w:hint="eastAsia"/>
          <w:color w:val="auto"/>
          <w:sz w:val="24"/>
          <w:szCs w:val="24"/>
          <w:highlight w:val="none"/>
        </w:rPr>
        <w:t>（5）高空球机杆件规格要求：</w:t>
      </w:r>
    </w:p>
    <w:p w14:paraId="7C039C01">
      <w:pPr>
        <w:rPr>
          <w:color w:val="auto"/>
          <w:sz w:val="24"/>
          <w:szCs w:val="24"/>
          <w:highlight w:val="none"/>
        </w:rPr>
      </w:pPr>
      <w:r>
        <w:rPr>
          <w:rFonts w:hint="eastAsia"/>
          <w:color w:val="auto"/>
          <w:sz w:val="24"/>
          <w:szCs w:val="24"/>
          <w:highlight w:val="none"/>
        </w:rPr>
        <w:t>副杆长度根据现场实际情况而定，直径不小于Φ75.7mm，厚度不小于3.25mm；主杆长度根据现场实际情况而定，直径不小于Φ88.5mm，厚度不小于4mm；主杆与安装位置内墙使用规格不小于150mm*Φ16mm的膨胀螺栓固定；墙面与主杆、主杆与副杆间使用壁厚不小于4mm的镀锌钢板焊接，并做好防锈工作；并在墙面上安装不小于40*4mm的抱箍固定副杆。</w:t>
      </w:r>
    </w:p>
    <w:p w14:paraId="554EF97E">
      <w:pPr>
        <w:rPr>
          <w:color w:val="auto"/>
          <w:sz w:val="24"/>
          <w:szCs w:val="24"/>
          <w:highlight w:val="none"/>
        </w:rPr>
      </w:pPr>
      <w:r>
        <w:rPr>
          <w:rFonts w:hint="eastAsia"/>
          <w:color w:val="auto"/>
          <w:sz w:val="24"/>
          <w:szCs w:val="24"/>
          <w:highlight w:val="none"/>
        </w:rPr>
        <w:t>（6）F型杆件规格要求：</w:t>
      </w:r>
    </w:p>
    <w:p w14:paraId="5029E151">
      <w:pPr>
        <w:rPr>
          <w:color w:val="auto"/>
          <w:sz w:val="24"/>
          <w:szCs w:val="24"/>
          <w:highlight w:val="none"/>
        </w:rPr>
      </w:pPr>
      <w:r>
        <w:rPr>
          <w:rFonts w:hint="eastAsia"/>
          <w:color w:val="auto"/>
          <w:sz w:val="24"/>
          <w:szCs w:val="24"/>
          <w:highlight w:val="none"/>
        </w:rPr>
        <w:t>钢材全部采用Q235钢，立柱，横梁及其他外露钢构件防腐，应采用热镀锌处理，锌附着量不低600g/㎡,螺栓等紧固件表面镀锌不低于350g/㎡。</w:t>
      </w:r>
    </w:p>
    <w:p w14:paraId="1AD167A7">
      <w:pPr>
        <w:rPr>
          <w:color w:val="auto"/>
          <w:sz w:val="24"/>
          <w:szCs w:val="24"/>
          <w:highlight w:val="none"/>
        </w:rPr>
      </w:pPr>
      <w:r>
        <w:rPr>
          <w:rFonts w:hint="eastAsia"/>
          <w:color w:val="auto"/>
          <w:sz w:val="24"/>
          <w:szCs w:val="24"/>
          <w:highlight w:val="none"/>
        </w:rPr>
        <w:t>所有构件镀完锌后喷一道环氧富锌底漆（漆膜干厚为40μm），一道云铁中间漆做过渡漆（漆膜干厚为30μm），两道氯化橡胶面漆（漆膜干厚为70μm）。面漆颜色为中灰色。</w:t>
      </w:r>
    </w:p>
    <w:p w14:paraId="199FAAF1">
      <w:pPr>
        <w:rPr>
          <w:color w:val="auto"/>
          <w:sz w:val="24"/>
          <w:szCs w:val="24"/>
          <w:highlight w:val="none"/>
        </w:rPr>
      </w:pPr>
      <w:r>
        <w:rPr>
          <w:rFonts w:hint="eastAsia"/>
          <w:color w:val="auto"/>
          <w:sz w:val="24"/>
          <w:szCs w:val="24"/>
          <w:highlight w:val="none"/>
        </w:rPr>
        <w:t>立柱顶部及横梁外侧端部均需用6mm厚钢板作封板。且下横梁外侧端部封板中央需开</w:t>
      </w:r>
      <w:r>
        <w:rPr>
          <w:rFonts w:hint="eastAsia" w:ascii="MS Gothic" w:hAnsi="MS Gothic" w:eastAsia="MS Gothic" w:cs="MS Gothic"/>
          <w:color w:val="auto"/>
          <w:sz w:val="24"/>
          <w:szCs w:val="24"/>
          <w:highlight w:val="none"/>
        </w:rPr>
        <w:t>∅</w:t>
      </w:r>
      <w:r>
        <w:rPr>
          <w:rFonts w:hint="eastAsia"/>
          <w:color w:val="auto"/>
          <w:sz w:val="24"/>
          <w:szCs w:val="24"/>
          <w:highlight w:val="none"/>
        </w:rPr>
        <w:t>80孔位以便穿电缆时使用。</w:t>
      </w:r>
    </w:p>
    <w:p w14:paraId="45E5488D">
      <w:pPr>
        <w:rPr>
          <w:color w:val="auto"/>
          <w:sz w:val="24"/>
          <w:szCs w:val="24"/>
          <w:highlight w:val="none"/>
        </w:rPr>
      </w:pPr>
      <w:r>
        <w:rPr>
          <w:rFonts w:hint="eastAsia"/>
          <w:color w:val="auto"/>
          <w:sz w:val="24"/>
          <w:szCs w:val="24"/>
          <w:highlight w:val="none"/>
        </w:rPr>
        <w:t>（7）信号灯配套杆件规格要求</w:t>
      </w:r>
    </w:p>
    <w:p w14:paraId="26DE2DC8">
      <w:pPr>
        <w:rPr>
          <w:color w:val="auto"/>
          <w:sz w:val="24"/>
          <w:szCs w:val="24"/>
          <w:highlight w:val="none"/>
        </w:rPr>
      </w:pPr>
      <w:r>
        <w:rPr>
          <w:rFonts w:hint="eastAsia"/>
          <w:color w:val="auto"/>
          <w:sz w:val="24"/>
          <w:szCs w:val="24"/>
          <w:highlight w:val="none"/>
        </w:rPr>
        <w:t>1）非机动车信号灯杆件</w:t>
      </w:r>
      <w:r>
        <w:rPr>
          <w:rFonts w:hint="eastAsia"/>
          <w:color w:val="auto"/>
          <w:kern w:val="0"/>
          <w:sz w:val="24"/>
          <w:szCs w:val="24"/>
          <w:highlight w:val="none"/>
        </w:rPr>
        <w:t>:</w:t>
      </w:r>
    </w:p>
    <w:p w14:paraId="7273BBAD">
      <w:pPr>
        <w:rPr>
          <w:color w:val="auto"/>
          <w:sz w:val="24"/>
          <w:szCs w:val="24"/>
          <w:highlight w:val="none"/>
        </w:rPr>
      </w:pPr>
      <w:r>
        <w:rPr>
          <w:rFonts w:hint="eastAsia"/>
          <w:color w:val="auto"/>
          <w:sz w:val="24"/>
          <w:szCs w:val="24"/>
          <w:highlight w:val="none"/>
        </w:rPr>
        <w:t>杆件高度不少于3.5M，安装非机动车信号灯后保证灯下边缘净空不少于2.5 M，灯杆直径不小于90mm，厚度不小于4MM，杆体距地面0.3m-0.8m 处留有穿线孔。如与人行横道灯安装在同一杆件，杆件高度不少于4.5M。</w:t>
      </w:r>
    </w:p>
    <w:p w14:paraId="6A8844E1">
      <w:pPr>
        <w:rPr>
          <w:color w:val="auto"/>
          <w:sz w:val="24"/>
          <w:szCs w:val="24"/>
          <w:highlight w:val="none"/>
        </w:rPr>
      </w:pPr>
      <w:r>
        <w:rPr>
          <w:rFonts w:hint="eastAsia"/>
          <w:color w:val="auto"/>
          <w:sz w:val="24"/>
          <w:szCs w:val="24"/>
          <w:highlight w:val="none"/>
        </w:rPr>
        <w:t>2）立柱式信号灯（辅助信号灯）杆件:</w:t>
      </w:r>
    </w:p>
    <w:p w14:paraId="7067CFCC">
      <w:pPr>
        <w:rPr>
          <w:color w:val="auto"/>
          <w:sz w:val="24"/>
          <w:szCs w:val="24"/>
          <w:highlight w:val="none"/>
        </w:rPr>
      </w:pPr>
      <w:r>
        <w:rPr>
          <w:rFonts w:hint="eastAsia"/>
          <w:color w:val="auto"/>
          <w:sz w:val="24"/>
          <w:szCs w:val="24"/>
          <w:highlight w:val="none"/>
        </w:rPr>
        <w:t>安装信号灯后保证立柱式信号灯灯下边缘净空不少于3 M上。杆体在40 米/秒的风速条件下，不应发生严重歪斜与永久性变形。杆体颜色按用户要求制作。</w:t>
      </w:r>
    </w:p>
    <w:p w14:paraId="1338734F">
      <w:pPr>
        <w:pStyle w:val="20"/>
        <w:rPr>
          <w:color w:val="auto"/>
          <w:sz w:val="24"/>
          <w:szCs w:val="24"/>
          <w:highlight w:val="none"/>
        </w:rPr>
      </w:pPr>
      <w:r>
        <w:rPr>
          <w:rFonts w:hint="eastAsia"/>
          <w:color w:val="auto"/>
          <w:sz w:val="24"/>
          <w:szCs w:val="24"/>
          <w:highlight w:val="none"/>
        </w:rPr>
        <w:t xml:space="preserve">    3）人行灯杆件：</w:t>
      </w:r>
    </w:p>
    <w:p w14:paraId="1634AEBD">
      <w:pPr>
        <w:rPr>
          <w:color w:val="auto"/>
          <w:sz w:val="24"/>
          <w:szCs w:val="24"/>
          <w:highlight w:val="none"/>
        </w:rPr>
      </w:pPr>
      <w:r>
        <w:rPr>
          <w:rFonts w:hint="eastAsia"/>
          <w:color w:val="auto"/>
          <w:sz w:val="24"/>
          <w:szCs w:val="24"/>
          <w:highlight w:val="none"/>
        </w:rPr>
        <w:t>人行灯杆高不少于3.5 M，安装人行灯后保证灯下边缘净空不少于2.5 M。</w:t>
      </w:r>
    </w:p>
    <w:p w14:paraId="68892455">
      <w:pPr>
        <w:rPr>
          <w:color w:val="auto"/>
          <w:sz w:val="24"/>
          <w:szCs w:val="24"/>
          <w:highlight w:val="none"/>
        </w:rPr>
      </w:pPr>
      <w:r>
        <w:rPr>
          <w:rFonts w:hint="eastAsia"/>
          <w:color w:val="auto"/>
          <w:sz w:val="24"/>
          <w:szCs w:val="24"/>
          <w:highlight w:val="none"/>
        </w:rPr>
        <w:t>灯杆由钢管与铝合金型材组成。钢结构应经热镀锌处理；铝合金外壳壁厚不小于2mm，表面须经静电喷塑处理。灯具安装连接环在灯杆上可在360°范围内任意调整并固定，在同一层面上可满足在不同角度安装两组灯具。灯杆颜色按用户要求制作。</w:t>
      </w:r>
    </w:p>
    <w:p w14:paraId="07E48213">
      <w:pPr>
        <w:rPr>
          <w:color w:val="auto"/>
          <w:sz w:val="24"/>
          <w:szCs w:val="24"/>
          <w:highlight w:val="none"/>
        </w:rPr>
      </w:pPr>
      <w:r>
        <w:rPr>
          <w:rFonts w:hint="eastAsia"/>
          <w:color w:val="auto"/>
          <w:sz w:val="24"/>
          <w:szCs w:val="24"/>
          <w:highlight w:val="none"/>
        </w:rPr>
        <w:t>（8）杆件安装要求</w:t>
      </w:r>
    </w:p>
    <w:p w14:paraId="1ECA9F82">
      <w:pPr>
        <w:rPr>
          <w:color w:val="auto"/>
          <w:sz w:val="24"/>
          <w:szCs w:val="24"/>
          <w:highlight w:val="none"/>
        </w:rPr>
      </w:pPr>
      <w:r>
        <w:rPr>
          <w:rFonts w:hint="eastAsia"/>
          <w:color w:val="auto"/>
          <w:sz w:val="24"/>
          <w:szCs w:val="24"/>
          <w:highlight w:val="none"/>
        </w:rPr>
        <w:t>1）地笼预埋时其方向应与底座法兰盘保持垂直。施工时如遇有平曲线路段，应调整预埋法兰盘的方向，使其纵向中心线与行车方向保持一致。基础施工完毕，地脚螺栓外露长度不低于50mm（地脚螺栓应排列成圆形），并对外露螺部分加以妥善保护。</w:t>
      </w:r>
    </w:p>
    <w:p w14:paraId="3404B711">
      <w:pPr>
        <w:rPr>
          <w:color w:val="auto"/>
          <w:sz w:val="24"/>
          <w:szCs w:val="24"/>
          <w:highlight w:val="none"/>
        </w:rPr>
      </w:pPr>
      <w:r>
        <w:rPr>
          <w:rFonts w:hint="eastAsia"/>
          <w:color w:val="auto"/>
          <w:sz w:val="24"/>
          <w:szCs w:val="24"/>
          <w:highlight w:val="none"/>
        </w:rPr>
        <w:t>2）杆件安装时，支柱应处于正常工作位置，起吊点应位于支柱底部；安装完成后，支柱专用接地螺栓与保护地线应做可靠电气连接。杆件及杆件上所有设备安装后，杆件立柱臂应与地面垂直，杆件悬臂应与道路中心走向呈90度直角，杆件悬臂与立柱臂呈91度-92度夹角，同时杆件横臂及设备组成的整体下边缘距离地面净空不低于6米，安装后的设备和机箱不得侵入机动车道建筑界限以内，不得影响车辆正常通行。整根杆（含基础）及其上配件应能抗14级以上台风。</w:t>
      </w:r>
    </w:p>
    <w:p w14:paraId="6957CC87">
      <w:pPr>
        <w:rPr>
          <w:color w:val="auto"/>
          <w:kern w:val="0"/>
          <w:sz w:val="24"/>
          <w:szCs w:val="24"/>
          <w:highlight w:val="none"/>
        </w:rPr>
      </w:pPr>
      <w:r>
        <w:rPr>
          <w:rFonts w:hint="eastAsia"/>
          <w:color w:val="auto"/>
          <w:sz w:val="24"/>
          <w:szCs w:val="24"/>
          <w:highlight w:val="none"/>
        </w:rPr>
        <w:t>3）前端杆件应贴反光材料，防止杆件被撞及提醒驾驶人、行人避让。</w:t>
      </w:r>
    </w:p>
    <w:p w14:paraId="29339FC0">
      <w:pPr>
        <w:rPr>
          <w:color w:val="auto"/>
          <w:kern w:val="0"/>
          <w:sz w:val="24"/>
          <w:szCs w:val="24"/>
          <w:highlight w:val="none"/>
        </w:rPr>
      </w:pPr>
      <w:r>
        <w:rPr>
          <w:rFonts w:hint="eastAsia"/>
          <w:color w:val="auto"/>
          <w:sz w:val="24"/>
          <w:szCs w:val="24"/>
          <w:highlight w:val="none"/>
        </w:rPr>
        <w:t>4）顶端应设计喷涂红黄绿三种颜色组成的防水帽，用以区分是否为交警杆件。</w:t>
      </w:r>
    </w:p>
    <w:p w14:paraId="0C6DB850">
      <w:pPr>
        <w:rPr>
          <w:color w:val="auto"/>
          <w:sz w:val="24"/>
          <w:szCs w:val="24"/>
          <w:highlight w:val="none"/>
        </w:rPr>
      </w:pPr>
      <w:r>
        <w:rPr>
          <w:rFonts w:hint="eastAsia"/>
          <w:color w:val="auto"/>
          <w:sz w:val="24"/>
          <w:szCs w:val="24"/>
          <w:highlight w:val="none"/>
        </w:rPr>
        <w:t>5）所有相机要按照下图样式要求在杆件两侧粘贴标牌，编号由交警部门提供。</w:t>
      </w:r>
    </w:p>
    <w:p w14:paraId="343D3943">
      <w:pPr>
        <w:pStyle w:val="20"/>
        <w:rPr>
          <w:color w:val="auto"/>
          <w:sz w:val="24"/>
          <w:szCs w:val="24"/>
          <w:highlight w:val="none"/>
        </w:rPr>
      </w:pPr>
      <w:r>
        <w:rPr>
          <w:rFonts w:hint="eastAsia"/>
          <w:color w:val="auto"/>
          <w:sz w:val="24"/>
          <w:szCs w:val="24"/>
          <w:highlight w:val="none"/>
        </w:rPr>
        <w:drawing>
          <wp:anchor distT="0" distB="0" distL="114935" distR="114935" simplePos="0" relativeHeight="251663360" behindDoc="0" locked="0" layoutInCell="1" allowOverlap="1">
            <wp:simplePos x="0" y="0"/>
            <wp:positionH relativeFrom="column">
              <wp:posOffset>570865</wp:posOffset>
            </wp:positionH>
            <wp:positionV relativeFrom="paragraph">
              <wp:posOffset>142240</wp:posOffset>
            </wp:positionV>
            <wp:extent cx="2309495" cy="1148080"/>
            <wp:effectExtent l="0" t="0" r="6985" b="10160"/>
            <wp:wrapTopAndBottom/>
            <wp:docPr id="7" name="图片 0" descr="相机编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相机编号.jpg"/>
                    <pic:cNvPicPr>
                      <a:picLocks noChangeAspect="1"/>
                    </pic:cNvPicPr>
                  </pic:nvPicPr>
                  <pic:blipFill>
                    <a:blip r:embed="rId10" cstate="print"/>
                    <a:stretch>
                      <a:fillRect/>
                    </a:stretch>
                  </pic:blipFill>
                  <pic:spPr>
                    <a:xfrm>
                      <a:off x="0" y="0"/>
                      <a:ext cx="2309495" cy="1148080"/>
                    </a:xfrm>
                    <a:prstGeom prst="rect">
                      <a:avLst/>
                    </a:prstGeom>
                    <a:noFill/>
                    <a:ln>
                      <a:noFill/>
                    </a:ln>
                  </pic:spPr>
                </pic:pic>
              </a:graphicData>
            </a:graphic>
          </wp:anchor>
        </w:drawing>
      </w:r>
    </w:p>
    <w:p w14:paraId="199B803C">
      <w:pPr>
        <w:pStyle w:val="5"/>
        <w:rPr>
          <w:color w:val="auto"/>
          <w:sz w:val="24"/>
          <w:szCs w:val="24"/>
          <w:highlight w:val="none"/>
        </w:rPr>
      </w:pPr>
      <w:r>
        <w:rPr>
          <w:rFonts w:hint="eastAsia"/>
          <w:color w:val="auto"/>
          <w:sz w:val="24"/>
          <w:szCs w:val="24"/>
          <w:highlight w:val="none"/>
        </w:rPr>
        <w:t>2、基础</w:t>
      </w:r>
    </w:p>
    <w:p w14:paraId="35A5A03B">
      <w:pPr>
        <w:rPr>
          <w:color w:val="auto"/>
          <w:sz w:val="24"/>
          <w:szCs w:val="24"/>
          <w:highlight w:val="none"/>
          <w:lang w:val="zh-CN"/>
        </w:rPr>
      </w:pPr>
      <w:r>
        <w:rPr>
          <w:rFonts w:hint="eastAsia"/>
          <w:color w:val="auto"/>
          <w:sz w:val="24"/>
          <w:szCs w:val="24"/>
          <w:highlight w:val="none"/>
        </w:rPr>
        <w:t>1、</w:t>
      </w:r>
      <w:r>
        <w:rPr>
          <w:rFonts w:hint="eastAsia"/>
          <w:color w:val="auto"/>
          <w:sz w:val="24"/>
          <w:szCs w:val="24"/>
          <w:highlight w:val="none"/>
          <w:lang w:val="zh-CN"/>
        </w:rPr>
        <w:t xml:space="preserve"> 智能交通设施杆件和机箱基础应根据具体型式要求进行设计，应符合《公安交通管理外场设备基础设施施工通用要求》GA/T 652的要求。基础的浇筑混凝土强度等级应符合《混凝土结构设计规范》GB 50010的要求。</w:t>
      </w:r>
    </w:p>
    <w:p w14:paraId="35FB83EE">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1</w:t>
      </w:r>
      <w:r>
        <w:rPr>
          <w:rFonts w:hint="eastAsia"/>
          <w:color w:val="auto"/>
          <w:sz w:val="24"/>
          <w:szCs w:val="24"/>
          <w:highlight w:val="none"/>
          <w:lang w:val="zh-CN"/>
        </w:rPr>
        <w:t>）L型杆件基础开挖要求：</w:t>
      </w:r>
    </w:p>
    <w:p w14:paraId="71DDA75C">
      <w:pPr>
        <w:rPr>
          <w:color w:val="auto"/>
          <w:sz w:val="24"/>
          <w:szCs w:val="24"/>
          <w:highlight w:val="none"/>
        </w:rPr>
      </w:pPr>
      <w:r>
        <w:rPr>
          <w:rFonts w:hint="eastAsia"/>
          <w:color w:val="auto"/>
          <w:sz w:val="24"/>
          <w:szCs w:val="24"/>
          <w:highlight w:val="none"/>
          <w:lang w:val="zh-CN"/>
        </w:rPr>
        <w:t xml:space="preserve">副杆4米至7米L型杆件的基础开挖不小于1.5*1.5*1.8m,预埋件的大小不小于M27*8*1600 </w:t>
      </w:r>
      <w:r>
        <w:rPr>
          <w:rFonts w:hint="eastAsia"/>
          <w:color w:val="auto"/>
          <w:sz w:val="24"/>
          <w:szCs w:val="24"/>
          <w:highlight w:val="none"/>
        </w:rPr>
        <w:t>mm；灌砼础地层要保持水平,然后在放入Φ10@250网板。地脚螺栓底层与地网拼接采用焊接，基底尺寸为1500MM×1500MM。</w:t>
      </w:r>
    </w:p>
    <w:p w14:paraId="0B24D423">
      <w:pPr>
        <w:rPr>
          <w:color w:val="auto"/>
          <w:sz w:val="24"/>
          <w:szCs w:val="24"/>
          <w:highlight w:val="none"/>
        </w:rPr>
      </w:pPr>
      <w:r>
        <w:rPr>
          <w:rFonts w:hint="eastAsia"/>
          <w:color w:val="auto"/>
          <w:sz w:val="24"/>
          <w:szCs w:val="24"/>
          <w:highlight w:val="none"/>
        </w:rPr>
        <w:t>副杆8至12米L型杆件的基础开挖不小于1.8*1.8*2.0m,预埋件的大小不小于M30*8*1800 mm；灌砼础地层要保持水平,然后在放入Φ10@250网板。地脚螺栓底层与地网拼接采用焊接。基底尺寸为1600MM×1600MM。</w:t>
      </w:r>
    </w:p>
    <w:p w14:paraId="331E9E77">
      <w:pPr>
        <w:rPr>
          <w:color w:val="auto"/>
          <w:sz w:val="24"/>
          <w:szCs w:val="24"/>
          <w:highlight w:val="none"/>
        </w:rPr>
      </w:pPr>
      <w:r>
        <w:rPr>
          <w:rFonts w:hint="eastAsia"/>
          <w:color w:val="auto"/>
          <w:sz w:val="24"/>
          <w:szCs w:val="24"/>
          <w:highlight w:val="none"/>
        </w:rPr>
        <w:t>副杆13至15米L型杆件的基础开挖不小于2*2*2.3m,预埋件的大小不小于M36*8*200 mm；灌砼础地层要保持水平,然后在放入Φ10@250网板。地脚螺栓底层与地网拼接采用焊接。基底尺寸为2000MM×2000MM。</w:t>
      </w:r>
    </w:p>
    <w:p w14:paraId="775AC71A">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2</w:t>
      </w:r>
      <w:r>
        <w:rPr>
          <w:rFonts w:hint="eastAsia"/>
          <w:color w:val="auto"/>
          <w:sz w:val="24"/>
          <w:szCs w:val="24"/>
          <w:highlight w:val="none"/>
          <w:lang w:val="zh-CN"/>
        </w:rPr>
        <w:t>）T型杆件基础开挖要求：</w:t>
      </w:r>
    </w:p>
    <w:p w14:paraId="7CC6B392">
      <w:pPr>
        <w:rPr>
          <w:color w:val="auto"/>
          <w:sz w:val="24"/>
          <w:szCs w:val="24"/>
          <w:highlight w:val="none"/>
        </w:rPr>
      </w:pPr>
      <w:r>
        <w:rPr>
          <w:rFonts w:hint="eastAsia"/>
          <w:color w:val="auto"/>
          <w:sz w:val="24"/>
          <w:szCs w:val="24"/>
          <w:highlight w:val="none"/>
        </w:rPr>
        <w:t>副杆≤8米T型杆件的基础开挖不小于1.6*1.6*1.9m,预埋件不小于M27*8*1700 mm；灌砼础地层要保持水平,然后在放入Φ10@250网板，地脚螺栓底层与地网拼接采用焊接。基底尺寸为1600MM×1600MM。</w:t>
      </w:r>
    </w:p>
    <w:p w14:paraId="120FCC24">
      <w:pPr>
        <w:rPr>
          <w:color w:val="auto"/>
          <w:sz w:val="24"/>
          <w:szCs w:val="24"/>
          <w:highlight w:val="none"/>
        </w:rPr>
      </w:pPr>
      <w:r>
        <w:rPr>
          <w:rFonts w:hint="eastAsia"/>
          <w:color w:val="auto"/>
          <w:sz w:val="24"/>
          <w:szCs w:val="24"/>
          <w:highlight w:val="none"/>
        </w:rPr>
        <w:t>副杆9至11米T型杆件的基础开挖不小于1.8*1.8*2.1m,预埋件不小于M30*8*1900 mm；灌砼础地层要保持水平,然后在放入Φ10@250网板，地脚螺栓底层与地网拼接采用焊接。基底尺寸为1800MM×1800MM。</w:t>
      </w:r>
    </w:p>
    <w:p w14:paraId="73D707B4">
      <w:pPr>
        <w:rPr>
          <w:color w:val="auto"/>
          <w:sz w:val="24"/>
          <w:szCs w:val="24"/>
          <w:highlight w:val="none"/>
        </w:rPr>
      </w:pPr>
      <w:r>
        <w:rPr>
          <w:rFonts w:hint="eastAsia"/>
          <w:color w:val="auto"/>
          <w:sz w:val="24"/>
          <w:szCs w:val="24"/>
          <w:highlight w:val="none"/>
        </w:rPr>
        <w:t>副杆13至15米T型杆件的基础开挖不小于2.0*2.0*2.5m,预埋件不小于M36*8*2300 mm；灌砼础地层要保持水平,然后在放入Φ10@250网板，地脚螺栓底层与地网拼接采用焊接。基底尺寸为2000MM×2000MM。</w:t>
      </w:r>
    </w:p>
    <w:p w14:paraId="3FF6228C">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3</w:t>
      </w:r>
      <w:r>
        <w:rPr>
          <w:rFonts w:hint="eastAsia"/>
          <w:color w:val="auto"/>
          <w:sz w:val="24"/>
          <w:szCs w:val="24"/>
          <w:highlight w:val="none"/>
          <w:lang w:val="zh-CN"/>
        </w:rPr>
        <w:t>）测速箱直立杆基础要求：</w:t>
      </w:r>
    </w:p>
    <w:p w14:paraId="4FA846A8">
      <w:pPr>
        <w:rPr>
          <w:color w:val="auto"/>
          <w:sz w:val="24"/>
          <w:szCs w:val="24"/>
          <w:highlight w:val="none"/>
        </w:rPr>
      </w:pPr>
      <w:r>
        <w:rPr>
          <w:rFonts w:hint="eastAsia"/>
          <w:color w:val="auto"/>
          <w:sz w:val="24"/>
          <w:szCs w:val="24"/>
          <w:highlight w:val="none"/>
        </w:rPr>
        <w:t>基础开挖不小于1.0*1.0*1.0m,预埋件不小于M20*4*800 mm，基底尺寸为1000mm×1000mm。</w:t>
      </w:r>
    </w:p>
    <w:p w14:paraId="3398D157">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4</w:t>
      </w:r>
      <w:r>
        <w:rPr>
          <w:rFonts w:hint="eastAsia"/>
          <w:color w:val="auto"/>
          <w:sz w:val="24"/>
          <w:szCs w:val="24"/>
          <w:highlight w:val="none"/>
          <w:lang w:val="zh-CN"/>
        </w:rPr>
        <w:t>）F型杆件基础开挖要求：</w:t>
      </w:r>
    </w:p>
    <w:p w14:paraId="62BBDFFB">
      <w:pPr>
        <w:rPr>
          <w:color w:val="auto"/>
          <w:sz w:val="24"/>
          <w:szCs w:val="24"/>
          <w:highlight w:val="none"/>
        </w:rPr>
      </w:pPr>
      <w:r>
        <w:rPr>
          <w:rFonts w:hint="eastAsia"/>
          <w:color w:val="auto"/>
          <w:sz w:val="24"/>
          <w:szCs w:val="24"/>
          <w:highlight w:val="none"/>
        </w:rPr>
        <w:t>基础开挖不小于3m*3m*2.8m,预埋件不小于M30*12*2500mm，基底为3000mm×3000mm。</w:t>
      </w:r>
    </w:p>
    <w:p w14:paraId="3890B913">
      <w:pPr>
        <w:rPr>
          <w:color w:val="auto"/>
          <w:sz w:val="24"/>
          <w:szCs w:val="24"/>
          <w:highlight w:val="none"/>
          <w:lang w:val="zh-CN"/>
        </w:rPr>
      </w:pPr>
      <w:bookmarkStart w:id="86" w:name="_Toc10212778"/>
      <w:bookmarkStart w:id="87" w:name="_Toc533860770"/>
      <w:bookmarkStart w:id="88" w:name="_Toc533860771"/>
      <w:bookmarkStart w:id="89" w:name="_Toc10212779"/>
      <w:r>
        <w:rPr>
          <w:rFonts w:hint="eastAsia"/>
          <w:color w:val="auto"/>
          <w:sz w:val="24"/>
          <w:szCs w:val="24"/>
          <w:highlight w:val="none"/>
        </w:rPr>
        <w:t>（5）</w:t>
      </w:r>
      <w:r>
        <w:rPr>
          <w:rFonts w:hint="eastAsia"/>
          <w:color w:val="auto"/>
          <w:sz w:val="24"/>
          <w:szCs w:val="24"/>
          <w:highlight w:val="none"/>
          <w:lang w:val="zh-CN"/>
        </w:rPr>
        <w:t>施工工序要求</w:t>
      </w:r>
      <w:bookmarkEnd w:id="86"/>
      <w:bookmarkEnd w:id="87"/>
    </w:p>
    <w:p w14:paraId="24163B0F">
      <w:pPr>
        <w:rPr>
          <w:color w:val="auto"/>
          <w:sz w:val="24"/>
          <w:szCs w:val="24"/>
          <w:highlight w:val="none"/>
          <w:lang w:val="zh-CN"/>
        </w:rPr>
      </w:pPr>
      <w:r>
        <w:rPr>
          <w:rFonts w:hint="eastAsia"/>
          <w:color w:val="auto"/>
          <w:sz w:val="24"/>
          <w:szCs w:val="24"/>
          <w:highlight w:val="none"/>
          <w:lang w:val="zh-CN"/>
        </w:rPr>
        <w:t>基础施工工序应满足以下流程，应完成上一步后方可进行下一步施工：</w:t>
      </w:r>
    </w:p>
    <w:p w14:paraId="6D525296">
      <w:pPr>
        <w:rPr>
          <w:color w:val="auto"/>
          <w:sz w:val="24"/>
          <w:szCs w:val="24"/>
          <w:highlight w:val="none"/>
          <w:lang w:val="zh-CN"/>
        </w:rPr>
      </w:pPr>
      <w:r>
        <w:rPr>
          <w:rFonts w:hint="eastAsia"/>
          <w:color w:val="auto"/>
          <w:sz w:val="24"/>
          <w:szCs w:val="24"/>
          <w:highlight w:val="none"/>
          <w:lang w:val="zh-CN"/>
        </w:rPr>
        <w:t>1） 测量定点</w:t>
      </w:r>
    </w:p>
    <w:p w14:paraId="7CED8D12">
      <w:pPr>
        <w:rPr>
          <w:color w:val="auto"/>
          <w:sz w:val="24"/>
          <w:szCs w:val="24"/>
          <w:highlight w:val="none"/>
          <w:lang w:val="zh-CN"/>
        </w:rPr>
      </w:pPr>
      <w:r>
        <w:rPr>
          <w:rFonts w:hint="eastAsia"/>
          <w:color w:val="auto"/>
          <w:sz w:val="24"/>
          <w:szCs w:val="24"/>
          <w:highlight w:val="none"/>
          <w:lang w:val="zh-CN"/>
        </w:rPr>
        <w:t>2） 基坑开挖</w:t>
      </w:r>
    </w:p>
    <w:p w14:paraId="0C7B75F4">
      <w:pPr>
        <w:rPr>
          <w:color w:val="auto"/>
          <w:sz w:val="24"/>
          <w:szCs w:val="24"/>
          <w:highlight w:val="none"/>
          <w:lang w:val="zh-CN"/>
        </w:rPr>
      </w:pPr>
      <w:r>
        <w:rPr>
          <w:rFonts w:hint="eastAsia"/>
          <w:color w:val="auto"/>
          <w:sz w:val="24"/>
          <w:szCs w:val="24"/>
          <w:highlight w:val="none"/>
          <w:lang w:val="zh-CN"/>
        </w:rPr>
        <w:t>3） 测量确认</w:t>
      </w:r>
    </w:p>
    <w:p w14:paraId="29F18243">
      <w:pPr>
        <w:rPr>
          <w:color w:val="auto"/>
          <w:sz w:val="24"/>
          <w:szCs w:val="24"/>
          <w:highlight w:val="none"/>
          <w:lang w:val="zh-CN"/>
        </w:rPr>
      </w:pPr>
      <w:r>
        <w:rPr>
          <w:rFonts w:hint="eastAsia"/>
          <w:color w:val="auto"/>
          <w:sz w:val="24"/>
          <w:szCs w:val="24"/>
          <w:highlight w:val="none"/>
          <w:lang w:val="zh-CN"/>
        </w:rPr>
        <w:t>4） 打接地棒</w:t>
      </w:r>
    </w:p>
    <w:p w14:paraId="277B5CB2">
      <w:pPr>
        <w:rPr>
          <w:color w:val="auto"/>
          <w:sz w:val="24"/>
          <w:szCs w:val="24"/>
          <w:highlight w:val="none"/>
          <w:lang w:val="zh-CN"/>
        </w:rPr>
      </w:pPr>
      <w:r>
        <w:rPr>
          <w:rFonts w:hint="eastAsia"/>
          <w:color w:val="auto"/>
          <w:sz w:val="24"/>
          <w:szCs w:val="24"/>
          <w:highlight w:val="none"/>
          <w:lang w:val="zh-CN"/>
        </w:rPr>
        <w:t>5） 底层浇砼</w:t>
      </w:r>
    </w:p>
    <w:p w14:paraId="5DE8B952">
      <w:pPr>
        <w:rPr>
          <w:color w:val="auto"/>
          <w:sz w:val="24"/>
          <w:szCs w:val="24"/>
          <w:highlight w:val="none"/>
          <w:lang w:val="zh-CN"/>
        </w:rPr>
      </w:pPr>
      <w:r>
        <w:rPr>
          <w:rFonts w:hint="eastAsia"/>
          <w:color w:val="auto"/>
          <w:sz w:val="24"/>
          <w:szCs w:val="24"/>
          <w:highlight w:val="none"/>
          <w:lang w:val="zh-CN"/>
        </w:rPr>
        <w:t>6） 放预埋件支模</w:t>
      </w:r>
    </w:p>
    <w:p w14:paraId="65F28F2E">
      <w:pPr>
        <w:rPr>
          <w:color w:val="auto"/>
          <w:sz w:val="24"/>
          <w:szCs w:val="24"/>
          <w:highlight w:val="none"/>
          <w:lang w:val="zh-CN"/>
        </w:rPr>
      </w:pPr>
      <w:r>
        <w:rPr>
          <w:rFonts w:hint="eastAsia"/>
          <w:color w:val="auto"/>
          <w:sz w:val="24"/>
          <w:szCs w:val="24"/>
          <w:highlight w:val="none"/>
          <w:lang w:val="zh-CN"/>
        </w:rPr>
        <w:t>7） 浇砼</w:t>
      </w:r>
    </w:p>
    <w:p w14:paraId="1D72C29C">
      <w:pPr>
        <w:rPr>
          <w:color w:val="auto"/>
          <w:sz w:val="24"/>
          <w:szCs w:val="24"/>
          <w:highlight w:val="none"/>
          <w:lang w:val="zh-CN"/>
        </w:rPr>
      </w:pPr>
      <w:r>
        <w:rPr>
          <w:rFonts w:hint="eastAsia"/>
          <w:color w:val="auto"/>
          <w:sz w:val="24"/>
          <w:szCs w:val="24"/>
          <w:highlight w:val="none"/>
          <w:lang w:val="zh-CN"/>
        </w:rPr>
        <w:t>8） 保养</w:t>
      </w:r>
    </w:p>
    <w:p w14:paraId="0B9D8475">
      <w:pPr>
        <w:rPr>
          <w:color w:val="auto"/>
          <w:sz w:val="24"/>
          <w:szCs w:val="24"/>
          <w:highlight w:val="none"/>
          <w:lang w:val="zh-CN"/>
        </w:rPr>
      </w:pPr>
      <w:r>
        <w:rPr>
          <w:rFonts w:hint="eastAsia"/>
          <w:color w:val="auto"/>
          <w:sz w:val="24"/>
          <w:szCs w:val="24"/>
          <w:highlight w:val="none"/>
        </w:rPr>
        <w:t>（6）</w:t>
      </w:r>
      <w:r>
        <w:rPr>
          <w:rFonts w:hint="eastAsia"/>
          <w:color w:val="auto"/>
          <w:sz w:val="24"/>
          <w:szCs w:val="24"/>
          <w:highlight w:val="none"/>
          <w:lang w:val="zh-CN"/>
        </w:rPr>
        <w:t>施工工艺要求</w:t>
      </w:r>
      <w:bookmarkEnd w:id="88"/>
      <w:bookmarkEnd w:id="89"/>
    </w:p>
    <w:p w14:paraId="13C34874">
      <w:pPr>
        <w:pStyle w:val="88"/>
        <w:numPr>
          <w:ilvl w:val="0"/>
          <w:numId w:val="20"/>
        </w:numPr>
        <w:ind w:firstLineChars="0"/>
        <w:rPr>
          <w:color w:val="auto"/>
          <w:sz w:val="24"/>
          <w:szCs w:val="24"/>
          <w:highlight w:val="none"/>
        </w:rPr>
      </w:pPr>
      <w:r>
        <w:rPr>
          <w:rFonts w:hint="eastAsia"/>
          <w:color w:val="auto"/>
          <w:sz w:val="24"/>
          <w:szCs w:val="24"/>
          <w:highlight w:val="none"/>
          <w:lang w:val="zh-CN"/>
        </w:rPr>
        <w:t>基础坑及浇注应符合设计要求，上坑口不应大于标注尺寸的10%，坑底不应小于标注尺寸，</w:t>
      </w:r>
      <w:r>
        <w:rPr>
          <w:rFonts w:hint="eastAsia"/>
          <w:color w:val="auto"/>
          <w:sz w:val="24"/>
          <w:szCs w:val="24"/>
          <w:highlight w:val="none"/>
        </w:rPr>
        <w:t>且基础坑表面平整，有一定的强度，不积水</w:t>
      </w:r>
      <w:r>
        <w:rPr>
          <w:rFonts w:hint="eastAsia"/>
          <w:color w:val="auto"/>
          <w:sz w:val="24"/>
          <w:szCs w:val="24"/>
          <w:highlight w:val="none"/>
          <w:lang w:val="zh-CN"/>
        </w:rPr>
        <w:t>。</w:t>
      </w:r>
      <w:r>
        <w:rPr>
          <w:rFonts w:hint="eastAsia"/>
          <w:color w:val="auto"/>
          <w:sz w:val="24"/>
          <w:szCs w:val="24"/>
          <w:highlight w:val="none"/>
        </w:rPr>
        <w:t>一般情况为规则立方体结构，浇筑混凝土总立方数应大于等于设计标准。</w:t>
      </w:r>
    </w:p>
    <w:p w14:paraId="63C268BB">
      <w:pPr>
        <w:pStyle w:val="88"/>
        <w:numPr>
          <w:ilvl w:val="0"/>
          <w:numId w:val="20"/>
        </w:numPr>
        <w:ind w:firstLineChars="0"/>
        <w:rPr>
          <w:color w:val="auto"/>
          <w:sz w:val="24"/>
          <w:szCs w:val="24"/>
          <w:highlight w:val="none"/>
        </w:rPr>
      </w:pPr>
      <w:r>
        <w:rPr>
          <w:rFonts w:hint="eastAsia"/>
          <w:color w:val="auto"/>
          <w:sz w:val="24"/>
          <w:szCs w:val="24"/>
          <w:highlight w:val="none"/>
        </w:rPr>
        <w:t>浇筑基础前，应排除坑内积水，应保证基础坑内无碎土、砂石以及其它杂物。</w:t>
      </w:r>
    </w:p>
    <w:p w14:paraId="2F7A5257">
      <w:pPr>
        <w:pStyle w:val="88"/>
        <w:numPr>
          <w:ilvl w:val="0"/>
          <w:numId w:val="20"/>
        </w:numPr>
        <w:ind w:firstLineChars="0"/>
        <w:rPr>
          <w:color w:val="auto"/>
          <w:sz w:val="24"/>
          <w:szCs w:val="24"/>
          <w:highlight w:val="none"/>
          <w:lang w:val="zh-CN"/>
        </w:rPr>
      </w:pPr>
      <w:r>
        <w:rPr>
          <w:rFonts w:hint="eastAsia"/>
          <w:color w:val="auto"/>
          <w:sz w:val="24"/>
          <w:szCs w:val="24"/>
          <w:highlight w:val="none"/>
          <w:lang w:val="zh-CN"/>
        </w:rPr>
        <w:t>基础的钢筋笼应临时固定，同时确保钢筋笼的基础顶板平面水平，即用水平尺在基础顶板垂直两个方向测量，观察其气泡应居中。</w:t>
      </w:r>
    </w:p>
    <w:p w14:paraId="24A7A4AF">
      <w:pPr>
        <w:pStyle w:val="88"/>
        <w:numPr>
          <w:ilvl w:val="0"/>
          <w:numId w:val="20"/>
        </w:numPr>
        <w:ind w:firstLineChars="0"/>
        <w:rPr>
          <w:color w:val="auto"/>
          <w:sz w:val="24"/>
          <w:szCs w:val="24"/>
          <w:highlight w:val="none"/>
          <w:lang w:val="zh-CN"/>
        </w:rPr>
      </w:pPr>
      <w:r>
        <w:rPr>
          <w:rFonts w:hint="eastAsia"/>
          <w:color w:val="auto"/>
          <w:sz w:val="24"/>
          <w:szCs w:val="24"/>
          <w:highlight w:val="none"/>
        </w:rPr>
        <w:t>基础应预留2-3根</w:t>
      </w:r>
      <w:r>
        <w:rPr>
          <w:rFonts w:hint="eastAsia"/>
          <w:color w:val="auto"/>
          <w:sz w:val="24"/>
          <w:szCs w:val="24"/>
          <w:highlight w:val="none"/>
          <w:lang w:val="zh-CN"/>
        </w:rPr>
        <w:t>Φ75PE管</w:t>
      </w:r>
      <w:r>
        <w:rPr>
          <w:rFonts w:hint="eastAsia"/>
          <w:color w:val="auto"/>
          <w:sz w:val="24"/>
          <w:szCs w:val="24"/>
          <w:highlight w:val="none"/>
        </w:rPr>
        <w:t>，从基础中心穿出，超出混凝土基础平面30cm。</w:t>
      </w:r>
    </w:p>
    <w:p w14:paraId="1585585E">
      <w:pPr>
        <w:rPr>
          <w:color w:val="auto"/>
          <w:sz w:val="24"/>
          <w:szCs w:val="24"/>
          <w:highlight w:val="none"/>
          <w:lang w:val="zh-CN"/>
        </w:rPr>
      </w:pPr>
      <w:r>
        <w:rPr>
          <w:rFonts w:hint="eastAsia"/>
          <w:color w:val="auto"/>
          <w:sz w:val="24"/>
          <w:szCs w:val="24"/>
          <w:highlight w:val="none"/>
        </w:rPr>
        <w:t>5</w:t>
      </w:r>
      <w:r>
        <w:rPr>
          <w:rFonts w:hint="eastAsia"/>
          <w:color w:val="auto"/>
          <w:sz w:val="24"/>
          <w:szCs w:val="24"/>
          <w:highlight w:val="none"/>
          <w:lang w:val="zh-CN"/>
        </w:rPr>
        <w:t>） 基础面下沉路面应为</w:t>
      </w:r>
      <w:r>
        <w:rPr>
          <w:rFonts w:hint="eastAsia"/>
          <w:color w:val="auto"/>
          <w:sz w:val="24"/>
          <w:szCs w:val="24"/>
          <w:highlight w:val="none"/>
        </w:rPr>
        <w:t>15</w:t>
      </w:r>
      <w:r>
        <w:rPr>
          <w:rFonts w:hint="eastAsia"/>
          <w:color w:val="auto"/>
          <w:sz w:val="24"/>
          <w:szCs w:val="24"/>
          <w:highlight w:val="none"/>
          <w:lang w:val="zh-CN"/>
        </w:rPr>
        <w:t>-30cm之间，</w:t>
      </w:r>
      <w:r>
        <w:rPr>
          <w:rFonts w:hint="eastAsia"/>
          <w:color w:val="auto"/>
          <w:sz w:val="24"/>
          <w:szCs w:val="24"/>
          <w:highlight w:val="none"/>
        </w:rPr>
        <w:t>下沉路面恢复效果应于周围环境要求相符</w:t>
      </w:r>
      <w:r>
        <w:rPr>
          <w:rFonts w:hint="eastAsia"/>
          <w:color w:val="auto"/>
          <w:sz w:val="24"/>
          <w:szCs w:val="24"/>
          <w:highlight w:val="none"/>
          <w:lang w:val="zh-CN"/>
        </w:rPr>
        <w:t>。</w:t>
      </w:r>
    </w:p>
    <w:p w14:paraId="13429CAD">
      <w:pPr>
        <w:rPr>
          <w:color w:val="auto"/>
          <w:sz w:val="24"/>
          <w:szCs w:val="24"/>
          <w:highlight w:val="none"/>
        </w:rPr>
      </w:pPr>
      <w:r>
        <w:rPr>
          <w:rFonts w:hint="eastAsia"/>
          <w:color w:val="auto"/>
          <w:sz w:val="24"/>
          <w:szCs w:val="24"/>
          <w:highlight w:val="none"/>
        </w:rPr>
        <w:t>6</w:t>
      </w:r>
      <w:r>
        <w:rPr>
          <w:rFonts w:hint="eastAsia"/>
          <w:color w:val="auto"/>
          <w:sz w:val="24"/>
          <w:szCs w:val="24"/>
          <w:highlight w:val="none"/>
          <w:lang w:val="zh-CN"/>
        </w:rPr>
        <w:t>）</w:t>
      </w:r>
      <w:r>
        <w:rPr>
          <w:rFonts w:hint="eastAsia"/>
          <w:color w:val="auto"/>
          <w:sz w:val="24"/>
          <w:szCs w:val="24"/>
          <w:highlight w:val="none"/>
        </w:rPr>
        <w:t xml:space="preserve"> 基础应采用地锚混凝土式基础浇筑，所用混凝土标号不低于C25。地脚螺栓上端为螺纹，下端为夹角小于60°的折弯，地脚螺栓焊接在下法兰盘上。预埋件地脚螺栓法兰盘以上的螺纹在杆件安装前必须包扎好，以防损坏螺纹。</w:t>
      </w:r>
    </w:p>
    <w:p w14:paraId="05FCBB1C">
      <w:pPr>
        <w:rPr>
          <w:color w:val="auto"/>
          <w:sz w:val="24"/>
          <w:szCs w:val="24"/>
          <w:highlight w:val="none"/>
        </w:rPr>
      </w:pPr>
      <w:r>
        <w:rPr>
          <w:rFonts w:hint="eastAsia"/>
          <w:color w:val="auto"/>
          <w:sz w:val="24"/>
          <w:szCs w:val="24"/>
          <w:highlight w:val="none"/>
        </w:rPr>
        <w:t>7</w:t>
      </w:r>
      <w:r>
        <w:rPr>
          <w:rFonts w:hint="eastAsia"/>
          <w:color w:val="auto"/>
          <w:sz w:val="24"/>
          <w:szCs w:val="24"/>
          <w:highlight w:val="none"/>
          <w:lang w:val="zh-CN"/>
        </w:rPr>
        <w:t>）</w:t>
      </w:r>
      <w:r>
        <w:rPr>
          <w:rFonts w:hint="eastAsia"/>
          <w:color w:val="auto"/>
          <w:sz w:val="24"/>
          <w:szCs w:val="24"/>
          <w:highlight w:val="none"/>
        </w:rPr>
        <w:t xml:space="preserve"> 浇筑混凝土时，不得污染路面。为保证钢筋笼不被混凝土冲歪，须将混凝土从钢筋笼中间倒入基础坑内，在倒入1/3部分后用振动棒震实，再倒入1/3部分后用振动棒震实，全部倒入后再震实，保证混凝土均匀没有蜂窝、空鼓。浇筑的混凝土不能出现离析现象。</w:t>
      </w:r>
    </w:p>
    <w:p w14:paraId="1EFCE1CD">
      <w:pPr>
        <w:rPr>
          <w:color w:val="auto"/>
          <w:sz w:val="24"/>
          <w:szCs w:val="24"/>
          <w:highlight w:val="none"/>
        </w:rPr>
      </w:pPr>
      <w:r>
        <w:rPr>
          <w:rFonts w:hint="eastAsia"/>
          <w:color w:val="auto"/>
          <w:sz w:val="24"/>
          <w:szCs w:val="24"/>
          <w:highlight w:val="none"/>
        </w:rPr>
        <w:t>8</w:t>
      </w:r>
      <w:r>
        <w:rPr>
          <w:rFonts w:hint="eastAsia"/>
          <w:color w:val="auto"/>
          <w:sz w:val="24"/>
          <w:szCs w:val="24"/>
          <w:highlight w:val="none"/>
          <w:lang w:val="zh-CN"/>
        </w:rPr>
        <w:t>）</w:t>
      </w:r>
      <w:r>
        <w:rPr>
          <w:rFonts w:hint="eastAsia"/>
          <w:color w:val="auto"/>
          <w:sz w:val="24"/>
          <w:szCs w:val="24"/>
          <w:highlight w:val="none"/>
        </w:rPr>
        <w:t xml:space="preserve"> 基础在混凝土浇筑完成后养护期不得低于14天。</w:t>
      </w:r>
    </w:p>
    <w:p w14:paraId="0C69A1EF">
      <w:pPr>
        <w:rPr>
          <w:color w:val="auto"/>
          <w:sz w:val="24"/>
          <w:szCs w:val="24"/>
          <w:highlight w:val="none"/>
        </w:rPr>
      </w:pPr>
      <w:r>
        <w:rPr>
          <w:rFonts w:hint="eastAsia"/>
          <w:color w:val="auto"/>
          <w:sz w:val="24"/>
          <w:szCs w:val="24"/>
          <w:highlight w:val="none"/>
        </w:rPr>
        <w:t>9） 基础笼预埋时其方向应与底座法兰盘保持垂直。预埋法兰盘的纵向中心线与行车方向保持一致。基础施工完毕，地脚螺栓外露长度不低于50mm，并对外露螺部分加以妥善保护。</w:t>
      </w:r>
    </w:p>
    <w:p w14:paraId="32C1E73B">
      <w:pPr>
        <w:rPr>
          <w:color w:val="auto"/>
          <w:sz w:val="24"/>
          <w:szCs w:val="24"/>
          <w:highlight w:val="none"/>
        </w:rPr>
      </w:pPr>
      <w:r>
        <w:rPr>
          <w:rFonts w:hint="eastAsia"/>
          <w:color w:val="auto"/>
          <w:sz w:val="24"/>
          <w:szCs w:val="24"/>
          <w:highlight w:val="none"/>
        </w:rPr>
        <w:t>10</w:t>
      </w:r>
      <w:r>
        <w:rPr>
          <w:rFonts w:hint="eastAsia"/>
          <w:color w:val="auto"/>
          <w:sz w:val="24"/>
          <w:szCs w:val="24"/>
          <w:highlight w:val="none"/>
          <w:lang w:val="zh-CN"/>
        </w:rPr>
        <w:t>）</w:t>
      </w:r>
      <w:r>
        <w:rPr>
          <w:rFonts w:hint="eastAsia"/>
          <w:color w:val="auto"/>
          <w:sz w:val="24"/>
          <w:szCs w:val="24"/>
          <w:highlight w:val="none"/>
        </w:rPr>
        <w:t xml:space="preserve"> 落地</w:t>
      </w:r>
      <w:r>
        <w:rPr>
          <w:rFonts w:hint="eastAsia"/>
          <w:color w:val="auto"/>
          <w:sz w:val="24"/>
          <w:szCs w:val="24"/>
          <w:highlight w:val="none"/>
          <w:lang w:val="zh-CN"/>
        </w:rPr>
        <w:t>机柜基础宜做支模，基础高于地面应不小于20cm，机柜内的管道宜预留2-3根Φ75PE管，便于后期穿线。</w:t>
      </w:r>
    </w:p>
    <w:p w14:paraId="4F92641B">
      <w:pPr>
        <w:pStyle w:val="4"/>
        <w:rPr>
          <w:color w:val="auto"/>
          <w:sz w:val="24"/>
          <w:szCs w:val="24"/>
          <w:highlight w:val="none"/>
        </w:rPr>
      </w:pPr>
      <w:bookmarkStart w:id="90" w:name="_Toc10212781"/>
      <w:bookmarkStart w:id="91" w:name="_Toc28810"/>
      <w:bookmarkStart w:id="92" w:name="_Toc38376015"/>
      <w:bookmarkStart w:id="93" w:name="_Toc38375495"/>
      <w:bookmarkStart w:id="94" w:name="_Toc15288143"/>
      <w:r>
        <w:rPr>
          <w:rFonts w:hint="eastAsia"/>
          <w:color w:val="auto"/>
          <w:sz w:val="24"/>
          <w:szCs w:val="24"/>
          <w:highlight w:val="none"/>
        </w:rPr>
        <w:t>3、窨井</w:t>
      </w:r>
      <w:bookmarkEnd w:id="90"/>
      <w:bookmarkEnd w:id="91"/>
      <w:bookmarkEnd w:id="92"/>
      <w:bookmarkEnd w:id="93"/>
      <w:bookmarkEnd w:id="94"/>
    </w:p>
    <w:p w14:paraId="2DC02FAA">
      <w:pPr>
        <w:rPr>
          <w:color w:val="auto"/>
          <w:sz w:val="24"/>
          <w:szCs w:val="24"/>
          <w:highlight w:val="none"/>
          <w:lang w:val="zh-CN"/>
        </w:rPr>
      </w:pPr>
      <w:bookmarkStart w:id="95" w:name="_Toc10212782"/>
      <w:bookmarkStart w:id="96" w:name="_Toc533860774"/>
      <w:r>
        <w:rPr>
          <w:rFonts w:hint="eastAsia"/>
          <w:color w:val="auto"/>
          <w:sz w:val="24"/>
          <w:szCs w:val="24"/>
          <w:highlight w:val="none"/>
        </w:rPr>
        <w:t>（1）</w:t>
      </w:r>
      <w:r>
        <w:rPr>
          <w:rFonts w:hint="eastAsia"/>
          <w:color w:val="auto"/>
          <w:sz w:val="24"/>
          <w:szCs w:val="24"/>
          <w:highlight w:val="none"/>
          <w:lang w:val="zh-CN"/>
        </w:rPr>
        <w:t>通用要求</w:t>
      </w:r>
      <w:bookmarkEnd w:id="95"/>
      <w:bookmarkEnd w:id="96"/>
    </w:p>
    <w:p w14:paraId="39BF7E7B">
      <w:pPr>
        <w:rPr>
          <w:rFonts w:ascii="宋体" w:hAnsi="宋体" w:cs="宋体"/>
          <w:color w:val="auto"/>
          <w:sz w:val="24"/>
          <w:szCs w:val="24"/>
          <w:highlight w:val="none"/>
        </w:rPr>
      </w:pPr>
      <w:r>
        <w:rPr>
          <w:rFonts w:hint="eastAsia" w:ascii="宋体" w:hAnsi="宋体" w:cs="宋体"/>
          <w:color w:val="auto"/>
          <w:sz w:val="24"/>
          <w:szCs w:val="24"/>
          <w:highlight w:val="none"/>
        </w:rPr>
        <w:t>窨井的规格和设置位置应符合《</w:t>
      </w:r>
      <w:r>
        <w:rPr>
          <w:color w:val="auto"/>
          <w:sz w:val="24"/>
          <w:szCs w:val="24"/>
          <w:highlight w:val="none"/>
        </w:rPr>
        <w:fldChar w:fldCharType="begin"/>
      </w:r>
      <w:r>
        <w:rPr>
          <w:color w:val="auto"/>
          <w:sz w:val="24"/>
          <w:szCs w:val="24"/>
          <w:highlight w:val="none"/>
        </w:rPr>
        <w:instrText xml:space="preserve"> HYPERLINK "https://www.sogou.com/link?url=DSOYnZeCC_orOCecstjRvFsvczIAT1rtQPxCswfwlL7SO3sQlwWotq4to0wa_Tif" \t "_blank" </w:instrText>
      </w:r>
      <w:r>
        <w:rPr>
          <w:color w:val="auto"/>
          <w:sz w:val="24"/>
          <w:szCs w:val="24"/>
          <w:highlight w:val="none"/>
        </w:rPr>
        <w:fldChar w:fldCharType="separate"/>
      </w:r>
      <w:r>
        <w:rPr>
          <w:rFonts w:hint="eastAsia" w:ascii="宋体" w:hAnsi="宋体" w:cs="宋体"/>
          <w:color w:val="auto"/>
          <w:sz w:val="24"/>
          <w:szCs w:val="24"/>
          <w:highlight w:val="none"/>
        </w:rPr>
        <w:t>公安交通管理外场设备基础设施施工通用要求</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》GA/T 652的要求。</w:t>
      </w:r>
    </w:p>
    <w:p w14:paraId="1FCBF8C5">
      <w:pPr>
        <w:rPr>
          <w:color w:val="auto"/>
          <w:sz w:val="24"/>
          <w:szCs w:val="24"/>
          <w:highlight w:val="none"/>
          <w:lang w:val="zh-CN"/>
        </w:rPr>
      </w:pPr>
      <w:bookmarkStart w:id="97" w:name="_Toc10212783"/>
      <w:bookmarkStart w:id="98" w:name="_Toc533860775"/>
      <w:r>
        <w:rPr>
          <w:rFonts w:hint="eastAsia"/>
          <w:color w:val="auto"/>
          <w:sz w:val="24"/>
          <w:szCs w:val="24"/>
          <w:highlight w:val="none"/>
        </w:rPr>
        <w:t>（2）</w:t>
      </w:r>
      <w:r>
        <w:rPr>
          <w:rFonts w:hint="eastAsia"/>
          <w:color w:val="auto"/>
          <w:sz w:val="24"/>
          <w:szCs w:val="24"/>
          <w:highlight w:val="none"/>
          <w:lang w:val="zh-CN"/>
        </w:rPr>
        <w:t>施工工序要求</w:t>
      </w:r>
      <w:bookmarkEnd w:id="97"/>
      <w:bookmarkEnd w:id="98"/>
    </w:p>
    <w:p w14:paraId="7BBABBD4">
      <w:pPr>
        <w:rPr>
          <w:color w:val="auto"/>
          <w:sz w:val="24"/>
          <w:szCs w:val="24"/>
          <w:highlight w:val="none"/>
          <w:lang w:val="zh-CN"/>
        </w:rPr>
      </w:pPr>
      <w:r>
        <w:rPr>
          <w:rFonts w:hint="eastAsia"/>
          <w:color w:val="auto"/>
          <w:sz w:val="24"/>
          <w:szCs w:val="24"/>
          <w:highlight w:val="none"/>
          <w:lang w:val="zh-CN"/>
        </w:rPr>
        <w:t>基础施工工序应满足以下流程，应完成上一步后方可进行下一步施工：</w:t>
      </w:r>
    </w:p>
    <w:p w14:paraId="665BE3D0">
      <w:pPr>
        <w:rPr>
          <w:color w:val="auto"/>
          <w:sz w:val="24"/>
          <w:szCs w:val="24"/>
          <w:highlight w:val="none"/>
          <w:lang w:val="zh-CN"/>
        </w:rPr>
      </w:pPr>
      <w:r>
        <w:rPr>
          <w:rFonts w:hint="eastAsia"/>
          <w:color w:val="auto"/>
          <w:sz w:val="24"/>
          <w:szCs w:val="24"/>
          <w:highlight w:val="none"/>
          <w:lang w:val="zh-CN"/>
        </w:rPr>
        <w:t>1） 挖基础坑</w:t>
      </w:r>
    </w:p>
    <w:p w14:paraId="46793653">
      <w:pPr>
        <w:rPr>
          <w:color w:val="auto"/>
          <w:sz w:val="24"/>
          <w:szCs w:val="24"/>
          <w:highlight w:val="none"/>
          <w:lang w:val="zh-CN"/>
        </w:rPr>
      </w:pPr>
      <w:r>
        <w:rPr>
          <w:rFonts w:hint="eastAsia"/>
          <w:color w:val="auto"/>
          <w:sz w:val="24"/>
          <w:szCs w:val="24"/>
          <w:highlight w:val="none"/>
          <w:lang w:val="zh-CN"/>
        </w:rPr>
        <w:t>2） 砂浆砖砌体</w:t>
      </w:r>
    </w:p>
    <w:p w14:paraId="0859AED7">
      <w:pPr>
        <w:rPr>
          <w:color w:val="auto"/>
          <w:sz w:val="24"/>
          <w:szCs w:val="24"/>
          <w:highlight w:val="none"/>
          <w:lang w:val="zh-CN"/>
        </w:rPr>
      </w:pPr>
      <w:r>
        <w:rPr>
          <w:rFonts w:hint="eastAsia"/>
          <w:color w:val="auto"/>
          <w:sz w:val="24"/>
          <w:szCs w:val="24"/>
          <w:highlight w:val="none"/>
          <w:lang w:val="zh-CN"/>
        </w:rPr>
        <w:t>3） 铺滤水砂层</w:t>
      </w:r>
    </w:p>
    <w:p w14:paraId="546E616F">
      <w:pPr>
        <w:rPr>
          <w:color w:val="auto"/>
          <w:sz w:val="24"/>
          <w:szCs w:val="24"/>
          <w:highlight w:val="none"/>
          <w:lang w:val="zh-CN"/>
        </w:rPr>
      </w:pPr>
      <w:r>
        <w:rPr>
          <w:rFonts w:hint="eastAsia"/>
          <w:color w:val="auto"/>
          <w:sz w:val="24"/>
          <w:szCs w:val="24"/>
          <w:highlight w:val="none"/>
          <w:lang w:val="zh-CN"/>
        </w:rPr>
        <w:t>4） 找平</w:t>
      </w:r>
    </w:p>
    <w:p w14:paraId="4558ABD7">
      <w:pPr>
        <w:rPr>
          <w:color w:val="auto"/>
          <w:sz w:val="24"/>
          <w:szCs w:val="24"/>
          <w:highlight w:val="none"/>
          <w:lang w:val="zh-CN"/>
        </w:rPr>
      </w:pPr>
      <w:r>
        <w:rPr>
          <w:rFonts w:hint="eastAsia"/>
          <w:color w:val="auto"/>
          <w:sz w:val="24"/>
          <w:szCs w:val="24"/>
          <w:highlight w:val="none"/>
          <w:lang w:val="zh-CN"/>
        </w:rPr>
        <w:t>5） 安装井座井盖</w:t>
      </w:r>
    </w:p>
    <w:p w14:paraId="483AE56F">
      <w:pPr>
        <w:rPr>
          <w:color w:val="auto"/>
          <w:sz w:val="24"/>
          <w:szCs w:val="24"/>
          <w:highlight w:val="none"/>
          <w:lang w:val="zh-CN"/>
        </w:rPr>
      </w:pPr>
      <w:r>
        <w:rPr>
          <w:rFonts w:hint="eastAsia"/>
          <w:color w:val="auto"/>
          <w:sz w:val="24"/>
          <w:szCs w:val="24"/>
          <w:highlight w:val="none"/>
          <w:lang w:val="zh-CN"/>
        </w:rPr>
        <w:t>6） 井内管口封堵</w:t>
      </w:r>
    </w:p>
    <w:p w14:paraId="7BED460D">
      <w:pPr>
        <w:rPr>
          <w:color w:val="auto"/>
          <w:sz w:val="24"/>
          <w:szCs w:val="24"/>
          <w:highlight w:val="none"/>
          <w:lang w:val="zh-CN"/>
        </w:rPr>
      </w:pPr>
      <w:bookmarkStart w:id="99" w:name="_Toc10212785"/>
      <w:bookmarkStart w:id="100" w:name="_Toc38376016"/>
      <w:bookmarkStart w:id="101" w:name="_Toc38375496"/>
      <w:bookmarkStart w:id="102" w:name="_Toc15288144"/>
      <w:r>
        <w:rPr>
          <w:rFonts w:hint="eastAsia"/>
          <w:color w:val="auto"/>
          <w:sz w:val="24"/>
          <w:szCs w:val="24"/>
          <w:highlight w:val="none"/>
        </w:rPr>
        <w:t>（3）</w:t>
      </w:r>
      <w:r>
        <w:rPr>
          <w:rFonts w:hint="eastAsia"/>
          <w:color w:val="auto"/>
          <w:sz w:val="24"/>
          <w:szCs w:val="24"/>
          <w:highlight w:val="none"/>
          <w:lang w:val="zh-CN"/>
        </w:rPr>
        <w:t>施工</w:t>
      </w:r>
      <w:r>
        <w:rPr>
          <w:rFonts w:hint="eastAsia"/>
          <w:color w:val="auto"/>
          <w:sz w:val="24"/>
          <w:szCs w:val="24"/>
          <w:highlight w:val="none"/>
        </w:rPr>
        <w:t>工艺</w:t>
      </w:r>
      <w:r>
        <w:rPr>
          <w:rFonts w:hint="eastAsia"/>
          <w:color w:val="auto"/>
          <w:sz w:val="24"/>
          <w:szCs w:val="24"/>
          <w:highlight w:val="none"/>
          <w:lang w:val="zh-CN"/>
        </w:rPr>
        <w:t>要求</w:t>
      </w:r>
    </w:p>
    <w:p w14:paraId="0CCC445E">
      <w:pPr>
        <w:pStyle w:val="88"/>
        <w:numPr>
          <w:ilvl w:val="0"/>
          <w:numId w:val="21"/>
        </w:numPr>
        <w:ind w:firstLineChars="0"/>
        <w:rPr>
          <w:color w:val="auto"/>
          <w:sz w:val="24"/>
          <w:szCs w:val="24"/>
          <w:highlight w:val="none"/>
        </w:rPr>
      </w:pPr>
      <w:r>
        <w:rPr>
          <w:rFonts w:hint="eastAsia"/>
          <w:color w:val="auto"/>
          <w:sz w:val="24"/>
          <w:szCs w:val="24"/>
          <w:highlight w:val="none"/>
        </w:rPr>
        <w:t>窨井的井圈与井盖的尺寸应能匹配使用，井盖应与周围路面处于同一水平上，应避免窨井处于低洼积水位置。</w:t>
      </w:r>
    </w:p>
    <w:p w14:paraId="7237B4A5">
      <w:pPr>
        <w:pStyle w:val="88"/>
        <w:numPr>
          <w:ilvl w:val="0"/>
          <w:numId w:val="21"/>
        </w:numPr>
        <w:ind w:firstLineChars="0"/>
        <w:rPr>
          <w:color w:val="auto"/>
          <w:sz w:val="24"/>
          <w:szCs w:val="24"/>
          <w:highlight w:val="none"/>
        </w:rPr>
      </w:pPr>
      <w:r>
        <w:rPr>
          <w:rFonts w:hint="eastAsia"/>
          <w:color w:val="auto"/>
          <w:sz w:val="24"/>
          <w:szCs w:val="24"/>
          <w:highlight w:val="none"/>
        </w:rPr>
        <w:t>窨井的井盖应有防滑、防跌落、防位移等措施，井盖上应有明显的用途及产权标志。</w:t>
      </w:r>
    </w:p>
    <w:p w14:paraId="327C506C">
      <w:pPr>
        <w:pStyle w:val="4"/>
        <w:rPr>
          <w:color w:val="auto"/>
          <w:sz w:val="24"/>
          <w:szCs w:val="24"/>
          <w:highlight w:val="none"/>
        </w:rPr>
      </w:pPr>
      <w:bookmarkStart w:id="103" w:name="_Toc30549"/>
      <w:r>
        <w:rPr>
          <w:rFonts w:hint="eastAsia"/>
          <w:color w:val="auto"/>
          <w:sz w:val="24"/>
          <w:szCs w:val="24"/>
          <w:highlight w:val="none"/>
        </w:rPr>
        <w:t>4、管道</w:t>
      </w:r>
      <w:bookmarkEnd w:id="99"/>
      <w:bookmarkEnd w:id="100"/>
      <w:bookmarkEnd w:id="101"/>
      <w:bookmarkEnd w:id="102"/>
      <w:bookmarkEnd w:id="103"/>
    </w:p>
    <w:p w14:paraId="457CD2B4">
      <w:pPr>
        <w:rPr>
          <w:color w:val="auto"/>
          <w:sz w:val="24"/>
          <w:szCs w:val="24"/>
          <w:highlight w:val="none"/>
          <w:lang w:val="zh-CN"/>
        </w:rPr>
      </w:pPr>
      <w:bookmarkStart w:id="104" w:name="_Toc533860778"/>
      <w:bookmarkStart w:id="105" w:name="_Toc10212786"/>
      <w:r>
        <w:rPr>
          <w:rFonts w:hint="eastAsia"/>
          <w:color w:val="auto"/>
          <w:sz w:val="24"/>
          <w:szCs w:val="24"/>
          <w:highlight w:val="none"/>
        </w:rPr>
        <w:t>（1）</w:t>
      </w:r>
      <w:r>
        <w:rPr>
          <w:rFonts w:hint="eastAsia"/>
          <w:color w:val="auto"/>
          <w:sz w:val="24"/>
          <w:szCs w:val="24"/>
          <w:highlight w:val="none"/>
          <w:lang w:val="zh-CN"/>
        </w:rPr>
        <w:t>通用要求</w:t>
      </w:r>
      <w:bookmarkEnd w:id="104"/>
      <w:bookmarkEnd w:id="105"/>
    </w:p>
    <w:p w14:paraId="12F489EB">
      <w:pPr>
        <w:rPr>
          <w:rFonts w:ascii="宋体" w:hAnsi="宋体" w:cs="宋体"/>
          <w:color w:val="auto"/>
          <w:sz w:val="24"/>
          <w:szCs w:val="24"/>
          <w:highlight w:val="none"/>
        </w:rPr>
      </w:pPr>
      <w:r>
        <w:rPr>
          <w:rFonts w:hint="eastAsia" w:ascii="宋体" w:hAnsi="宋体" w:cs="宋体"/>
          <w:color w:val="auto"/>
          <w:sz w:val="24"/>
          <w:szCs w:val="24"/>
          <w:highlight w:val="none"/>
        </w:rPr>
        <w:t>管道的埋设应符合《</w:t>
      </w:r>
      <w:r>
        <w:rPr>
          <w:color w:val="auto"/>
          <w:sz w:val="24"/>
          <w:szCs w:val="24"/>
          <w:highlight w:val="none"/>
        </w:rPr>
        <w:fldChar w:fldCharType="begin"/>
      </w:r>
      <w:r>
        <w:rPr>
          <w:color w:val="auto"/>
          <w:sz w:val="24"/>
          <w:szCs w:val="24"/>
          <w:highlight w:val="none"/>
        </w:rPr>
        <w:instrText xml:space="preserve"> HYPERLINK "https://www.sogou.com/link?url=DSOYnZeCC_orOCecstjRvFsvczIAT1rtQPxCswfwlL7SO3sQlwWotq4to0wa_Tif" \t "_blank" </w:instrText>
      </w:r>
      <w:r>
        <w:rPr>
          <w:color w:val="auto"/>
          <w:sz w:val="24"/>
          <w:szCs w:val="24"/>
          <w:highlight w:val="none"/>
        </w:rPr>
        <w:fldChar w:fldCharType="separate"/>
      </w:r>
      <w:r>
        <w:rPr>
          <w:rFonts w:hint="eastAsia" w:ascii="宋体" w:hAnsi="宋体" w:cs="宋体"/>
          <w:color w:val="auto"/>
          <w:sz w:val="24"/>
          <w:szCs w:val="24"/>
          <w:highlight w:val="none"/>
        </w:rPr>
        <w:t>公安交通管理外场设备基础设施施工通用要求</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》GA/T 652的要求。</w:t>
      </w:r>
    </w:p>
    <w:p w14:paraId="5C7B902D">
      <w:pPr>
        <w:rPr>
          <w:color w:val="auto"/>
          <w:sz w:val="24"/>
          <w:szCs w:val="24"/>
          <w:highlight w:val="none"/>
          <w:lang w:val="zh-CN"/>
        </w:rPr>
      </w:pPr>
      <w:bookmarkStart w:id="106" w:name="_Toc533860779"/>
      <w:bookmarkStart w:id="107" w:name="_Toc10212787"/>
      <w:r>
        <w:rPr>
          <w:rFonts w:hint="eastAsia"/>
          <w:color w:val="auto"/>
          <w:sz w:val="24"/>
          <w:szCs w:val="24"/>
          <w:highlight w:val="none"/>
          <w:lang w:val="zh-CN"/>
        </w:rPr>
        <w:t>（</w:t>
      </w:r>
      <w:r>
        <w:rPr>
          <w:rFonts w:hint="eastAsia"/>
          <w:color w:val="auto"/>
          <w:sz w:val="24"/>
          <w:szCs w:val="24"/>
          <w:highlight w:val="none"/>
        </w:rPr>
        <w:t>2</w:t>
      </w:r>
      <w:r>
        <w:rPr>
          <w:rFonts w:hint="eastAsia"/>
          <w:color w:val="auto"/>
          <w:sz w:val="24"/>
          <w:szCs w:val="24"/>
          <w:highlight w:val="none"/>
          <w:lang w:val="zh-CN"/>
        </w:rPr>
        <w:t>）施工工序要求</w:t>
      </w:r>
      <w:bookmarkEnd w:id="106"/>
      <w:bookmarkEnd w:id="107"/>
      <w:r>
        <w:rPr>
          <w:rFonts w:hint="eastAsia"/>
          <w:color w:val="auto"/>
          <w:sz w:val="24"/>
          <w:szCs w:val="24"/>
          <w:highlight w:val="none"/>
          <w:lang w:val="zh-CN"/>
        </w:rPr>
        <w:t>（钢管）</w:t>
      </w:r>
    </w:p>
    <w:p w14:paraId="36D13B5E">
      <w:pPr>
        <w:rPr>
          <w:color w:val="auto"/>
          <w:sz w:val="24"/>
          <w:szCs w:val="24"/>
          <w:highlight w:val="none"/>
          <w:lang w:val="zh-CN"/>
        </w:rPr>
      </w:pPr>
      <w:r>
        <w:rPr>
          <w:rFonts w:hint="eastAsia"/>
          <w:color w:val="auto"/>
          <w:sz w:val="24"/>
          <w:szCs w:val="24"/>
          <w:highlight w:val="none"/>
        </w:rPr>
        <w:t>管道</w:t>
      </w:r>
      <w:r>
        <w:rPr>
          <w:rFonts w:hint="eastAsia"/>
          <w:color w:val="auto"/>
          <w:sz w:val="24"/>
          <w:szCs w:val="24"/>
          <w:highlight w:val="none"/>
          <w:lang w:val="zh-CN"/>
        </w:rPr>
        <w:t>施工工序应满足以下流程，应完成上一步后方可进行下一步施工：</w:t>
      </w:r>
    </w:p>
    <w:p w14:paraId="763D1EF4">
      <w:pPr>
        <w:rPr>
          <w:color w:val="auto"/>
          <w:sz w:val="24"/>
          <w:szCs w:val="24"/>
          <w:highlight w:val="none"/>
          <w:lang w:val="zh-CN"/>
        </w:rPr>
      </w:pPr>
      <w:r>
        <w:rPr>
          <w:rFonts w:hint="eastAsia"/>
          <w:color w:val="auto"/>
          <w:sz w:val="24"/>
          <w:szCs w:val="24"/>
          <w:highlight w:val="none"/>
          <w:lang w:val="zh-CN"/>
        </w:rPr>
        <w:t>1） 管道定位</w:t>
      </w:r>
    </w:p>
    <w:p w14:paraId="2ADFD94B">
      <w:pPr>
        <w:rPr>
          <w:color w:val="auto"/>
          <w:sz w:val="24"/>
          <w:szCs w:val="24"/>
          <w:highlight w:val="none"/>
          <w:lang w:val="zh-CN"/>
        </w:rPr>
      </w:pPr>
      <w:r>
        <w:rPr>
          <w:rFonts w:hint="eastAsia"/>
          <w:color w:val="auto"/>
          <w:sz w:val="24"/>
          <w:szCs w:val="24"/>
          <w:highlight w:val="none"/>
          <w:lang w:val="zh-CN"/>
        </w:rPr>
        <w:t>2） 道路围护</w:t>
      </w:r>
    </w:p>
    <w:p w14:paraId="726BD063">
      <w:pPr>
        <w:rPr>
          <w:color w:val="auto"/>
          <w:sz w:val="24"/>
          <w:szCs w:val="24"/>
          <w:highlight w:val="none"/>
          <w:lang w:val="zh-CN"/>
        </w:rPr>
      </w:pPr>
      <w:r>
        <w:rPr>
          <w:rFonts w:hint="eastAsia"/>
          <w:color w:val="auto"/>
          <w:sz w:val="24"/>
          <w:szCs w:val="24"/>
          <w:highlight w:val="none"/>
          <w:lang w:val="zh-CN"/>
        </w:rPr>
        <w:t>3） 路面切割</w:t>
      </w:r>
    </w:p>
    <w:p w14:paraId="13BC4665">
      <w:pPr>
        <w:rPr>
          <w:color w:val="auto"/>
          <w:sz w:val="24"/>
          <w:szCs w:val="24"/>
          <w:highlight w:val="none"/>
          <w:lang w:val="zh-CN"/>
        </w:rPr>
      </w:pPr>
      <w:r>
        <w:rPr>
          <w:rFonts w:hint="eastAsia"/>
          <w:color w:val="auto"/>
          <w:sz w:val="24"/>
          <w:szCs w:val="24"/>
          <w:highlight w:val="none"/>
          <w:lang w:val="zh-CN"/>
        </w:rPr>
        <w:t>4） 路面破碎、挖运</w:t>
      </w:r>
    </w:p>
    <w:p w14:paraId="0AE37DF2">
      <w:pPr>
        <w:rPr>
          <w:color w:val="auto"/>
          <w:sz w:val="24"/>
          <w:szCs w:val="24"/>
          <w:highlight w:val="none"/>
          <w:lang w:val="zh-CN"/>
        </w:rPr>
      </w:pPr>
      <w:r>
        <w:rPr>
          <w:rFonts w:hint="eastAsia"/>
          <w:color w:val="auto"/>
          <w:sz w:val="24"/>
          <w:szCs w:val="24"/>
          <w:highlight w:val="none"/>
          <w:lang w:val="zh-CN"/>
        </w:rPr>
        <w:t>5） 过路管安装</w:t>
      </w:r>
    </w:p>
    <w:p w14:paraId="1F3C6C51">
      <w:pPr>
        <w:rPr>
          <w:color w:val="auto"/>
          <w:sz w:val="24"/>
          <w:szCs w:val="24"/>
          <w:highlight w:val="none"/>
          <w:lang w:val="zh-CN"/>
        </w:rPr>
      </w:pPr>
      <w:r>
        <w:rPr>
          <w:rFonts w:hint="eastAsia"/>
          <w:color w:val="auto"/>
          <w:sz w:val="24"/>
          <w:szCs w:val="24"/>
          <w:highlight w:val="none"/>
          <w:lang w:val="zh-CN"/>
        </w:rPr>
        <w:t>6） 路面修复</w:t>
      </w:r>
    </w:p>
    <w:p w14:paraId="3F8B4BA3">
      <w:pPr>
        <w:rPr>
          <w:color w:val="auto"/>
          <w:sz w:val="24"/>
          <w:szCs w:val="24"/>
          <w:highlight w:val="none"/>
          <w:lang w:val="zh-CN"/>
        </w:rPr>
      </w:pPr>
      <w:r>
        <w:rPr>
          <w:rFonts w:hint="eastAsia"/>
          <w:color w:val="auto"/>
          <w:sz w:val="24"/>
          <w:szCs w:val="24"/>
          <w:highlight w:val="none"/>
          <w:lang w:val="zh-CN"/>
        </w:rPr>
        <w:t>7） 路面防护</w:t>
      </w:r>
    </w:p>
    <w:p w14:paraId="442443FB">
      <w:pPr>
        <w:rPr>
          <w:color w:val="auto"/>
          <w:sz w:val="24"/>
          <w:szCs w:val="24"/>
          <w:highlight w:val="none"/>
          <w:lang w:val="zh-CN"/>
        </w:rPr>
      </w:pPr>
      <w:bookmarkStart w:id="108" w:name="_Toc10212789"/>
      <w:r>
        <w:rPr>
          <w:rFonts w:hint="eastAsia"/>
          <w:color w:val="auto"/>
          <w:sz w:val="24"/>
          <w:szCs w:val="24"/>
          <w:highlight w:val="none"/>
          <w:lang w:val="zh-CN"/>
        </w:rPr>
        <w:t>（</w:t>
      </w:r>
      <w:r>
        <w:rPr>
          <w:rFonts w:hint="eastAsia"/>
          <w:color w:val="auto"/>
          <w:sz w:val="24"/>
          <w:szCs w:val="24"/>
          <w:highlight w:val="none"/>
        </w:rPr>
        <w:t>3</w:t>
      </w:r>
      <w:r>
        <w:rPr>
          <w:rFonts w:hint="eastAsia"/>
          <w:color w:val="auto"/>
          <w:sz w:val="24"/>
          <w:szCs w:val="24"/>
          <w:highlight w:val="none"/>
          <w:lang w:val="zh-CN"/>
        </w:rPr>
        <w:t>）施工工序要求（PE管）</w:t>
      </w:r>
      <w:bookmarkEnd w:id="108"/>
    </w:p>
    <w:p w14:paraId="5878BC16">
      <w:pPr>
        <w:rPr>
          <w:color w:val="auto"/>
          <w:sz w:val="24"/>
          <w:szCs w:val="24"/>
          <w:highlight w:val="none"/>
          <w:lang w:val="zh-CN"/>
        </w:rPr>
      </w:pPr>
      <w:r>
        <w:rPr>
          <w:rFonts w:hint="eastAsia"/>
          <w:color w:val="auto"/>
          <w:sz w:val="24"/>
          <w:szCs w:val="24"/>
          <w:highlight w:val="none"/>
        </w:rPr>
        <w:t>管道</w:t>
      </w:r>
      <w:r>
        <w:rPr>
          <w:rFonts w:hint="eastAsia"/>
          <w:color w:val="auto"/>
          <w:sz w:val="24"/>
          <w:szCs w:val="24"/>
          <w:highlight w:val="none"/>
          <w:lang w:val="zh-CN"/>
        </w:rPr>
        <w:t>施工工序应满足以下流程，应完成上一步后方可进行下一步施工：</w:t>
      </w:r>
    </w:p>
    <w:p w14:paraId="0591AED1">
      <w:pPr>
        <w:rPr>
          <w:color w:val="auto"/>
          <w:sz w:val="24"/>
          <w:szCs w:val="24"/>
          <w:highlight w:val="none"/>
          <w:lang w:val="zh-CN"/>
        </w:rPr>
      </w:pPr>
      <w:r>
        <w:rPr>
          <w:rFonts w:hint="eastAsia"/>
          <w:color w:val="auto"/>
          <w:sz w:val="24"/>
          <w:szCs w:val="24"/>
          <w:highlight w:val="none"/>
          <w:lang w:val="zh-CN"/>
        </w:rPr>
        <w:t>1） 测量定位</w:t>
      </w:r>
    </w:p>
    <w:p w14:paraId="3919A104">
      <w:pPr>
        <w:rPr>
          <w:color w:val="auto"/>
          <w:sz w:val="24"/>
          <w:szCs w:val="24"/>
          <w:highlight w:val="none"/>
          <w:lang w:val="zh-CN"/>
        </w:rPr>
      </w:pPr>
      <w:r>
        <w:rPr>
          <w:rFonts w:hint="eastAsia"/>
          <w:color w:val="auto"/>
          <w:sz w:val="24"/>
          <w:szCs w:val="24"/>
          <w:highlight w:val="none"/>
          <w:lang w:val="zh-CN"/>
        </w:rPr>
        <w:t>2） 开挖</w:t>
      </w:r>
    </w:p>
    <w:p w14:paraId="73D5D81C">
      <w:pPr>
        <w:rPr>
          <w:color w:val="auto"/>
          <w:sz w:val="24"/>
          <w:szCs w:val="24"/>
          <w:highlight w:val="none"/>
          <w:lang w:val="zh-CN"/>
        </w:rPr>
      </w:pPr>
      <w:r>
        <w:rPr>
          <w:rFonts w:hint="eastAsia"/>
          <w:color w:val="auto"/>
          <w:sz w:val="24"/>
          <w:szCs w:val="24"/>
          <w:highlight w:val="none"/>
          <w:lang w:val="zh-CN"/>
        </w:rPr>
        <w:t>3） 埋管</w:t>
      </w:r>
    </w:p>
    <w:p w14:paraId="1385B6A2">
      <w:pPr>
        <w:rPr>
          <w:color w:val="auto"/>
          <w:sz w:val="24"/>
          <w:szCs w:val="24"/>
          <w:highlight w:val="none"/>
          <w:lang w:val="zh-CN"/>
        </w:rPr>
      </w:pPr>
      <w:r>
        <w:rPr>
          <w:rFonts w:hint="eastAsia"/>
          <w:color w:val="auto"/>
          <w:sz w:val="24"/>
          <w:szCs w:val="24"/>
          <w:highlight w:val="none"/>
          <w:lang w:val="zh-CN"/>
        </w:rPr>
        <w:t>4） 回填</w:t>
      </w:r>
    </w:p>
    <w:p w14:paraId="7EFB8013">
      <w:pPr>
        <w:rPr>
          <w:color w:val="auto"/>
          <w:sz w:val="24"/>
          <w:szCs w:val="24"/>
          <w:highlight w:val="none"/>
          <w:lang w:val="zh-CN"/>
        </w:rPr>
      </w:pPr>
      <w:r>
        <w:rPr>
          <w:rFonts w:hint="eastAsia"/>
          <w:color w:val="auto"/>
          <w:sz w:val="24"/>
          <w:szCs w:val="24"/>
          <w:highlight w:val="none"/>
          <w:lang w:val="zh-CN"/>
        </w:rPr>
        <w:t>5） 恢复</w:t>
      </w:r>
    </w:p>
    <w:p w14:paraId="6D6E8A80">
      <w:pPr>
        <w:rPr>
          <w:color w:val="auto"/>
          <w:sz w:val="24"/>
          <w:szCs w:val="24"/>
          <w:highlight w:val="none"/>
          <w:lang w:val="zh-CN"/>
        </w:rPr>
      </w:pPr>
      <w:bookmarkStart w:id="109" w:name="_Toc15288145"/>
      <w:bookmarkStart w:id="110" w:name="_Toc10212791"/>
      <w:bookmarkStart w:id="111" w:name="_Toc38376017"/>
      <w:bookmarkStart w:id="112" w:name="_Toc38375497"/>
      <w:r>
        <w:rPr>
          <w:rFonts w:hint="eastAsia"/>
          <w:color w:val="auto"/>
          <w:sz w:val="24"/>
          <w:szCs w:val="24"/>
          <w:highlight w:val="none"/>
          <w:lang w:val="zh-CN"/>
        </w:rPr>
        <w:t>（</w:t>
      </w:r>
      <w:r>
        <w:rPr>
          <w:rFonts w:hint="eastAsia"/>
          <w:color w:val="auto"/>
          <w:sz w:val="24"/>
          <w:szCs w:val="24"/>
          <w:highlight w:val="none"/>
        </w:rPr>
        <w:t>5</w:t>
      </w:r>
      <w:r>
        <w:rPr>
          <w:rFonts w:hint="eastAsia"/>
          <w:color w:val="auto"/>
          <w:sz w:val="24"/>
          <w:szCs w:val="24"/>
          <w:highlight w:val="none"/>
          <w:lang w:val="zh-CN"/>
        </w:rPr>
        <w:t>）施工工艺要求</w:t>
      </w:r>
    </w:p>
    <w:p w14:paraId="23A93D2E">
      <w:pPr>
        <w:pStyle w:val="88"/>
        <w:numPr>
          <w:ilvl w:val="0"/>
          <w:numId w:val="22"/>
        </w:numPr>
        <w:ind w:firstLineChars="0"/>
        <w:rPr>
          <w:color w:val="auto"/>
          <w:sz w:val="24"/>
          <w:szCs w:val="24"/>
          <w:highlight w:val="none"/>
        </w:rPr>
      </w:pPr>
      <w:r>
        <w:rPr>
          <w:rFonts w:hint="eastAsia"/>
          <w:color w:val="auto"/>
          <w:sz w:val="24"/>
          <w:szCs w:val="24"/>
          <w:highlight w:val="none"/>
          <w:lang w:val="zh-CN"/>
        </w:rPr>
        <w:t>穿越机动车道、</w:t>
      </w:r>
      <w:r>
        <w:rPr>
          <w:rFonts w:hint="eastAsia"/>
          <w:color w:val="auto"/>
          <w:sz w:val="24"/>
          <w:szCs w:val="24"/>
          <w:highlight w:val="none"/>
        </w:rPr>
        <w:t>非机动车道</w:t>
      </w:r>
      <w:r>
        <w:rPr>
          <w:rFonts w:hint="eastAsia"/>
          <w:color w:val="auto"/>
          <w:sz w:val="24"/>
          <w:szCs w:val="24"/>
          <w:highlight w:val="none"/>
          <w:lang w:val="zh-CN"/>
        </w:rPr>
        <w:t>的地下管道</w:t>
      </w:r>
      <w:r>
        <w:rPr>
          <w:rFonts w:hint="eastAsia"/>
          <w:color w:val="auto"/>
          <w:sz w:val="24"/>
          <w:szCs w:val="24"/>
          <w:highlight w:val="none"/>
        </w:rPr>
        <w:t>沟的宽度不小于400mm，深度以管道理置后其底部距路面的距离不小于700mm。管道沟要求平直敷设，或略呈倒“U”字型，所有碎屑清理干净并填上50mm的细软沙土。管道施工路面恢复材料与道路建设材料一致，恢复后施工作业面平整度与路面平整度保持一致。穿越</w:t>
      </w:r>
      <w:r>
        <w:rPr>
          <w:rFonts w:hint="eastAsia"/>
          <w:color w:val="auto"/>
          <w:sz w:val="24"/>
          <w:szCs w:val="24"/>
          <w:highlight w:val="none"/>
          <w:lang w:val="zh-CN"/>
        </w:rPr>
        <w:t>机动车道、</w:t>
      </w:r>
      <w:r>
        <w:rPr>
          <w:rFonts w:hint="eastAsia"/>
          <w:color w:val="auto"/>
          <w:sz w:val="24"/>
          <w:szCs w:val="24"/>
          <w:highlight w:val="none"/>
        </w:rPr>
        <w:t>非机动车道的地下管道采用镀锌钢管。每方向须埋设每段≥2根独立管道，管的公称口径应≥Ф100mm，并穿好铁丝。管与管的接头处应焊接好，并作防锈处理。</w:t>
      </w:r>
    </w:p>
    <w:p w14:paraId="2C8F6C25">
      <w:pPr>
        <w:pStyle w:val="88"/>
        <w:numPr>
          <w:ilvl w:val="0"/>
          <w:numId w:val="22"/>
        </w:numPr>
        <w:ind w:firstLineChars="0"/>
        <w:rPr>
          <w:color w:val="auto"/>
          <w:sz w:val="24"/>
          <w:szCs w:val="24"/>
          <w:highlight w:val="none"/>
          <w:lang w:val="zh-CN"/>
        </w:rPr>
      </w:pPr>
      <w:r>
        <w:rPr>
          <w:rFonts w:hint="eastAsia"/>
          <w:color w:val="auto"/>
          <w:sz w:val="24"/>
          <w:szCs w:val="24"/>
          <w:highlight w:val="none"/>
        </w:rPr>
        <w:t>穿越</w:t>
      </w:r>
      <w:r>
        <w:rPr>
          <w:rFonts w:hint="eastAsia"/>
          <w:color w:val="auto"/>
          <w:sz w:val="24"/>
          <w:szCs w:val="24"/>
          <w:highlight w:val="none"/>
          <w:lang w:val="zh-CN"/>
        </w:rPr>
        <w:t>人行道、绿化带下的地下管道埋设。穿越人行道、绿化带下的地下管道沟的宽度不小于300mm，深度以管道理置后其</w:t>
      </w:r>
      <w:r>
        <w:rPr>
          <w:rFonts w:hint="eastAsia"/>
          <w:color w:val="auto"/>
          <w:sz w:val="24"/>
          <w:szCs w:val="24"/>
          <w:highlight w:val="none"/>
        </w:rPr>
        <w:t>底</w:t>
      </w:r>
      <w:r>
        <w:rPr>
          <w:rFonts w:hint="eastAsia"/>
          <w:color w:val="auto"/>
          <w:sz w:val="24"/>
          <w:szCs w:val="24"/>
          <w:highlight w:val="none"/>
          <w:lang w:val="zh-CN"/>
        </w:rPr>
        <w:t>部距路面的距离不小于</w:t>
      </w:r>
      <w:r>
        <w:rPr>
          <w:rFonts w:hint="eastAsia"/>
          <w:color w:val="auto"/>
          <w:sz w:val="24"/>
          <w:szCs w:val="24"/>
          <w:highlight w:val="none"/>
        </w:rPr>
        <w:t>5</w:t>
      </w:r>
      <w:r>
        <w:rPr>
          <w:rFonts w:hint="eastAsia"/>
          <w:color w:val="auto"/>
          <w:sz w:val="24"/>
          <w:szCs w:val="24"/>
          <w:highlight w:val="none"/>
          <w:lang w:val="zh-CN"/>
        </w:rPr>
        <w:t>00mm。管道沟要求平直敷设，或略呈倒“U”字型。沟底部要求平整，所有碎屑清理干净并填上不低于50mm的细软沙土。管道施工路面恢复材料与道路建设材料一致，恢复后施工作业面平整度与路面平整度保持一致。穿越人行道、绿化带下的地下管道采用高强度的PE管，数量为每段≥</w:t>
      </w:r>
      <w:r>
        <w:rPr>
          <w:rFonts w:hint="eastAsia"/>
          <w:color w:val="auto"/>
          <w:sz w:val="24"/>
          <w:szCs w:val="24"/>
          <w:highlight w:val="none"/>
        </w:rPr>
        <w:t>2</w:t>
      </w:r>
      <w:r>
        <w:rPr>
          <w:rFonts w:hint="eastAsia"/>
          <w:color w:val="auto"/>
          <w:sz w:val="24"/>
          <w:szCs w:val="24"/>
          <w:highlight w:val="none"/>
          <w:lang w:val="zh-CN"/>
        </w:rPr>
        <w:t>根。管的公称口径≥Ф</w:t>
      </w:r>
      <w:r>
        <w:rPr>
          <w:rFonts w:hint="eastAsia"/>
          <w:color w:val="auto"/>
          <w:sz w:val="24"/>
          <w:szCs w:val="24"/>
          <w:highlight w:val="none"/>
        </w:rPr>
        <w:t>75</w:t>
      </w:r>
      <w:r>
        <w:rPr>
          <w:rFonts w:hint="eastAsia"/>
          <w:color w:val="auto"/>
          <w:sz w:val="24"/>
          <w:szCs w:val="24"/>
          <w:highlight w:val="none"/>
          <w:lang w:val="zh-CN"/>
        </w:rPr>
        <w:t>mm，并穿好铁丝。管与管的接头处使用套管固定，在管道端口处使用防鼠护套。</w:t>
      </w:r>
    </w:p>
    <w:p w14:paraId="5E92CBFE">
      <w:pPr>
        <w:pStyle w:val="88"/>
        <w:numPr>
          <w:ilvl w:val="0"/>
          <w:numId w:val="22"/>
        </w:numPr>
        <w:ind w:firstLineChars="0"/>
        <w:rPr>
          <w:color w:val="auto"/>
          <w:sz w:val="24"/>
          <w:szCs w:val="24"/>
          <w:highlight w:val="none"/>
          <w:lang w:val="zh-CN"/>
        </w:rPr>
      </w:pPr>
      <w:r>
        <w:rPr>
          <w:rFonts w:hint="eastAsia"/>
          <w:color w:val="auto"/>
          <w:sz w:val="24"/>
          <w:szCs w:val="24"/>
          <w:highlight w:val="none"/>
          <w:lang w:val="zh-CN"/>
        </w:rPr>
        <w:t>架空管线：架空电缆线净空高度不应低于6米。架空电缆线跨度超过30米时，应使用钢绞线，应加线托将电缆线托起。架空电缆线在引出处，高空2.5米以下部分，应使用钢套管保护。</w:t>
      </w:r>
    </w:p>
    <w:bookmarkEnd w:id="109"/>
    <w:bookmarkEnd w:id="110"/>
    <w:bookmarkEnd w:id="111"/>
    <w:bookmarkEnd w:id="112"/>
    <w:p w14:paraId="2AD34A65">
      <w:pPr>
        <w:pStyle w:val="4"/>
        <w:rPr>
          <w:color w:val="auto"/>
          <w:sz w:val="24"/>
          <w:szCs w:val="24"/>
          <w:highlight w:val="none"/>
        </w:rPr>
      </w:pPr>
      <w:bookmarkStart w:id="113" w:name="_Toc17714"/>
      <w:r>
        <w:rPr>
          <w:rFonts w:hint="eastAsia"/>
          <w:color w:val="auto"/>
          <w:sz w:val="24"/>
          <w:szCs w:val="24"/>
          <w:highlight w:val="none"/>
        </w:rPr>
        <w:t>5、线缆敷设</w:t>
      </w:r>
      <w:bookmarkEnd w:id="113"/>
    </w:p>
    <w:p w14:paraId="308446AA">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1</w:t>
      </w:r>
      <w:r>
        <w:rPr>
          <w:rFonts w:hint="eastAsia"/>
          <w:color w:val="auto"/>
          <w:sz w:val="24"/>
          <w:szCs w:val="24"/>
          <w:highlight w:val="none"/>
          <w:lang w:val="zh-CN"/>
        </w:rPr>
        <w:t>）通用要求</w:t>
      </w:r>
    </w:p>
    <w:p w14:paraId="42C768DC">
      <w:pPr>
        <w:pStyle w:val="88"/>
        <w:numPr>
          <w:ilvl w:val="0"/>
          <w:numId w:val="23"/>
        </w:numPr>
        <w:ind w:firstLineChars="0"/>
        <w:rPr>
          <w:color w:val="auto"/>
          <w:sz w:val="24"/>
          <w:szCs w:val="24"/>
          <w:highlight w:val="none"/>
          <w:lang w:val="zh-CN"/>
        </w:rPr>
      </w:pPr>
      <w:r>
        <w:rPr>
          <w:rFonts w:hint="eastAsia"/>
          <w:color w:val="auto"/>
          <w:sz w:val="24"/>
          <w:szCs w:val="24"/>
          <w:highlight w:val="none"/>
          <w:lang w:val="zh-CN"/>
        </w:rPr>
        <w:t>线缆的型号、规格应符合相关国家标准。</w:t>
      </w:r>
    </w:p>
    <w:p w14:paraId="304F4846">
      <w:pPr>
        <w:pStyle w:val="88"/>
        <w:numPr>
          <w:ilvl w:val="0"/>
          <w:numId w:val="23"/>
        </w:numPr>
        <w:ind w:firstLineChars="0"/>
        <w:rPr>
          <w:color w:val="auto"/>
          <w:sz w:val="24"/>
          <w:szCs w:val="24"/>
          <w:highlight w:val="none"/>
          <w:lang w:val="zh-CN"/>
        </w:rPr>
      </w:pPr>
      <w:r>
        <w:rPr>
          <w:rFonts w:hint="eastAsia"/>
          <w:color w:val="auto"/>
          <w:sz w:val="24"/>
          <w:szCs w:val="24"/>
          <w:highlight w:val="none"/>
          <w:lang w:val="zh-CN"/>
        </w:rPr>
        <w:t>线缆进场用于工程前，应进行验收程序，内容、方法应符合《建筑电气工程施工质量验收规范》GB 50303中的要求。</w:t>
      </w:r>
    </w:p>
    <w:p w14:paraId="4C673F20">
      <w:pPr>
        <w:pStyle w:val="88"/>
        <w:numPr>
          <w:ilvl w:val="0"/>
          <w:numId w:val="23"/>
        </w:numPr>
        <w:ind w:firstLineChars="0"/>
        <w:rPr>
          <w:color w:val="auto"/>
          <w:sz w:val="24"/>
          <w:szCs w:val="24"/>
          <w:highlight w:val="none"/>
          <w:lang w:val="zh-CN"/>
        </w:rPr>
      </w:pPr>
      <w:r>
        <w:rPr>
          <w:rFonts w:hint="eastAsia"/>
          <w:color w:val="auto"/>
          <w:sz w:val="24"/>
          <w:szCs w:val="24"/>
          <w:highlight w:val="none"/>
          <w:lang w:val="zh-CN"/>
        </w:rPr>
        <w:t>同一根线缆两端应贴有标签，应注明编号，标签应书写清晰、信息正确。</w:t>
      </w:r>
    </w:p>
    <w:p w14:paraId="55DCE01A">
      <w:pPr>
        <w:pStyle w:val="88"/>
        <w:numPr>
          <w:ilvl w:val="0"/>
          <w:numId w:val="23"/>
        </w:numPr>
        <w:ind w:firstLineChars="0"/>
        <w:rPr>
          <w:color w:val="auto"/>
          <w:sz w:val="24"/>
          <w:szCs w:val="24"/>
          <w:highlight w:val="none"/>
          <w:lang w:val="zh-CN"/>
        </w:rPr>
      </w:pPr>
      <w:r>
        <w:rPr>
          <w:rFonts w:hint="eastAsia"/>
          <w:color w:val="auto"/>
          <w:sz w:val="24"/>
          <w:szCs w:val="24"/>
          <w:highlight w:val="none"/>
          <w:lang w:val="zh-CN"/>
        </w:rPr>
        <w:t>无法采用地下敷设电缆线方式时，宜采用架空电缆线的敷设方式。架空电缆线不得有接头。架空电缆线的敷设应符合《公安交通管理外场设备基础施工通用要求》GA/T 652的标准要求。</w:t>
      </w:r>
    </w:p>
    <w:p w14:paraId="1D81E914">
      <w:pPr>
        <w:pStyle w:val="88"/>
        <w:numPr>
          <w:ilvl w:val="0"/>
          <w:numId w:val="23"/>
        </w:numPr>
        <w:ind w:firstLineChars="0"/>
        <w:rPr>
          <w:color w:val="auto"/>
          <w:sz w:val="24"/>
          <w:szCs w:val="24"/>
          <w:highlight w:val="none"/>
          <w:lang w:val="zh-CN"/>
        </w:rPr>
      </w:pPr>
      <w:r>
        <w:rPr>
          <w:rFonts w:hint="eastAsia"/>
          <w:color w:val="auto"/>
          <w:sz w:val="24"/>
          <w:szCs w:val="24"/>
          <w:highlight w:val="none"/>
          <w:lang w:val="zh-CN"/>
        </w:rPr>
        <w:t>带电区域内敷设电缆，应有可靠的安全措施。</w:t>
      </w:r>
    </w:p>
    <w:p w14:paraId="1641561A">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2</w:t>
      </w:r>
      <w:r>
        <w:rPr>
          <w:rFonts w:hint="eastAsia"/>
          <w:color w:val="auto"/>
          <w:sz w:val="24"/>
          <w:szCs w:val="24"/>
          <w:highlight w:val="none"/>
          <w:lang w:val="zh-CN"/>
        </w:rPr>
        <w:t>）施工工艺要求</w:t>
      </w:r>
    </w:p>
    <w:p w14:paraId="41CEC699">
      <w:pPr>
        <w:rPr>
          <w:color w:val="auto"/>
          <w:sz w:val="24"/>
          <w:szCs w:val="24"/>
          <w:highlight w:val="none"/>
          <w:lang w:val="zh-CN"/>
        </w:rPr>
      </w:pPr>
      <w:r>
        <w:rPr>
          <w:rFonts w:hint="eastAsia"/>
          <w:color w:val="auto"/>
          <w:sz w:val="24"/>
          <w:szCs w:val="24"/>
          <w:highlight w:val="none"/>
          <w:lang w:val="zh-CN"/>
        </w:rPr>
        <w:t>1） 线缆的布放应自然平直，不得产生扭绞、打圈接头等现象。</w:t>
      </w:r>
    </w:p>
    <w:p w14:paraId="0FC54895">
      <w:pPr>
        <w:rPr>
          <w:color w:val="auto"/>
          <w:sz w:val="24"/>
          <w:szCs w:val="24"/>
          <w:highlight w:val="none"/>
          <w:lang w:val="zh-CN"/>
        </w:rPr>
      </w:pPr>
      <w:r>
        <w:rPr>
          <w:rFonts w:hint="eastAsia"/>
          <w:color w:val="auto"/>
          <w:sz w:val="24"/>
          <w:szCs w:val="24"/>
          <w:highlight w:val="none"/>
          <w:lang w:val="zh-CN"/>
        </w:rPr>
        <w:t>2） 强弱电线缆应分别单独穿管敷设，电缆管敷设净距不应小于25cm。</w:t>
      </w:r>
    </w:p>
    <w:p w14:paraId="713BDADD">
      <w:pPr>
        <w:rPr>
          <w:color w:val="auto"/>
          <w:sz w:val="24"/>
          <w:szCs w:val="24"/>
          <w:highlight w:val="none"/>
          <w:lang w:val="zh-CN"/>
        </w:rPr>
      </w:pPr>
      <w:r>
        <w:rPr>
          <w:rFonts w:hint="eastAsia"/>
          <w:color w:val="auto"/>
          <w:sz w:val="24"/>
          <w:szCs w:val="24"/>
          <w:highlight w:val="none"/>
          <w:lang w:val="zh-CN"/>
        </w:rPr>
        <w:t>3） 线缆穿管内径不应小于电缆外径的1.5倍（利用率≤40%），内表面应光滑，管材两端管口应有防止电缆损伤的措施。</w:t>
      </w:r>
    </w:p>
    <w:p w14:paraId="200B3526">
      <w:pPr>
        <w:rPr>
          <w:color w:val="auto"/>
          <w:sz w:val="24"/>
          <w:szCs w:val="24"/>
          <w:highlight w:val="none"/>
          <w:lang w:val="zh-CN"/>
        </w:rPr>
      </w:pPr>
      <w:r>
        <w:rPr>
          <w:rFonts w:hint="eastAsia"/>
          <w:color w:val="auto"/>
          <w:sz w:val="24"/>
          <w:szCs w:val="24"/>
          <w:highlight w:val="none"/>
          <w:lang w:val="zh-CN"/>
        </w:rPr>
        <w:t>4） 穿过管道的所有线缆截面积之和，不应超过杆件或机箱末端处管道截面积的90%。</w:t>
      </w:r>
    </w:p>
    <w:p w14:paraId="6B476D64">
      <w:pPr>
        <w:rPr>
          <w:color w:val="auto"/>
          <w:sz w:val="24"/>
          <w:szCs w:val="24"/>
          <w:highlight w:val="none"/>
          <w:lang w:val="zh-CN"/>
        </w:rPr>
      </w:pPr>
      <w:r>
        <w:rPr>
          <w:rFonts w:hint="eastAsia"/>
          <w:color w:val="auto"/>
          <w:sz w:val="24"/>
          <w:szCs w:val="24"/>
          <w:highlight w:val="none"/>
          <w:lang w:val="zh-CN"/>
        </w:rPr>
        <w:t>5） 电缆宜采用地下敷设，每根电缆线应留有2米~4米余量，地下敷设的电缆线不得有接头。</w:t>
      </w:r>
    </w:p>
    <w:p w14:paraId="408F4038">
      <w:pPr>
        <w:rPr>
          <w:color w:val="auto"/>
          <w:sz w:val="24"/>
          <w:szCs w:val="24"/>
          <w:highlight w:val="none"/>
          <w:lang w:val="zh-CN"/>
        </w:rPr>
      </w:pPr>
      <w:r>
        <w:rPr>
          <w:rFonts w:hint="eastAsia"/>
          <w:color w:val="auto"/>
          <w:sz w:val="24"/>
          <w:szCs w:val="24"/>
          <w:highlight w:val="none"/>
          <w:lang w:val="zh-CN"/>
        </w:rPr>
        <w:t>6） 同一交流回路的导线应穿同一管内。不同回路、不同电压和交流与直流导线不应穿入同一管内。</w:t>
      </w:r>
    </w:p>
    <w:p w14:paraId="10C3CCB6">
      <w:pPr>
        <w:rPr>
          <w:color w:val="auto"/>
          <w:sz w:val="24"/>
          <w:szCs w:val="24"/>
          <w:highlight w:val="none"/>
          <w:lang w:val="zh-CN"/>
        </w:rPr>
      </w:pPr>
      <w:r>
        <w:rPr>
          <w:rFonts w:hint="eastAsia"/>
          <w:color w:val="auto"/>
          <w:sz w:val="24"/>
          <w:szCs w:val="24"/>
          <w:highlight w:val="none"/>
          <w:lang w:val="zh-CN"/>
        </w:rPr>
        <w:t>7） 敷设于桥梁上的电缆应穿管敷设，敷设要求应符合《公安交通管理外场设备基础设施施工通用要求》GA/T 652的要求。</w:t>
      </w:r>
    </w:p>
    <w:p w14:paraId="5BC65402">
      <w:pPr>
        <w:rPr>
          <w:color w:val="auto"/>
          <w:sz w:val="24"/>
          <w:szCs w:val="24"/>
          <w:highlight w:val="none"/>
          <w:lang w:val="zh-CN"/>
        </w:rPr>
      </w:pPr>
      <w:r>
        <w:rPr>
          <w:rFonts w:hint="eastAsia"/>
          <w:color w:val="auto"/>
          <w:sz w:val="24"/>
          <w:szCs w:val="24"/>
          <w:highlight w:val="none"/>
          <w:lang w:val="zh-CN"/>
        </w:rPr>
        <w:t>8） 光缆的敷设应符合《通信线路工程验收规范》YD 5121中的要求。</w:t>
      </w:r>
    </w:p>
    <w:p w14:paraId="5BA50D14">
      <w:pPr>
        <w:rPr>
          <w:color w:val="auto"/>
          <w:sz w:val="24"/>
          <w:szCs w:val="24"/>
          <w:highlight w:val="none"/>
        </w:rPr>
      </w:pPr>
      <w:r>
        <w:rPr>
          <w:rFonts w:hint="eastAsia"/>
          <w:color w:val="auto"/>
          <w:sz w:val="24"/>
          <w:szCs w:val="24"/>
          <w:highlight w:val="none"/>
          <w:lang w:val="zh-CN"/>
        </w:rPr>
        <w:t>9） 敷设完毕后，线缆的两端应设置线缆标签。</w:t>
      </w:r>
      <w:r>
        <w:rPr>
          <w:rFonts w:hint="eastAsia"/>
          <w:color w:val="auto"/>
          <w:sz w:val="24"/>
          <w:szCs w:val="24"/>
          <w:highlight w:val="none"/>
        </w:rPr>
        <w:t>标签上应注明线缆编号、型号规格、起止地点，且字迹清晰，不易脱落。</w:t>
      </w:r>
    </w:p>
    <w:p w14:paraId="38CFAFEE">
      <w:pPr>
        <w:rPr>
          <w:color w:val="auto"/>
          <w:sz w:val="24"/>
          <w:szCs w:val="24"/>
          <w:highlight w:val="none"/>
          <w:lang w:val="zh-CN"/>
        </w:rPr>
      </w:pPr>
      <w:r>
        <w:rPr>
          <w:rFonts w:hint="eastAsia"/>
          <w:color w:val="auto"/>
          <w:sz w:val="24"/>
          <w:szCs w:val="24"/>
          <w:highlight w:val="none"/>
        </w:rPr>
        <w:t>10</w:t>
      </w:r>
      <w:r>
        <w:rPr>
          <w:rFonts w:hint="eastAsia"/>
          <w:color w:val="auto"/>
          <w:sz w:val="24"/>
          <w:szCs w:val="24"/>
          <w:highlight w:val="none"/>
          <w:lang w:val="zh-CN"/>
        </w:rPr>
        <w:t>）线缆接头应做防水处理后再进行穿管走线。</w:t>
      </w:r>
    </w:p>
    <w:p w14:paraId="07A3B138">
      <w:pPr>
        <w:pStyle w:val="4"/>
        <w:rPr>
          <w:color w:val="auto"/>
          <w:sz w:val="24"/>
          <w:szCs w:val="24"/>
          <w:highlight w:val="none"/>
        </w:rPr>
      </w:pPr>
      <w:bookmarkStart w:id="114" w:name="_Toc786"/>
      <w:r>
        <w:rPr>
          <w:rFonts w:hint="eastAsia"/>
          <w:color w:val="auto"/>
          <w:sz w:val="24"/>
          <w:szCs w:val="24"/>
          <w:highlight w:val="none"/>
        </w:rPr>
        <w:t>6、落地式机柜和悬挂式机柜</w:t>
      </w:r>
      <w:bookmarkEnd w:id="114"/>
    </w:p>
    <w:p w14:paraId="52ACE515">
      <w:pPr>
        <w:rPr>
          <w:color w:val="auto"/>
          <w:sz w:val="24"/>
          <w:szCs w:val="24"/>
          <w:highlight w:val="none"/>
        </w:rPr>
      </w:pPr>
      <w:bookmarkStart w:id="115" w:name="_Toc10212793"/>
      <w:bookmarkStart w:id="116" w:name="_Toc533860784"/>
      <w:r>
        <w:rPr>
          <w:rFonts w:hint="eastAsia"/>
          <w:color w:val="auto"/>
          <w:sz w:val="24"/>
          <w:szCs w:val="24"/>
          <w:highlight w:val="none"/>
        </w:rPr>
        <w:t>（1）</w:t>
      </w:r>
      <w:r>
        <w:rPr>
          <w:rFonts w:hint="eastAsia"/>
          <w:color w:val="auto"/>
          <w:sz w:val="24"/>
          <w:szCs w:val="24"/>
          <w:highlight w:val="none"/>
          <w:lang w:val="zh-CN"/>
        </w:rPr>
        <w:t>落地式机柜通用要求</w:t>
      </w:r>
    </w:p>
    <w:p w14:paraId="2E09FF0F">
      <w:pPr>
        <w:pStyle w:val="88"/>
        <w:numPr>
          <w:ilvl w:val="0"/>
          <w:numId w:val="24"/>
        </w:numPr>
        <w:ind w:firstLineChars="0"/>
        <w:rPr>
          <w:color w:val="auto"/>
          <w:sz w:val="24"/>
          <w:szCs w:val="24"/>
          <w:highlight w:val="none"/>
          <w:lang w:val="zh-CN"/>
        </w:rPr>
      </w:pPr>
      <w:r>
        <w:rPr>
          <w:rFonts w:hint="eastAsia"/>
          <w:color w:val="auto"/>
          <w:sz w:val="24"/>
          <w:szCs w:val="24"/>
          <w:highlight w:val="none"/>
          <w:lang w:val="zh-CN"/>
        </w:rPr>
        <w:t>落地机柜</w:t>
      </w:r>
      <w:r>
        <w:rPr>
          <w:rFonts w:hint="eastAsia"/>
          <w:color w:val="auto"/>
          <w:sz w:val="24"/>
          <w:szCs w:val="24"/>
          <w:highlight w:val="none"/>
        </w:rPr>
        <w:t>宜</w:t>
      </w:r>
      <w:r>
        <w:rPr>
          <w:rFonts w:hint="eastAsia"/>
          <w:color w:val="auto"/>
          <w:sz w:val="24"/>
          <w:szCs w:val="24"/>
          <w:highlight w:val="none"/>
          <w:lang w:val="zh-CN"/>
        </w:rPr>
        <w:t>采用19"标准机柜，高度≥24U，机柜设计具有可靠的密封性能，达到《外壳防护等级（IP代码）》GB4208中IP65级要求,门缝安装密封胶条可使柜体密封更可靠，防止粉尘进入,用水冲洗无任何伤害；机柜的结构设计具有足够的机械强度，能承受正常条件下可预料到的运输、安装、搬运、维护等过程中的操作。机柜应采用柜体材料选用优质冷轧钢板，机柜整体表面酸洗、磷化、高温静电喷粉。内部的电路板材料及部件应进行防潮、防腐、防盐雾的处理。室外机柜采用过滤进风、温控强制通风的结构，并在顶部设置隔热层，降低机柜内部温升，保证箱内主机和其他辅助设备在夏季高温下正常工作。保证在盐、酸环境下不被腐蚀。</w:t>
      </w:r>
    </w:p>
    <w:p w14:paraId="0551C769">
      <w:pPr>
        <w:pStyle w:val="88"/>
        <w:numPr>
          <w:ilvl w:val="0"/>
          <w:numId w:val="24"/>
        </w:numPr>
        <w:ind w:firstLineChars="0"/>
        <w:rPr>
          <w:color w:val="auto"/>
          <w:sz w:val="24"/>
          <w:szCs w:val="24"/>
          <w:highlight w:val="none"/>
          <w:lang w:val="zh-CN"/>
        </w:rPr>
      </w:pPr>
      <w:r>
        <w:rPr>
          <w:rFonts w:hint="eastAsia"/>
          <w:color w:val="auto"/>
          <w:sz w:val="24"/>
          <w:szCs w:val="24"/>
          <w:highlight w:val="none"/>
          <w:lang w:val="zh-CN"/>
        </w:rPr>
        <w:t>室外机柜门的尺寸应尽可能接近机柜的外部尺寸。门应设有牢固的门锁以防止被非法使用者打开。门锁上应有保护装置，机柜门接缝处应有耐久并且有弹性的密封垫，密封垫应连续设置，不得有间断缺口。机柜表面采用喷塑工艺处理；锁具、门轴坚实牢固，机柜门锁上之后，不应有松动、变形现象；所有锁具可由一把钥匙打开。</w:t>
      </w:r>
    </w:p>
    <w:p w14:paraId="7AC47336">
      <w:pPr>
        <w:pStyle w:val="88"/>
        <w:numPr>
          <w:ilvl w:val="0"/>
          <w:numId w:val="24"/>
        </w:numPr>
        <w:ind w:firstLineChars="0"/>
        <w:rPr>
          <w:color w:val="auto"/>
          <w:sz w:val="24"/>
          <w:szCs w:val="24"/>
          <w:highlight w:val="none"/>
          <w:lang w:val="zh-CN"/>
        </w:rPr>
      </w:pPr>
      <w:r>
        <w:rPr>
          <w:rFonts w:hint="eastAsia"/>
          <w:color w:val="auto"/>
          <w:sz w:val="24"/>
          <w:szCs w:val="24"/>
          <w:highlight w:val="none"/>
          <w:lang w:val="zh-CN"/>
        </w:rPr>
        <w:t>机柜内含电源防雷、插排、空气开关等；含防静电插座，插座数≥3个。机柜内侧应设有存放说明书、接线图、维修记录等资料的存储位置。机柜所有门上喷涂“</w:t>
      </w:r>
      <w:r>
        <w:rPr>
          <w:rFonts w:hint="eastAsia"/>
          <w:color w:val="auto"/>
          <w:sz w:val="24"/>
          <w:szCs w:val="24"/>
          <w:highlight w:val="none"/>
        </w:rPr>
        <w:t>台州</w:t>
      </w:r>
      <w:r>
        <w:rPr>
          <w:rFonts w:hint="eastAsia"/>
          <w:color w:val="auto"/>
          <w:sz w:val="24"/>
          <w:szCs w:val="24"/>
          <w:highlight w:val="none"/>
          <w:lang w:val="zh-CN"/>
        </w:rPr>
        <w:t>交警”字样。</w:t>
      </w:r>
    </w:p>
    <w:p w14:paraId="35927CF3">
      <w:pPr>
        <w:rPr>
          <w:color w:val="auto"/>
          <w:sz w:val="24"/>
          <w:szCs w:val="24"/>
          <w:highlight w:val="none"/>
          <w:lang w:val="zh-CN"/>
        </w:rPr>
      </w:pPr>
      <w:r>
        <w:rPr>
          <w:rFonts w:hint="eastAsia"/>
          <w:color w:val="auto"/>
          <w:sz w:val="24"/>
          <w:szCs w:val="24"/>
          <w:highlight w:val="none"/>
          <w:lang w:val="zh-CN"/>
        </w:rPr>
        <w:t>（</w:t>
      </w:r>
      <w:r>
        <w:rPr>
          <w:rFonts w:hint="eastAsia"/>
          <w:color w:val="auto"/>
          <w:sz w:val="24"/>
          <w:szCs w:val="24"/>
          <w:highlight w:val="none"/>
        </w:rPr>
        <w:t>2</w:t>
      </w:r>
      <w:r>
        <w:rPr>
          <w:rFonts w:hint="eastAsia"/>
          <w:color w:val="auto"/>
          <w:sz w:val="24"/>
          <w:szCs w:val="24"/>
          <w:highlight w:val="none"/>
          <w:lang w:val="zh-CN"/>
        </w:rPr>
        <w:t>）落地式机柜施工工艺要求</w:t>
      </w:r>
    </w:p>
    <w:p w14:paraId="522D0D19">
      <w:pPr>
        <w:pStyle w:val="88"/>
        <w:numPr>
          <w:ilvl w:val="0"/>
          <w:numId w:val="25"/>
        </w:numPr>
        <w:ind w:firstLineChars="0"/>
        <w:rPr>
          <w:color w:val="auto"/>
          <w:sz w:val="24"/>
          <w:szCs w:val="24"/>
          <w:highlight w:val="none"/>
          <w:lang w:val="zh-CN"/>
        </w:rPr>
      </w:pPr>
      <w:r>
        <w:rPr>
          <w:rFonts w:hint="eastAsia"/>
          <w:color w:val="auto"/>
          <w:sz w:val="24"/>
          <w:szCs w:val="24"/>
          <w:highlight w:val="none"/>
          <w:lang w:val="zh-CN"/>
        </w:rPr>
        <w:t>机柜安装应稳固，垂直度允许偏差为0.2%，并根据现场实际情况选择机柜大门开启方向，当机柜安装在路边绿化带时，机柜门面向机动车道；当机柜安装在机非隔离带时，机柜门面向非机动车道。</w:t>
      </w:r>
    </w:p>
    <w:p w14:paraId="737C7361">
      <w:pPr>
        <w:pStyle w:val="88"/>
        <w:numPr>
          <w:ilvl w:val="0"/>
          <w:numId w:val="25"/>
        </w:numPr>
        <w:ind w:firstLineChars="0"/>
        <w:rPr>
          <w:color w:val="auto"/>
          <w:sz w:val="24"/>
          <w:szCs w:val="24"/>
          <w:highlight w:val="none"/>
          <w:lang w:val="zh-CN"/>
        </w:rPr>
      </w:pPr>
      <w:r>
        <w:rPr>
          <w:rFonts w:hint="eastAsia"/>
          <w:color w:val="auto"/>
          <w:sz w:val="24"/>
          <w:szCs w:val="24"/>
          <w:highlight w:val="none"/>
          <w:lang w:val="zh-CN"/>
        </w:rPr>
        <w:t>机柜与底座之间连接紧固，需有一定离地高度及防撞防护措施，避免机柜外壳因雨季地面积水浸泡或被车辆碰撞而损坏，同时机柜的安装位置尽量靠近信号机柜、交警岗亭、变电箱等方便获取电源、光缆资源的地方。</w:t>
      </w:r>
    </w:p>
    <w:p w14:paraId="19163B66">
      <w:pPr>
        <w:pStyle w:val="88"/>
        <w:numPr>
          <w:ilvl w:val="0"/>
          <w:numId w:val="25"/>
        </w:numPr>
        <w:ind w:firstLineChars="0"/>
        <w:rPr>
          <w:color w:val="auto"/>
          <w:sz w:val="24"/>
          <w:szCs w:val="24"/>
          <w:highlight w:val="none"/>
          <w:lang w:val="zh-CN"/>
        </w:rPr>
      </w:pPr>
      <w:r>
        <w:rPr>
          <w:rFonts w:hint="eastAsia"/>
          <w:color w:val="auto"/>
          <w:sz w:val="24"/>
          <w:szCs w:val="24"/>
          <w:highlight w:val="none"/>
          <w:lang w:val="zh-CN"/>
        </w:rPr>
        <w:t>与其它机柜并排时，要求做到整齐、一致，包括机柜门的开关方向。当若干机柜并排安装时，为了方便机柜小门的开启，要求小门位于开箱人的右手侧，并且两个机柜之间边沿间隔0.5米。</w:t>
      </w:r>
    </w:p>
    <w:p w14:paraId="7EDE4045">
      <w:pPr>
        <w:pStyle w:val="88"/>
        <w:numPr>
          <w:ilvl w:val="0"/>
          <w:numId w:val="25"/>
        </w:numPr>
        <w:ind w:firstLineChars="0"/>
        <w:rPr>
          <w:color w:val="auto"/>
          <w:sz w:val="24"/>
          <w:szCs w:val="24"/>
          <w:highlight w:val="none"/>
          <w:lang w:val="zh-CN"/>
        </w:rPr>
      </w:pPr>
      <w:r>
        <w:rPr>
          <w:rFonts w:hint="eastAsia"/>
          <w:color w:val="auto"/>
          <w:sz w:val="24"/>
          <w:szCs w:val="24"/>
          <w:highlight w:val="none"/>
          <w:lang w:val="zh-CN"/>
        </w:rPr>
        <w:t>设备机箱基础埋入地下的深度大于300mm，突出地面高度大于200mm。采用地锚混凝土式基础，地脚螺栓上端为螺纹，下端为夹角小于60°的折弯，地脚螺栓焊接在下法兰盘上。所用机柜基础混凝土标号不低于C25。</w:t>
      </w:r>
    </w:p>
    <w:p w14:paraId="42B07199">
      <w:pPr>
        <w:rPr>
          <w:color w:val="auto"/>
          <w:sz w:val="24"/>
          <w:szCs w:val="24"/>
          <w:highlight w:val="none"/>
        </w:rPr>
      </w:pPr>
      <w:r>
        <w:rPr>
          <w:rFonts w:hint="eastAsia"/>
          <w:color w:val="auto"/>
          <w:sz w:val="24"/>
          <w:szCs w:val="24"/>
          <w:highlight w:val="none"/>
          <w:lang w:val="zh-CN"/>
        </w:rPr>
        <w:t>（</w:t>
      </w:r>
      <w:r>
        <w:rPr>
          <w:rFonts w:hint="eastAsia"/>
          <w:color w:val="auto"/>
          <w:sz w:val="24"/>
          <w:szCs w:val="24"/>
          <w:highlight w:val="none"/>
        </w:rPr>
        <w:t>3</w:t>
      </w:r>
      <w:r>
        <w:rPr>
          <w:rFonts w:hint="eastAsia"/>
          <w:color w:val="auto"/>
          <w:sz w:val="24"/>
          <w:szCs w:val="24"/>
          <w:highlight w:val="none"/>
          <w:lang w:val="zh-CN"/>
        </w:rPr>
        <w:t>）悬挂式机柜通用要求：</w:t>
      </w:r>
      <w:r>
        <w:rPr>
          <w:rFonts w:hint="eastAsia"/>
          <w:color w:val="auto"/>
          <w:sz w:val="24"/>
          <w:szCs w:val="24"/>
          <w:highlight w:val="none"/>
        </w:rPr>
        <w:t>悬挂式机柜施工工艺要求</w:t>
      </w:r>
    </w:p>
    <w:p w14:paraId="097E6237">
      <w:pPr>
        <w:pStyle w:val="88"/>
        <w:numPr>
          <w:ilvl w:val="0"/>
          <w:numId w:val="26"/>
        </w:numPr>
        <w:ind w:firstLineChars="0"/>
        <w:rPr>
          <w:color w:val="auto"/>
          <w:sz w:val="24"/>
          <w:szCs w:val="24"/>
          <w:highlight w:val="none"/>
          <w:lang w:val="zh-CN"/>
        </w:rPr>
      </w:pPr>
      <w:r>
        <w:rPr>
          <w:rFonts w:hint="eastAsia"/>
          <w:color w:val="auto"/>
          <w:sz w:val="24"/>
          <w:szCs w:val="24"/>
          <w:highlight w:val="none"/>
          <w:lang w:val="zh-CN"/>
        </w:rPr>
        <w:t>悬挂式机柜应通过机柜抱箍固定于指定立杆上，进出机箱线缆需套管并呈U型防积水。</w:t>
      </w:r>
    </w:p>
    <w:p w14:paraId="5A7E1A0A">
      <w:pPr>
        <w:pStyle w:val="88"/>
        <w:numPr>
          <w:ilvl w:val="0"/>
          <w:numId w:val="26"/>
        </w:numPr>
        <w:ind w:firstLineChars="0"/>
        <w:rPr>
          <w:color w:val="auto"/>
          <w:sz w:val="24"/>
          <w:szCs w:val="24"/>
          <w:highlight w:val="none"/>
          <w:lang w:val="zh-CN"/>
        </w:rPr>
      </w:pPr>
      <w:r>
        <w:rPr>
          <w:rFonts w:hint="eastAsia"/>
          <w:color w:val="auto"/>
          <w:sz w:val="24"/>
          <w:szCs w:val="24"/>
          <w:highlight w:val="none"/>
          <w:lang w:val="zh-CN"/>
        </w:rPr>
        <w:t>机柜安装平整，无倾斜或左右不对称现象。根据现场实际情况选择机柜大门开启方向，机柜安装净空3米以上，安装位置原则上避开行车区域，不影响车辆、行人通行。</w:t>
      </w:r>
    </w:p>
    <w:p w14:paraId="23AF6529">
      <w:pPr>
        <w:pStyle w:val="88"/>
        <w:numPr>
          <w:ilvl w:val="0"/>
          <w:numId w:val="26"/>
        </w:numPr>
        <w:ind w:firstLineChars="0"/>
        <w:rPr>
          <w:color w:val="auto"/>
          <w:sz w:val="24"/>
          <w:szCs w:val="24"/>
          <w:highlight w:val="none"/>
          <w:lang w:val="zh-CN"/>
        </w:rPr>
      </w:pPr>
      <w:r>
        <w:rPr>
          <w:rFonts w:hint="eastAsia"/>
          <w:color w:val="auto"/>
          <w:sz w:val="24"/>
          <w:szCs w:val="24"/>
          <w:highlight w:val="none"/>
          <w:lang w:val="zh-CN"/>
        </w:rPr>
        <w:t>机柜内应放置该杆件设备的接线图（注明标签扎带上线缆代号的具体含义）。机柜内接线对于多余的线缆要绑扎固定，线缆接线要美观，设备应用螺丝固定。所有的机柜内设备摆放、接线要规范统一。机柜内不放置多功能插座，正常运行的相关设备电源线应按电器要求分类接于机柜内各1P单级电源空开下端。</w:t>
      </w:r>
    </w:p>
    <w:bookmarkEnd w:id="115"/>
    <w:bookmarkEnd w:id="116"/>
    <w:p w14:paraId="0962A1B5">
      <w:pPr>
        <w:pStyle w:val="4"/>
        <w:rPr>
          <w:color w:val="auto"/>
          <w:sz w:val="24"/>
          <w:szCs w:val="24"/>
          <w:highlight w:val="none"/>
        </w:rPr>
      </w:pPr>
      <w:bookmarkStart w:id="117" w:name="_Toc10212799"/>
      <w:bookmarkStart w:id="118" w:name="_Toc15288147"/>
      <w:bookmarkStart w:id="119" w:name="_Toc38375499"/>
      <w:bookmarkStart w:id="120" w:name="_Toc38376019"/>
      <w:bookmarkStart w:id="121" w:name="_Toc10366"/>
      <w:r>
        <w:rPr>
          <w:rFonts w:hint="eastAsia"/>
          <w:color w:val="auto"/>
          <w:sz w:val="24"/>
          <w:szCs w:val="24"/>
          <w:highlight w:val="none"/>
        </w:rPr>
        <w:t>7、供电</w:t>
      </w:r>
      <w:bookmarkEnd w:id="117"/>
      <w:r>
        <w:rPr>
          <w:rFonts w:hint="eastAsia"/>
          <w:color w:val="auto"/>
          <w:sz w:val="24"/>
          <w:szCs w:val="24"/>
          <w:highlight w:val="none"/>
        </w:rPr>
        <w:t>和接地</w:t>
      </w:r>
      <w:bookmarkEnd w:id="118"/>
      <w:bookmarkEnd w:id="119"/>
      <w:bookmarkEnd w:id="120"/>
      <w:bookmarkEnd w:id="121"/>
    </w:p>
    <w:p w14:paraId="23517109">
      <w:pPr>
        <w:pStyle w:val="5"/>
        <w:rPr>
          <w:color w:val="auto"/>
          <w:sz w:val="24"/>
          <w:szCs w:val="24"/>
          <w:highlight w:val="none"/>
          <w:lang w:val="zh-CN"/>
        </w:rPr>
      </w:pPr>
      <w:bookmarkStart w:id="122" w:name="_Toc10212800"/>
      <w:bookmarkStart w:id="123" w:name="_Toc533860788"/>
      <w:r>
        <w:rPr>
          <w:rFonts w:hint="eastAsia"/>
          <w:color w:val="auto"/>
          <w:sz w:val="24"/>
          <w:szCs w:val="24"/>
          <w:highlight w:val="none"/>
          <w:lang w:val="zh-CN"/>
        </w:rPr>
        <w:t>（</w:t>
      </w:r>
      <w:r>
        <w:rPr>
          <w:rFonts w:hint="eastAsia"/>
          <w:color w:val="auto"/>
          <w:sz w:val="24"/>
          <w:szCs w:val="24"/>
          <w:highlight w:val="none"/>
        </w:rPr>
        <w:t>1</w:t>
      </w:r>
      <w:r>
        <w:rPr>
          <w:rFonts w:hint="eastAsia"/>
          <w:color w:val="auto"/>
          <w:sz w:val="24"/>
          <w:szCs w:val="24"/>
          <w:highlight w:val="none"/>
          <w:lang w:val="zh-CN"/>
        </w:rPr>
        <w:t>）供电</w:t>
      </w:r>
    </w:p>
    <w:bookmarkEnd w:id="122"/>
    <w:bookmarkEnd w:id="123"/>
    <w:p w14:paraId="11F16615">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供电接入点应根据各类设施供电需求预留供电输出，使用公共供电电源的智能交通设备应设置过载、接地、漏电、短路、防雷等防护措施，应符合国家相关安全标准，应具备来电后自动恢复供电的功能。</w:t>
      </w:r>
    </w:p>
    <w:p w14:paraId="3912833F">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 xml:space="preserve">设有智能交通设施的路口宜设置智能交通设施接入箱。 </w:t>
      </w:r>
    </w:p>
    <w:p w14:paraId="725FE0DF">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应采用铠装线缆，外部供电点（路灯供电箱等）与智能设施接入箱用电接入点应分别加装容量开关、漏电保护措施及防雷、浪涌及电压保护等防护措施。</w:t>
      </w:r>
    </w:p>
    <w:p w14:paraId="5C948309">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电子警察、智能卡口设备、大型LED</w:t>
      </w:r>
      <w:r>
        <w:rPr>
          <w:rFonts w:hint="eastAsia"/>
          <w:color w:val="auto"/>
          <w:sz w:val="24"/>
          <w:szCs w:val="24"/>
          <w:highlight w:val="none"/>
        </w:rPr>
        <w:t>信息屏</w:t>
      </w:r>
      <w:r>
        <w:rPr>
          <w:rFonts w:hint="eastAsia"/>
          <w:color w:val="auto"/>
          <w:sz w:val="24"/>
          <w:szCs w:val="24"/>
          <w:highlight w:val="none"/>
          <w:lang w:val="zh-CN"/>
        </w:rPr>
        <w:t>以及其</w:t>
      </w:r>
      <w:r>
        <w:rPr>
          <w:rFonts w:hint="eastAsia"/>
          <w:color w:val="auto"/>
          <w:sz w:val="24"/>
          <w:szCs w:val="24"/>
          <w:highlight w:val="none"/>
        </w:rPr>
        <w:t>它</w:t>
      </w:r>
      <w:r>
        <w:rPr>
          <w:rFonts w:hint="eastAsia"/>
          <w:color w:val="auto"/>
          <w:sz w:val="24"/>
          <w:szCs w:val="24"/>
          <w:highlight w:val="none"/>
          <w:lang w:val="zh-CN"/>
        </w:rPr>
        <w:t>大容量（200W以上）供电设施用电线路应在智能接入箱分相连接，不得与信号灯设施共相。</w:t>
      </w:r>
    </w:p>
    <w:p w14:paraId="1023D37D">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监控设施等小容量设备（200W及以下）可与信号灯设施共相用电。</w:t>
      </w:r>
    </w:p>
    <w:p w14:paraId="1A11EAF9">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特殊供电区域，核算容量后可加装稳压电源或UPS设备。</w:t>
      </w:r>
    </w:p>
    <w:p w14:paraId="0252113D">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在施工或维护工作中，凡是涉及供电单位用电设备（含灯杆、井盖、机箱、管道等），应报批供电单位审批后配合完成各类用电工作。</w:t>
      </w:r>
    </w:p>
    <w:p w14:paraId="5C71B477">
      <w:pPr>
        <w:pStyle w:val="88"/>
        <w:numPr>
          <w:ilvl w:val="0"/>
          <w:numId w:val="27"/>
        </w:numPr>
        <w:ind w:firstLineChars="0"/>
        <w:rPr>
          <w:color w:val="auto"/>
          <w:sz w:val="24"/>
          <w:szCs w:val="24"/>
          <w:highlight w:val="none"/>
          <w:lang w:val="zh-CN"/>
        </w:rPr>
      </w:pPr>
      <w:r>
        <w:rPr>
          <w:rFonts w:hint="eastAsia"/>
          <w:color w:val="auto"/>
          <w:sz w:val="24"/>
          <w:szCs w:val="24"/>
          <w:highlight w:val="none"/>
          <w:lang w:val="zh-CN"/>
        </w:rPr>
        <w:t>在外部电源（路灯供电箱等）连接处应悬挂智能设施用电铭牌，应进行编号管理。</w:t>
      </w:r>
    </w:p>
    <w:p w14:paraId="68F3913F">
      <w:pPr>
        <w:pStyle w:val="5"/>
        <w:rPr>
          <w:color w:val="auto"/>
          <w:sz w:val="24"/>
          <w:szCs w:val="24"/>
          <w:highlight w:val="none"/>
          <w:lang w:val="zh-CN"/>
        </w:rPr>
      </w:pPr>
      <w:r>
        <w:rPr>
          <w:rFonts w:hint="eastAsia"/>
          <w:color w:val="auto"/>
          <w:sz w:val="24"/>
          <w:szCs w:val="24"/>
          <w:highlight w:val="none"/>
        </w:rPr>
        <w:t>（2）</w:t>
      </w:r>
      <w:r>
        <w:rPr>
          <w:rFonts w:hint="eastAsia"/>
          <w:color w:val="auto"/>
          <w:sz w:val="24"/>
          <w:szCs w:val="24"/>
          <w:highlight w:val="none"/>
          <w:lang w:val="zh-CN"/>
        </w:rPr>
        <w:t>接地</w:t>
      </w:r>
    </w:p>
    <w:p w14:paraId="24200404">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智能交通管理系统外场设备应可靠接地，设备保护接地线、避雷器工作接地线应分别汇接到接地装置上。</w:t>
      </w:r>
    </w:p>
    <w:p w14:paraId="175DD191">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接地装置应采用热镀锌钢材，水平敷设的应采用圆钢和扁钢，垂直敷设的应采用角钢和钢管，接地电阻应小于</w:t>
      </w:r>
      <w:r>
        <w:rPr>
          <w:rFonts w:hint="eastAsia"/>
          <w:color w:val="auto"/>
          <w:sz w:val="24"/>
          <w:szCs w:val="24"/>
          <w:highlight w:val="none"/>
        </w:rPr>
        <w:t>10</w:t>
      </w:r>
      <w:r>
        <w:rPr>
          <w:rFonts w:hint="eastAsia"/>
          <w:color w:val="auto"/>
          <w:sz w:val="24"/>
          <w:szCs w:val="24"/>
          <w:highlight w:val="none"/>
          <w:lang w:val="zh-CN"/>
        </w:rPr>
        <w:t>Ω。接地装置规格不应小于《电气装置安装工程接地装置施工及验收规范》GB 50169中的要求。</w:t>
      </w:r>
    </w:p>
    <w:p w14:paraId="2877A86A">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接地装置施工应符合《电气装置安装工程接地装置施工及验收规范》GB 50169的要求。</w:t>
      </w:r>
    </w:p>
    <w:p w14:paraId="2DF446B8">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智能交通管理系统设备接地可利用电力系统的接地系统。</w:t>
      </w:r>
    </w:p>
    <w:p w14:paraId="3F2E321D">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杆件应安装保护地线，保护地线宜采用规格为40mm×4mm以上的镀锌扁钢制作，焊接到每个钢制杆件的法兰盘上，焊接处应作防腐处理；保护地线应与接地装置有效连接，接地电阻应小于</w:t>
      </w:r>
      <w:r>
        <w:rPr>
          <w:rFonts w:hint="eastAsia"/>
          <w:color w:val="auto"/>
          <w:sz w:val="24"/>
          <w:szCs w:val="24"/>
          <w:highlight w:val="none"/>
        </w:rPr>
        <w:t>10</w:t>
      </w:r>
      <w:r>
        <w:rPr>
          <w:rFonts w:hint="eastAsia"/>
          <w:color w:val="auto"/>
          <w:sz w:val="24"/>
          <w:szCs w:val="24"/>
          <w:highlight w:val="none"/>
          <w:lang w:val="zh-CN"/>
        </w:rPr>
        <w:t>Ω。</w:t>
      </w:r>
    </w:p>
    <w:p w14:paraId="367D1345">
      <w:pPr>
        <w:pStyle w:val="88"/>
        <w:numPr>
          <w:ilvl w:val="0"/>
          <w:numId w:val="28"/>
        </w:numPr>
        <w:ind w:firstLineChars="0"/>
        <w:rPr>
          <w:color w:val="auto"/>
          <w:sz w:val="24"/>
          <w:szCs w:val="24"/>
          <w:highlight w:val="none"/>
          <w:lang w:val="zh-CN"/>
        </w:rPr>
      </w:pPr>
      <w:r>
        <w:rPr>
          <w:rFonts w:hint="eastAsia"/>
          <w:color w:val="auto"/>
          <w:sz w:val="24"/>
          <w:szCs w:val="24"/>
          <w:highlight w:val="none"/>
          <w:lang w:val="zh-CN"/>
        </w:rPr>
        <w:t>设备机箱的专用接地铜排应与接地装置有效连接，接地电阻应小于</w:t>
      </w:r>
      <w:r>
        <w:rPr>
          <w:rFonts w:hint="eastAsia"/>
          <w:color w:val="auto"/>
          <w:sz w:val="24"/>
          <w:szCs w:val="24"/>
          <w:highlight w:val="none"/>
        </w:rPr>
        <w:t>10</w:t>
      </w:r>
      <w:r>
        <w:rPr>
          <w:rFonts w:hint="eastAsia"/>
          <w:color w:val="auto"/>
          <w:sz w:val="24"/>
          <w:szCs w:val="24"/>
          <w:highlight w:val="none"/>
          <w:lang w:val="zh-CN"/>
        </w:rPr>
        <w:t xml:space="preserve">Ω；引入设备机箱的接地线应使用软铜绞线，其截面不得小于10mm2 ；杆件与设备机箱可采用联合接地，接地电阻应小于 </w:t>
      </w:r>
      <w:r>
        <w:rPr>
          <w:rFonts w:hint="eastAsia"/>
          <w:color w:val="auto"/>
          <w:sz w:val="24"/>
          <w:szCs w:val="24"/>
          <w:highlight w:val="none"/>
        </w:rPr>
        <w:t>10</w:t>
      </w:r>
      <w:r>
        <w:rPr>
          <w:rFonts w:hint="eastAsia"/>
          <w:color w:val="auto"/>
          <w:sz w:val="24"/>
          <w:szCs w:val="24"/>
          <w:highlight w:val="none"/>
          <w:lang w:val="zh-CN"/>
        </w:rPr>
        <w:t>Ω。</w:t>
      </w:r>
    </w:p>
    <w:p w14:paraId="5705EFF2">
      <w:pPr>
        <w:pStyle w:val="4"/>
        <w:rPr>
          <w:color w:val="auto"/>
          <w:sz w:val="24"/>
          <w:szCs w:val="24"/>
          <w:highlight w:val="none"/>
        </w:rPr>
      </w:pPr>
      <w:bookmarkStart w:id="124" w:name="_Toc23867"/>
      <w:r>
        <w:rPr>
          <w:rFonts w:hint="eastAsia"/>
          <w:color w:val="auto"/>
          <w:sz w:val="24"/>
          <w:szCs w:val="24"/>
          <w:highlight w:val="none"/>
        </w:rPr>
        <w:t>8、安全文明施工要求</w:t>
      </w:r>
      <w:bookmarkEnd w:id="124"/>
    </w:p>
    <w:p w14:paraId="685B4178">
      <w:pPr>
        <w:pStyle w:val="88"/>
        <w:numPr>
          <w:ilvl w:val="0"/>
          <w:numId w:val="29"/>
        </w:numPr>
        <w:ind w:firstLineChars="0"/>
        <w:rPr>
          <w:color w:val="auto"/>
          <w:sz w:val="24"/>
          <w:szCs w:val="24"/>
          <w:highlight w:val="none"/>
        </w:rPr>
      </w:pPr>
      <w:r>
        <w:rPr>
          <w:rFonts w:hint="eastAsia"/>
          <w:color w:val="auto"/>
          <w:sz w:val="24"/>
          <w:szCs w:val="24"/>
          <w:highlight w:val="none"/>
        </w:rPr>
        <w:t>施工人员商业保险必须在进场前购买齐全并报备。</w:t>
      </w:r>
    </w:p>
    <w:p w14:paraId="687D660E">
      <w:pPr>
        <w:pStyle w:val="88"/>
        <w:numPr>
          <w:ilvl w:val="0"/>
          <w:numId w:val="29"/>
        </w:numPr>
        <w:ind w:firstLineChars="0"/>
        <w:rPr>
          <w:color w:val="auto"/>
          <w:sz w:val="24"/>
          <w:szCs w:val="24"/>
          <w:highlight w:val="none"/>
        </w:rPr>
      </w:pPr>
      <w:r>
        <w:rPr>
          <w:rFonts w:hint="eastAsia"/>
          <w:color w:val="auto"/>
          <w:sz w:val="24"/>
          <w:szCs w:val="24"/>
          <w:highlight w:val="none"/>
        </w:rPr>
        <w:t>施工安全措施必须配备齐全。根据施工场景配备足够的隔离锥桶、施工指示牌、导流牌、警示爆闪灯等。</w:t>
      </w:r>
    </w:p>
    <w:p w14:paraId="38A5B7B4">
      <w:pPr>
        <w:pStyle w:val="88"/>
        <w:numPr>
          <w:ilvl w:val="0"/>
          <w:numId w:val="29"/>
        </w:numPr>
        <w:ind w:firstLineChars="0"/>
        <w:rPr>
          <w:color w:val="auto"/>
          <w:sz w:val="24"/>
          <w:szCs w:val="24"/>
          <w:highlight w:val="none"/>
        </w:rPr>
      </w:pPr>
      <w:r>
        <w:rPr>
          <w:rFonts w:hint="eastAsia"/>
          <w:color w:val="auto"/>
          <w:sz w:val="24"/>
          <w:szCs w:val="24"/>
          <w:highlight w:val="none"/>
        </w:rPr>
        <w:t>施工围挡水马、轻质锥桶必须进行注水或注沙。</w:t>
      </w:r>
    </w:p>
    <w:p w14:paraId="14ABBCA3">
      <w:pPr>
        <w:pStyle w:val="88"/>
        <w:numPr>
          <w:ilvl w:val="0"/>
          <w:numId w:val="29"/>
        </w:numPr>
        <w:ind w:firstLineChars="0"/>
        <w:rPr>
          <w:color w:val="auto"/>
          <w:sz w:val="24"/>
          <w:szCs w:val="24"/>
          <w:highlight w:val="none"/>
        </w:rPr>
      </w:pPr>
      <w:r>
        <w:rPr>
          <w:rFonts w:hint="eastAsia"/>
          <w:color w:val="auto"/>
          <w:sz w:val="24"/>
          <w:szCs w:val="24"/>
          <w:highlight w:val="none"/>
        </w:rPr>
        <w:t>管路开挖敷设、基础开挖及浇筑过程中，施工区域需按要求设置安全防护措施，做到全封闭施工，如：水马、圆锥筒、施工警示牌、爆闪灯、导流牌等，施工人员需穿反光背心佩戴安全帽。路面施工时，在来车方向30-50米处须放置施工警示牌并使用圆锥筒设置缓冲区域，提醒过往车辆注意安全。在城市快速路及高速公路施工安全防护要符合相关要求。</w:t>
      </w:r>
    </w:p>
    <w:p w14:paraId="5A3EBA57">
      <w:pPr>
        <w:pStyle w:val="111"/>
        <w:spacing w:before="120" w:after="120" w:line="312" w:lineRule="auto"/>
        <w:ind w:firstLine="480" w:firstLineChars="200"/>
        <w:rPr>
          <w:rFonts w:ascii="Arial" w:hAnsi="宋体" w:cs="Arial"/>
          <w:color w:val="auto"/>
          <w:sz w:val="24"/>
          <w:szCs w:val="24"/>
          <w:highlight w:val="none"/>
        </w:rPr>
      </w:pPr>
    </w:p>
    <w:p w14:paraId="6766EC5E">
      <w:pPr>
        <w:rPr>
          <w:color w:val="auto"/>
          <w:sz w:val="24"/>
          <w:szCs w:val="24"/>
          <w:highlight w:val="none"/>
        </w:rPr>
      </w:pPr>
    </w:p>
    <w:p w14:paraId="4D194666">
      <w:pPr>
        <w:rPr>
          <w:color w:val="auto"/>
          <w:sz w:val="24"/>
          <w:szCs w:val="24"/>
          <w:highlight w:val="none"/>
        </w:rPr>
      </w:pPr>
    </w:p>
    <w:p w14:paraId="063582FB">
      <w:pPr>
        <w:rPr>
          <w:color w:val="auto"/>
          <w:sz w:val="24"/>
          <w:szCs w:val="24"/>
          <w:highlight w:val="none"/>
        </w:rPr>
      </w:pPr>
    </w:p>
    <w:p w14:paraId="708F3C15">
      <w:pPr>
        <w:rPr>
          <w:color w:val="auto"/>
          <w:sz w:val="24"/>
          <w:szCs w:val="24"/>
          <w:highlight w:val="none"/>
        </w:rPr>
        <w:sectPr>
          <w:footerReference r:id="rId3" w:type="default"/>
          <w:pgSz w:w="11906" w:h="16838"/>
          <w:pgMar w:top="1134" w:right="1588" w:bottom="1134" w:left="1588" w:header="851" w:footer="992" w:gutter="0"/>
          <w:cols w:space="720" w:num="1"/>
          <w:docGrid w:type="lines" w:linePitch="312" w:charSpace="0"/>
        </w:sectPr>
      </w:pPr>
    </w:p>
    <w:p w14:paraId="3FDE3C47">
      <w:pPr>
        <w:pStyle w:val="111"/>
        <w:spacing w:before="120" w:after="120" w:line="312" w:lineRule="auto"/>
        <w:rPr>
          <w:rFonts w:ascii="Times New Roman" w:cs="Times New Roman"/>
          <w:b/>
          <w:color w:val="auto"/>
          <w:kern w:val="2"/>
          <w:sz w:val="24"/>
          <w:szCs w:val="24"/>
          <w:highlight w:val="none"/>
        </w:rPr>
      </w:pPr>
      <w:r>
        <w:rPr>
          <w:rFonts w:hint="eastAsia" w:hAnsi="宋体"/>
          <w:b/>
          <w:bCs/>
          <w:color w:val="auto"/>
          <w:sz w:val="24"/>
          <w:szCs w:val="24"/>
          <w:highlight w:val="none"/>
        </w:rPr>
        <w:t>五、</w:t>
      </w:r>
      <w:r>
        <w:rPr>
          <w:rFonts w:hint="eastAsia" w:hAnsi="宋体"/>
          <w:b/>
          <w:color w:val="auto"/>
          <w:kern w:val="2"/>
          <w:sz w:val="24"/>
          <w:szCs w:val="24"/>
          <w:highlight w:val="none"/>
          <w:lang w:val="zh-CN"/>
        </w:rPr>
        <w:t>2024年电子监控、基础及管路项目（第二次重新招标）</w:t>
      </w:r>
      <w:r>
        <w:rPr>
          <w:rFonts w:hint="eastAsia" w:hAnsi="宋体"/>
          <w:b/>
          <w:color w:val="auto"/>
          <w:kern w:val="2"/>
          <w:sz w:val="24"/>
          <w:szCs w:val="24"/>
          <w:highlight w:val="none"/>
        </w:rPr>
        <w:t>内容清单</w:t>
      </w:r>
    </w:p>
    <w:p w14:paraId="7DA02356">
      <w:pPr>
        <w:rPr>
          <w:color w:val="auto"/>
          <w:sz w:val="24"/>
          <w:szCs w:val="24"/>
          <w:highlight w:val="none"/>
        </w:rPr>
      </w:pPr>
    </w:p>
    <w:tbl>
      <w:tblPr>
        <w:tblStyle w:val="46"/>
        <w:tblW w:w="4988" w:type="pct"/>
        <w:tblInd w:w="0" w:type="dxa"/>
        <w:tblLayout w:type="autofit"/>
        <w:tblCellMar>
          <w:top w:w="0" w:type="dxa"/>
          <w:left w:w="108" w:type="dxa"/>
          <w:bottom w:w="0" w:type="dxa"/>
          <w:right w:w="108" w:type="dxa"/>
        </w:tblCellMar>
      </w:tblPr>
      <w:tblGrid>
        <w:gridCol w:w="708"/>
        <w:gridCol w:w="1284"/>
        <w:gridCol w:w="9446"/>
        <w:gridCol w:w="723"/>
        <w:gridCol w:w="735"/>
        <w:gridCol w:w="1116"/>
        <w:gridCol w:w="739"/>
      </w:tblGrid>
      <w:tr w14:paraId="094B5C3A">
        <w:tblPrEx>
          <w:tblCellMar>
            <w:top w:w="0" w:type="dxa"/>
            <w:left w:w="108" w:type="dxa"/>
            <w:bottom w:w="0" w:type="dxa"/>
            <w:right w:w="108" w:type="dxa"/>
          </w:tblCellMar>
        </w:tblPrEx>
        <w:trPr>
          <w:trHeight w:val="285" w:hRule="atLeast"/>
        </w:trPr>
        <w:tc>
          <w:tcPr>
            <w:tcW w:w="240"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5BAFFE9C">
            <w:pPr>
              <w:rPr>
                <w:color w:val="auto"/>
                <w:highlight w:val="none"/>
              </w:rPr>
            </w:pPr>
            <w:r>
              <w:rPr>
                <w:rFonts w:hint="eastAsia"/>
                <w:color w:val="auto"/>
                <w:highlight w:val="none"/>
                <w:lang w:bidi="ar"/>
              </w:rPr>
              <w:t>序号</w:t>
            </w:r>
          </w:p>
        </w:tc>
        <w:tc>
          <w:tcPr>
            <w:tcW w:w="435"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3A87F078">
            <w:pPr>
              <w:rPr>
                <w:color w:val="auto"/>
                <w:highlight w:val="none"/>
              </w:rPr>
            </w:pPr>
            <w:r>
              <w:rPr>
                <w:rFonts w:hint="eastAsia"/>
                <w:color w:val="auto"/>
                <w:highlight w:val="none"/>
                <w:lang w:bidi="ar"/>
              </w:rPr>
              <w:t>内容</w:t>
            </w:r>
          </w:p>
        </w:tc>
        <w:tc>
          <w:tcPr>
            <w:tcW w:w="3200"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0B834FE0">
            <w:pPr>
              <w:rPr>
                <w:color w:val="auto"/>
                <w:highlight w:val="none"/>
              </w:rPr>
            </w:pPr>
            <w:r>
              <w:rPr>
                <w:rFonts w:hint="eastAsia"/>
                <w:color w:val="auto"/>
                <w:highlight w:val="none"/>
                <w:lang w:bidi="ar"/>
              </w:rPr>
              <w:t>技术参数</w:t>
            </w:r>
          </w:p>
        </w:tc>
        <w:tc>
          <w:tcPr>
            <w:tcW w:w="245"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735816EF">
            <w:pPr>
              <w:rPr>
                <w:color w:val="auto"/>
                <w:highlight w:val="none"/>
              </w:rPr>
            </w:pPr>
            <w:r>
              <w:rPr>
                <w:rFonts w:hint="eastAsia"/>
                <w:color w:val="auto"/>
                <w:highlight w:val="none"/>
                <w:lang w:bidi="ar"/>
              </w:rPr>
              <w:t>单位</w:t>
            </w:r>
          </w:p>
        </w:tc>
        <w:tc>
          <w:tcPr>
            <w:tcW w:w="249"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159C8DF7">
            <w:pPr>
              <w:rPr>
                <w:color w:val="auto"/>
                <w:highlight w:val="none"/>
              </w:rPr>
            </w:pPr>
            <w:r>
              <w:rPr>
                <w:rFonts w:hint="eastAsia"/>
                <w:color w:val="auto"/>
                <w:highlight w:val="none"/>
                <w:lang w:bidi="ar"/>
              </w:rPr>
              <w:t>数量</w:t>
            </w:r>
          </w:p>
        </w:tc>
        <w:tc>
          <w:tcPr>
            <w:tcW w:w="378"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34A5EBAC">
            <w:pPr>
              <w:rPr>
                <w:color w:val="auto"/>
                <w:sz w:val="22"/>
                <w:szCs w:val="28"/>
                <w:highlight w:val="none"/>
              </w:rPr>
            </w:pPr>
            <w:r>
              <w:rPr>
                <w:rFonts w:hint="eastAsia"/>
                <w:color w:val="auto"/>
                <w:sz w:val="22"/>
                <w:szCs w:val="28"/>
                <w:highlight w:val="none"/>
                <w:lang w:bidi="ar"/>
              </w:rPr>
              <w:t>综合单价</w:t>
            </w:r>
          </w:p>
        </w:tc>
        <w:tc>
          <w:tcPr>
            <w:tcW w:w="250" w:type="pct"/>
            <w:tcBorders>
              <w:top w:val="single" w:color="000000" w:sz="8" w:space="0"/>
              <w:left w:val="single" w:color="000000" w:sz="8" w:space="0"/>
              <w:bottom w:val="single" w:color="000000" w:sz="8" w:space="0"/>
              <w:right w:val="single" w:color="000000" w:sz="8" w:space="0"/>
            </w:tcBorders>
            <w:shd w:val="clear" w:color="auto" w:fill="D9D9D9"/>
            <w:vAlign w:val="center"/>
          </w:tcPr>
          <w:p w14:paraId="66249CBD">
            <w:pPr>
              <w:rPr>
                <w:color w:val="auto"/>
                <w:highlight w:val="none"/>
              </w:rPr>
            </w:pPr>
            <w:r>
              <w:rPr>
                <w:rFonts w:hint="eastAsia"/>
                <w:color w:val="auto"/>
                <w:highlight w:val="none"/>
                <w:lang w:bidi="ar"/>
              </w:rPr>
              <w:t>备注</w:t>
            </w:r>
          </w:p>
        </w:tc>
      </w:tr>
      <w:tr w14:paraId="0EECD520">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82B2020">
            <w:pPr>
              <w:rPr>
                <w:color w:val="auto"/>
                <w:highlight w:val="none"/>
              </w:rPr>
            </w:pPr>
            <w:r>
              <w:rPr>
                <w:rFonts w:hint="eastAsia"/>
                <w:color w:val="auto"/>
                <w:highlight w:val="none"/>
                <w:lang w:bidi="ar"/>
              </w:rPr>
              <w:t>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A095C98">
            <w:pPr>
              <w:rPr>
                <w:color w:val="auto"/>
                <w:highlight w:val="none"/>
              </w:rPr>
            </w:pPr>
            <w:r>
              <w:rPr>
                <w:color w:val="auto"/>
                <w:highlight w:val="none"/>
              </w:rPr>
              <w:t>★</w:t>
            </w:r>
            <w:r>
              <w:rPr>
                <w:rFonts w:hint="eastAsia"/>
                <w:color w:val="auto"/>
                <w:highlight w:val="none"/>
                <w:lang w:bidi="ar"/>
              </w:rPr>
              <w:t>电警抓拍相机A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8E7D91A">
            <w:pPr>
              <w:rPr>
                <w:color w:val="auto"/>
                <w:highlight w:val="none"/>
              </w:rPr>
            </w:pPr>
            <w:r>
              <w:rPr>
                <w:rFonts w:hint="eastAsia"/>
                <w:color w:val="auto"/>
                <w:highlight w:val="none"/>
                <w:lang w:bidi="ar"/>
              </w:rPr>
              <w:t>摄像机像素：900W，感光器件：1个1英寸全局曝光GMOS传感器。相机可对视频图像和抓拍图片进行融合输出分辨率：最大支持4096*2160,视频帧率：在1～50fps可调;视频压缩标准：H.265/H.264/MJPEG图像输出格式：JPEG支持信号灯颜色增强功能 支持车流量检测功能，可以区分车辆是直行还是左转支持多种抓拍模式的切换，可根据应有场景的变化，实现开车打手机、不系安全带、机动车不礼让行人抓拍、非机动车载人、不戴头盔等抓拍功能。（含高清镜头、室外防护罩、防雷模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7860074">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370A55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B28D8F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9,300.00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814A308">
            <w:pPr>
              <w:rPr>
                <w:color w:val="auto"/>
                <w:highlight w:val="none"/>
              </w:rPr>
            </w:pPr>
            <w:r>
              <w:rPr>
                <w:rFonts w:hint="eastAsia"/>
                <w:color w:val="auto"/>
                <w:highlight w:val="none"/>
                <w:lang w:bidi="ar"/>
              </w:rPr>
              <w:t>质保三年</w:t>
            </w:r>
          </w:p>
        </w:tc>
      </w:tr>
      <w:tr w14:paraId="53E8260B">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F7E08A9">
            <w:pPr>
              <w:rPr>
                <w:color w:val="auto"/>
                <w:highlight w:val="none"/>
              </w:rPr>
            </w:pPr>
            <w:r>
              <w:rPr>
                <w:rFonts w:hint="eastAsia"/>
                <w:color w:val="auto"/>
                <w:highlight w:val="none"/>
                <w:lang w:bidi="ar"/>
              </w:rPr>
              <w:t>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A32F687">
            <w:pPr>
              <w:rPr>
                <w:color w:val="auto"/>
                <w:highlight w:val="none"/>
              </w:rPr>
            </w:pPr>
            <w:r>
              <w:rPr>
                <w:color w:val="auto"/>
                <w:highlight w:val="none"/>
              </w:rPr>
              <w:t>★</w:t>
            </w:r>
            <w:r>
              <w:rPr>
                <w:rFonts w:hint="eastAsia"/>
                <w:color w:val="auto"/>
                <w:highlight w:val="none"/>
                <w:lang w:bidi="ar"/>
              </w:rPr>
              <w:t>电警抓拍相机B</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2182D8F">
            <w:pPr>
              <w:rPr>
                <w:color w:val="auto"/>
                <w:highlight w:val="none"/>
              </w:rPr>
            </w:pPr>
            <w:r>
              <w:rPr>
                <w:rFonts w:hint="eastAsia"/>
                <w:color w:val="auto"/>
                <w:highlight w:val="none"/>
                <w:lang w:bidi="ar"/>
              </w:rPr>
              <w:t>摄像机像素：900W，感光器件：≥2个1英寸全局曝光GMOS，（可分别或融合显示输出黑白及彩色图像），相机可对视频图像和抓拍图片进行融合输出分辨率：最大支持4096*2160,视频帧率：在1～50fps可调;视频压缩标准：H.265/H.264/MJPEG图像输出格式：JPEG支持信号灯颜色增强功能 支持车流量检测功能，可以区分车辆是直行还是左转支持多种抓拍模式的切换，可根据应有场景的变化，实现开车打手机、不系安全带、机动车不礼让行人抓拍、非机动车载人、不戴头盔等抓拍功能。（含高清镜头、室外防护罩、防雷模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B4DA815">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8F37DD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C60FE9B">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11,500.00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E348E14">
            <w:pPr>
              <w:rPr>
                <w:color w:val="auto"/>
                <w:highlight w:val="none"/>
              </w:rPr>
            </w:pPr>
            <w:r>
              <w:rPr>
                <w:rFonts w:hint="eastAsia"/>
                <w:color w:val="auto"/>
                <w:highlight w:val="none"/>
                <w:lang w:bidi="ar"/>
              </w:rPr>
              <w:t>质保三年</w:t>
            </w:r>
          </w:p>
        </w:tc>
      </w:tr>
      <w:tr w14:paraId="21C2C714">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DA6D929">
            <w:pPr>
              <w:rPr>
                <w:color w:val="auto"/>
                <w:highlight w:val="none"/>
              </w:rPr>
            </w:pPr>
            <w:r>
              <w:rPr>
                <w:rFonts w:hint="eastAsia"/>
                <w:color w:val="auto"/>
                <w:highlight w:val="none"/>
                <w:lang w:bidi="ar"/>
              </w:rPr>
              <w:t>3</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42700A63">
            <w:pPr>
              <w:rPr>
                <w:color w:val="auto"/>
                <w:highlight w:val="none"/>
              </w:rPr>
            </w:pPr>
            <w:r>
              <w:rPr>
                <w:color w:val="auto"/>
                <w:highlight w:val="none"/>
              </w:rPr>
              <w:t>★</w:t>
            </w:r>
            <w:r>
              <w:rPr>
                <w:rFonts w:hint="eastAsia"/>
                <w:color w:val="auto"/>
                <w:highlight w:val="none"/>
                <w:lang w:bidi="ar"/>
              </w:rPr>
              <w:t>全景相机A</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378EC16C">
            <w:pPr>
              <w:rPr>
                <w:color w:val="auto"/>
                <w:highlight w:val="none"/>
              </w:rPr>
            </w:pPr>
            <w:r>
              <w:rPr>
                <w:rFonts w:hint="eastAsia"/>
                <w:color w:val="auto"/>
                <w:highlight w:val="none"/>
                <w:lang w:bidi="ar"/>
              </w:rPr>
              <w:t>≥1/1.8"尺寸，分辨率≥800万，镜头：≥8-32cm；适用于道路监控；支持车牌识别，车型/车标/车身颜色/车牌颜色识别；支持检测正向或逆向行驶的车辆以及行人和非机动车，自动对车辆牌照进行识别，可以抓拍无车牌的车辆图片。最低照度:彩色:0.002 Lux @ (F1.2, AGC ON) 黑白:0.0002 Lux @ (F1.2, AGC ON), 0 Lux with IR宽动态:超宽动态范围达120dB,视频压缩标准:H.265/H.264 / MJPEG最大图像尺寸:4096 x 2160，防护等级:IP66</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62080B3E">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00284B1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40683B4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2,800.00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3C07E675">
            <w:pPr>
              <w:rPr>
                <w:color w:val="auto"/>
                <w:highlight w:val="none"/>
              </w:rPr>
            </w:pPr>
            <w:r>
              <w:rPr>
                <w:rFonts w:hint="eastAsia"/>
                <w:color w:val="auto"/>
                <w:highlight w:val="none"/>
                <w:lang w:bidi="ar"/>
              </w:rPr>
              <w:t>质保三年</w:t>
            </w:r>
          </w:p>
        </w:tc>
      </w:tr>
      <w:tr w14:paraId="45D8E563">
        <w:tblPrEx>
          <w:tblCellMar>
            <w:top w:w="0" w:type="dxa"/>
            <w:left w:w="108" w:type="dxa"/>
            <w:bottom w:w="0" w:type="dxa"/>
            <w:right w:w="108" w:type="dxa"/>
          </w:tblCellMar>
        </w:tblPrEx>
        <w:trPr>
          <w:trHeight w:val="381"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69DDBD8">
            <w:pPr>
              <w:rPr>
                <w:color w:val="auto"/>
                <w:highlight w:val="none"/>
              </w:rPr>
            </w:pPr>
            <w:r>
              <w:rPr>
                <w:rFonts w:hint="eastAsia"/>
                <w:color w:val="auto"/>
                <w:highlight w:val="none"/>
                <w:lang w:bidi="ar"/>
              </w:rPr>
              <w:t>4</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5F5316C0">
            <w:pPr>
              <w:rPr>
                <w:color w:val="auto"/>
                <w:highlight w:val="none"/>
              </w:rPr>
            </w:pPr>
            <w:r>
              <w:rPr>
                <w:color w:val="auto"/>
                <w:highlight w:val="none"/>
              </w:rPr>
              <w:t>★</w:t>
            </w:r>
            <w:r>
              <w:rPr>
                <w:rFonts w:hint="eastAsia"/>
                <w:color w:val="auto"/>
                <w:highlight w:val="none"/>
                <w:lang w:bidi="ar"/>
              </w:rPr>
              <w:t>全景相机B</w:t>
            </w:r>
          </w:p>
        </w:tc>
        <w:tc>
          <w:tcPr>
            <w:tcW w:w="3200" w:type="pct"/>
            <w:tcBorders>
              <w:top w:val="nil"/>
              <w:left w:val="single" w:color="000000" w:sz="8" w:space="0"/>
              <w:bottom w:val="nil"/>
              <w:right w:val="single" w:color="000000" w:sz="8" w:space="0"/>
            </w:tcBorders>
            <w:shd w:val="clear" w:color="auto" w:fill="FFFFFF"/>
            <w:vAlign w:val="center"/>
          </w:tcPr>
          <w:p w14:paraId="31A498D6">
            <w:pPr>
              <w:rPr>
                <w:color w:val="auto"/>
                <w:highlight w:val="none"/>
              </w:rPr>
            </w:pPr>
            <w:r>
              <w:rPr>
                <w:rFonts w:hint="eastAsia"/>
                <w:color w:val="auto"/>
                <w:highlight w:val="none"/>
                <w:lang w:bidi="ar"/>
              </w:rPr>
              <w:t>需要与电子警察相机配合使用；支持全景模式，支持4个通道独立出图；</w:t>
            </w:r>
            <w:r>
              <w:rPr>
                <w:rFonts w:hint="eastAsia"/>
                <w:color w:val="auto"/>
                <w:highlight w:val="none"/>
                <w:lang w:bidi="ar"/>
              </w:rPr>
              <w:br w:type="textWrapping"/>
            </w:r>
            <w:r>
              <w:rPr>
                <w:rFonts w:hint="eastAsia"/>
                <w:color w:val="auto"/>
                <w:highlight w:val="none"/>
                <w:lang w:bidi="ar"/>
              </w:rPr>
              <w:t>传感器类型：1/1.8" Progressive Scan CMOS、 最大图像尺寸：≥8160 × 3616</w:t>
            </w:r>
            <w:r>
              <w:rPr>
                <w:rFonts w:hint="eastAsia"/>
                <w:color w:val="auto"/>
                <w:highlight w:val="none"/>
                <w:lang w:bidi="ar"/>
              </w:rPr>
              <w:br w:type="textWrapping"/>
            </w:r>
            <w:r>
              <w:rPr>
                <w:rFonts w:hint="eastAsia"/>
                <w:color w:val="auto"/>
                <w:highlight w:val="none"/>
                <w:lang w:bidi="ar"/>
              </w:rPr>
              <w:t xml:space="preserve"> 最低照度：彩色：0.009 Lux @（F1.2，AGC ON），0 Lux with Light</w:t>
            </w:r>
            <w:r>
              <w:rPr>
                <w:rFonts w:hint="eastAsia"/>
                <w:color w:val="auto"/>
                <w:highlight w:val="none"/>
                <w:lang w:bidi="ar"/>
              </w:rPr>
              <w:br w:type="textWrapping"/>
            </w:r>
            <w:r>
              <w:rPr>
                <w:rFonts w:hint="eastAsia"/>
                <w:color w:val="auto"/>
                <w:highlight w:val="none"/>
                <w:lang w:bidi="ar"/>
              </w:rPr>
              <w:t>水平视场角：≥180°，垂直视场角：≥90°</w:t>
            </w:r>
            <w:r>
              <w:rPr>
                <w:rFonts w:hint="eastAsia"/>
                <w:color w:val="auto"/>
                <w:highlight w:val="none"/>
                <w:lang w:bidi="ar"/>
              </w:rPr>
              <w:br w:type="textWrapping"/>
            </w:r>
            <w:r>
              <w:rPr>
                <w:rFonts w:hint="eastAsia"/>
                <w:color w:val="auto"/>
                <w:highlight w:val="none"/>
                <w:lang w:bidi="ar"/>
              </w:rPr>
              <w:t>补光灯类型：白光灯、 补光距离：最远可达20 m、 防补光过曝：支持、视频压缩标准：全景模式：H.265/H.264、</w:t>
            </w:r>
            <w:r>
              <w:rPr>
                <w:rFonts w:hint="eastAsia"/>
                <w:color w:val="auto"/>
                <w:highlight w:val="none"/>
                <w:lang w:bidi="ar"/>
              </w:rPr>
              <w:br w:type="textWrapping"/>
            </w:r>
            <w:r>
              <w:rPr>
                <w:rFonts w:hint="eastAsia"/>
                <w:color w:val="auto"/>
                <w:highlight w:val="none"/>
                <w:lang w:bidi="ar"/>
              </w:rPr>
              <w:t>原始图像模式、全景+ePTZ模式、分割模式：H.265/H.264</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2D61BC2C">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4EB0406A">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6D5D159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6,400.00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075AB682">
            <w:pPr>
              <w:rPr>
                <w:color w:val="auto"/>
                <w:highlight w:val="none"/>
              </w:rPr>
            </w:pPr>
            <w:r>
              <w:rPr>
                <w:rFonts w:hint="eastAsia"/>
                <w:color w:val="auto"/>
                <w:highlight w:val="none"/>
                <w:lang w:bidi="ar"/>
              </w:rPr>
              <w:t>质保三年</w:t>
            </w:r>
          </w:p>
        </w:tc>
      </w:tr>
      <w:tr w14:paraId="0556F98B">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0E0308A">
            <w:pPr>
              <w:rPr>
                <w:color w:val="auto"/>
                <w:highlight w:val="none"/>
              </w:rPr>
            </w:pPr>
            <w:r>
              <w:rPr>
                <w:rFonts w:hint="eastAsia"/>
                <w:color w:val="auto"/>
                <w:highlight w:val="none"/>
                <w:lang w:bidi="ar"/>
              </w:rPr>
              <w:t>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8F0C327">
            <w:pPr>
              <w:rPr>
                <w:color w:val="auto"/>
                <w:highlight w:val="none"/>
              </w:rPr>
            </w:pPr>
            <w:r>
              <w:rPr>
                <w:rFonts w:hint="eastAsia"/>
                <w:color w:val="auto"/>
                <w:highlight w:val="none"/>
                <w:lang w:bidi="ar"/>
              </w:rPr>
              <w:t>电警智能机柜</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EBCAA7E">
            <w:pPr>
              <w:rPr>
                <w:color w:val="auto"/>
                <w:highlight w:val="none"/>
              </w:rPr>
            </w:pPr>
            <w:r>
              <w:rPr>
                <w:rFonts w:hint="eastAsia"/>
                <w:color w:val="auto"/>
                <w:highlight w:val="none"/>
                <w:lang w:bidi="ar"/>
              </w:rPr>
              <w:t>材料选用优质冷轧钢板，具有5路AC220V强电输入接口、6路AC220V强电输出接口、2路DC12V供电输出接口、8个模拟量接口、2路标准BNC模拟视频接口、1个10M/100M自适应RJ45接口，实现远程断电重启前端设备的功能,当机柜门开启时，将发出报警信息，可关联声音报警、上传中心平台、短信报警设备可直接接入网络，并可通过IE浏览器或客户端软件预览视频图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659DDBD">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2D57F5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A660A4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94E62E1">
            <w:pPr>
              <w:rPr>
                <w:color w:val="auto"/>
                <w:highlight w:val="none"/>
              </w:rPr>
            </w:pPr>
            <w:r>
              <w:rPr>
                <w:rFonts w:hint="eastAsia"/>
                <w:color w:val="auto"/>
                <w:highlight w:val="none"/>
                <w:lang w:bidi="ar"/>
              </w:rPr>
              <w:t>质保三年</w:t>
            </w:r>
          </w:p>
        </w:tc>
      </w:tr>
      <w:tr w14:paraId="400660E2">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38400BF">
            <w:pPr>
              <w:rPr>
                <w:color w:val="auto"/>
                <w:highlight w:val="none"/>
              </w:rPr>
            </w:pPr>
            <w:r>
              <w:rPr>
                <w:rFonts w:hint="eastAsia"/>
                <w:color w:val="auto"/>
                <w:highlight w:val="none"/>
                <w:lang w:bidi="ar"/>
              </w:rPr>
              <w:t>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E35245D">
            <w:pPr>
              <w:rPr>
                <w:color w:val="auto"/>
                <w:highlight w:val="none"/>
              </w:rPr>
            </w:pPr>
            <w:r>
              <w:rPr>
                <w:rFonts w:hint="eastAsia"/>
                <w:color w:val="auto"/>
                <w:highlight w:val="none"/>
                <w:lang w:bidi="ar"/>
              </w:rPr>
              <w:t>电警普通机柜</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EEB0B11">
            <w:pPr>
              <w:rPr>
                <w:color w:val="auto"/>
                <w:highlight w:val="none"/>
              </w:rPr>
            </w:pPr>
            <w:r>
              <w:rPr>
                <w:rFonts w:hint="eastAsia"/>
                <w:color w:val="auto"/>
                <w:highlight w:val="none"/>
                <w:lang w:bidi="ar"/>
              </w:rPr>
              <w:t>基于19英寸标准结构设计，有18U 安装空间，具有良好的安装通用性；内含强电保护模块，含有1个总空气开关与8个分空气开关，一个AC220V电源插座，2个电源防雷模块；防护等级IP55；门锁采用户外机柜防水锁，使用三复合的三元乙丙优质密封条，有效保证了机柜门活动连接部分的密封性；采用工业级通风设备；</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BEB1594">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315AB8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4A0168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98A28E1">
            <w:pPr>
              <w:rPr>
                <w:color w:val="auto"/>
                <w:highlight w:val="none"/>
              </w:rPr>
            </w:pPr>
            <w:r>
              <w:rPr>
                <w:rFonts w:hint="eastAsia"/>
                <w:color w:val="auto"/>
                <w:highlight w:val="none"/>
                <w:lang w:bidi="ar"/>
              </w:rPr>
              <w:t>质保三年</w:t>
            </w:r>
          </w:p>
        </w:tc>
      </w:tr>
      <w:tr w14:paraId="1E3F3FFE">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5002468">
            <w:pPr>
              <w:rPr>
                <w:color w:val="auto"/>
                <w:highlight w:val="none"/>
              </w:rPr>
            </w:pPr>
            <w:r>
              <w:rPr>
                <w:rFonts w:hint="eastAsia"/>
                <w:color w:val="auto"/>
                <w:highlight w:val="none"/>
                <w:lang w:bidi="ar"/>
              </w:rPr>
              <w:t>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7687E38">
            <w:pPr>
              <w:rPr>
                <w:color w:val="auto"/>
                <w:highlight w:val="none"/>
              </w:rPr>
            </w:pPr>
            <w:r>
              <w:rPr>
                <w:color w:val="auto"/>
                <w:highlight w:val="none"/>
              </w:rPr>
              <w:t>★</w:t>
            </w:r>
            <w:r>
              <w:rPr>
                <w:rFonts w:hint="eastAsia"/>
                <w:color w:val="auto"/>
                <w:highlight w:val="none"/>
                <w:lang w:bidi="ar"/>
              </w:rPr>
              <w:t>前端储存主机</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C614313">
            <w:pPr>
              <w:rPr>
                <w:color w:val="auto"/>
                <w:highlight w:val="none"/>
              </w:rPr>
            </w:pPr>
            <w:r>
              <w:rPr>
                <w:rFonts w:hint="eastAsia"/>
                <w:color w:val="auto"/>
                <w:highlight w:val="none"/>
                <w:lang w:bidi="ar"/>
              </w:rPr>
              <w:t>最大支持16路高清视频，每路传输速率4mbps，嵌入式Linux操作系统/WEB方式，支持接入200万、700万、900万像素等分辨率的高清录像/2路报警输入/2路报警输出/ 4个内置SATA接口，标配硬盘容量≥4TB，最大可扩容至不少于16TB ，2个RJ45 100M/1000M自适应以太网口，16个RJ45 100M交换网络接口，1个1000M SFP光纤接口/220V±10% ，-20℃～+70℃。</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C84A3F3">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3D928F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7391B8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F4C21C8">
            <w:pPr>
              <w:rPr>
                <w:color w:val="auto"/>
                <w:highlight w:val="none"/>
              </w:rPr>
            </w:pPr>
            <w:r>
              <w:rPr>
                <w:rFonts w:hint="eastAsia"/>
                <w:color w:val="auto"/>
                <w:highlight w:val="none"/>
                <w:lang w:bidi="ar"/>
              </w:rPr>
              <w:t>质保三年</w:t>
            </w:r>
          </w:p>
        </w:tc>
      </w:tr>
      <w:tr w14:paraId="3C1B910F">
        <w:tblPrEx>
          <w:tblCellMar>
            <w:top w:w="0" w:type="dxa"/>
            <w:left w:w="108" w:type="dxa"/>
            <w:bottom w:w="0" w:type="dxa"/>
            <w:right w:w="108" w:type="dxa"/>
          </w:tblCellMar>
        </w:tblPrEx>
        <w:trPr>
          <w:trHeight w:val="121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3314FD6">
            <w:pPr>
              <w:rPr>
                <w:color w:val="auto"/>
                <w:highlight w:val="none"/>
              </w:rPr>
            </w:pPr>
            <w:r>
              <w:rPr>
                <w:rFonts w:hint="eastAsia"/>
                <w:color w:val="auto"/>
                <w:highlight w:val="none"/>
                <w:lang w:bidi="ar"/>
              </w:rPr>
              <w:t>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CA9D088">
            <w:pPr>
              <w:rPr>
                <w:color w:val="auto"/>
                <w:highlight w:val="none"/>
              </w:rPr>
            </w:pPr>
            <w:r>
              <w:rPr>
                <w:color w:val="auto"/>
                <w:highlight w:val="none"/>
              </w:rPr>
              <w:t>★</w:t>
            </w:r>
            <w:r>
              <w:rPr>
                <w:rFonts w:hint="eastAsia"/>
                <w:color w:val="auto"/>
                <w:highlight w:val="none"/>
                <w:lang w:bidi="ar"/>
              </w:rPr>
              <w:t>一体化前端储存主机</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D3395AC">
            <w:pPr>
              <w:rPr>
                <w:color w:val="auto"/>
                <w:highlight w:val="none"/>
              </w:rPr>
            </w:pPr>
            <w:r>
              <w:rPr>
                <w:rFonts w:hint="eastAsia"/>
                <w:color w:val="auto"/>
                <w:highlight w:val="none"/>
                <w:lang w:bidi="ar"/>
              </w:rPr>
              <w:t>支持12路交通信号灯检测信号输入、4路4~20mA传感器接入、4路强电输出控制、8路HD-TVI输入、16路IPC接入，可对接入的相机进行图片存储、视频存储、数据上传、视频流转发、前端设备管理，设备最大支持4块3.5寸硬盘；模拟视频接口 8路HD-TVI输入；网络接口：16个1000M以太网接口，4个内部和1个外部10/100/1000M自适应以太网接口，内部千兆网口为可光电转换网络接口（需选配光模块）,5组标准SFP光纤接口；RS232接口：交通灯信号检测板、智能电源板、模拟相机板各1个RS232接口，主控板4个RS232接口；RS485接口：交通灯信号检测板2个RS485接口、主控板4个RS485接口。</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78DFCC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E346CE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40E52A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C54FF1D">
            <w:pPr>
              <w:rPr>
                <w:color w:val="auto"/>
                <w:highlight w:val="none"/>
              </w:rPr>
            </w:pPr>
            <w:r>
              <w:rPr>
                <w:rFonts w:hint="eastAsia"/>
                <w:color w:val="auto"/>
                <w:highlight w:val="none"/>
                <w:lang w:bidi="ar"/>
              </w:rPr>
              <w:t>质保三年</w:t>
            </w:r>
          </w:p>
        </w:tc>
      </w:tr>
      <w:tr w14:paraId="407C8F4F">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1C8054D">
            <w:pPr>
              <w:rPr>
                <w:color w:val="auto"/>
                <w:highlight w:val="none"/>
              </w:rPr>
            </w:pPr>
            <w:r>
              <w:rPr>
                <w:rFonts w:hint="eastAsia"/>
                <w:color w:val="auto"/>
                <w:highlight w:val="none"/>
                <w:lang w:bidi="ar"/>
              </w:rPr>
              <w:t>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01DA9FF">
            <w:pPr>
              <w:rPr>
                <w:color w:val="auto"/>
                <w:highlight w:val="none"/>
              </w:rPr>
            </w:pPr>
            <w:r>
              <w:rPr>
                <w:color w:val="auto"/>
                <w:highlight w:val="none"/>
              </w:rPr>
              <w:t>★</w:t>
            </w:r>
            <w:r>
              <w:rPr>
                <w:rFonts w:hint="eastAsia"/>
                <w:color w:val="auto"/>
                <w:highlight w:val="none"/>
                <w:lang w:bidi="ar"/>
              </w:rPr>
              <w:t>信号检测器</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F5DF362">
            <w:pPr>
              <w:rPr>
                <w:color w:val="auto"/>
                <w:highlight w:val="none"/>
              </w:rPr>
            </w:pPr>
            <w:r>
              <w:rPr>
                <w:rFonts w:hint="eastAsia"/>
                <w:color w:val="auto"/>
                <w:highlight w:val="none"/>
                <w:lang w:bidi="ar"/>
              </w:rPr>
              <w:t>红/绿灯信号输入可接入16路220V/AC红绿灯信号；红/绿灯信号检测 支持最多16个红/绿灯信号同时检测；拨码开关 1个五位拨码开关，用于参数设置； 1个RS232串口，用于系统升级； 4个RS485接口，用于信息交互；电源 1个电源接口，AC85-265V 50±2% Hz；电源开关 1个电源开关，位于后面板上；指示灯 1相电源指示灯，1个工作指标灯，16个检测指标灯；功耗 &lt;3W；使用工作温度 -30℃~+70℃；使用湿度 10%-95%。</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925A233">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722BA0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845BD9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64B7F88">
            <w:pPr>
              <w:rPr>
                <w:color w:val="auto"/>
                <w:highlight w:val="none"/>
              </w:rPr>
            </w:pPr>
            <w:r>
              <w:rPr>
                <w:rFonts w:hint="eastAsia"/>
                <w:color w:val="auto"/>
                <w:highlight w:val="none"/>
                <w:lang w:bidi="ar"/>
              </w:rPr>
              <w:t>质保三年</w:t>
            </w:r>
          </w:p>
        </w:tc>
      </w:tr>
      <w:tr w14:paraId="2E72828A">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012C780">
            <w:pPr>
              <w:rPr>
                <w:color w:val="auto"/>
                <w:highlight w:val="none"/>
              </w:rPr>
            </w:pPr>
            <w:r>
              <w:rPr>
                <w:rFonts w:hint="eastAsia"/>
                <w:color w:val="auto"/>
                <w:highlight w:val="none"/>
                <w:lang w:bidi="ar"/>
              </w:rPr>
              <w:t>10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60D61FF">
            <w:pPr>
              <w:rPr>
                <w:color w:val="auto"/>
                <w:highlight w:val="none"/>
              </w:rPr>
            </w:pPr>
            <w:r>
              <w:rPr>
                <w:rFonts w:hint="eastAsia"/>
                <w:color w:val="auto"/>
                <w:highlight w:val="none"/>
                <w:lang w:bidi="ar"/>
              </w:rPr>
              <w:t>智能电源模块</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BF5424C">
            <w:pPr>
              <w:rPr>
                <w:color w:val="auto"/>
                <w:highlight w:val="none"/>
              </w:rPr>
            </w:pPr>
            <w:r>
              <w:rPr>
                <w:rFonts w:hint="eastAsia"/>
                <w:color w:val="auto"/>
                <w:highlight w:val="none"/>
                <w:lang w:bidi="ar"/>
              </w:rPr>
              <w:t>符合现有智能机柜要求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74AE152">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196F37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14C2D2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8630326">
            <w:pPr>
              <w:rPr>
                <w:color w:val="auto"/>
                <w:highlight w:val="none"/>
              </w:rPr>
            </w:pPr>
            <w:r>
              <w:rPr>
                <w:rFonts w:hint="eastAsia"/>
                <w:color w:val="auto"/>
                <w:highlight w:val="none"/>
                <w:lang w:bidi="ar"/>
              </w:rPr>
              <w:t>质保三年</w:t>
            </w:r>
          </w:p>
        </w:tc>
      </w:tr>
      <w:tr w14:paraId="2217E74B">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33895BD">
            <w:pPr>
              <w:rPr>
                <w:color w:val="auto"/>
                <w:highlight w:val="none"/>
              </w:rPr>
            </w:pPr>
            <w:r>
              <w:rPr>
                <w:rFonts w:hint="eastAsia"/>
                <w:color w:val="auto"/>
                <w:highlight w:val="none"/>
                <w:lang w:bidi="ar"/>
              </w:rPr>
              <w:t>11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F98058D">
            <w:pPr>
              <w:rPr>
                <w:color w:val="auto"/>
                <w:highlight w:val="none"/>
              </w:rPr>
            </w:pPr>
            <w:r>
              <w:rPr>
                <w:rFonts w:hint="eastAsia"/>
                <w:color w:val="auto"/>
                <w:highlight w:val="none"/>
                <w:lang w:bidi="ar"/>
              </w:rPr>
              <w:t>电警机箱迁移（单个）</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240D2C2">
            <w:pPr>
              <w:rPr>
                <w:color w:val="auto"/>
                <w:highlight w:val="none"/>
              </w:rPr>
            </w:pPr>
            <w:r>
              <w:rPr>
                <w:rFonts w:hint="eastAsia"/>
                <w:color w:val="auto"/>
                <w:highlight w:val="none"/>
                <w:lang w:bidi="ar"/>
              </w:rPr>
              <w:t>单个电警机箱迁移,含基础重做,线缆重新接调试,网络恢复等所有功能；恢复电警机箱迁移原线路不够长需要更换线缆的,线缆按照本清单单价另行结算。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84A34B6">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20264E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D6FC1A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983.00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DB1EF3E">
            <w:pPr>
              <w:rPr>
                <w:color w:val="auto"/>
                <w:highlight w:val="none"/>
              </w:rPr>
            </w:pPr>
          </w:p>
        </w:tc>
      </w:tr>
      <w:tr w14:paraId="773DCC63">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1609019">
            <w:pPr>
              <w:rPr>
                <w:color w:val="auto"/>
                <w:highlight w:val="none"/>
              </w:rPr>
            </w:pPr>
            <w:r>
              <w:rPr>
                <w:rFonts w:hint="eastAsia"/>
                <w:color w:val="auto"/>
                <w:highlight w:val="none"/>
                <w:lang w:bidi="ar"/>
              </w:rPr>
              <w:t>12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8CF519F">
            <w:pPr>
              <w:rPr>
                <w:color w:val="auto"/>
                <w:highlight w:val="none"/>
              </w:rPr>
            </w:pPr>
            <w:r>
              <w:rPr>
                <w:rFonts w:hint="eastAsia"/>
                <w:color w:val="auto"/>
                <w:highlight w:val="none"/>
                <w:lang w:bidi="ar"/>
              </w:rPr>
              <w:t>电警机箱抬高（单个）</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A30CAA7">
            <w:pPr>
              <w:rPr>
                <w:color w:val="auto"/>
                <w:highlight w:val="none"/>
              </w:rPr>
            </w:pPr>
            <w:r>
              <w:rPr>
                <w:rFonts w:hint="eastAsia"/>
                <w:color w:val="auto"/>
                <w:highlight w:val="none"/>
                <w:lang w:bidi="ar"/>
              </w:rPr>
              <w:t>单个电警路口机箱抬高（旧线缆不够长需要更换线缆的,线缆按照本清单单价另行结算;）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6C9799C">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5957B5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C28028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491.00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0FEC844">
            <w:pPr>
              <w:rPr>
                <w:color w:val="auto"/>
                <w:highlight w:val="none"/>
              </w:rPr>
            </w:pPr>
          </w:p>
        </w:tc>
      </w:tr>
      <w:tr w14:paraId="0EEB860C">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8FCFD87">
            <w:pPr>
              <w:rPr>
                <w:color w:val="auto"/>
                <w:highlight w:val="none"/>
              </w:rPr>
            </w:pPr>
            <w:r>
              <w:rPr>
                <w:rFonts w:hint="eastAsia"/>
                <w:color w:val="auto"/>
                <w:highlight w:val="none"/>
                <w:lang w:bidi="ar"/>
              </w:rPr>
              <w:t>13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8F9D250">
            <w:pPr>
              <w:rPr>
                <w:color w:val="auto"/>
                <w:highlight w:val="none"/>
              </w:rPr>
            </w:pPr>
            <w:r>
              <w:rPr>
                <w:rFonts w:hint="eastAsia"/>
                <w:color w:val="auto"/>
                <w:highlight w:val="none"/>
                <w:lang w:bidi="ar"/>
              </w:rPr>
              <w:t>落地机柜拆除</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E644DC2">
            <w:pPr>
              <w:rPr>
                <w:color w:val="auto"/>
                <w:highlight w:val="none"/>
              </w:rPr>
            </w:pPr>
            <w:r>
              <w:rPr>
                <w:rFonts w:hint="eastAsia"/>
                <w:color w:val="auto"/>
                <w:highlight w:val="none"/>
                <w:lang w:bidi="ar"/>
              </w:rPr>
              <w:t>含地面恢复</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14B7F29">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393F84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B43BDB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912.00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251F8F1">
            <w:pPr>
              <w:rPr>
                <w:color w:val="auto"/>
                <w:highlight w:val="none"/>
              </w:rPr>
            </w:pPr>
          </w:p>
        </w:tc>
      </w:tr>
      <w:tr w14:paraId="205F7567">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048EA7B">
            <w:pPr>
              <w:rPr>
                <w:color w:val="auto"/>
                <w:highlight w:val="none"/>
              </w:rPr>
            </w:pPr>
            <w:r>
              <w:rPr>
                <w:rFonts w:hint="eastAsia"/>
                <w:color w:val="auto"/>
                <w:highlight w:val="none"/>
                <w:lang w:bidi="ar"/>
              </w:rPr>
              <w:t>14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DAAD5AA">
            <w:pPr>
              <w:rPr>
                <w:color w:val="auto"/>
                <w:highlight w:val="none"/>
              </w:rPr>
            </w:pPr>
            <w:r>
              <w:rPr>
                <w:color w:val="auto"/>
                <w:highlight w:val="none"/>
              </w:rPr>
              <w:t>★</w:t>
            </w:r>
            <w:r>
              <w:rPr>
                <w:rFonts w:hint="eastAsia"/>
                <w:color w:val="auto"/>
                <w:highlight w:val="none"/>
                <w:lang w:bidi="ar"/>
              </w:rPr>
              <w:t>卡口抓拍相机A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73BA453">
            <w:pPr>
              <w:rPr>
                <w:color w:val="auto"/>
                <w:highlight w:val="none"/>
              </w:rPr>
            </w:pPr>
            <w:r>
              <w:rPr>
                <w:rFonts w:hint="eastAsia"/>
                <w:color w:val="auto"/>
                <w:highlight w:val="none"/>
                <w:lang w:bidi="ar"/>
              </w:rPr>
              <w:t>摄像机像素：900W，感光器件：≥1个1英寸全局曝光GMOS传感器。相机可对视频图像和抓拍图片进行融合输出分辨率：最大支持4096*2160,视频帧率：在1～50fps可调;视频压缩标准：H.265/H.264/MJPEG图像输出格式：JPEG支持信号灯颜色增强功能 支持车流量检测功能，可以区分车辆是直行还是左转支持多种抓拍模式的切换，可根据应有场景的变化，实现开车打手机、不系安全带、机动车不礼让行人抓拍、非机动车载人、不戴头盔等抓拍功能。（含高清镜头、室外防护罩、防雷模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A7885C5">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58A650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7B99C1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7B86CE1">
            <w:pPr>
              <w:rPr>
                <w:color w:val="auto"/>
                <w:highlight w:val="none"/>
              </w:rPr>
            </w:pPr>
            <w:r>
              <w:rPr>
                <w:rFonts w:hint="eastAsia"/>
                <w:color w:val="auto"/>
                <w:highlight w:val="none"/>
                <w:lang w:bidi="ar"/>
              </w:rPr>
              <w:t>质保三年</w:t>
            </w:r>
          </w:p>
        </w:tc>
      </w:tr>
      <w:tr w14:paraId="6D713F49">
        <w:tblPrEx>
          <w:tblCellMar>
            <w:top w:w="0" w:type="dxa"/>
            <w:left w:w="108" w:type="dxa"/>
            <w:bottom w:w="0" w:type="dxa"/>
            <w:right w:w="108" w:type="dxa"/>
          </w:tblCellMar>
        </w:tblPrEx>
        <w:trPr>
          <w:trHeight w:val="121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92C3994">
            <w:pPr>
              <w:rPr>
                <w:color w:val="auto"/>
                <w:highlight w:val="none"/>
              </w:rPr>
            </w:pPr>
            <w:r>
              <w:rPr>
                <w:rFonts w:hint="eastAsia"/>
                <w:color w:val="auto"/>
                <w:highlight w:val="none"/>
                <w:lang w:bidi="ar"/>
              </w:rPr>
              <w:t>15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17435B6">
            <w:pPr>
              <w:rPr>
                <w:color w:val="auto"/>
                <w:highlight w:val="none"/>
              </w:rPr>
            </w:pPr>
            <w:r>
              <w:rPr>
                <w:color w:val="auto"/>
                <w:highlight w:val="none"/>
              </w:rPr>
              <w:t>★</w:t>
            </w:r>
            <w:r>
              <w:rPr>
                <w:rFonts w:hint="eastAsia"/>
                <w:color w:val="auto"/>
                <w:highlight w:val="none"/>
                <w:lang w:bidi="ar"/>
              </w:rPr>
              <w:t>卡口抓拍相机B</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0D43A91">
            <w:pPr>
              <w:rPr>
                <w:color w:val="auto"/>
                <w:highlight w:val="none"/>
              </w:rPr>
            </w:pPr>
            <w:r>
              <w:rPr>
                <w:rFonts w:hint="eastAsia"/>
                <w:color w:val="auto"/>
                <w:highlight w:val="none"/>
                <w:lang w:bidi="ar"/>
              </w:rPr>
              <w:t>摄像机像素：900W，感光器件：两个1英寸全局曝光GMOS内置两个图像传感器（可分别或融合显示输出黑白及彩色图像）或1个GMOS传感器。相机可对视频图像和抓拍图片进行融合输出分辨率：最大支持4096*2160,视频帧率：在1～50fps可调;视频压缩支持H.265、H.264、M-JPEG、MPEG4；支持视场倾斜情况下的车辆特征识别，包括车牌、车身颜色、车型、车辆子品牌等；支持新能源车牌识别功能；可对扣取的人脸图片的像素大小、亮度、边框放大倍数进行调节，达到人脸比对的要求；支持未系安全带检测；支持驾驶员行车时打电话动作的检测，内置深度学习芯片。（含高清镜头、室外防护罩、防雷模块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025DB63">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00ECFE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F29B98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3F176F6">
            <w:pPr>
              <w:rPr>
                <w:color w:val="auto"/>
                <w:highlight w:val="none"/>
              </w:rPr>
            </w:pPr>
            <w:r>
              <w:rPr>
                <w:rFonts w:hint="eastAsia"/>
                <w:color w:val="auto"/>
                <w:highlight w:val="none"/>
                <w:lang w:bidi="ar"/>
              </w:rPr>
              <w:t>质保三年</w:t>
            </w:r>
          </w:p>
        </w:tc>
      </w:tr>
      <w:tr w14:paraId="662ABE98">
        <w:tblPrEx>
          <w:tblCellMar>
            <w:top w:w="0" w:type="dxa"/>
            <w:left w:w="108" w:type="dxa"/>
            <w:bottom w:w="0" w:type="dxa"/>
            <w:right w:w="108" w:type="dxa"/>
          </w:tblCellMar>
        </w:tblPrEx>
        <w:trPr>
          <w:trHeight w:val="1215" w:hRule="atLeast"/>
        </w:trPr>
        <w:tc>
          <w:tcPr>
            <w:tcW w:w="240" w:type="pct"/>
            <w:tcBorders>
              <w:top w:val="nil"/>
              <w:left w:val="single" w:color="000000" w:sz="8" w:space="0"/>
              <w:bottom w:val="single" w:color="000000" w:sz="8" w:space="0"/>
              <w:right w:val="single" w:color="000000" w:sz="8" w:space="0"/>
            </w:tcBorders>
            <w:shd w:val="clear" w:color="auto" w:fill="FFFFFF" w:themeFill="background1"/>
            <w:vAlign w:val="center"/>
          </w:tcPr>
          <w:p w14:paraId="6C90A14D">
            <w:pPr>
              <w:rPr>
                <w:color w:val="auto"/>
                <w:highlight w:val="none"/>
              </w:rPr>
            </w:pPr>
            <w:r>
              <w:rPr>
                <w:rFonts w:hint="eastAsia"/>
                <w:color w:val="auto"/>
                <w:highlight w:val="none"/>
                <w:lang w:bidi="ar"/>
              </w:rPr>
              <w:t>16</w:t>
            </w:r>
          </w:p>
        </w:tc>
        <w:tc>
          <w:tcPr>
            <w:tcW w:w="435" w:type="pct"/>
            <w:tcBorders>
              <w:top w:val="nil"/>
              <w:left w:val="single" w:color="000000" w:sz="8" w:space="0"/>
              <w:bottom w:val="single" w:color="000000" w:sz="8" w:space="0"/>
              <w:right w:val="single" w:color="000000" w:sz="8" w:space="0"/>
            </w:tcBorders>
            <w:shd w:val="clear" w:color="auto" w:fill="FFFFFF" w:themeFill="background1"/>
            <w:vAlign w:val="center"/>
          </w:tcPr>
          <w:p w14:paraId="046E7DEA">
            <w:pPr>
              <w:rPr>
                <w:color w:val="auto"/>
                <w:highlight w:val="none"/>
              </w:rPr>
            </w:pPr>
            <w:r>
              <w:rPr>
                <w:color w:val="auto"/>
                <w:highlight w:val="none"/>
              </w:rPr>
              <w:t>★</w:t>
            </w:r>
            <w:r>
              <w:rPr>
                <w:rFonts w:hint="eastAsia"/>
                <w:color w:val="auto"/>
                <w:highlight w:val="none"/>
                <w:lang w:bidi="ar"/>
              </w:rPr>
              <w:t>枪球联动式相机</w:t>
            </w:r>
          </w:p>
        </w:tc>
        <w:tc>
          <w:tcPr>
            <w:tcW w:w="3200" w:type="pct"/>
            <w:tcBorders>
              <w:top w:val="nil"/>
              <w:left w:val="single" w:color="000000" w:sz="8" w:space="0"/>
              <w:bottom w:val="single" w:color="000000" w:sz="8" w:space="0"/>
              <w:right w:val="single" w:color="000000" w:sz="8" w:space="0"/>
            </w:tcBorders>
            <w:shd w:val="clear" w:color="auto" w:fill="FFFFFF" w:themeFill="background1"/>
            <w:vAlign w:val="center"/>
          </w:tcPr>
          <w:p w14:paraId="729E176D">
            <w:pPr>
              <w:rPr>
                <w:color w:val="auto"/>
                <w:highlight w:val="none"/>
              </w:rPr>
            </w:pPr>
            <w:r>
              <w:rPr>
                <w:rFonts w:hint="eastAsia"/>
                <w:color w:val="auto"/>
                <w:highlight w:val="none"/>
                <w:lang w:bidi="ar"/>
              </w:rPr>
              <w:t>采用1球机+2枪机组成，内置高性能GPU模块组，枪球和枪机视频分辨率≥2560×1440@30fps；枪机靶面尺寸不小于1/1.8英寸，枪机≥4倍光学变倍；球机靶面尺寸不小于1/1.8英寸；球机≥40倍光学变倍；支持自动标定功能，实现枪机与球机之间检查区域的定位；设备支持对车辆实时建模比对，对黑白名单车辆进行布控跟踪，跟踪距离≥200米，跟踪过程中目标车辆的经纬度信息可以实施上传到中心平台；多个设备之间支持布控接力跟踪功能；支持对违章停车、掉头、压线、违法变道、逆行、机动车占用非机动车车道等行为进行抓拍并自动对目标车辆进行跟踪并识别。（含支架，抱箍，防雷器）。</w:t>
            </w:r>
          </w:p>
        </w:tc>
        <w:tc>
          <w:tcPr>
            <w:tcW w:w="245" w:type="pct"/>
            <w:tcBorders>
              <w:top w:val="nil"/>
              <w:left w:val="single" w:color="000000" w:sz="8" w:space="0"/>
              <w:bottom w:val="single" w:color="000000" w:sz="8" w:space="0"/>
              <w:right w:val="single" w:color="000000" w:sz="8" w:space="0"/>
            </w:tcBorders>
            <w:shd w:val="clear" w:color="auto" w:fill="FFFFFF" w:themeFill="background1"/>
            <w:vAlign w:val="center"/>
          </w:tcPr>
          <w:p w14:paraId="19AD78E3">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FFFFFF" w:themeFill="background1"/>
            <w:vAlign w:val="center"/>
          </w:tcPr>
          <w:p w14:paraId="7638D53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themeFill="background1"/>
            <w:vAlign w:val="center"/>
          </w:tcPr>
          <w:p w14:paraId="6F556BF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12,787.00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21E0918">
            <w:pPr>
              <w:rPr>
                <w:color w:val="auto"/>
                <w:highlight w:val="none"/>
              </w:rPr>
            </w:pPr>
            <w:r>
              <w:rPr>
                <w:rFonts w:hint="eastAsia"/>
                <w:color w:val="auto"/>
                <w:highlight w:val="none"/>
                <w:lang w:bidi="ar"/>
              </w:rPr>
              <w:t>质保三年</w:t>
            </w:r>
          </w:p>
        </w:tc>
      </w:tr>
      <w:tr w14:paraId="216B7D7E">
        <w:tblPrEx>
          <w:tblCellMar>
            <w:top w:w="0" w:type="dxa"/>
            <w:left w:w="108" w:type="dxa"/>
            <w:bottom w:w="0" w:type="dxa"/>
            <w:right w:w="108" w:type="dxa"/>
          </w:tblCellMar>
        </w:tblPrEx>
        <w:trPr>
          <w:trHeight w:val="1632"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4EE0FD1">
            <w:pPr>
              <w:rPr>
                <w:color w:val="auto"/>
                <w:highlight w:val="none"/>
              </w:rPr>
            </w:pPr>
            <w:r>
              <w:rPr>
                <w:rFonts w:hint="eastAsia"/>
                <w:color w:val="auto"/>
                <w:highlight w:val="none"/>
                <w:lang w:bidi="ar"/>
              </w:rPr>
              <w:t>17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A0828FA">
            <w:pPr>
              <w:rPr>
                <w:color w:val="auto"/>
                <w:highlight w:val="none"/>
              </w:rPr>
            </w:pPr>
            <w:r>
              <w:rPr>
                <w:color w:val="auto"/>
                <w:highlight w:val="none"/>
              </w:rPr>
              <w:t>★</w:t>
            </w:r>
            <w:r>
              <w:rPr>
                <w:rFonts w:hint="eastAsia"/>
                <w:color w:val="auto"/>
                <w:highlight w:val="none"/>
                <w:lang w:bidi="ar"/>
              </w:rPr>
              <w:t>违停自动抓拍球机A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E83D403">
            <w:pPr>
              <w:rPr>
                <w:color w:val="auto"/>
                <w:highlight w:val="none"/>
              </w:rPr>
            </w:pPr>
            <w:r>
              <w:rPr>
                <w:rFonts w:hint="eastAsia"/>
                <w:color w:val="auto"/>
                <w:highlight w:val="none"/>
                <w:lang w:bidi="ar"/>
              </w:rPr>
              <w:t>由细节镜头和全景镜头组成。全景镜头可进行≥10°的垂直范围调节，水平视场角≥190°，垂直视场角≥80°。全景视频分辨率≥3680×1656@30fps，细节视频分辨率≥2560×1440@30fps，摄像机靶面尺寸不小于1/1.8英寸；≥37倍光学变倍；设备垂直旋转范围应达到 -35°~90°；支持自动和手动取证两种模式，自动或手动识别出监视画面中机动车辆信息并生成相应的违法图片，可通过客户端软件设置取证图片数量（1-6张可选）及抓拍图片间隔；支持区域屏蔽功能，最多可设置10个区域，该区域屏蔽对所有智能行为和违法行为的分析，支持对违章停车、掉头、压线、违法变道、逆行、机动车占用非机动车车道等行为进行抓拍并自动对目标车辆进行跟踪并识别。（含支架，抱箍，防雷器）。</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74FB1B3">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C727C0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966AF35">
            <w:pPr>
              <w:keepNext w:val="0"/>
              <w:keepLines w:val="0"/>
              <w:widowControl/>
              <w:suppressLineNumbers w:val="0"/>
              <w:jc w:val="right"/>
              <w:textAlignment w:val="center"/>
              <w:rPr>
                <w:rFonts w:hint="default" w:eastAsia="宋体"/>
                <w:color w:val="auto"/>
                <w:sz w:val="22"/>
                <w:szCs w:val="28"/>
                <w:highlight w:val="none"/>
                <w:lang w:val="en-US" w:eastAsia="zh-CN"/>
              </w:rPr>
            </w:pPr>
            <w:r>
              <w:rPr>
                <w:rFonts w:hint="eastAsia" w:ascii="宋体" w:hAnsi="宋体" w:eastAsia="宋体" w:cs="宋体"/>
                <w:i w:val="0"/>
                <w:iCs w:val="0"/>
                <w:color w:val="auto"/>
                <w:kern w:val="0"/>
                <w:sz w:val="20"/>
                <w:szCs w:val="20"/>
                <w:highlight w:val="none"/>
                <w:u w:val="none"/>
                <w:lang w:val="en-US" w:eastAsia="zh-CN" w:bidi="ar"/>
              </w:rPr>
              <w:t xml:space="preserve">10,200.00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17F9F6C">
            <w:pPr>
              <w:rPr>
                <w:color w:val="auto"/>
                <w:highlight w:val="none"/>
              </w:rPr>
            </w:pPr>
            <w:r>
              <w:rPr>
                <w:rFonts w:hint="eastAsia"/>
                <w:color w:val="auto"/>
                <w:highlight w:val="none"/>
                <w:lang w:bidi="ar"/>
              </w:rPr>
              <w:t>质保三年</w:t>
            </w:r>
          </w:p>
        </w:tc>
      </w:tr>
      <w:tr w14:paraId="48F630E1">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74F48AB">
            <w:pPr>
              <w:rPr>
                <w:color w:val="auto"/>
                <w:highlight w:val="none"/>
              </w:rPr>
            </w:pPr>
            <w:r>
              <w:rPr>
                <w:rFonts w:hint="eastAsia"/>
                <w:color w:val="auto"/>
                <w:highlight w:val="none"/>
                <w:lang w:bidi="ar"/>
              </w:rPr>
              <w:t>18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B5F081C">
            <w:pPr>
              <w:rPr>
                <w:color w:val="auto"/>
                <w:highlight w:val="none"/>
              </w:rPr>
            </w:pPr>
            <w:r>
              <w:rPr>
                <w:rFonts w:hint="eastAsia"/>
                <w:color w:val="auto"/>
                <w:highlight w:val="none"/>
                <w:lang w:bidi="ar"/>
              </w:rPr>
              <w:t>臂装支架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7F64875">
            <w:pPr>
              <w:rPr>
                <w:color w:val="auto"/>
                <w:highlight w:val="none"/>
              </w:rPr>
            </w:pPr>
            <w:r>
              <w:rPr>
                <w:rFonts w:hint="eastAsia"/>
                <w:color w:val="auto"/>
                <w:highlight w:val="none"/>
                <w:lang w:bidi="ar"/>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C6FD5AD">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18BBBC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330EBF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2699CFC">
            <w:pPr>
              <w:rPr>
                <w:color w:val="auto"/>
                <w:highlight w:val="none"/>
              </w:rPr>
            </w:pPr>
          </w:p>
        </w:tc>
      </w:tr>
      <w:tr w14:paraId="70580670">
        <w:tblPrEx>
          <w:tblCellMar>
            <w:top w:w="0" w:type="dxa"/>
            <w:left w:w="108" w:type="dxa"/>
            <w:bottom w:w="0" w:type="dxa"/>
            <w:right w:w="108" w:type="dxa"/>
          </w:tblCellMar>
        </w:tblPrEx>
        <w:trPr>
          <w:trHeight w:val="16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EA8C18F">
            <w:pPr>
              <w:rPr>
                <w:color w:val="auto"/>
                <w:highlight w:val="none"/>
              </w:rPr>
            </w:pPr>
            <w:r>
              <w:rPr>
                <w:rFonts w:hint="eastAsia"/>
                <w:color w:val="auto"/>
                <w:highlight w:val="none"/>
                <w:lang w:bidi="ar"/>
              </w:rPr>
              <w:t>19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CB0B5B7">
            <w:pPr>
              <w:rPr>
                <w:color w:val="auto"/>
                <w:highlight w:val="none"/>
              </w:rPr>
            </w:pPr>
            <w:r>
              <w:rPr>
                <w:color w:val="auto"/>
                <w:highlight w:val="none"/>
              </w:rPr>
              <w:t>★</w:t>
            </w:r>
            <w:r>
              <w:rPr>
                <w:rFonts w:hint="eastAsia"/>
                <w:color w:val="auto"/>
                <w:highlight w:val="none"/>
                <w:lang w:bidi="ar"/>
              </w:rPr>
              <w:t>制高点高清球机</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6D63214">
            <w:pPr>
              <w:rPr>
                <w:color w:val="auto"/>
                <w:highlight w:val="none"/>
              </w:rPr>
            </w:pPr>
            <w:r>
              <w:rPr>
                <w:rFonts w:hint="eastAsia"/>
                <w:color w:val="auto"/>
                <w:highlight w:val="none"/>
                <w:lang w:bidi="ar"/>
              </w:rPr>
              <w:t>1600万360°全景一体式网络高清摄像机，全景摄像机有8个1/1.8" 2MP Progressive Scan CMOS，最高分辨率及帧率可达4096×1800@30fps，星光级超低照度，0.01Lux/F2.2（彩色），0.001Lux/F2.2（黑白）；特写摄像机采用1/2.8" 2MP Progressive Scan CMOS，最高分辨率及帧率可达1920×1080@30fps，水平360°连续旋转，垂直-15°-90°（自动翻转），星光级超低照度，0.001Lux/F1.5（彩色），0.001Lux/F1.5（黑白），≥300m红外照射距离，≥37倍光学变倍，支持光学防抖功能；支持区域入侵、越界、进入区域、离开区域事件侦测功能；系统支持检测直径300米180°半圆形范围内运动目标，可同时检测60个目标；系统支持点击联动功能、目标自动跟踪功能、手动跟踪功能；支持强光抑制、3D数字降噪；系统支持在摄像机的实时视频画面中添加最多500个AR标签，且可实现标签与标签联动的功能。</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C04D04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B9E0BA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0AA09A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34,000.00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D9143CF">
            <w:pPr>
              <w:rPr>
                <w:color w:val="auto"/>
                <w:highlight w:val="none"/>
              </w:rPr>
            </w:pPr>
            <w:r>
              <w:rPr>
                <w:rFonts w:hint="eastAsia"/>
                <w:color w:val="auto"/>
                <w:highlight w:val="none"/>
                <w:lang w:bidi="ar"/>
              </w:rPr>
              <w:t>质保三年</w:t>
            </w:r>
          </w:p>
        </w:tc>
      </w:tr>
      <w:tr w14:paraId="4B7C9110">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E300830">
            <w:pPr>
              <w:rPr>
                <w:color w:val="auto"/>
                <w:highlight w:val="none"/>
              </w:rPr>
            </w:pPr>
            <w:r>
              <w:rPr>
                <w:rFonts w:hint="eastAsia"/>
                <w:color w:val="auto"/>
                <w:highlight w:val="none"/>
                <w:lang w:bidi="ar"/>
              </w:rPr>
              <w:t>20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735B601">
            <w:pPr>
              <w:rPr>
                <w:color w:val="auto"/>
                <w:highlight w:val="none"/>
              </w:rPr>
            </w:pPr>
            <w:r>
              <w:rPr>
                <w:rFonts w:hint="eastAsia"/>
                <w:color w:val="auto"/>
                <w:highlight w:val="none"/>
                <w:lang w:bidi="ar"/>
              </w:rPr>
              <w:t>高空球机支架（3米以下）</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D07866D">
            <w:pPr>
              <w:rPr>
                <w:color w:val="auto"/>
                <w:highlight w:val="none"/>
              </w:rPr>
            </w:pPr>
            <w:r>
              <w:rPr>
                <w:rFonts w:hint="eastAsia"/>
                <w:color w:val="auto"/>
                <w:highlight w:val="none"/>
                <w:lang w:bidi="ar"/>
              </w:rPr>
              <w:t>副杆长度根据现场实际情况而定，直径不小于Φ75.7mm，厚度不小于3mm；主杆长度根据现场实际情况而定，直径不小于Φ88.5mm，厚度不小于3mm；主杆与安装位置内墙使用规格不小于150mm*Φ16mm的膨胀螺栓固定；墙面与主杆、主杆与副杆间使用壁厚不小于4mm的镀锌钢板焊接；并在墙面上安装不小于40*4mm的抱箍固定副杆；杆件热镀锌并做好防锈工作。</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A1C3D1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732259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82B2F7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0250BCF">
            <w:pPr>
              <w:rPr>
                <w:color w:val="auto"/>
                <w:highlight w:val="none"/>
              </w:rPr>
            </w:pPr>
          </w:p>
        </w:tc>
      </w:tr>
      <w:tr w14:paraId="62CF553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5172E42">
            <w:pPr>
              <w:rPr>
                <w:color w:val="auto"/>
                <w:highlight w:val="none"/>
              </w:rPr>
            </w:pPr>
            <w:r>
              <w:rPr>
                <w:rFonts w:hint="eastAsia"/>
                <w:color w:val="auto"/>
                <w:highlight w:val="none"/>
                <w:lang w:bidi="ar"/>
              </w:rPr>
              <w:t>21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F467AD6">
            <w:pPr>
              <w:rPr>
                <w:color w:val="auto"/>
                <w:highlight w:val="none"/>
              </w:rPr>
            </w:pPr>
            <w:r>
              <w:rPr>
                <w:color w:val="auto"/>
                <w:highlight w:val="none"/>
              </w:rPr>
              <w:t>★</w:t>
            </w:r>
            <w:r>
              <w:rPr>
                <w:rFonts w:hint="eastAsia"/>
                <w:color w:val="auto"/>
                <w:highlight w:val="none"/>
                <w:lang w:bidi="ar"/>
              </w:rPr>
              <w:t>屏前监控相机</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F521E4E">
            <w:pPr>
              <w:rPr>
                <w:color w:val="auto"/>
                <w:highlight w:val="none"/>
              </w:rPr>
            </w:pPr>
            <w:r>
              <w:rPr>
                <w:rFonts w:hint="eastAsia"/>
                <w:color w:val="auto"/>
                <w:highlight w:val="none"/>
              </w:rPr>
              <w:t>400万3寸双光全景细节4倍枪球_全景路2.8mm_PoE、全景路为定焦镜头，焦距2.8mm，支持垂直方向7~17°手动可调、细节路支持4倍光学变倍（3-12mm）；16倍数字变倍</w:t>
            </w:r>
            <w:r>
              <w:rPr>
                <w:rFonts w:hint="eastAsia"/>
                <w:color w:val="auto"/>
                <w:highlight w:val="none"/>
              </w:rPr>
              <w:br w:type="textWrapping"/>
            </w:r>
            <w:r>
              <w:rPr>
                <w:rFonts w:hint="eastAsia"/>
                <w:color w:val="auto"/>
                <w:highlight w:val="none"/>
              </w:rPr>
              <w:t>全景支持最大2560 × 1440 @30 fps高清画面输出、细节支持最大2560 × 1440 @30 fps高清画面输出、支持高效补光阵列，细节路红外照射距离最远可达40 m，全景路白光照射距离最远可达30 m，红外照射距离最远可达30 m设备自带支架，支持壁装、吊装两种安装方式，支架支持360°水平旋转方位、</w:t>
            </w:r>
            <w:r>
              <w:rPr>
                <w:rFonts w:hint="eastAsia"/>
                <w:color w:val="auto"/>
                <w:highlight w:val="none"/>
              </w:rPr>
              <w:br w:type="textWrapping"/>
            </w:r>
            <w:r>
              <w:rPr>
                <w:rFonts w:hint="eastAsia"/>
                <w:color w:val="auto"/>
                <w:highlight w:val="none"/>
              </w:rPr>
              <w:t>支持双路区域入侵、越界侦测、进入区域侦测及离开区域侦测，支持设置布防后联动报警音</w:t>
            </w:r>
            <w:r>
              <w:rPr>
                <w:rFonts w:hint="eastAsia"/>
                <w:color w:val="auto"/>
                <w:highlight w:val="none"/>
              </w:rPr>
              <w:br w:type="textWrapping"/>
            </w:r>
            <w:r>
              <w:rPr>
                <w:rFonts w:hint="eastAsia"/>
                <w:color w:val="auto"/>
                <w:highlight w:val="none"/>
              </w:rPr>
              <w:t>支持编码套餐功能：支持画质优先、存储优先、自定义三种编码模式（默认画质优先），存储优先模式采用H265编码，有效降低码流大小</w:t>
            </w:r>
            <w:r>
              <w:rPr>
                <w:rFonts w:hint="eastAsia"/>
                <w:color w:val="auto"/>
                <w:highlight w:val="none"/>
              </w:rPr>
              <w:br w:type="textWrapping"/>
            </w:r>
            <w:r>
              <w:rPr>
                <w:rFonts w:hint="eastAsia"/>
                <w:color w:val="auto"/>
                <w:highlight w:val="none"/>
              </w:rPr>
              <w:t>支持点击联动功能，点击全景画面中位置可联动细节镜头得到特写画面</w:t>
            </w:r>
            <w:r>
              <w:rPr>
                <w:rFonts w:hint="eastAsia"/>
                <w:color w:val="auto"/>
                <w:highlight w:val="none"/>
              </w:rPr>
              <w:br w:type="textWrapping"/>
            </w:r>
            <w:r>
              <w:rPr>
                <w:rFonts w:hint="eastAsia"/>
                <w:color w:val="auto"/>
                <w:highlight w:val="none"/>
              </w:rPr>
              <w:t>支持联动跟踪功能，全景路检测到移动目标（人、车）后，球机路可跟踪移动目标（人、车）</w:t>
            </w:r>
            <w:r>
              <w:rPr>
                <w:rFonts w:hint="eastAsia"/>
                <w:color w:val="auto"/>
                <w:highlight w:val="none"/>
              </w:rPr>
              <w:br w:type="textWrapping"/>
            </w:r>
            <w:r>
              <w:rPr>
                <w:rFonts w:hint="eastAsia"/>
                <w:color w:val="auto"/>
                <w:highlight w:val="none"/>
              </w:rPr>
              <w:t>支持编码画中画功能：支持全景路+细节路画面画中画形式叠加，可进行预览并按照一路通道输出码流</w:t>
            </w:r>
            <w:r>
              <w:rPr>
                <w:rFonts w:hint="eastAsia"/>
                <w:color w:val="auto"/>
                <w:highlight w:val="none"/>
              </w:rPr>
              <w:br w:type="textWrapping"/>
            </w:r>
            <w:r>
              <w:rPr>
                <w:rFonts w:hint="eastAsia"/>
                <w:color w:val="auto"/>
                <w:highlight w:val="none"/>
              </w:rPr>
              <w:t>支持定时任务、一键守望、一键巡航</w:t>
            </w:r>
            <w:r>
              <w:rPr>
                <w:rFonts w:hint="eastAsia"/>
                <w:color w:val="auto"/>
                <w:highlight w:val="none"/>
              </w:rPr>
              <w:br w:type="textWrapping"/>
            </w:r>
            <w:r>
              <w:rPr>
                <w:rFonts w:hint="eastAsia"/>
                <w:color w:val="auto"/>
                <w:highlight w:val="none"/>
              </w:rPr>
              <w:t>支持定时抓图与事件抓图功能</w:t>
            </w:r>
            <w:r>
              <w:rPr>
                <w:rFonts w:hint="eastAsia"/>
                <w:color w:val="auto"/>
                <w:highlight w:val="none"/>
              </w:rPr>
              <w:br w:type="textWrapping"/>
            </w:r>
            <w:r>
              <w:rPr>
                <w:rFonts w:hint="eastAsia"/>
                <w:color w:val="auto"/>
                <w:highlight w:val="none"/>
              </w:rPr>
              <w:t>IP66，抗干扰能力强，适用于严酷的电磁环境</w:t>
            </w:r>
            <w:r>
              <w:rPr>
                <w:rFonts w:hint="eastAsia"/>
                <w:color w:val="auto"/>
                <w:highlight w:val="none"/>
              </w:rPr>
              <w:br w:type="textWrapping"/>
            </w:r>
            <w:r>
              <w:rPr>
                <w:rFonts w:hint="eastAsia"/>
                <w:color w:val="auto"/>
                <w:highlight w:val="none"/>
              </w:rPr>
              <w:t xml:space="preserve"> 视频压缩标准：H.265,H.264,MJPEG </w:t>
            </w:r>
            <w:r>
              <w:rPr>
                <w:rFonts w:hint="eastAsia"/>
                <w:color w:val="auto"/>
                <w:highlight w:val="none"/>
              </w:rPr>
              <w:br w:type="textWrapping"/>
            </w:r>
            <w:r>
              <w:rPr>
                <w:rFonts w:hint="eastAsia"/>
                <w:color w:val="auto"/>
                <w:highlight w:val="none"/>
              </w:rPr>
              <w:t>内置麦克风：支持</w:t>
            </w:r>
            <w:r>
              <w:rPr>
                <w:rFonts w:hint="eastAsia"/>
                <w:color w:val="auto"/>
                <w:highlight w:val="none"/>
              </w:rPr>
              <w:br w:type="textWrapping"/>
            </w:r>
            <w:r>
              <w:rPr>
                <w:rFonts w:hint="eastAsia"/>
                <w:color w:val="auto"/>
                <w:highlight w:val="none"/>
              </w:rPr>
              <w:t xml:space="preserve"> 内置扬声器：支持</w:t>
            </w:r>
            <w:r>
              <w:rPr>
                <w:rFonts w:hint="eastAsia"/>
                <w:color w:val="auto"/>
                <w:highlight w:val="none"/>
              </w:rPr>
              <w:br w:type="textWrapping"/>
            </w:r>
            <w:r>
              <w:rPr>
                <w:rFonts w:hint="eastAsia"/>
                <w:color w:val="auto"/>
                <w:highlight w:val="none"/>
              </w:rPr>
              <w:t xml:space="preserve"> 网络接口：RJ45网口;自适应10M/100M网络数据</w:t>
            </w:r>
            <w:r>
              <w:rPr>
                <w:rFonts w:hint="eastAsia"/>
                <w:color w:val="auto"/>
                <w:highlight w:val="none"/>
              </w:rPr>
              <w:br w:type="textWrapping"/>
            </w:r>
            <w:r>
              <w:rPr>
                <w:rFonts w:hint="eastAsia"/>
                <w:color w:val="auto"/>
                <w:highlight w:val="none"/>
              </w:rPr>
              <w:t xml:space="preserve"> SD卡扩展：内置Micro SD卡插槽，支持Micro SD/Micro SDHC/Micro SDXC卡（最大支持512GB）</w:t>
            </w:r>
            <w:r>
              <w:rPr>
                <w:rFonts w:hint="eastAsia"/>
                <w:color w:val="auto"/>
                <w:highlight w:val="none"/>
              </w:rPr>
              <w:br w:type="textWrapping"/>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FDAF062">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93B78A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DAD602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9E14F90">
            <w:pPr>
              <w:rPr>
                <w:color w:val="auto"/>
                <w:highlight w:val="none"/>
              </w:rPr>
            </w:pPr>
          </w:p>
        </w:tc>
      </w:tr>
      <w:tr w14:paraId="5F6B7FD1">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688F663">
            <w:pPr>
              <w:rPr>
                <w:color w:val="auto"/>
                <w:highlight w:val="none"/>
              </w:rPr>
            </w:pPr>
            <w:r>
              <w:rPr>
                <w:rFonts w:hint="eastAsia"/>
                <w:color w:val="auto"/>
                <w:highlight w:val="none"/>
                <w:lang w:bidi="ar"/>
              </w:rPr>
              <w:t>22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9D561BE">
            <w:pPr>
              <w:rPr>
                <w:color w:val="auto"/>
                <w:highlight w:val="none"/>
              </w:rPr>
            </w:pPr>
            <w:r>
              <w:rPr>
                <w:rFonts w:hint="eastAsia"/>
                <w:color w:val="auto"/>
                <w:highlight w:val="none"/>
                <w:lang w:bidi="ar"/>
              </w:rPr>
              <w:t>相机电源</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F25D1BA">
            <w:pPr>
              <w:rPr>
                <w:color w:val="auto"/>
                <w:highlight w:val="none"/>
              </w:rPr>
            </w:pPr>
            <w:r>
              <w:rPr>
                <w:rFonts w:hint="eastAsia"/>
                <w:color w:val="auto"/>
                <w:highlight w:val="none"/>
                <w:lang w:bidi="ar"/>
              </w:rPr>
              <w:t>12V5A,60W,4芯,V级</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30E7B06">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FB9FC8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9B4D65B">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3ABA84C">
            <w:pPr>
              <w:rPr>
                <w:color w:val="auto"/>
                <w:highlight w:val="none"/>
              </w:rPr>
            </w:pPr>
          </w:p>
        </w:tc>
      </w:tr>
      <w:tr w14:paraId="76571D7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219804B">
            <w:pPr>
              <w:rPr>
                <w:color w:val="auto"/>
                <w:highlight w:val="none"/>
              </w:rPr>
            </w:pPr>
            <w:r>
              <w:rPr>
                <w:rFonts w:hint="eastAsia"/>
                <w:color w:val="auto"/>
                <w:highlight w:val="none"/>
                <w:lang w:bidi="ar"/>
              </w:rPr>
              <w:t>23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0680AA0">
            <w:pPr>
              <w:rPr>
                <w:color w:val="auto"/>
                <w:highlight w:val="none"/>
              </w:rPr>
            </w:pPr>
            <w:r>
              <w:rPr>
                <w:rFonts w:hint="eastAsia"/>
                <w:color w:val="auto"/>
                <w:highlight w:val="none"/>
                <w:lang w:bidi="ar"/>
              </w:rPr>
              <w:t>光纤传输设备1</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E79FF57">
            <w:pPr>
              <w:rPr>
                <w:color w:val="auto"/>
                <w:highlight w:val="none"/>
              </w:rPr>
            </w:pPr>
            <w:r>
              <w:rPr>
                <w:rFonts w:hint="eastAsia"/>
                <w:color w:val="auto"/>
                <w:highlight w:val="none"/>
                <w:lang w:bidi="ar"/>
              </w:rPr>
              <w:t>1口百兆光纤收发器工业导轨式接收机;光口：1个百兆光口，电口：1个百兆网口；安装方式：工业导轨式。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488DA4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F01799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31EB9D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DC5EFEB">
            <w:pPr>
              <w:rPr>
                <w:color w:val="auto"/>
                <w:highlight w:val="none"/>
              </w:rPr>
            </w:pPr>
            <w:r>
              <w:rPr>
                <w:rFonts w:hint="eastAsia"/>
                <w:color w:val="auto"/>
                <w:highlight w:val="none"/>
                <w:lang w:bidi="ar"/>
              </w:rPr>
              <w:t>质保三年</w:t>
            </w:r>
          </w:p>
        </w:tc>
      </w:tr>
      <w:tr w14:paraId="1E88A84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CE42B7F">
            <w:pPr>
              <w:rPr>
                <w:color w:val="auto"/>
                <w:highlight w:val="none"/>
              </w:rPr>
            </w:pPr>
            <w:r>
              <w:rPr>
                <w:rFonts w:hint="eastAsia"/>
                <w:color w:val="auto"/>
                <w:highlight w:val="none"/>
                <w:lang w:bidi="ar"/>
              </w:rPr>
              <w:t>24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8B9A3D1">
            <w:pPr>
              <w:rPr>
                <w:color w:val="auto"/>
                <w:highlight w:val="none"/>
              </w:rPr>
            </w:pPr>
            <w:r>
              <w:rPr>
                <w:rFonts w:hint="eastAsia"/>
                <w:color w:val="auto"/>
                <w:highlight w:val="none"/>
                <w:lang w:bidi="ar"/>
              </w:rPr>
              <w:t>光纤传输设备2</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6C5A2F8">
            <w:pPr>
              <w:rPr>
                <w:color w:val="auto"/>
                <w:highlight w:val="none"/>
              </w:rPr>
            </w:pPr>
            <w:r>
              <w:rPr>
                <w:rFonts w:hint="eastAsia"/>
                <w:color w:val="auto"/>
                <w:highlight w:val="none"/>
                <w:lang w:bidi="ar"/>
              </w:rPr>
              <w:t>4口百兆光纤收发器工业导轨式发送机;光口：1个百兆光口电口：4个百兆网口；安装方式：工业导轨式。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8D2B17A">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5BFEB5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332B26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260.00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CE327F6">
            <w:pPr>
              <w:rPr>
                <w:color w:val="auto"/>
                <w:highlight w:val="none"/>
              </w:rPr>
            </w:pPr>
            <w:r>
              <w:rPr>
                <w:rFonts w:hint="eastAsia"/>
                <w:color w:val="auto"/>
                <w:highlight w:val="none"/>
                <w:lang w:bidi="ar"/>
              </w:rPr>
              <w:t>质保三年</w:t>
            </w:r>
          </w:p>
        </w:tc>
      </w:tr>
      <w:tr w14:paraId="15BED0E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4B5DBC8">
            <w:pPr>
              <w:rPr>
                <w:color w:val="auto"/>
                <w:highlight w:val="none"/>
              </w:rPr>
            </w:pPr>
            <w:r>
              <w:rPr>
                <w:rFonts w:hint="eastAsia"/>
                <w:color w:val="auto"/>
                <w:highlight w:val="none"/>
                <w:lang w:bidi="ar"/>
              </w:rPr>
              <w:t>25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18E5D3C">
            <w:pPr>
              <w:rPr>
                <w:color w:val="auto"/>
                <w:highlight w:val="none"/>
              </w:rPr>
            </w:pPr>
            <w:r>
              <w:rPr>
                <w:rFonts w:hint="eastAsia"/>
                <w:color w:val="auto"/>
                <w:highlight w:val="none"/>
                <w:lang w:bidi="ar"/>
              </w:rPr>
              <w:t>光纤传输设备3</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C45F3E7">
            <w:pPr>
              <w:rPr>
                <w:color w:val="auto"/>
                <w:highlight w:val="none"/>
              </w:rPr>
            </w:pPr>
            <w:r>
              <w:rPr>
                <w:rFonts w:hint="eastAsia"/>
                <w:color w:val="auto"/>
                <w:highlight w:val="none"/>
                <w:lang w:bidi="ar"/>
              </w:rPr>
              <w:t>8口百兆光纤收发器工业导轨式发送机;光口：1个百兆光口，电口：8个百兆网口；安装方式：工业导轨式；与现场原有的传输设备兼容。</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AA9A5ED">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ADD4CF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2D7927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5E5C58C">
            <w:pPr>
              <w:rPr>
                <w:color w:val="auto"/>
                <w:highlight w:val="none"/>
              </w:rPr>
            </w:pPr>
            <w:r>
              <w:rPr>
                <w:rFonts w:hint="eastAsia"/>
                <w:color w:val="auto"/>
                <w:highlight w:val="none"/>
                <w:lang w:bidi="ar"/>
              </w:rPr>
              <w:t>质保三年</w:t>
            </w:r>
          </w:p>
        </w:tc>
      </w:tr>
      <w:tr w14:paraId="6BFAFED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00210B9">
            <w:pPr>
              <w:rPr>
                <w:color w:val="auto"/>
                <w:highlight w:val="none"/>
              </w:rPr>
            </w:pPr>
            <w:r>
              <w:rPr>
                <w:rFonts w:hint="eastAsia"/>
                <w:color w:val="auto"/>
                <w:highlight w:val="none"/>
                <w:lang w:bidi="ar"/>
              </w:rPr>
              <w:t>26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A332697">
            <w:pPr>
              <w:rPr>
                <w:color w:val="auto"/>
                <w:highlight w:val="none"/>
              </w:rPr>
            </w:pPr>
            <w:r>
              <w:rPr>
                <w:rFonts w:hint="eastAsia"/>
                <w:color w:val="auto"/>
                <w:highlight w:val="none"/>
                <w:lang w:bidi="ar"/>
              </w:rPr>
              <w:t>光纤传输设备4</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3A73720">
            <w:pPr>
              <w:rPr>
                <w:color w:val="auto"/>
                <w:highlight w:val="none"/>
              </w:rPr>
            </w:pPr>
            <w:r>
              <w:rPr>
                <w:rFonts w:hint="eastAsia"/>
                <w:color w:val="auto"/>
                <w:highlight w:val="none"/>
                <w:lang w:bidi="ar"/>
              </w:rPr>
              <w:t>光电混合型工业以太网交换机，光口：1个千兆光口， 4个百兆光口，电口：1个千兆网口，3个百兆电口；安装方式：工业导轨式。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209DD16">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92254F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D77F04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13941A6">
            <w:pPr>
              <w:rPr>
                <w:color w:val="auto"/>
                <w:highlight w:val="none"/>
              </w:rPr>
            </w:pPr>
            <w:r>
              <w:rPr>
                <w:rFonts w:hint="eastAsia"/>
                <w:color w:val="auto"/>
                <w:highlight w:val="none"/>
                <w:lang w:bidi="ar"/>
              </w:rPr>
              <w:t>质保三年</w:t>
            </w:r>
          </w:p>
        </w:tc>
      </w:tr>
      <w:tr w14:paraId="5ECA0368">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E5CCDC2">
            <w:pPr>
              <w:rPr>
                <w:color w:val="auto"/>
                <w:highlight w:val="none"/>
              </w:rPr>
            </w:pPr>
            <w:r>
              <w:rPr>
                <w:rFonts w:hint="eastAsia"/>
                <w:color w:val="auto"/>
                <w:highlight w:val="none"/>
                <w:lang w:bidi="ar"/>
              </w:rPr>
              <w:t>27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64D5A43">
            <w:pPr>
              <w:rPr>
                <w:color w:val="auto"/>
                <w:highlight w:val="none"/>
              </w:rPr>
            </w:pPr>
            <w:r>
              <w:rPr>
                <w:rFonts w:hint="eastAsia"/>
                <w:color w:val="auto"/>
                <w:highlight w:val="none"/>
                <w:lang w:bidi="ar"/>
              </w:rPr>
              <w:t>光纤传输设备5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FDDB097">
            <w:pPr>
              <w:rPr>
                <w:color w:val="auto"/>
                <w:highlight w:val="none"/>
              </w:rPr>
            </w:pPr>
            <w:r>
              <w:rPr>
                <w:rFonts w:hint="eastAsia"/>
                <w:color w:val="auto"/>
                <w:highlight w:val="none"/>
                <w:lang w:bidi="ar"/>
              </w:rPr>
              <w:t>1个千兆光口、8个百兆电口,安装方式：工业导轨式。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D7246C1">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7F8967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ED17A6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B42408D">
            <w:pPr>
              <w:rPr>
                <w:color w:val="auto"/>
                <w:highlight w:val="none"/>
              </w:rPr>
            </w:pPr>
            <w:r>
              <w:rPr>
                <w:rFonts w:hint="eastAsia"/>
                <w:color w:val="auto"/>
                <w:highlight w:val="none"/>
                <w:lang w:bidi="ar"/>
              </w:rPr>
              <w:t>质保三年</w:t>
            </w:r>
          </w:p>
        </w:tc>
      </w:tr>
      <w:tr w14:paraId="305311C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94FAFC2">
            <w:pPr>
              <w:rPr>
                <w:color w:val="auto"/>
                <w:highlight w:val="none"/>
              </w:rPr>
            </w:pPr>
            <w:r>
              <w:rPr>
                <w:rFonts w:hint="eastAsia"/>
                <w:color w:val="auto"/>
                <w:highlight w:val="none"/>
                <w:lang w:bidi="ar"/>
              </w:rPr>
              <w:t>28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556904C">
            <w:pPr>
              <w:rPr>
                <w:color w:val="auto"/>
                <w:highlight w:val="none"/>
              </w:rPr>
            </w:pPr>
            <w:r>
              <w:rPr>
                <w:rFonts w:hint="eastAsia"/>
                <w:color w:val="auto"/>
                <w:highlight w:val="none"/>
                <w:lang w:bidi="ar"/>
              </w:rPr>
              <w:t>光纤传输设备6</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BBEF5D0">
            <w:pPr>
              <w:rPr>
                <w:color w:val="auto"/>
                <w:highlight w:val="none"/>
              </w:rPr>
            </w:pPr>
            <w:r>
              <w:rPr>
                <w:rFonts w:hint="eastAsia"/>
                <w:color w:val="auto"/>
                <w:highlight w:val="none"/>
                <w:lang w:bidi="ar"/>
              </w:rPr>
              <w:t>1个千兆光口、8个千兆电口,安装方式：工业导轨式。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7896110">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AD97C9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3C5735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EDE2EEB">
            <w:pPr>
              <w:rPr>
                <w:color w:val="auto"/>
                <w:highlight w:val="none"/>
              </w:rPr>
            </w:pPr>
            <w:r>
              <w:rPr>
                <w:rFonts w:hint="eastAsia"/>
                <w:color w:val="auto"/>
                <w:highlight w:val="none"/>
                <w:lang w:bidi="ar"/>
              </w:rPr>
              <w:t>质保三年</w:t>
            </w:r>
          </w:p>
        </w:tc>
      </w:tr>
      <w:tr w14:paraId="7F816107">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56F224C">
            <w:pPr>
              <w:rPr>
                <w:color w:val="auto"/>
                <w:highlight w:val="none"/>
              </w:rPr>
            </w:pPr>
            <w:r>
              <w:rPr>
                <w:rFonts w:hint="eastAsia"/>
                <w:color w:val="auto"/>
                <w:highlight w:val="none"/>
                <w:lang w:bidi="ar"/>
              </w:rPr>
              <w:t>29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9A699D7">
            <w:pPr>
              <w:rPr>
                <w:color w:val="auto"/>
                <w:highlight w:val="none"/>
              </w:rPr>
            </w:pPr>
            <w:r>
              <w:rPr>
                <w:rFonts w:hint="eastAsia"/>
                <w:color w:val="auto"/>
                <w:highlight w:val="none"/>
                <w:lang w:bidi="ar"/>
              </w:rPr>
              <w:t>光纤传输设备7</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95D46A7">
            <w:pPr>
              <w:rPr>
                <w:color w:val="auto"/>
                <w:highlight w:val="none"/>
              </w:rPr>
            </w:pPr>
            <w:r>
              <w:rPr>
                <w:rFonts w:hint="eastAsia"/>
                <w:color w:val="auto"/>
                <w:highlight w:val="none"/>
                <w:lang w:bidi="ar"/>
              </w:rPr>
              <w:t>光电混合型工业以太网交换机，光口：5个千兆光口，电口：4个网口；安装方式：工业导轨式。</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95B4267">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099552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3FEF17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051483B">
            <w:pPr>
              <w:rPr>
                <w:color w:val="auto"/>
                <w:highlight w:val="none"/>
              </w:rPr>
            </w:pPr>
            <w:r>
              <w:rPr>
                <w:rFonts w:hint="eastAsia"/>
                <w:color w:val="auto"/>
                <w:highlight w:val="none"/>
                <w:lang w:bidi="ar"/>
              </w:rPr>
              <w:t>质保三年</w:t>
            </w:r>
          </w:p>
        </w:tc>
      </w:tr>
      <w:tr w14:paraId="527E38F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DCEDE2D">
            <w:pPr>
              <w:rPr>
                <w:color w:val="auto"/>
                <w:highlight w:val="none"/>
              </w:rPr>
            </w:pPr>
            <w:r>
              <w:rPr>
                <w:rFonts w:hint="eastAsia"/>
                <w:color w:val="auto"/>
                <w:highlight w:val="none"/>
                <w:lang w:bidi="ar"/>
              </w:rPr>
              <w:t>30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092D70D">
            <w:pPr>
              <w:rPr>
                <w:color w:val="auto"/>
                <w:highlight w:val="none"/>
              </w:rPr>
            </w:pPr>
            <w:r>
              <w:rPr>
                <w:color w:val="auto"/>
                <w:highlight w:val="none"/>
              </w:rPr>
              <w:t>★</w:t>
            </w:r>
            <w:r>
              <w:rPr>
                <w:rFonts w:hint="eastAsia"/>
                <w:color w:val="auto"/>
                <w:highlight w:val="none"/>
                <w:lang w:bidi="ar"/>
              </w:rPr>
              <w:t>光纤传输设备8</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F3C3F9D">
            <w:pPr>
              <w:rPr>
                <w:color w:val="auto"/>
                <w:highlight w:val="none"/>
              </w:rPr>
            </w:pPr>
            <w:r>
              <w:rPr>
                <w:rFonts w:hint="eastAsia"/>
                <w:color w:val="auto"/>
                <w:highlight w:val="none"/>
                <w:lang w:bidi="ar"/>
              </w:rPr>
              <w:t>用于前端路口管理型，≥2个千兆光口，≥ 4个千兆电口，≥ 4个百兆电口，可通过telnet远程管理，支持vlan、LLDP、ACL、QoS，支持STP、RSTP、MSTP。含光模块。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AE01296">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A8F460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F6F4C3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61EC515">
            <w:pPr>
              <w:rPr>
                <w:color w:val="auto"/>
                <w:highlight w:val="none"/>
              </w:rPr>
            </w:pPr>
            <w:r>
              <w:rPr>
                <w:rFonts w:hint="eastAsia"/>
                <w:color w:val="auto"/>
                <w:highlight w:val="none"/>
                <w:lang w:bidi="ar"/>
              </w:rPr>
              <w:t>质保三年</w:t>
            </w:r>
          </w:p>
        </w:tc>
      </w:tr>
      <w:tr w14:paraId="4129F434">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3ABD3FF">
            <w:pPr>
              <w:rPr>
                <w:color w:val="auto"/>
                <w:highlight w:val="none"/>
              </w:rPr>
            </w:pPr>
            <w:r>
              <w:rPr>
                <w:rFonts w:hint="eastAsia"/>
                <w:color w:val="auto"/>
                <w:highlight w:val="none"/>
                <w:lang w:bidi="ar"/>
              </w:rPr>
              <w:t>31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D86B09D">
            <w:pPr>
              <w:rPr>
                <w:color w:val="auto"/>
                <w:highlight w:val="none"/>
              </w:rPr>
            </w:pPr>
            <w:r>
              <w:rPr>
                <w:rFonts w:hint="eastAsia"/>
                <w:color w:val="auto"/>
                <w:highlight w:val="none"/>
                <w:lang w:bidi="ar"/>
              </w:rPr>
              <w:t>交换机1</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42649791">
            <w:pPr>
              <w:rPr>
                <w:color w:val="auto"/>
                <w:highlight w:val="none"/>
              </w:rPr>
            </w:pPr>
            <w:r>
              <w:rPr>
                <w:rFonts w:hint="eastAsia"/>
                <w:color w:val="auto"/>
                <w:highlight w:val="none"/>
                <w:lang w:bidi="ar"/>
              </w:rPr>
              <w:t>24口百兆全网管光交换机，24个百兆光口，2个千兆电口，2个复用的千兆光口，支持通过console口管理。交换容量≥32Gbps,包转发率≥9.6Mpps,1U高度，19英寸宽，支持220v交流；支持VLAN,流量控制，ACL，QOS，支持SNMP V1/V2c/V3网管</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5334C2F8">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73D31C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D8D188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670BE48">
            <w:pPr>
              <w:rPr>
                <w:color w:val="auto"/>
                <w:highlight w:val="none"/>
              </w:rPr>
            </w:pPr>
            <w:r>
              <w:rPr>
                <w:rFonts w:hint="eastAsia"/>
                <w:color w:val="auto"/>
                <w:highlight w:val="none"/>
                <w:lang w:bidi="ar"/>
              </w:rPr>
              <w:t>质保三年</w:t>
            </w:r>
          </w:p>
        </w:tc>
      </w:tr>
      <w:tr w14:paraId="2C51A8BF">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F8856F6">
            <w:pPr>
              <w:rPr>
                <w:color w:val="auto"/>
                <w:highlight w:val="none"/>
              </w:rPr>
            </w:pPr>
            <w:r>
              <w:rPr>
                <w:rFonts w:hint="eastAsia"/>
                <w:color w:val="auto"/>
                <w:highlight w:val="none"/>
                <w:lang w:bidi="ar"/>
              </w:rPr>
              <w:t>32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37A876D">
            <w:pPr>
              <w:rPr>
                <w:color w:val="auto"/>
                <w:highlight w:val="none"/>
              </w:rPr>
            </w:pPr>
            <w:r>
              <w:rPr>
                <w:color w:val="auto"/>
                <w:highlight w:val="none"/>
              </w:rPr>
              <w:t>★</w:t>
            </w:r>
            <w:r>
              <w:rPr>
                <w:rFonts w:hint="eastAsia"/>
                <w:color w:val="auto"/>
                <w:highlight w:val="none"/>
                <w:lang w:bidi="ar"/>
              </w:rPr>
              <w:t>交换机2</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AD885EF">
            <w:pPr>
              <w:rPr>
                <w:color w:val="auto"/>
                <w:highlight w:val="none"/>
              </w:rPr>
            </w:pPr>
            <w:r>
              <w:rPr>
                <w:rFonts w:hint="eastAsia"/>
                <w:color w:val="auto"/>
                <w:highlight w:val="none"/>
                <w:lang w:bidi="ar"/>
              </w:rPr>
              <w:t>24口千兆全网管交换机，24个千兆光口，8个复用的千兆电口,4个万兆SFP+万口，支持通过console口管理。交换容量≥256Gbps,包转发率≥96Mpps,1U高度，19英寸宽；支持VLAN,流量控制，ACL，QOS，支持SNMP V1/V2c/V3网管。</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4566886">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8EC143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9806B4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C48E4DC">
            <w:pPr>
              <w:rPr>
                <w:color w:val="auto"/>
                <w:highlight w:val="none"/>
              </w:rPr>
            </w:pPr>
            <w:r>
              <w:rPr>
                <w:rFonts w:hint="eastAsia"/>
                <w:color w:val="auto"/>
                <w:highlight w:val="none"/>
                <w:lang w:bidi="ar"/>
              </w:rPr>
              <w:t>质保三年</w:t>
            </w:r>
          </w:p>
        </w:tc>
      </w:tr>
      <w:tr w14:paraId="70D1D977">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FA90B9">
            <w:pPr>
              <w:rPr>
                <w:color w:val="auto"/>
                <w:highlight w:val="none"/>
              </w:rPr>
            </w:pPr>
            <w:r>
              <w:rPr>
                <w:rFonts w:hint="eastAsia"/>
                <w:color w:val="auto"/>
                <w:highlight w:val="none"/>
                <w:lang w:bidi="ar"/>
              </w:rPr>
              <w:t>33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4EC59F1">
            <w:pPr>
              <w:rPr>
                <w:color w:val="auto"/>
                <w:highlight w:val="none"/>
              </w:rPr>
            </w:pPr>
            <w:r>
              <w:rPr>
                <w:color w:val="auto"/>
                <w:highlight w:val="none"/>
              </w:rPr>
              <w:t>★</w:t>
            </w:r>
            <w:r>
              <w:rPr>
                <w:rFonts w:hint="eastAsia"/>
                <w:color w:val="auto"/>
                <w:highlight w:val="none"/>
                <w:lang w:bidi="ar"/>
              </w:rPr>
              <w:t>交换机3</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EC8ACE3">
            <w:pPr>
              <w:rPr>
                <w:color w:val="auto"/>
                <w:highlight w:val="none"/>
              </w:rPr>
            </w:pPr>
            <w:r>
              <w:rPr>
                <w:rFonts w:hint="eastAsia"/>
                <w:color w:val="auto"/>
                <w:highlight w:val="none"/>
                <w:lang w:bidi="ar"/>
              </w:rPr>
              <w:t>接入交换机  全网管三层交换机，机架式，48个千兆光口，4个万兆光口，2个复用千兆电口，4个千兆光口，交换容量336Gbps，包转发率166Mpps，1U高度，19英寸宽；支持RIP/OSPF/VRRP，IPv6，VLAN，流量控制，ACL，QoS，端口镜像，环网RRPP/ERPS、支持SNMP V1/V2c/V3网管。</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41E61E9">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CA4946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E2CB88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CC5C1E8">
            <w:pPr>
              <w:rPr>
                <w:color w:val="auto"/>
                <w:highlight w:val="none"/>
              </w:rPr>
            </w:pPr>
            <w:r>
              <w:rPr>
                <w:rFonts w:hint="eastAsia"/>
                <w:color w:val="auto"/>
                <w:highlight w:val="none"/>
                <w:lang w:bidi="ar"/>
              </w:rPr>
              <w:t>质保三年</w:t>
            </w:r>
          </w:p>
        </w:tc>
      </w:tr>
      <w:tr w14:paraId="3ED39EDE">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F65A176">
            <w:pPr>
              <w:rPr>
                <w:color w:val="auto"/>
                <w:highlight w:val="none"/>
              </w:rPr>
            </w:pPr>
            <w:r>
              <w:rPr>
                <w:rFonts w:hint="eastAsia"/>
                <w:color w:val="auto"/>
                <w:highlight w:val="none"/>
                <w:lang w:bidi="ar"/>
              </w:rPr>
              <w:t>34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DDC60B2">
            <w:pPr>
              <w:rPr>
                <w:color w:val="auto"/>
                <w:highlight w:val="none"/>
              </w:rPr>
            </w:pPr>
            <w:r>
              <w:rPr>
                <w:rFonts w:hint="eastAsia"/>
                <w:color w:val="auto"/>
                <w:highlight w:val="none"/>
                <w:lang w:bidi="ar"/>
              </w:rPr>
              <w:t>交换机4</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51097C4">
            <w:pPr>
              <w:rPr>
                <w:color w:val="auto"/>
                <w:highlight w:val="none"/>
              </w:rPr>
            </w:pPr>
            <w:r>
              <w:rPr>
                <w:rFonts w:hint="eastAsia"/>
                <w:color w:val="auto"/>
                <w:highlight w:val="none"/>
                <w:lang w:bidi="ar"/>
              </w:rPr>
              <w:t xml:space="preserve">  提供8个千兆PoE电口，1个千兆电口，1个千兆光口；支持IEEE 802.3at/af；支持IEEE 802.3、IEEE 802.3u、IEEE 802.3x、IEEE802.3ab、IEEE802.3z；支持6 KV防（PoE口）；支持PoE输出功率管理；千兆网络接入设计；线速转发、无阻塞设计；存储转发交换方式；坚固式高强度金属外壳；无风扇设计，高可靠性</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DAF4B4E">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43DA22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05D446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9F63D6D">
            <w:pPr>
              <w:rPr>
                <w:color w:val="auto"/>
                <w:highlight w:val="none"/>
              </w:rPr>
            </w:pPr>
            <w:r>
              <w:rPr>
                <w:rFonts w:hint="eastAsia"/>
                <w:color w:val="auto"/>
                <w:highlight w:val="none"/>
                <w:lang w:bidi="ar"/>
              </w:rPr>
              <w:t>质保三年</w:t>
            </w:r>
          </w:p>
        </w:tc>
      </w:tr>
      <w:tr w14:paraId="03DA34FD">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D30FC52">
            <w:pPr>
              <w:rPr>
                <w:color w:val="auto"/>
                <w:highlight w:val="none"/>
              </w:rPr>
            </w:pPr>
            <w:r>
              <w:rPr>
                <w:rFonts w:hint="eastAsia"/>
                <w:color w:val="auto"/>
                <w:highlight w:val="none"/>
                <w:lang w:bidi="ar"/>
              </w:rPr>
              <w:t>35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506AA13">
            <w:pPr>
              <w:rPr>
                <w:color w:val="auto"/>
                <w:highlight w:val="none"/>
              </w:rPr>
            </w:pPr>
            <w:r>
              <w:rPr>
                <w:color w:val="auto"/>
                <w:highlight w:val="none"/>
              </w:rPr>
              <w:t>★</w:t>
            </w:r>
            <w:r>
              <w:rPr>
                <w:rFonts w:hint="eastAsia"/>
                <w:color w:val="auto"/>
                <w:highlight w:val="none"/>
                <w:lang w:bidi="ar"/>
              </w:rPr>
              <w:t>交换机5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C7BB931">
            <w:pPr>
              <w:rPr>
                <w:color w:val="auto"/>
                <w:highlight w:val="none"/>
              </w:rPr>
            </w:pPr>
            <w:r>
              <w:rPr>
                <w:rFonts w:hint="eastAsia"/>
                <w:color w:val="auto"/>
                <w:highlight w:val="none"/>
                <w:lang w:bidi="ar"/>
              </w:rPr>
              <w:t>全网管三层交换机，机架式，24个千兆电口，8个复用的千兆SFP光口，4个万兆SFP+光口；1个业务扩展槽，2个电源模块槽位，2个风扇模块槽位，交换容量：756Gbps/7.56Tbps，包转发率：222Mpps/396Mpps，1U高度，19英寸宽，工作温度：0℃～45℃，支持交直流供电，满负荷功耗87W（单交流电源情况下）；支持RIP/OSPF/BGP/IS-IS/VRRP，IPv6，VLAN，流量控制，ACL，QoS，端口镜像，环网RRPP/ERPS、支持SNMP V1/V2c/V3网管。采用专业的内置防雷技术，支持10KV业务端口防雷能力。</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D3EABE5">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DE7912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18CB4B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F6EB210">
            <w:pPr>
              <w:rPr>
                <w:color w:val="auto"/>
                <w:highlight w:val="none"/>
              </w:rPr>
            </w:pPr>
            <w:r>
              <w:rPr>
                <w:rFonts w:hint="eastAsia"/>
                <w:color w:val="auto"/>
                <w:highlight w:val="none"/>
                <w:lang w:bidi="ar"/>
              </w:rPr>
              <w:t>质保三年</w:t>
            </w:r>
          </w:p>
        </w:tc>
      </w:tr>
      <w:tr w14:paraId="5B77D76C">
        <w:tblPrEx>
          <w:tblCellMar>
            <w:top w:w="0" w:type="dxa"/>
            <w:left w:w="108" w:type="dxa"/>
            <w:bottom w:w="0" w:type="dxa"/>
            <w:right w:w="108" w:type="dxa"/>
          </w:tblCellMar>
        </w:tblPrEx>
        <w:trPr>
          <w:trHeight w:val="756"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34D3063">
            <w:pPr>
              <w:rPr>
                <w:color w:val="auto"/>
                <w:highlight w:val="none"/>
              </w:rPr>
            </w:pPr>
            <w:r>
              <w:rPr>
                <w:rFonts w:hint="eastAsia"/>
                <w:color w:val="auto"/>
                <w:highlight w:val="none"/>
                <w:lang w:bidi="ar"/>
              </w:rPr>
              <w:t>36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DDAC37F">
            <w:pPr>
              <w:rPr>
                <w:color w:val="auto"/>
                <w:highlight w:val="none"/>
              </w:rPr>
            </w:pPr>
            <w:r>
              <w:rPr>
                <w:rFonts w:hint="eastAsia"/>
                <w:color w:val="auto"/>
                <w:highlight w:val="none"/>
                <w:lang w:bidi="ar"/>
              </w:rPr>
              <w:t>LED频闪灯</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AA07F8F">
            <w:pPr>
              <w:rPr>
                <w:color w:val="auto"/>
                <w:highlight w:val="none"/>
              </w:rPr>
            </w:pPr>
            <w:r>
              <w:rPr>
                <w:rFonts w:hint="eastAsia"/>
                <w:color w:val="auto"/>
                <w:highlight w:val="none"/>
                <w:lang w:bidi="ar"/>
              </w:rPr>
              <w:t>含16颗或以下LED高亮补光灯；支持视频同步补光功能；外壳材质：金属铝；响应时间：≤20μs；有效补光距离：16m～25m；工作寿命：≥50000小时；平均功率≤40W；含支架、抱箍。需支持GA/T 1202-2022《交通技术监控成像补光装置通用技术条件》的补光标准。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6818B65">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F80284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3C91AA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597D588">
            <w:pPr>
              <w:rPr>
                <w:color w:val="auto"/>
                <w:highlight w:val="none"/>
              </w:rPr>
            </w:pPr>
            <w:r>
              <w:rPr>
                <w:rFonts w:hint="eastAsia"/>
                <w:color w:val="auto"/>
                <w:highlight w:val="none"/>
                <w:lang w:bidi="ar"/>
              </w:rPr>
              <w:t>质保三年</w:t>
            </w:r>
          </w:p>
        </w:tc>
      </w:tr>
      <w:tr w14:paraId="33CBDC4F">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AC3AE2C">
            <w:pPr>
              <w:rPr>
                <w:color w:val="auto"/>
                <w:highlight w:val="none"/>
              </w:rPr>
            </w:pPr>
            <w:r>
              <w:rPr>
                <w:rFonts w:hint="eastAsia"/>
                <w:color w:val="auto"/>
                <w:highlight w:val="none"/>
                <w:lang w:bidi="ar"/>
              </w:rPr>
              <w:t>37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0ABC1F6">
            <w:pPr>
              <w:rPr>
                <w:color w:val="auto"/>
                <w:highlight w:val="none"/>
              </w:rPr>
            </w:pPr>
            <w:r>
              <w:rPr>
                <w:rFonts w:hint="eastAsia"/>
                <w:color w:val="auto"/>
                <w:highlight w:val="none"/>
                <w:lang w:bidi="ar"/>
              </w:rPr>
              <w:t>爆闪灯</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1BF4BFC">
            <w:pPr>
              <w:rPr>
                <w:color w:val="auto"/>
                <w:highlight w:val="none"/>
              </w:rPr>
            </w:pPr>
            <w:r>
              <w:rPr>
                <w:rFonts w:hint="eastAsia"/>
                <w:color w:val="auto"/>
                <w:highlight w:val="none"/>
                <w:lang w:bidi="ar"/>
              </w:rPr>
              <w:t>单车道气体爆闪灯，单次闪光能量≥200J，白天可看清前排司乘人员面部特征；回电时间＜67ms，支持5V电平量触发(可选开关量)；有效补光距离16m～25m；工作环境-25～+70℃(-40℃内均可安全使用/有衰减)；具有脉冲保护功能，屏蔽≥3Hz持续性的脉冲信号(闪15次后进入1次/S的微闪光提示状态，复原时间为10S)；闪光次数≥2000万次；自带光栅，可有效减少周边光污染。</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717FF72">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B63C49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92E7B7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77AE00F">
            <w:pPr>
              <w:rPr>
                <w:color w:val="auto"/>
                <w:highlight w:val="none"/>
              </w:rPr>
            </w:pPr>
            <w:r>
              <w:rPr>
                <w:rFonts w:hint="eastAsia"/>
                <w:color w:val="auto"/>
                <w:highlight w:val="none"/>
                <w:lang w:bidi="ar"/>
              </w:rPr>
              <w:t>质保三年</w:t>
            </w:r>
          </w:p>
        </w:tc>
      </w:tr>
      <w:tr w14:paraId="412F11CF">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96B2F35">
            <w:pPr>
              <w:rPr>
                <w:color w:val="auto"/>
                <w:highlight w:val="none"/>
              </w:rPr>
            </w:pPr>
            <w:r>
              <w:rPr>
                <w:rFonts w:hint="eastAsia"/>
                <w:color w:val="auto"/>
                <w:highlight w:val="none"/>
                <w:lang w:bidi="ar"/>
              </w:rPr>
              <w:t>38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24F70F3">
            <w:pPr>
              <w:rPr>
                <w:color w:val="auto"/>
                <w:highlight w:val="none"/>
              </w:rPr>
            </w:pPr>
            <w:r>
              <w:rPr>
                <w:rFonts w:hint="eastAsia"/>
                <w:color w:val="auto"/>
                <w:highlight w:val="none"/>
                <w:lang w:bidi="ar"/>
              </w:rPr>
              <w:t>红外白光爆闪一体灯</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3307A84">
            <w:pPr>
              <w:rPr>
                <w:color w:val="auto"/>
                <w:highlight w:val="none"/>
              </w:rPr>
            </w:pPr>
            <w:r>
              <w:rPr>
                <w:rFonts w:hint="eastAsia"/>
                <w:color w:val="auto"/>
                <w:highlight w:val="none"/>
                <w:lang w:bidi="ar"/>
              </w:rPr>
              <w:t>白光气体爆闪，红外气体爆闪；支持红外/白光闪光，支持LED频闪，可自动切换红外和白光模式，闪光灯寿命≥1000万次；含支架，抱箍，带LED光栅。需支持GA/T 1202-2022《交通技术监控成像补光装置通用技术条件》补光标准下的一级补光灯要求。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3F9C038">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D27F6F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1B8DC2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1,950.00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46CFCD0">
            <w:pPr>
              <w:rPr>
                <w:color w:val="auto"/>
                <w:highlight w:val="none"/>
              </w:rPr>
            </w:pPr>
            <w:r>
              <w:rPr>
                <w:rFonts w:hint="eastAsia"/>
                <w:color w:val="auto"/>
                <w:highlight w:val="none"/>
                <w:lang w:bidi="ar"/>
              </w:rPr>
              <w:t>质保三年</w:t>
            </w:r>
          </w:p>
        </w:tc>
      </w:tr>
      <w:tr w14:paraId="30E63ED5">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1B4A410">
            <w:pPr>
              <w:rPr>
                <w:color w:val="auto"/>
                <w:highlight w:val="none"/>
              </w:rPr>
            </w:pPr>
            <w:r>
              <w:rPr>
                <w:rFonts w:hint="eastAsia"/>
                <w:color w:val="auto"/>
                <w:highlight w:val="none"/>
                <w:lang w:bidi="ar"/>
              </w:rPr>
              <w:t>39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F6C595A">
            <w:pPr>
              <w:rPr>
                <w:color w:val="auto"/>
                <w:highlight w:val="none"/>
              </w:rPr>
            </w:pPr>
            <w:r>
              <w:rPr>
                <w:rFonts w:hint="eastAsia"/>
                <w:color w:val="auto"/>
                <w:highlight w:val="none"/>
                <w:lang w:bidi="ar"/>
              </w:rPr>
              <w:t>硬盘1</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4755EC8">
            <w:pPr>
              <w:rPr>
                <w:color w:val="auto"/>
                <w:highlight w:val="none"/>
              </w:rPr>
            </w:pPr>
            <w:r>
              <w:rPr>
                <w:rFonts w:hint="eastAsia"/>
                <w:color w:val="auto"/>
                <w:highlight w:val="none"/>
                <w:lang w:bidi="ar"/>
              </w:rPr>
              <w:t>企业级存储专业硬盘，容量6T。</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65D6232">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D3B3FA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1F7B1C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1,300.00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9CF5238">
            <w:pPr>
              <w:rPr>
                <w:color w:val="auto"/>
                <w:highlight w:val="none"/>
              </w:rPr>
            </w:pPr>
            <w:r>
              <w:rPr>
                <w:rFonts w:hint="eastAsia"/>
                <w:color w:val="auto"/>
                <w:highlight w:val="none"/>
                <w:lang w:bidi="ar"/>
              </w:rPr>
              <w:t>质保三年</w:t>
            </w:r>
          </w:p>
        </w:tc>
      </w:tr>
      <w:tr w14:paraId="3C5AD941">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332C167">
            <w:pPr>
              <w:rPr>
                <w:color w:val="auto"/>
                <w:highlight w:val="none"/>
              </w:rPr>
            </w:pPr>
            <w:r>
              <w:rPr>
                <w:rFonts w:hint="eastAsia"/>
                <w:color w:val="auto"/>
                <w:highlight w:val="none"/>
                <w:lang w:bidi="ar"/>
              </w:rPr>
              <w:t>40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0BE8E9E">
            <w:pPr>
              <w:rPr>
                <w:color w:val="auto"/>
                <w:highlight w:val="none"/>
              </w:rPr>
            </w:pPr>
            <w:r>
              <w:rPr>
                <w:rFonts w:hint="eastAsia"/>
                <w:color w:val="auto"/>
                <w:highlight w:val="none"/>
                <w:lang w:bidi="ar"/>
              </w:rPr>
              <w:t>硬盘2</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053B6FE">
            <w:pPr>
              <w:rPr>
                <w:color w:val="auto"/>
                <w:highlight w:val="none"/>
              </w:rPr>
            </w:pPr>
            <w:r>
              <w:rPr>
                <w:rFonts w:hint="eastAsia"/>
                <w:color w:val="auto"/>
                <w:highlight w:val="none"/>
                <w:lang w:bidi="ar"/>
              </w:rPr>
              <w:t>企业级存储专业硬盘，容量8T。</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9BC8B42">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9FAE90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875DA6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25F5841">
            <w:pPr>
              <w:rPr>
                <w:color w:val="auto"/>
                <w:highlight w:val="none"/>
              </w:rPr>
            </w:pPr>
            <w:r>
              <w:rPr>
                <w:rFonts w:hint="eastAsia"/>
                <w:color w:val="auto"/>
                <w:highlight w:val="none"/>
                <w:lang w:bidi="ar"/>
              </w:rPr>
              <w:t>质保三年</w:t>
            </w:r>
          </w:p>
        </w:tc>
      </w:tr>
      <w:tr w14:paraId="3339DE66">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E2C0D82">
            <w:pPr>
              <w:rPr>
                <w:color w:val="auto"/>
                <w:highlight w:val="none"/>
              </w:rPr>
            </w:pPr>
            <w:r>
              <w:rPr>
                <w:rFonts w:hint="eastAsia"/>
                <w:color w:val="auto"/>
                <w:highlight w:val="none"/>
                <w:lang w:bidi="ar"/>
              </w:rPr>
              <w:t>41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146D517">
            <w:pPr>
              <w:rPr>
                <w:color w:val="auto"/>
                <w:highlight w:val="none"/>
              </w:rPr>
            </w:pPr>
            <w:r>
              <w:rPr>
                <w:rFonts w:hint="eastAsia"/>
                <w:color w:val="auto"/>
                <w:highlight w:val="none"/>
                <w:lang w:bidi="ar"/>
              </w:rPr>
              <w:t>硬盘3</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20645AF">
            <w:pPr>
              <w:rPr>
                <w:color w:val="auto"/>
                <w:highlight w:val="none"/>
              </w:rPr>
            </w:pPr>
            <w:r>
              <w:rPr>
                <w:rFonts w:hint="eastAsia"/>
                <w:color w:val="auto"/>
                <w:highlight w:val="none"/>
                <w:lang w:bidi="ar"/>
              </w:rPr>
              <w:t>企业级存储专业硬盘，容量10T。</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CAA2CE0">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1E27FA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5A6FC5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DD8EB14">
            <w:pPr>
              <w:rPr>
                <w:color w:val="auto"/>
                <w:highlight w:val="none"/>
              </w:rPr>
            </w:pPr>
            <w:r>
              <w:rPr>
                <w:rFonts w:hint="eastAsia"/>
                <w:color w:val="auto"/>
                <w:highlight w:val="none"/>
                <w:lang w:bidi="ar"/>
              </w:rPr>
              <w:t>质保三年</w:t>
            </w:r>
          </w:p>
        </w:tc>
      </w:tr>
      <w:tr w14:paraId="015E604A">
        <w:tblPrEx>
          <w:tblCellMar>
            <w:top w:w="0" w:type="dxa"/>
            <w:left w:w="108" w:type="dxa"/>
            <w:bottom w:w="0" w:type="dxa"/>
            <w:right w:w="108" w:type="dxa"/>
          </w:tblCellMar>
        </w:tblPrEx>
        <w:trPr>
          <w:trHeight w:val="46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90C56F6">
            <w:pPr>
              <w:rPr>
                <w:color w:val="auto"/>
                <w:highlight w:val="none"/>
              </w:rPr>
            </w:pPr>
            <w:r>
              <w:rPr>
                <w:rFonts w:hint="eastAsia"/>
                <w:color w:val="auto"/>
                <w:highlight w:val="none"/>
                <w:lang w:bidi="ar"/>
              </w:rPr>
              <w:t>42</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2A11D6C9">
            <w:pPr>
              <w:rPr>
                <w:color w:val="auto"/>
                <w:highlight w:val="none"/>
              </w:rPr>
            </w:pPr>
            <w:r>
              <w:rPr>
                <w:color w:val="auto"/>
                <w:highlight w:val="none"/>
              </w:rPr>
              <w:t>★</w:t>
            </w:r>
            <w:r>
              <w:rPr>
                <w:rFonts w:hint="eastAsia"/>
                <w:color w:val="auto"/>
                <w:highlight w:val="none"/>
                <w:lang w:bidi="ar"/>
              </w:rPr>
              <w:t>单通道雷达</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7E2DAA30">
            <w:pPr>
              <w:rPr>
                <w:color w:val="auto"/>
                <w:highlight w:val="none"/>
              </w:rPr>
            </w:pPr>
            <w:r>
              <w:rPr>
                <w:rFonts w:hint="eastAsia"/>
                <w:color w:val="auto"/>
                <w:highlight w:val="none"/>
                <w:lang w:bidi="ar"/>
              </w:rPr>
              <w:t>单车道测速雷达，频率24G；测速距离：单车道18～28m（可调整）；测速范围：20km/h～200km/h、工作电压：9-12V DC；车辆捕获率：≥99%；触发一致性：精确触发位置范围≤±0.5米。</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39FEEF9A">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725EF0A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31E5282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4CBC9426">
            <w:pPr>
              <w:rPr>
                <w:color w:val="auto"/>
                <w:highlight w:val="none"/>
              </w:rPr>
            </w:pPr>
            <w:r>
              <w:rPr>
                <w:rFonts w:hint="eastAsia"/>
                <w:color w:val="auto"/>
                <w:highlight w:val="none"/>
                <w:lang w:bidi="ar"/>
              </w:rPr>
              <w:t>质保三年</w:t>
            </w:r>
          </w:p>
        </w:tc>
      </w:tr>
      <w:tr w14:paraId="2475490A">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3E482DD">
            <w:pPr>
              <w:rPr>
                <w:color w:val="auto"/>
                <w:highlight w:val="none"/>
              </w:rPr>
            </w:pPr>
            <w:r>
              <w:rPr>
                <w:rFonts w:hint="eastAsia"/>
                <w:color w:val="auto"/>
                <w:highlight w:val="none"/>
                <w:lang w:bidi="ar"/>
              </w:rPr>
              <w:t>43</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09188B8C">
            <w:pPr>
              <w:rPr>
                <w:color w:val="auto"/>
                <w:highlight w:val="none"/>
                <w:lang w:bidi="ar"/>
              </w:rPr>
            </w:pPr>
            <w:r>
              <w:rPr>
                <w:color w:val="auto"/>
                <w:highlight w:val="none"/>
              </w:rPr>
              <w:t>★</w:t>
            </w:r>
            <w:r>
              <w:rPr>
                <w:rFonts w:hint="eastAsia"/>
                <w:color w:val="auto"/>
                <w:highlight w:val="none"/>
                <w:lang w:bidi="ar"/>
              </w:rPr>
              <w:t>雷视融合微波检测器</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551D53A5">
            <w:pPr>
              <w:rPr>
                <w:color w:val="auto"/>
                <w:highlight w:val="none"/>
                <w:lang w:bidi="ar"/>
              </w:rPr>
            </w:pPr>
            <w:r>
              <w:rPr>
                <w:rFonts w:hint="eastAsia"/>
                <w:color w:val="auto"/>
                <w:highlight w:val="none"/>
                <w:lang w:bidi="ar"/>
              </w:rPr>
              <w:t>检测器能进行大区域检测，沿来车方向正常检测区域可达300米，能同时检测可达8个车道；</w:t>
            </w:r>
          </w:p>
          <w:p w14:paraId="70AF56AD">
            <w:pPr>
              <w:rPr>
                <w:color w:val="auto"/>
                <w:highlight w:val="none"/>
                <w:lang w:bidi="ar"/>
              </w:rPr>
            </w:pPr>
            <w:r>
              <w:rPr>
                <w:rFonts w:hint="eastAsia"/>
                <w:color w:val="auto"/>
                <w:highlight w:val="none"/>
                <w:lang w:bidi="ar"/>
              </w:rPr>
              <w:t>可同时跟踪检测多达</w:t>
            </w:r>
            <w:r>
              <w:rPr>
                <w:color w:val="auto"/>
                <w:highlight w:val="none"/>
                <w:lang w:bidi="ar"/>
              </w:rPr>
              <w:t>128</w:t>
            </w:r>
            <w:r>
              <w:rPr>
                <w:rFonts w:hint="eastAsia"/>
                <w:color w:val="auto"/>
                <w:highlight w:val="none"/>
                <w:lang w:bidi="ar"/>
              </w:rPr>
              <w:t>个目标；</w:t>
            </w:r>
          </w:p>
          <w:p w14:paraId="0A167E0C">
            <w:pPr>
              <w:rPr>
                <w:color w:val="auto"/>
                <w:highlight w:val="none"/>
                <w:lang w:bidi="ar"/>
              </w:rPr>
            </w:pPr>
            <w:r>
              <w:rPr>
                <w:rFonts w:hint="eastAsia"/>
                <w:color w:val="auto"/>
                <w:highlight w:val="none"/>
                <w:lang w:bidi="ar"/>
              </w:rPr>
              <w:t>检测器跟踪检测每个目标的位置坐标（</w:t>
            </w:r>
            <w:r>
              <w:rPr>
                <w:color w:val="auto"/>
                <w:highlight w:val="none"/>
                <w:lang w:bidi="ar"/>
              </w:rPr>
              <w:t>x,y</w:t>
            </w:r>
            <w:r>
              <w:rPr>
                <w:rFonts w:hint="eastAsia"/>
                <w:color w:val="auto"/>
                <w:highlight w:val="none"/>
                <w:lang w:bidi="ar"/>
              </w:rPr>
              <w:t>）、速度（</w:t>
            </w:r>
            <w:r>
              <w:rPr>
                <w:color w:val="auto"/>
                <w:highlight w:val="none"/>
                <w:lang w:bidi="ar"/>
              </w:rPr>
              <w:t>Vx, Vy</w:t>
            </w:r>
            <w:r>
              <w:rPr>
                <w:rFonts w:hint="eastAsia"/>
                <w:color w:val="auto"/>
                <w:highlight w:val="none"/>
                <w:lang w:bidi="ar"/>
              </w:rPr>
              <w:t>）、目标类型，具有图形化操作软件，实时显示每个目标在检测区域内被跟踪情况以及目标即时位置、速度、车辆长度等实时信息；</w:t>
            </w:r>
          </w:p>
          <w:p w14:paraId="5D4CECB3">
            <w:pPr>
              <w:rPr>
                <w:color w:val="auto"/>
                <w:highlight w:val="none"/>
                <w:lang w:bidi="ar"/>
              </w:rPr>
            </w:pPr>
            <w:r>
              <w:rPr>
                <w:rFonts w:hint="eastAsia"/>
                <w:color w:val="auto"/>
                <w:highlight w:val="none"/>
                <w:lang w:bidi="ar"/>
              </w:rPr>
              <w:t>多功能的数据检测功能，可替代多组其他类型检测器，检测每车道多个断面的流量、平均速度、占有率、车头时距、车间距、排队长度等交通数据；</w:t>
            </w:r>
          </w:p>
          <w:p w14:paraId="1EE08E6B">
            <w:pPr>
              <w:rPr>
                <w:color w:val="auto"/>
                <w:highlight w:val="none"/>
                <w:lang w:bidi="ar"/>
              </w:rPr>
            </w:pPr>
            <w:r>
              <w:rPr>
                <w:rFonts w:hint="eastAsia"/>
                <w:color w:val="auto"/>
                <w:highlight w:val="none"/>
                <w:lang w:bidi="ar"/>
              </w:rPr>
              <w:t>检测器具有区间信息检测功能，包括区间车辆数、空间占有率、区间平均速度等信息；</w:t>
            </w:r>
            <w:r>
              <w:rPr>
                <w:color w:val="auto"/>
                <w:highlight w:val="none"/>
                <w:lang w:bidi="ar"/>
              </w:rPr>
              <w:t xml:space="preserve"> </w:t>
            </w:r>
            <w:r>
              <w:rPr>
                <w:rFonts w:hint="eastAsia"/>
                <w:color w:val="auto"/>
                <w:highlight w:val="none"/>
                <w:lang w:bidi="ar"/>
              </w:rPr>
              <w:t>检测器支持雷达监测信息与视频信息叠加，包括目标类型、位置、速度等；</w:t>
            </w:r>
            <w:r>
              <w:rPr>
                <w:color w:val="auto"/>
                <w:highlight w:val="none"/>
                <w:lang w:bidi="ar"/>
              </w:rPr>
              <w:t xml:space="preserve"> </w:t>
            </w:r>
            <w:r>
              <w:rPr>
                <w:rFonts w:hint="eastAsia"/>
                <w:color w:val="auto"/>
                <w:highlight w:val="none"/>
                <w:lang w:bidi="ar"/>
              </w:rPr>
              <w:t>检测精度：车流量精度≥</w:t>
            </w:r>
            <w:r>
              <w:rPr>
                <w:color w:val="auto"/>
                <w:highlight w:val="none"/>
                <w:lang w:bidi="ar"/>
              </w:rPr>
              <w:t>95%</w:t>
            </w:r>
            <w:r>
              <w:rPr>
                <w:rFonts w:hint="eastAsia"/>
                <w:color w:val="auto"/>
                <w:highlight w:val="none"/>
                <w:lang w:bidi="ar"/>
              </w:rPr>
              <w:t>，事件监测精度≥</w:t>
            </w:r>
            <w:r>
              <w:rPr>
                <w:color w:val="auto"/>
                <w:highlight w:val="none"/>
                <w:lang w:bidi="ar"/>
              </w:rPr>
              <w:t>90%</w:t>
            </w:r>
            <w:r>
              <w:rPr>
                <w:rFonts w:hint="eastAsia"/>
                <w:color w:val="auto"/>
                <w:highlight w:val="none"/>
                <w:lang w:bidi="ar"/>
              </w:rPr>
              <w:t>，距离检测精度</w:t>
            </w:r>
            <w:r>
              <w:rPr>
                <w:color w:val="auto"/>
                <w:highlight w:val="none"/>
                <w:lang w:bidi="ar"/>
              </w:rPr>
              <w:t>0.2m</w:t>
            </w:r>
            <w:r>
              <w:rPr>
                <w:rFonts w:hint="eastAsia"/>
                <w:color w:val="auto"/>
                <w:highlight w:val="none"/>
                <w:lang w:bidi="ar"/>
              </w:rPr>
              <w:t>；</w:t>
            </w:r>
            <w:r>
              <w:rPr>
                <w:color w:val="auto"/>
                <w:highlight w:val="none"/>
                <w:lang w:bidi="ar"/>
              </w:rPr>
              <w:t xml:space="preserve"> </w:t>
            </w:r>
            <w:r>
              <w:rPr>
                <w:rFonts w:hint="eastAsia"/>
                <w:color w:val="auto"/>
                <w:highlight w:val="none"/>
                <w:lang w:bidi="ar"/>
              </w:rPr>
              <w:t>数据统计周期：</w:t>
            </w:r>
            <w:r>
              <w:rPr>
                <w:color w:val="auto"/>
                <w:highlight w:val="none"/>
                <w:lang w:bidi="ar"/>
              </w:rPr>
              <w:t>1</w:t>
            </w:r>
            <w:r>
              <w:rPr>
                <w:rFonts w:hint="eastAsia"/>
                <w:color w:val="auto"/>
                <w:highlight w:val="none"/>
                <w:lang w:bidi="ar"/>
              </w:rPr>
              <w:t>～</w:t>
            </w:r>
            <w:r>
              <w:rPr>
                <w:color w:val="auto"/>
                <w:highlight w:val="none"/>
                <w:lang w:bidi="ar"/>
              </w:rPr>
              <w:t>3600</w:t>
            </w:r>
            <w:r>
              <w:rPr>
                <w:rFonts w:hint="eastAsia"/>
                <w:color w:val="auto"/>
                <w:highlight w:val="none"/>
                <w:lang w:bidi="ar"/>
              </w:rPr>
              <w:t>秒范围，可由用户自行设定；</w:t>
            </w:r>
            <w:r>
              <w:rPr>
                <w:color w:val="auto"/>
                <w:highlight w:val="none"/>
                <w:lang w:bidi="ar"/>
              </w:rPr>
              <w:t xml:space="preserve"> </w:t>
            </w:r>
            <w:r>
              <w:rPr>
                <w:rFonts w:hint="eastAsia"/>
                <w:color w:val="auto"/>
                <w:highlight w:val="none"/>
                <w:lang w:bidi="ar"/>
              </w:rPr>
              <w:t>接口：</w:t>
            </w:r>
            <w:r>
              <w:rPr>
                <w:color w:val="auto"/>
                <w:highlight w:val="none"/>
                <w:lang w:bidi="ar"/>
              </w:rPr>
              <w:t>RJ45</w:t>
            </w:r>
            <w:r>
              <w:rPr>
                <w:rFonts w:hint="eastAsia"/>
                <w:color w:val="auto"/>
                <w:highlight w:val="none"/>
                <w:lang w:bidi="ar"/>
              </w:rPr>
              <w:t>；</w:t>
            </w:r>
          </w:p>
          <w:p w14:paraId="4C120471">
            <w:pPr>
              <w:rPr>
                <w:color w:val="auto"/>
                <w:highlight w:val="none"/>
                <w:lang w:bidi="ar"/>
              </w:rPr>
            </w:pPr>
            <w:r>
              <w:rPr>
                <w:rFonts w:hint="eastAsia"/>
                <w:color w:val="auto"/>
                <w:highlight w:val="none"/>
                <w:lang w:bidi="ar"/>
              </w:rPr>
              <w:t>检测器采用前向检测方式，支持正装和侧装，可方便地利用既有杆件，安装高度</w:t>
            </w:r>
            <w:r>
              <w:rPr>
                <w:color w:val="auto"/>
                <w:highlight w:val="none"/>
                <w:lang w:bidi="ar"/>
              </w:rPr>
              <w:t>6</w:t>
            </w:r>
            <w:r>
              <w:rPr>
                <w:rFonts w:hint="eastAsia"/>
                <w:color w:val="auto"/>
                <w:highlight w:val="none"/>
                <w:lang w:bidi="ar"/>
              </w:rPr>
              <w:t>～</w:t>
            </w:r>
            <w:r>
              <w:rPr>
                <w:color w:val="auto"/>
                <w:highlight w:val="none"/>
                <w:lang w:bidi="ar"/>
              </w:rPr>
              <w:t>8</w:t>
            </w:r>
            <w:r>
              <w:rPr>
                <w:rFonts w:hint="eastAsia"/>
                <w:color w:val="auto"/>
                <w:highlight w:val="none"/>
                <w:lang w:bidi="ar"/>
              </w:rPr>
              <w:t>米；</w:t>
            </w:r>
          </w:p>
          <w:p w14:paraId="6521AD6A">
            <w:pPr>
              <w:rPr>
                <w:color w:val="auto"/>
                <w:highlight w:val="none"/>
                <w:lang w:bidi="ar"/>
              </w:rPr>
            </w:pPr>
            <w:r>
              <w:rPr>
                <w:rFonts w:hint="eastAsia"/>
                <w:color w:val="auto"/>
                <w:highlight w:val="none"/>
                <w:lang w:bidi="ar"/>
              </w:rPr>
              <w:t>通过网络可方便的远程调试、升级；</w:t>
            </w:r>
            <w:r>
              <w:rPr>
                <w:color w:val="auto"/>
                <w:highlight w:val="none"/>
                <w:lang w:bidi="ar"/>
              </w:rPr>
              <w:t xml:space="preserve"> </w:t>
            </w:r>
            <w:r>
              <w:rPr>
                <w:rFonts w:hint="eastAsia"/>
                <w:color w:val="auto"/>
                <w:highlight w:val="none"/>
                <w:lang w:bidi="ar"/>
              </w:rPr>
              <w:t>可在全气候环境下稳定工作，包括雨、雪、雾、霾、大风、冰冻、冰雹、沙尘等恶劣天气，并具有自校准以及故障自诊断功能；外壳达到</w:t>
            </w:r>
            <w:r>
              <w:rPr>
                <w:color w:val="auto"/>
                <w:highlight w:val="none"/>
                <w:lang w:bidi="ar"/>
              </w:rPr>
              <w:t>IP67</w:t>
            </w:r>
            <w:r>
              <w:rPr>
                <w:rFonts w:hint="eastAsia"/>
                <w:color w:val="auto"/>
                <w:highlight w:val="none"/>
                <w:lang w:bidi="ar"/>
              </w:rPr>
              <w:t>防护标准；</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5B0BE64F">
            <w:pPr>
              <w:rPr>
                <w:color w:val="auto"/>
                <w:highlight w:val="none"/>
                <w:lang w:bidi="ar"/>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01F6107A">
            <w:pPr>
              <w:rPr>
                <w:color w:val="auto"/>
                <w:highlight w:val="none"/>
                <w:lang w:bidi="ar"/>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55A3ACB9">
            <w:pPr>
              <w:keepNext w:val="0"/>
              <w:keepLines w:val="0"/>
              <w:widowControl/>
              <w:suppressLineNumbers w:val="0"/>
              <w:jc w:val="right"/>
              <w:textAlignment w:val="center"/>
              <w:rPr>
                <w:color w:val="auto"/>
                <w:sz w:val="22"/>
                <w:szCs w:val="28"/>
                <w:highlight w:val="none"/>
                <w:lang w:bidi="ar"/>
              </w:rPr>
            </w:pPr>
            <w:r>
              <w:rPr>
                <w:rFonts w:hint="eastAsia" w:ascii="宋体" w:hAnsi="宋体" w:eastAsia="宋体" w:cs="宋体"/>
                <w:i w:val="0"/>
                <w:iCs w:val="0"/>
                <w:color w:val="auto"/>
                <w:kern w:val="0"/>
                <w:sz w:val="20"/>
                <w:szCs w:val="20"/>
                <w:highlight w:val="none"/>
                <w:u w:val="none"/>
                <w:lang w:val="en-US" w:eastAsia="zh-CN" w:bidi="ar"/>
              </w:rPr>
              <w:t xml:space="preserve">11,500.00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7C9A5296">
            <w:pPr>
              <w:rPr>
                <w:color w:val="auto"/>
                <w:highlight w:val="none"/>
                <w:lang w:bidi="ar"/>
              </w:rPr>
            </w:pPr>
          </w:p>
        </w:tc>
      </w:tr>
      <w:tr w14:paraId="1F3145AE">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33A8DF1">
            <w:pPr>
              <w:rPr>
                <w:color w:val="auto"/>
                <w:highlight w:val="none"/>
              </w:rPr>
            </w:pPr>
            <w:r>
              <w:rPr>
                <w:rFonts w:hint="eastAsia"/>
                <w:color w:val="auto"/>
                <w:highlight w:val="none"/>
                <w:lang w:bidi="ar"/>
              </w:rPr>
              <w:t>44</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15640A34">
            <w:pPr>
              <w:rPr>
                <w:color w:val="auto"/>
                <w:highlight w:val="none"/>
              </w:rPr>
            </w:pPr>
            <w:r>
              <w:rPr>
                <w:color w:val="auto"/>
                <w:highlight w:val="none"/>
              </w:rPr>
              <w:t>★</w:t>
            </w:r>
            <w:r>
              <w:rPr>
                <w:rFonts w:hint="eastAsia"/>
                <w:color w:val="auto"/>
                <w:highlight w:val="none"/>
                <w:lang w:bidi="ar"/>
              </w:rPr>
              <w:t>视频与图片云存储</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3C52AE46">
            <w:pPr>
              <w:rPr>
                <w:color w:val="auto"/>
                <w:highlight w:val="none"/>
              </w:rPr>
            </w:pPr>
            <w:r>
              <w:rPr>
                <w:rFonts w:hint="eastAsia"/>
                <w:color w:val="auto"/>
                <w:highlight w:val="none"/>
                <w:lang w:bidi="ar"/>
              </w:rPr>
              <w:t>8U48盘位,双路64位多核处理器（核数≥8）,64GB内存,高效冗余电源,支持SATA/SAS硬盘,2个千兆口，2个万兆口，支持网络RIAD，支持视音频、图片、直接写入，支持视频高速预览、回放、下载，支持云内容灾备份，支持一体化运维，支持GB/T28181-2011、Onvif、RTSP、H265、SVAC等标准视频协议；支持与台州交警电子警察应用平台对接实现图像存储迁移。（需统一接入台州交警电子警察运行管理平台）</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0D995E94">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1937A47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3B1BD0A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42,000.00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2F71DF9D">
            <w:pPr>
              <w:rPr>
                <w:color w:val="auto"/>
                <w:highlight w:val="none"/>
              </w:rPr>
            </w:pPr>
            <w:r>
              <w:rPr>
                <w:rFonts w:hint="eastAsia"/>
                <w:color w:val="auto"/>
                <w:highlight w:val="none"/>
                <w:lang w:bidi="ar"/>
              </w:rPr>
              <w:t>质保三年</w:t>
            </w:r>
          </w:p>
        </w:tc>
      </w:tr>
      <w:tr w14:paraId="030E3FC3">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5BA8C94">
            <w:pPr>
              <w:rPr>
                <w:color w:val="auto"/>
                <w:highlight w:val="none"/>
              </w:rPr>
            </w:pPr>
            <w:r>
              <w:rPr>
                <w:rFonts w:hint="eastAsia"/>
                <w:color w:val="auto"/>
                <w:highlight w:val="none"/>
                <w:lang w:bidi="ar"/>
              </w:rPr>
              <w:t>45</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0EB52420">
            <w:pPr>
              <w:rPr>
                <w:color w:val="auto"/>
                <w:highlight w:val="none"/>
              </w:rPr>
            </w:pPr>
            <w:r>
              <w:rPr>
                <w:color w:val="auto"/>
                <w:highlight w:val="none"/>
              </w:rPr>
              <w:t>★</w:t>
            </w:r>
            <w:r>
              <w:rPr>
                <w:rFonts w:hint="eastAsia"/>
                <w:color w:val="auto"/>
                <w:highlight w:val="none"/>
                <w:lang w:bidi="ar"/>
              </w:rPr>
              <w:t>硬盘录像机</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12627F85">
            <w:pPr>
              <w:rPr>
                <w:color w:val="auto"/>
                <w:highlight w:val="none"/>
              </w:rPr>
            </w:pPr>
            <w:r>
              <w:rPr>
                <w:rFonts w:hint="eastAsia"/>
                <w:color w:val="auto"/>
                <w:highlight w:val="none"/>
                <w:lang w:bidi="ar"/>
              </w:rPr>
              <w:t>2U标准机架式9盘位网络硬盘录像机，ATX电源；2个HDMI接口，2个VGA接口，异源输出，可支持8K+1080P 或 双4K输出；2个10M/100M/1000Mbps网口；2个USB2.0接口，2个USB3.0接口；1个eSATA接口；报警IO接口：16路报警输入，4路报警输出；串行接口：1路全双工485接口，1路标准RS-232接口；已内置8块4TB硬盘（总容量32TB)；接入能力：64路H.264、H.265格式高清码流接入；解码能力：最大支持24×1080P；RAID模式：RAID0、RAID1、RAID5、RAID6、RAID10，支持全局热备盘。</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165F4EAD">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04A90E5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031A9C2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5A02E04D">
            <w:pPr>
              <w:rPr>
                <w:color w:val="auto"/>
                <w:highlight w:val="none"/>
              </w:rPr>
            </w:pPr>
            <w:r>
              <w:rPr>
                <w:rFonts w:hint="eastAsia"/>
                <w:color w:val="auto"/>
                <w:highlight w:val="none"/>
                <w:lang w:bidi="ar"/>
              </w:rPr>
              <w:t>质保三年</w:t>
            </w:r>
          </w:p>
        </w:tc>
      </w:tr>
      <w:tr w14:paraId="1E1FB82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9855245">
            <w:pPr>
              <w:rPr>
                <w:color w:val="auto"/>
                <w:highlight w:val="none"/>
              </w:rPr>
            </w:pPr>
            <w:r>
              <w:rPr>
                <w:rFonts w:hint="eastAsia"/>
                <w:color w:val="auto"/>
                <w:highlight w:val="none"/>
                <w:lang w:bidi="ar"/>
              </w:rPr>
              <w:t>46</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71B41339">
            <w:pPr>
              <w:rPr>
                <w:color w:val="auto"/>
                <w:highlight w:val="none"/>
              </w:rPr>
            </w:pPr>
            <w:r>
              <w:rPr>
                <w:rFonts w:hint="eastAsia"/>
                <w:color w:val="auto"/>
                <w:highlight w:val="none"/>
                <w:lang w:bidi="ar"/>
              </w:rPr>
              <w:t>百兆单模光模块</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2C117924">
            <w:pPr>
              <w:rPr>
                <w:color w:val="auto"/>
                <w:highlight w:val="none"/>
              </w:rPr>
            </w:pPr>
            <w:r>
              <w:rPr>
                <w:rFonts w:hint="eastAsia"/>
                <w:color w:val="auto"/>
                <w:highlight w:val="none"/>
                <w:lang w:bidi="ar"/>
              </w:rPr>
              <w:t>规格需要与现场实际一样</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59252BFF">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56BE53A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79D1318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261.00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3CEEA70C">
            <w:pPr>
              <w:rPr>
                <w:color w:val="auto"/>
                <w:highlight w:val="none"/>
              </w:rPr>
            </w:pPr>
            <w:r>
              <w:rPr>
                <w:rFonts w:hint="eastAsia"/>
                <w:color w:val="auto"/>
                <w:highlight w:val="none"/>
                <w:lang w:bidi="ar"/>
              </w:rPr>
              <w:t>质保三年</w:t>
            </w:r>
          </w:p>
        </w:tc>
      </w:tr>
      <w:tr w14:paraId="10B28FF2">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2B194AE">
            <w:pPr>
              <w:rPr>
                <w:color w:val="auto"/>
                <w:highlight w:val="none"/>
              </w:rPr>
            </w:pPr>
            <w:r>
              <w:rPr>
                <w:rFonts w:hint="eastAsia"/>
                <w:color w:val="auto"/>
                <w:highlight w:val="none"/>
                <w:lang w:bidi="ar"/>
              </w:rPr>
              <w:t>47</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74723D88">
            <w:pPr>
              <w:rPr>
                <w:color w:val="auto"/>
                <w:highlight w:val="none"/>
              </w:rPr>
            </w:pPr>
            <w:r>
              <w:rPr>
                <w:rFonts w:hint="eastAsia"/>
                <w:color w:val="auto"/>
                <w:highlight w:val="none"/>
                <w:lang w:bidi="ar"/>
              </w:rPr>
              <w:t>千兆单模光模块</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7EE2BEAA">
            <w:pPr>
              <w:rPr>
                <w:color w:val="auto"/>
                <w:highlight w:val="none"/>
              </w:rPr>
            </w:pPr>
            <w:r>
              <w:rPr>
                <w:rFonts w:hint="eastAsia"/>
                <w:color w:val="auto"/>
                <w:highlight w:val="none"/>
                <w:lang w:bidi="ar"/>
              </w:rPr>
              <w:t>规格需要与现场实际一样</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345CB58A">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4256CE8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2C8AE5EB">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419.00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3CD29A4B">
            <w:pPr>
              <w:rPr>
                <w:color w:val="auto"/>
                <w:highlight w:val="none"/>
              </w:rPr>
            </w:pPr>
            <w:r>
              <w:rPr>
                <w:rFonts w:hint="eastAsia"/>
                <w:color w:val="auto"/>
                <w:highlight w:val="none"/>
                <w:lang w:bidi="ar"/>
              </w:rPr>
              <w:t>质保三年</w:t>
            </w:r>
          </w:p>
        </w:tc>
      </w:tr>
      <w:tr w14:paraId="72C0B2A4">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27E3AEB">
            <w:pPr>
              <w:rPr>
                <w:color w:val="auto"/>
                <w:highlight w:val="none"/>
              </w:rPr>
            </w:pPr>
            <w:r>
              <w:rPr>
                <w:rFonts w:hint="eastAsia"/>
                <w:color w:val="auto"/>
                <w:highlight w:val="none"/>
                <w:lang w:bidi="ar"/>
              </w:rPr>
              <w:t>48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9EEBBAC">
            <w:pPr>
              <w:rPr>
                <w:color w:val="auto"/>
                <w:highlight w:val="none"/>
              </w:rPr>
            </w:pPr>
            <w:r>
              <w:rPr>
                <w:rFonts w:hint="eastAsia"/>
                <w:color w:val="auto"/>
                <w:highlight w:val="none"/>
                <w:lang w:bidi="ar"/>
              </w:rPr>
              <w:t>千兆多模光模块</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1D42580">
            <w:pPr>
              <w:rPr>
                <w:color w:val="auto"/>
                <w:highlight w:val="none"/>
              </w:rPr>
            </w:pPr>
            <w:r>
              <w:rPr>
                <w:rFonts w:hint="eastAsia"/>
                <w:color w:val="auto"/>
                <w:highlight w:val="none"/>
                <w:lang w:bidi="ar"/>
              </w:rPr>
              <w:t>规格需要与现场实际一样</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A9D98F4">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57E2C6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1A56F1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420.00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C4C48DF">
            <w:pPr>
              <w:rPr>
                <w:color w:val="auto"/>
                <w:highlight w:val="none"/>
              </w:rPr>
            </w:pPr>
            <w:r>
              <w:rPr>
                <w:rFonts w:hint="eastAsia"/>
                <w:color w:val="auto"/>
                <w:highlight w:val="none"/>
                <w:lang w:bidi="ar"/>
              </w:rPr>
              <w:t>质保三年</w:t>
            </w:r>
          </w:p>
        </w:tc>
      </w:tr>
      <w:tr w14:paraId="4A3A0B5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3A746D1">
            <w:pPr>
              <w:rPr>
                <w:color w:val="auto"/>
                <w:highlight w:val="none"/>
              </w:rPr>
            </w:pPr>
            <w:r>
              <w:rPr>
                <w:rFonts w:hint="eastAsia"/>
                <w:color w:val="auto"/>
                <w:highlight w:val="none"/>
                <w:lang w:bidi="ar"/>
              </w:rPr>
              <w:t>49</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4F8B59E0">
            <w:pPr>
              <w:rPr>
                <w:color w:val="auto"/>
                <w:highlight w:val="none"/>
              </w:rPr>
            </w:pPr>
            <w:r>
              <w:rPr>
                <w:rFonts w:hint="eastAsia"/>
                <w:color w:val="auto"/>
                <w:highlight w:val="none"/>
                <w:lang w:bidi="ar"/>
              </w:rPr>
              <w:t>万兆多模光模块</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069A4017">
            <w:pPr>
              <w:rPr>
                <w:color w:val="auto"/>
                <w:highlight w:val="none"/>
              </w:rPr>
            </w:pPr>
            <w:r>
              <w:rPr>
                <w:rFonts w:hint="eastAsia"/>
                <w:color w:val="auto"/>
                <w:highlight w:val="none"/>
                <w:lang w:bidi="ar"/>
              </w:rPr>
              <w:t>规格需要与现场实际一样</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2109B9B0">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635ADCB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3E827FD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769.00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3939620E">
            <w:pPr>
              <w:rPr>
                <w:color w:val="auto"/>
                <w:highlight w:val="none"/>
              </w:rPr>
            </w:pPr>
            <w:r>
              <w:rPr>
                <w:rFonts w:hint="eastAsia"/>
                <w:color w:val="auto"/>
                <w:highlight w:val="none"/>
                <w:lang w:bidi="ar"/>
              </w:rPr>
              <w:t>质保三年</w:t>
            </w:r>
          </w:p>
        </w:tc>
      </w:tr>
      <w:tr w14:paraId="517E676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3149C75">
            <w:pPr>
              <w:rPr>
                <w:color w:val="auto"/>
                <w:highlight w:val="none"/>
              </w:rPr>
            </w:pPr>
            <w:r>
              <w:rPr>
                <w:rFonts w:hint="eastAsia"/>
                <w:color w:val="auto"/>
                <w:highlight w:val="none"/>
                <w:lang w:bidi="ar"/>
              </w:rPr>
              <w:t>50</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1A5FBE2B">
            <w:pPr>
              <w:rPr>
                <w:color w:val="auto"/>
                <w:highlight w:val="none"/>
              </w:rPr>
            </w:pPr>
            <w:r>
              <w:rPr>
                <w:rFonts w:hint="eastAsia"/>
                <w:color w:val="auto"/>
                <w:highlight w:val="none"/>
                <w:lang w:bidi="ar"/>
              </w:rPr>
              <w:t>抱杆机柜</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5B6EFD26">
            <w:pPr>
              <w:rPr>
                <w:color w:val="auto"/>
                <w:highlight w:val="none"/>
              </w:rPr>
            </w:pPr>
            <w:r>
              <w:rPr>
                <w:rFonts w:hint="eastAsia"/>
                <w:color w:val="auto"/>
                <w:highlight w:val="none"/>
                <w:lang w:bidi="ar"/>
              </w:rPr>
              <w:t>材料选用优质冷轧钢板，设备机箱具有防热、防尘、防水、防盗功能，适应室外工作环境，密封良好，做防锈、防腐处理，预留数据传输设备的空间，预留数据线、电源线接口。锁具、门轴坚实牢固，使用寿命在十年以上，所有锁具可由一把钥匙打开，（机箱板材厚度大于1 毫米）。含三位公牛插座，2P10A空开，安装底板，箱体应该统一“台州交警监控”字样。</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5F7CB17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150C95D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3AFBE59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650.00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428ECE62">
            <w:pPr>
              <w:rPr>
                <w:color w:val="auto"/>
                <w:highlight w:val="none"/>
              </w:rPr>
            </w:pPr>
          </w:p>
        </w:tc>
      </w:tr>
      <w:tr w14:paraId="3F30CF31">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171139B">
            <w:pPr>
              <w:rPr>
                <w:color w:val="auto"/>
                <w:highlight w:val="none"/>
              </w:rPr>
            </w:pPr>
            <w:r>
              <w:rPr>
                <w:rFonts w:hint="eastAsia"/>
                <w:color w:val="auto"/>
                <w:highlight w:val="none"/>
                <w:lang w:bidi="ar"/>
              </w:rPr>
              <w:t>51</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1839ECDF">
            <w:pPr>
              <w:rPr>
                <w:color w:val="auto"/>
                <w:highlight w:val="none"/>
              </w:rPr>
            </w:pPr>
            <w:r>
              <w:rPr>
                <w:rFonts w:hint="eastAsia"/>
                <w:color w:val="auto"/>
                <w:highlight w:val="none"/>
                <w:lang w:bidi="ar"/>
              </w:rPr>
              <w:t>抱箍</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01A93174">
            <w:pPr>
              <w:rPr>
                <w:color w:val="auto"/>
                <w:highlight w:val="none"/>
              </w:rPr>
            </w:pPr>
            <w:r>
              <w:rPr>
                <w:rFonts w:hint="eastAsia"/>
                <w:color w:val="auto"/>
                <w:highlight w:val="none"/>
                <w:lang w:bidi="ar"/>
              </w:rPr>
              <w:t>厚度≥6mm，宽度≥6mm，热镀锌处理，包括螺丝、螺母等</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7E1DA38D">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4704A68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4083DC2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0280DC90">
            <w:pPr>
              <w:rPr>
                <w:color w:val="auto"/>
                <w:highlight w:val="none"/>
              </w:rPr>
            </w:pPr>
          </w:p>
        </w:tc>
      </w:tr>
      <w:tr w14:paraId="3A2EB2F0">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A73D7F9">
            <w:pPr>
              <w:rPr>
                <w:color w:val="auto"/>
                <w:highlight w:val="none"/>
              </w:rPr>
            </w:pPr>
            <w:r>
              <w:rPr>
                <w:rFonts w:hint="eastAsia"/>
                <w:color w:val="auto"/>
                <w:highlight w:val="none"/>
                <w:lang w:bidi="ar"/>
              </w:rPr>
              <w:t>52</w:t>
            </w:r>
          </w:p>
        </w:tc>
        <w:tc>
          <w:tcPr>
            <w:tcW w:w="435" w:type="pct"/>
            <w:tcBorders>
              <w:top w:val="nil"/>
              <w:left w:val="single" w:color="000000" w:sz="8" w:space="0"/>
              <w:bottom w:val="single" w:color="000000" w:sz="8" w:space="0"/>
              <w:right w:val="single" w:color="000000" w:sz="8" w:space="0"/>
            </w:tcBorders>
            <w:shd w:val="clear" w:color="auto" w:fill="FFFFFF"/>
            <w:vAlign w:val="center"/>
          </w:tcPr>
          <w:p w14:paraId="6943374B">
            <w:pPr>
              <w:rPr>
                <w:color w:val="auto"/>
                <w:highlight w:val="none"/>
              </w:rPr>
            </w:pPr>
            <w:r>
              <w:rPr>
                <w:rFonts w:hint="eastAsia"/>
                <w:color w:val="auto"/>
                <w:highlight w:val="none"/>
                <w:lang w:bidi="ar"/>
              </w:rPr>
              <w:t>铭牌</w:t>
            </w:r>
          </w:p>
        </w:tc>
        <w:tc>
          <w:tcPr>
            <w:tcW w:w="3200" w:type="pct"/>
            <w:tcBorders>
              <w:top w:val="nil"/>
              <w:left w:val="single" w:color="000000" w:sz="8" w:space="0"/>
              <w:bottom w:val="single" w:color="000000" w:sz="8" w:space="0"/>
              <w:right w:val="single" w:color="000000" w:sz="8" w:space="0"/>
            </w:tcBorders>
            <w:shd w:val="clear" w:color="auto" w:fill="FFFFFF"/>
            <w:vAlign w:val="center"/>
          </w:tcPr>
          <w:p w14:paraId="7680D62A">
            <w:pPr>
              <w:rPr>
                <w:color w:val="auto"/>
                <w:highlight w:val="none"/>
              </w:rPr>
            </w:pPr>
            <w:r>
              <w:rPr>
                <w:rFonts w:hint="eastAsia"/>
                <w:color w:val="auto"/>
                <w:highlight w:val="none"/>
                <w:lang w:bidi="ar"/>
              </w:rPr>
              <w:t>样式见外场建设标准</w:t>
            </w:r>
          </w:p>
        </w:tc>
        <w:tc>
          <w:tcPr>
            <w:tcW w:w="245" w:type="pct"/>
            <w:tcBorders>
              <w:top w:val="nil"/>
              <w:left w:val="single" w:color="000000" w:sz="8" w:space="0"/>
              <w:bottom w:val="single" w:color="000000" w:sz="8" w:space="0"/>
              <w:right w:val="single" w:color="000000" w:sz="8" w:space="0"/>
            </w:tcBorders>
            <w:shd w:val="clear" w:color="auto" w:fill="FFFFFF"/>
            <w:vAlign w:val="center"/>
          </w:tcPr>
          <w:p w14:paraId="551607D7">
            <w:pPr>
              <w:rPr>
                <w:color w:val="auto"/>
                <w:highlight w:val="none"/>
              </w:rPr>
            </w:pPr>
            <w:r>
              <w:rPr>
                <w:rFonts w:hint="eastAsia"/>
                <w:color w:val="auto"/>
                <w:highlight w:val="none"/>
                <w:lang w:bidi="ar"/>
              </w:rPr>
              <w:t>张</w:t>
            </w:r>
          </w:p>
        </w:tc>
        <w:tc>
          <w:tcPr>
            <w:tcW w:w="249" w:type="pct"/>
            <w:tcBorders>
              <w:top w:val="nil"/>
              <w:left w:val="single" w:color="000000" w:sz="8" w:space="0"/>
              <w:bottom w:val="single" w:color="000000" w:sz="8" w:space="0"/>
              <w:right w:val="single" w:color="000000" w:sz="8" w:space="0"/>
            </w:tcBorders>
            <w:shd w:val="clear" w:color="auto" w:fill="FFFFFF"/>
            <w:vAlign w:val="center"/>
          </w:tcPr>
          <w:p w14:paraId="7E455BC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FFFFFF"/>
            <w:vAlign w:val="center"/>
          </w:tcPr>
          <w:p w14:paraId="148E784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27.00 </w:t>
            </w:r>
          </w:p>
        </w:tc>
        <w:tc>
          <w:tcPr>
            <w:tcW w:w="250" w:type="pct"/>
            <w:tcBorders>
              <w:top w:val="nil"/>
              <w:left w:val="single" w:color="000000" w:sz="8" w:space="0"/>
              <w:bottom w:val="single" w:color="000000" w:sz="8" w:space="0"/>
              <w:right w:val="single" w:color="000000" w:sz="8" w:space="0"/>
            </w:tcBorders>
            <w:shd w:val="clear" w:color="auto" w:fill="FFFFFF"/>
            <w:vAlign w:val="center"/>
          </w:tcPr>
          <w:p w14:paraId="528AB604">
            <w:pPr>
              <w:rPr>
                <w:color w:val="auto"/>
                <w:highlight w:val="none"/>
              </w:rPr>
            </w:pPr>
          </w:p>
        </w:tc>
      </w:tr>
      <w:tr w14:paraId="7FB9F7F9">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06A63A6">
            <w:pPr>
              <w:rPr>
                <w:color w:val="auto"/>
                <w:highlight w:val="none"/>
              </w:rPr>
            </w:pPr>
            <w:r>
              <w:rPr>
                <w:rFonts w:hint="eastAsia"/>
                <w:color w:val="auto"/>
                <w:highlight w:val="none"/>
                <w:lang w:bidi="ar"/>
              </w:rPr>
              <w:t>53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900CC8C">
            <w:pPr>
              <w:rPr>
                <w:color w:val="auto"/>
                <w:highlight w:val="none"/>
              </w:rPr>
            </w:pPr>
            <w:r>
              <w:rPr>
                <w:rFonts w:hint="eastAsia"/>
                <w:color w:val="auto"/>
                <w:highlight w:val="none"/>
                <w:lang w:bidi="ar"/>
              </w:rPr>
              <w:t>杆件反光膜</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5DB214C">
            <w:pPr>
              <w:rPr>
                <w:color w:val="auto"/>
                <w:highlight w:val="none"/>
              </w:rPr>
            </w:pPr>
            <w:r>
              <w:rPr>
                <w:rFonts w:hint="eastAsia"/>
                <w:color w:val="auto"/>
                <w:highlight w:val="none"/>
                <w:lang w:bidi="ar"/>
              </w:rPr>
              <w:t>含贴反光膜,宽度≥1米。</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4723167">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149C18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6F6069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131.00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997F500">
            <w:pPr>
              <w:rPr>
                <w:color w:val="auto"/>
                <w:highlight w:val="none"/>
              </w:rPr>
            </w:pPr>
          </w:p>
        </w:tc>
      </w:tr>
      <w:tr w14:paraId="717DE392">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F359580">
            <w:pPr>
              <w:rPr>
                <w:color w:val="auto"/>
                <w:highlight w:val="none"/>
              </w:rPr>
            </w:pPr>
            <w:r>
              <w:rPr>
                <w:rFonts w:hint="eastAsia"/>
                <w:color w:val="auto"/>
                <w:highlight w:val="none"/>
                <w:lang w:bidi="ar"/>
              </w:rPr>
              <w:t>54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B7DAD32">
            <w:pPr>
              <w:rPr>
                <w:color w:val="auto"/>
                <w:highlight w:val="none"/>
              </w:rPr>
            </w:pPr>
            <w:r>
              <w:rPr>
                <w:rFonts w:hint="eastAsia"/>
                <w:color w:val="auto"/>
                <w:highlight w:val="none"/>
                <w:lang w:bidi="ar"/>
              </w:rPr>
              <w:t>落地机柜基础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B3B3D4">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4A32D7B">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587FD5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9CD8B3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7BDFFBE">
            <w:pPr>
              <w:rPr>
                <w:color w:val="auto"/>
                <w:highlight w:val="none"/>
              </w:rPr>
            </w:pPr>
          </w:p>
        </w:tc>
      </w:tr>
      <w:tr w14:paraId="5F2ABEA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1D9EDF4">
            <w:pPr>
              <w:rPr>
                <w:color w:val="auto"/>
                <w:highlight w:val="none"/>
              </w:rPr>
            </w:pPr>
            <w:r>
              <w:rPr>
                <w:rFonts w:hint="eastAsia"/>
                <w:color w:val="auto"/>
                <w:highlight w:val="none"/>
                <w:lang w:bidi="ar"/>
              </w:rPr>
              <w:t>55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A0091CD">
            <w:pPr>
              <w:rPr>
                <w:color w:val="auto"/>
                <w:highlight w:val="none"/>
              </w:rPr>
            </w:pPr>
            <w:r>
              <w:rPr>
                <w:rFonts w:hint="eastAsia"/>
                <w:color w:val="auto"/>
                <w:highlight w:val="none"/>
                <w:lang w:bidi="ar"/>
              </w:rPr>
              <w:t>绿化带管道开挖（PE50）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AC41416">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89C391B">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CFA889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8E9F5E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8D9AA8D">
            <w:pPr>
              <w:rPr>
                <w:color w:val="auto"/>
                <w:highlight w:val="none"/>
              </w:rPr>
            </w:pPr>
          </w:p>
        </w:tc>
      </w:tr>
      <w:tr w14:paraId="1907240A">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DE12B2E">
            <w:pPr>
              <w:rPr>
                <w:color w:val="auto"/>
                <w:highlight w:val="none"/>
              </w:rPr>
            </w:pPr>
            <w:r>
              <w:rPr>
                <w:rFonts w:hint="eastAsia"/>
                <w:color w:val="auto"/>
                <w:highlight w:val="none"/>
                <w:lang w:bidi="ar"/>
              </w:rPr>
              <w:t>56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ACFE152">
            <w:pPr>
              <w:rPr>
                <w:color w:val="auto"/>
                <w:highlight w:val="none"/>
              </w:rPr>
            </w:pPr>
            <w:r>
              <w:rPr>
                <w:rFonts w:hint="eastAsia"/>
                <w:color w:val="auto"/>
                <w:highlight w:val="none"/>
                <w:lang w:bidi="ar"/>
              </w:rPr>
              <w:t>绿化带管道开挖（PE75）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8F85CFF">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4CA3FE9">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3AC4B70">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AA1FD7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AEE7D1F">
            <w:pPr>
              <w:rPr>
                <w:color w:val="auto"/>
                <w:highlight w:val="none"/>
              </w:rPr>
            </w:pPr>
          </w:p>
        </w:tc>
      </w:tr>
      <w:tr w14:paraId="38ED534F">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DCE7180">
            <w:pPr>
              <w:rPr>
                <w:color w:val="auto"/>
                <w:highlight w:val="none"/>
              </w:rPr>
            </w:pPr>
            <w:r>
              <w:rPr>
                <w:rFonts w:hint="eastAsia"/>
                <w:color w:val="auto"/>
                <w:highlight w:val="none"/>
                <w:lang w:bidi="ar"/>
              </w:rPr>
              <w:t>57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EAAAE21">
            <w:pPr>
              <w:rPr>
                <w:color w:val="auto"/>
                <w:highlight w:val="none"/>
              </w:rPr>
            </w:pPr>
            <w:r>
              <w:rPr>
                <w:rFonts w:hint="eastAsia"/>
                <w:color w:val="auto"/>
                <w:highlight w:val="none"/>
                <w:lang w:bidi="ar"/>
              </w:rPr>
              <w:t>人行道管道开挖（PE50）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C468926">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1D2A10A">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3913BF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3C0C34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F7E067F">
            <w:pPr>
              <w:rPr>
                <w:color w:val="auto"/>
                <w:highlight w:val="none"/>
              </w:rPr>
            </w:pPr>
          </w:p>
        </w:tc>
      </w:tr>
      <w:tr w14:paraId="619625CB">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1E54ABC">
            <w:pPr>
              <w:rPr>
                <w:color w:val="auto"/>
                <w:highlight w:val="none"/>
              </w:rPr>
            </w:pPr>
            <w:r>
              <w:rPr>
                <w:rFonts w:hint="eastAsia"/>
                <w:color w:val="auto"/>
                <w:highlight w:val="none"/>
                <w:lang w:bidi="ar"/>
              </w:rPr>
              <w:t>58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C764624">
            <w:pPr>
              <w:rPr>
                <w:color w:val="auto"/>
                <w:highlight w:val="none"/>
              </w:rPr>
            </w:pPr>
            <w:r>
              <w:rPr>
                <w:rFonts w:hint="eastAsia"/>
                <w:color w:val="auto"/>
                <w:highlight w:val="none"/>
                <w:lang w:bidi="ar"/>
              </w:rPr>
              <w:t>人行道管道开挖（PE75）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D83CC5B">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5D1A109">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BA45F6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4C0204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110.00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248CC4A">
            <w:pPr>
              <w:rPr>
                <w:color w:val="auto"/>
                <w:highlight w:val="none"/>
              </w:rPr>
            </w:pPr>
          </w:p>
        </w:tc>
      </w:tr>
      <w:tr w14:paraId="2A998F2A">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F29E36C">
            <w:pPr>
              <w:rPr>
                <w:color w:val="auto"/>
                <w:highlight w:val="none"/>
              </w:rPr>
            </w:pPr>
            <w:r>
              <w:rPr>
                <w:rFonts w:hint="eastAsia"/>
                <w:color w:val="auto"/>
                <w:highlight w:val="none"/>
                <w:lang w:bidi="ar"/>
              </w:rPr>
              <w:t>59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B6E5A68">
            <w:pPr>
              <w:rPr>
                <w:color w:val="auto"/>
                <w:highlight w:val="none"/>
              </w:rPr>
            </w:pPr>
            <w:r>
              <w:rPr>
                <w:rFonts w:hint="eastAsia"/>
                <w:color w:val="auto"/>
                <w:highlight w:val="none"/>
                <w:lang w:bidi="ar"/>
              </w:rPr>
              <w:t>水泥路、沥青路管道开挖（DG75）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5453110">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1F287FD">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D0B0CD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16AEF6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331E8CF">
            <w:pPr>
              <w:rPr>
                <w:color w:val="auto"/>
                <w:highlight w:val="none"/>
              </w:rPr>
            </w:pPr>
          </w:p>
        </w:tc>
      </w:tr>
      <w:tr w14:paraId="43146E6F">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E26B64B">
            <w:pPr>
              <w:rPr>
                <w:color w:val="auto"/>
                <w:highlight w:val="none"/>
              </w:rPr>
            </w:pPr>
            <w:r>
              <w:rPr>
                <w:rFonts w:hint="eastAsia"/>
                <w:color w:val="auto"/>
                <w:highlight w:val="none"/>
                <w:lang w:bidi="ar"/>
              </w:rPr>
              <w:t>60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7880819">
            <w:pPr>
              <w:rPr>
                <w:color w:val="auto"/>
                <w:highlight w:val="none"/>
              </w:rPr>
            </w:pPr>
            <w:r>
              <w:rPr>
                <w:rFonts w:hint="eastAsia"/>
                <w:color w:val="auto"/>
                <w:highlight w:val="none"/>
                <w:lang w:bidi="ar"/>
              </w:rPr>
              <w:t>水泥路、沥青路管道开挖（DG110）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8A28D35">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83E2E2E">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ABE2E4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367F85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180.00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D9D9148">
            <w:pPr>
              <w:rPr>
                <w:color w:val="auto"/>
                <w:highlight w:val="none"/>
              </w:rPr>
            </w:pPr>
          </w:p>
        </w:tc>
      </w:tr>
      <w:tr w14:paraId="23ACE995">
        <w:tblPrEx>
          <w:tblCellMar>
            <w:top w:w="0" w:type="dxa"/>
            <w:left w:w="108" w:type="dxa"/>
            <w:bottom w:w="0" w:type="dxa"/>
            <w:right w:w="108" w:type="dxa"/>
          </w:tblCellMar>
        </w:tblPrEx>
        <w:trPr>
          <w:trHeight w:val="97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CCBF475">
            <w:pPr>
              <w:rPr>
                <w:color w:val="auto"/>
                <w:highlight w:val="none"/>
              </w:rPr>
            </w:pPr>
            <w:r>
              <w:rPr>
                <w:rFonts w:hint="eastAsia"/>
                <w:color w:val="auto"/>
                <w:highlight w:val="none"/>
                <w:lang w:bidi="ar"/>
              </w:rPr>
              <w:t>61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97B51FC">
            <w:pPr>
              <w:rPr>
                <w:color w:val="auto"/>
                <w:highlight w:val="none"/>
              </w:rPr>
            </w:pPr>
            <w:r>
              <w:rPr>
                <w:rFonts w:hint="eastAsia"/>
                <w:color w:val="auto"/>
                <w:highlight w:val="none"/>
                <w:lang w:bidi="ar"/>
              </w:rPr>
              <w:t>顶管（PE110）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5D892C2">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0E9717D">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A81EC3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14E35E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160.00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623A16A">
            <w:pPr>
              <w:rPr>
                <w:color w:val="auto"/>
                <w:highlight w:val="none"/>
              </w:rPr>
            </w:pPr>
          </w:p>
        </w:tc>
      </w:tr>
      <w:tr w14:paraId="4E766F72">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5640DD7">
            <w:pPr>
              <w:rPr>
                <w:color w:val="auto"/>
                <w:highlight w:val="none"/>
              </w:rPr>
            </w:pPr>
            <w:r>
              <w:rPr>
                <w:rFonts w:hint="eastAsia"/>
                <w:color w:val="auto"/>
                <w:highlight w:val="none"/>
                <w:lang w:bidi="ar"/>
              </w:rPr>
              <w:t>62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C242A3B">
            <w:pPr>
              <w:rPr>
                <w:color w:val="auto"/>
                <w:highlight w:val="none"/>
              </w:rPr>
            </w:pPr>
            <w:r>
              <w:rPr>
                <w:rFonts w:hint="eastAsia"/>
                <w:color w:val="auto"/>
                <w:highlight w:val="none"/>
                <w:lang w:bidi="ar"/>
              </w:rPr>
              <w:t>PE≥Φ25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94EDBE6">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96A4A7B">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35185A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1E42D0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5FE35ED">
            <w:pPr>
              <w:rPr>
                <w:color w:val="auto"/>
                <w:highlight w:val="none"/>
              </w:rPr>
            </w:pPr>
          </w:p>
        </w:tc>
      </w:tr>
      <w:tr w14:paraId="0620CCC1">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148AFB4">
            <w:pPr>
              <w:rPr>
                <w:color w:val="auto"/>
                <w:highlight w:val="none"/>
              </w:rPr>
            </w:pPr>
            <w:r>
              <w:rPr>
                <w:rFonts w:hint="eastAsia"/>
                <w:color w:val="auto"/>
                <w:highlight w:val="none"/>
                <w:lang w:bidi="ar"/>
              </w:rPr>
              <w:t>63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81D7142">
            <w:pPr>
              <w:rPr>
                <w:color w:val="auto"/>
                <w:highlight w:val="none"/>
              </w:rPr>
            </w:pPr>
            <w:r>
              <w:rPr>
                <w:rFonts w:hint="eastAsia"/>
                <w:color w:val="auto"/>
                <w:highlight w:val="none"/>
                <w:lang w:bidi="ar"/>
              </w:rPr>
              <w:t>PE≥Φ75</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AD4A4E8">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C0DD16D">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BB5F72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7B8758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14.00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5196E6D">
            <w:pPr>
              <w:rPr>
                <w:color w:val="auto"/>
                <w:highlight w:val="none"/>
              </w:rPr>
            </w:pPr>
          </w:p>
        </w:tc>
      </w:tr>
      <w:tr w14:paraId="46E0D77B">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706E9D5">
            <w:pPr>
              <w:rPr>
                <w:color w:val="auto"/>
                <w:highlight w:val="none"/>
              </w:rPr>
            </w:pPr>
            <w:r>
              <w:rPr>
                <w:rFonts w:hint="eastAsia"/>
                <w:color w:val="auto"/>
                <w:highlight w:val="none"/>
                <w:lang w:bidi="ar"/>
              </w:rPr>
              <w:t>64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2F51845">
            <w:pPr>
              <w:rPr>
                <w:color w:val="auto"/>
                <w:highlight w:val="none"/>
              </w:rPr>
            </w:pPr>
            <w:r>
              <w:rPr>
                <w:rFonts w:hint="eastAsia"/>
                <w:color w:val="auto"/>
                <w:highlight w:val="none"/>
                <w:lang w:bidi="ar"/>
              </w:rPr>
              <w:t>PE≥Φ110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EACFBA4">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B18A1A1">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D15392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09300E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707D013">
            <w:pPr>
              <w:rPr>
                <w:color w:val="auto"/>
                <w:highlight w:val="none"/>
              </w:rPr>
            </w:pPr>
          </w:p>
        </w:tc>
      </w:tr>
      <w:tr w14:paraId="21493EC4">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B196D7E">
            <w:pPr>
              <w:rPr>
                <w:color w:val="auto"/>
                <w:highlight w:val="none"/>
              </w:rPr>
            </w:pPr>
            <w:r>
              <w:rPr>
                <w:rFonts w:hint="eastAsia"/>
                <w:color w:val="auto"/>
                <w:highlight w:val="none"/>
                <w:lang w:bidi="ar"/>
              </w:rPr>
              <w:t>65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71C8A59">
            <w:pPr>
              <w:rPr>
                <w:color w:val="auto"/>
                <w:highlight w:val="none"/>
              </w:rPr>
            </w:pPr>
            <w:r>
              <w:rPr>
                <w:rFonts w:hint="eastAsia"/>
                <w:color w:val="auto"/>
                <w:highlight w:val="none"/>
                <w:lang w:bidi="ar"/>
              </w:rPr>
              <w:t>渡锌钢管Φ100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B409FB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7804A6C">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EC7123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C33456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9369699">
            <w:pPr>
              <w:rPr>
                <w:color w:val="auto"/>
                <w:highlight w:val="none"/>
              </w:rPr>
            </w:pPr>
          </w:p>
        </w:tc>
      </w:tr>
      <w:tr w14:paraId="2AD69601">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6C1BEAE">
            <w:pPr>
              <w:rPr>
                <w:color w:val="auto"/>
                <w:highlight w:val="none"/>
              </w:rPr>
            </w:pPr>
            <w:r>
              <w:rPr>
                <w:rFonts w:hint="eastAsia"/>
                <w:color w:val="auto"/>
                <w:highlight w:val="none"/>
                <w:lang w:bidi="ar"/>
              </w:rPr>
              <w:t>66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5BF82AE">
            <w:pPr>
              <w:rPr>
                <w:color w:val="auto"/>
                <w:highlight w:val="none"/>
              </w:rPr>
            </w:pPr>
            <w:r>
              <w:rPr>
                <w:rFonts w:hint="eastAsia"/>
                <w:color w:val="auto"/>
                <w:highlight w:val="none"/>
                <w:lang w:bidi="ar"/>
              </w:rPr>
              <w:t>小窨井施工</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E330D62">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4BB6DCD">
            <w:pPr>
              <w:rPr>
                <w:color w:val="auto"/>
                <w:highlight w:val="none"/>
              </w:rPr>
            </w:pPr>
            <w:r>
              <w:rPr>
                <w:rFonts w:hint="eastAsia"/>
                <w:color w:val="auto"/>
                <w:highlight w:val="none"/>
                <w:lang w:bidi="ar"/>
              </w:rPr>
              <w:t>座</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5DA175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2FFB5B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6A3EB01">
            <w:pPr>
              <w:rPr>
                <w:color w:val="auto"/>
                <w:highlight w:val="none"/>
              </w:rPr>
            </w:pPr>
          </w:p>
        </w:tc>
      </w:tr>
      <w:tr w14:paraId="0526A6F8">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8B05A4F">
            <w:pPr>
              <w:rPr>
                <w:color w:val="auto"/>
                <w:highlight w:val="none"/>
              </w:rPr>
            </w:pPr>
            <w:r>
              <w:rPr>
                <w:rFonts w:hint="eastAsia"/>
                <w:color w:val="auto"/>
                <w:highlight w:val="none"/>
                <w:lang w:bidi="ar"/>
              </w:rPr>
              <w:t>67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11975E6">
            <w:pPr>
              <w:rPr>
                <w:color w:val="auto"/>
                <w:highlight w:val="none"/>
              </w:rPr>
            </w:pPr>
            <w:r>
              <w:rPr>
                <w:rFonts w:hint="eastAsia"/>
                <w:color w:val="auto"/>
                <w:highlight w:val="none"/>
                <w:lang w:bidi="ar"/>
              </w:rPr>
              <w:t>大窨井施工</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3845BCA">
            <w:pPr>
              <w:rPr>
                <w:color w:val="auto"/>
                <w:highlight w:val="none"/>
              </w:rPr>
            </w:pPr>
            <w:r>
              <w:rPr>
                <w:rFonts w:hint="eastAsia"/>
                <w:color w:val="auto"/>
                <w:highlight w:val="none"/>
                <w:lang w:bidi="ar"/>
              </w:rPr>
              <w:t>符合外场设施建设指导标准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90E80B6">
            <w:pPr>
              <w:rPr>
                <w:color w:val="auto"/>
                <w:highlight w:val="none"/>
              </w:rPr>
            </w:pPr>
            <w:r>
              <w:rPr>
                <w:rFonts w:hint="eastAsia"/>
                <w:color w:val="auto"/>
                <w:highlight w:val="none"/>
                <w:lang w:bidi="ar"/>
              </w:rPr>
              <w:t>座</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0E9B09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253338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3EDEC68">
            <w:pPr>
              <w:rPr>
                <w:color w:val="auto"/>
                <w:highlight w:val="none"/>
              </w:rPr>
            </w:pPr>
          </w:p>
        </w:tc>
      </w:tr>
      <w:tr w14:paraId="266742D6">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045B4AF">
            <w:pPr>
              <w:rPr>
                <w:color w:val="auto"/>
                <w:highlight w:val="none"/>
              </w:rPr>
            </w:pPr>
            <w:r>
              <w:rPr>
                <w:rFonts w:hint="eastAsia"/>
                <w:color w:val="auto"/>
                <w:highlight w:val="none"/>
                <w:lang w:bidi="ar"/>
              </w:rPr>
              <w:t>68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90F784A">
            <w:pPr>
              <w:rPr>
                <w:color w:val="auto"/>
                <w:highlight w:val="none"/>
              </w:rPr>
            </w:pPr>
            <w:r>
              <w:rPr>
                <w:color w:val="auto"/>
                <w:highlight w:val="none"/>
              </w:rPr>
              <w:t>★</w:t>
            </w:r>
            <w:r>
              <w:rPr>
                <w:rFonts w:hint="eastAsia"/>
                <w:color w:val="auto"/>
                <w:highlight w:val="none"/>
                <w:lang w:bidi="ar"/>
              </w:rPr>
              <w:t>测速仪虚点设备</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537682D">
            <w:pPr>
              <w:rPr>
                <w:color w:val="auto"/>
                <w:highlight w:val="none"/>
              </w:rPr>
            </w:pPr>
            <w:r>
              <w:rPr>
                <w:rFonts w:hint="eastAsia"/>
                <w:color w:val="auto"/>
                <w:highlight w:val="none"/>
                <w:lang w:bidi="ar"/>
              </w:rPr>
              <w:t>覆盖1-4个车道；测速范围在10~250km/h，测速准确（-4~0）km/h；工作温度范围： -40℃～ +70℃；工作湿度范围： 5%RH～95%RH；电源：电压 DC 12V（红色正、黑色地），功耗 &lt; 3W；额定电流：0.3A</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9957B4A">
            <w:pPr>
              <w:rPr>
                <w:color w:val="auto"/>
                <w:highlight w:val="none"/>
              </w:rPr>
            </w:pPr>
            <w:r>
              <w:rPr>
                <w:rFonts w:hint="eastAsia"/>
                <w:color w:val="auto"/>
                <w:highlight w:val="none"/>
                <w:lang w:bidi="ar"/>
              </w:rPr>
              <w:t>台</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E0F349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0FE5D3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CA89FA5">
            <w:pPr>
              <w:rPr>
                <w:color w:val="auto"/>
                <w:highlight w:val="none"/>
              </w:rPr>
            </w:pPr>
          </w:p>
        </w:tc>
      </w:tr>
      <w:tr w14:paraId="257CA7A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E9E7E54">
            <w:pPr>
              <w:rPr>
                <w:color w:val="auto"/>
                <w:highlight w:val="none"/>
              </w:rPr>
            </w:pPr>
            <w:r>
              <w:rPr>
                <w:rFonts w:hint="eastAsia"/>
                <w:color w:val="auto"/>
                <w:highlight w:val="none"/>
                <w:lang w:bidi="ar"/>
              </w:rPr>
              <w:t>69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038C228">
            <w:pPr>
              <w:rPr>
                <w:color w:val="auto"/>
                <w:highlight w:val="none"/>
              </w:rPr>
            </w:pPr>
            <w:r>
              <w:rPr>
                <w:rFonts w:hint="eastAsia"/>
                <w:color w:val="auto"/>
                <w:highlight w:val="none"/>
                <w:lang w:bidi="ar"/>
              </w:rPr>
              <w:t>固定测速仪机箱（防爆）</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E8DA6AF">
            <w:pPr>
              <w:rPr>
                <w:color w:val="auto"/>
                <w:highlight w:val="none"/>
              </w:rPr>
            </w:pPr>
            <w:r>
              <w:rPr>
                <w:rFonts w:hint="eastAsia"/>
                <w:color w:val="auto"/>
                <w:highlight w:val="none"/>
                <w:lang w:bidi="ar"/>
              </w:rPr>
              <w:t>内置强电模块，能够容纳交换机、光纤收发器等，机柜采用主体焊接、双层钢板设计，门锁采用户外机柜防水锁，机柜采用柱装安装方式，具有防虫、防鼠功效防爆机箱，测速仪专用，兼容大华、海康便携式测速仪主机；</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B1D9FD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C144E0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392111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4F208E6">
            <w:pPr>
              <w:rPr>
                <w:color w:val="auto"/>
                <w:highlight w:val="none"/>
              </w:rPr>
            </w:pPr>
          </w:p>
        </w:tc>
      </w:tr>
      <w:tr w14:paraId="0685F473">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143CFE2">
            <w:pPr>
              <w:rPr>
                <w:color w:val="auto"/>
                <w:highlight w:val="none"/>
              </w:rPr>
            </w:pPr>
            <w:r>
              <w:rPr>
                <w:rFonts w:hint="eastAsia"/>
                <w:color w:val="auto"/>
                <w:highlight w:val="none"/>
                <w:lang w:bidi="ar"/>
              </w:rPr>
              <w:t>70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87682EB">
            <w:pPr>
              <w:rPr>
                <w:color w:val="auto"/>
                <w:highlight w:val="none"/>
              </w:rPr>
            </w:pPr>
            <w:r>
              <w:rPr>
                <w:rFonts w:hint="eastAsia"/>
                <w:color w:val="auto"/>
                <w:highlight w:val="none"/>
                <w:lang w:bidi="ar"/>
              </w:rPr>
              <w:t>测速闪光灯</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4324998">
            <w:pPr>
              <w:rPr>
                <w:color w:val="auto"/>
                <w:highlight w:val="none"/>
              </w:rPr>
            </w:pPr>
            <w:r>
              <w:rPr>
                <w:rFonts w:hint="eastAsia"/>
                <w:color w:val="auto"/>
                <w:highlight w:val="none"/>
                <w:lang w:bidi="ar"/>
              </w:rPr>
              <w:t>测速仪专用爆闪灯，适用于蓄电池单独供电接口，覆盖范围：侧装三车道，回电时间：＜67ms，有效补光距离：16m～25m，寿命：≥2000万次，防护等级：IP65，要求符合GA/T1202-2014《交通技术监控成像补光装置通用技术规范》标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F6A583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BBF57E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43932D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1,660.00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7D9CED5">
            <w:pPr>
              <w:rPr>
                <w:color w:val="auto"/>
                <w:highlight w:val="none"/>
              </w:rPr>
            </w:pPr>
          </w:p>
        </w:tc>
      </w:tr>
      <w:tr w14:paraId="2CA10550">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4DA7635">
            <w:pPr>
              <w:rPr>
                <w:color w:val="auto"/>
                <w:highlight w:val="none"/>
              </w:rPr>
            </w:pPr>
            <w:r>
              <w:rPr>
                <w:rFonts w:hint="eastAsia"/>
                <w:color w:val="auto"/>
                <w:highlight w:val="none"/>
                <w:lang w:bidi="ar"/>
              </w:rPr>
              <w:t>71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5246783">
            <w:pPr>
              <w:rPr>
                <w:color w:val="auto"/>
                <w:highlight w:val="none"/>
              </w:rPr>
            </w:pPr>
            <w:r>
              <w:rPr>
                <w:rFonts w:hint="eastAsia"/>
                <w:color w:val="auto"/>
                <w:highlight w:val="none"/>
                <w:lang w:bidi="ar"/>
              </w:rPr>
              <w:t>主机机箱基础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A648F8F">
            <w:pPr>
              <w:rPr>
                <w:color w:val="auto"/>
                <w:highlight w:val="none"/>
              </w:rPr>
            </w:pPr>
            <w:r>
              <w:rPr>
                <w:rFonts w:hint="eastAsia"/>
                <w:color w:val="auto"/>
                <w:highlight w:val="none"/>
                <w:lang w:bidi="ar"/>
              </w:rPr>
              <w:t>C25现浇混凝土,长1米，宽1米，高1米（含钢筋笼、模板、基坑挖回填等）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544B7CB">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C5647E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0C7950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E9B7E3C">
            <w:pPr>
              <w:rPr>
                <w:color w:val="auto"/>
                <w:highlight w:val="none"/>
              </w:rPr>
            </w:pPr>
          </w:p>
        </w:tc>
      </w:tr>
      <w:tr w14:paraId="09E8A4B8">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76C5886">
            <w:pPr>
              <w:rPr>
                <w:color w:val="auto"/>
                <w:highlight w:val="none"/>
              </w:rPr>
            </w:pPr>
            <w:r>
              <w:rPr>
                <w:rFonts w:hint="eastAsia"/>
                <w:color w:val="auto"/>
                <w:highlight w:val="none"/>
                <w:lang w:bidi="ar"/>
              </w:rPr>
              <w:t>72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428925D">
            <w:pPr>
              <w:rPr>
                <w:color w:val="auto"/>
                <w:highlight w:val="none"/>
              </w:rPr>
            </w:pPr>
            <w:r>
              <w:rPr>
                <w:rFonts w:hint="eastAsia"/>
                <w:color w:val="auto"/>
                <w:highlight w:val="none"/>
                <w:lang w:bidi="ar"/>
              </w:rPr>
              <w:t>闪光灯机箱基础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D94D75B">
            <w:pPr>
              <w:rPr>
                <w:color w:val="auto"/>
                <w:highlight w:val="none"/>
              </w:rPr>
            </w:pPr>
            <w:r>
              <w:rPr>
                <w:rFonts w:hint="eastAsia"/>
                <w:color w:val="auto"/>
                <w:highlight w:val="none"/>
                <w:lang w:bidi="ar"/>
              </w:rPr>
              <w:t>C25现浇混凝土,长0.5米，宽0.5米，高0.6米（含钢筋笼、热镀锌铁件、模板、基坑挖土、回填及弃土外运等）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A164617">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69A394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3AC138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37B3BCE">
            <w:pPr>
              <w:rPr>
                <w:color w:val="auto"/>
                <w:highlight w:val="none"/>
              </w:rPr>
            </w:pPr>
          </w:p>
        </w:tc>
      </w:tr>
      <w:tr w14:paraId="0D7461D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1775EF1">
            <w:pPr>
              <w:rPr>
                <w:color w:val="auto"/>
                <w:highlight w:val="none"/>
              </w:rPr>
            </w:pPr>
            <w:r>
              <w:rPr>
                <w:rFonts w:hint="eastAsia"/>
                <w:color w:val="auto"/>
                <w:highlight w:val="none"/>
                <w:lang w:bidi="ar"/>
              </w:rPr>
              <w:t>73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1D5469F">
            <w:pPr>
              <w:rPr>
                <w:color w:val="auto"/>
                <w:highlight w:val="none"/>
              </w:rPr>
            </w:pPr>
            <w:r>
              <w:rPr>
                <w:rFonts w:hint="eastAsia"/>
                <w:color w:val="auto"/>
                <w:highlight w:val="none"/>
                <w:lang w:bidi="ar"/>
              </w:rPr>
              <w:t>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78D3750">
            <w:pPr>
              <w:rPr>
                <w:color w:val="auto"/>
                <w:highlight w:val="none"/>
              </w:rPr>
            </w:pPr>
            <w:r>
              <w:rPr>
                <w:rFonts w:hint="eastAsia"/>
                <w:color w:val="auto"/>
                <w:highlight w:val="none"/>
                <w:lang w:bidi="ar"/>
              </w:rPr>
              <w:t>立杆杆件φ114×6mm,立杆杆件（高度≥2.5m）；杆件应经酸洗除锈，表面热镀锌处理</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DB28652">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DCBFC9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B571CE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E783237">
            <w:pPr>
              <w:rPr>
                <w:color w:val="auto"/>
                <w:highlight w:val="none"/>
              </w:rPr>
            </w:pPr>
          </w:p>
        </w:tc>
      </w:tr>
      <w:tr w14:paraId="5B6AF6DF">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99D1A73">
            <w:pPr>
              <w:rPr>
                <w:color w:val="auto"/>
                <w:highlight w:val="none"/>
              </w:rPr>
            </w:pPr>
            <w:r>
              <w:rPr>
                <w:rFonts w:hint="eastAsia"/>
                <w:color w:val="auto"/>
                <w:highlight w:val="none"/>
                <w:lang w:bidi="ar"/>
              </w:rPr>
              <w:t>74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6DECA34">
            <w:pPr>
              <w:rPr>
                <w:color w:val="auto"/>
                <w:highlight w:val="none"/>
              </w:rPr>
            </w:pPr>
            <w:r>
              <w:rPr>
                <w:rFonts w:hint="eastAsia"/>
                <w:color w:val="auto"/>
                <w:highlight w:val="none"/>
                <w:lang w:bidi="ar"/>
              </w:rPr>
              <w:t>V类反光膜标志牌</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AE6842">
            <w:pPr>
              <w:rPr>
                <w:color w:val="auto"/>
                <w:highlight w:val="none"/>
              </w:rPr>
            </w:pPr>
            <w:r>
              <w:rPr>
                <w:rFonts w:hint="eastAsia"/>
                <w:color w:val="auto"/>
                <w:highlight w:val="none"/>
                <w:lang w:bidi="ar"/>
              </w:rPr>
              <w:t>3.0mm厚度铝合金含配件等，反光膜与2015年以来交警管理项目（新）改建道路的一致</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482F83A">
            <w:pPr>
              <w:rPr>
                <w:color w:val="auto"/>
                <w:highlight w:val="none"/>
              </w:rPr>
            </w:pPr>
            <w:r>
              <w:rPr>
                <w:rFonts w:hint="eastAsia"/>
                <w:color w:val="auto"/>
                <w:highlight w:val="none"/>
                <w:lang w:bidi="ar"/>
              </w:rPr>
              <w:t>㎡</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BB4FECA">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5D5119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560.00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9D8217A">
            <w:pPr>
              <w:rPr>
                <w:color w:val="auto"/>
                <w:highlight w:val="none"/>
              </w:rPr>
            </w:pPr>
          </w:p>
        </w:tc>
      </w:tr>
      <w:tr w14:paraId="238EB77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D037817">
            <w:pPr>
              <w:rPr>
                <w:color w:val="auto"/>
                <w:highlight w:val="none"/>
              </w:rPr>
            </w:pPr>
            <w:r>
              <w:rPr>
                <w:rFonts w:hint="eastAsia"/>
                <w:color w:val="auto"/>
                <w:highlight w:val="none"/>
                <w:lang w:bidi="ar"/>
              </w:rPr>
              <w:t>75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BA5E35F">
            <w:pPr>
              <w:rPr>
                <w:color w:val="auto"/>
                <w:highlight w:val="none"/>
              </w:rPr>
            </w:pPr>
            <w:r>
              <w:rPr>
                <w:rFonts w:hint="eastAsia"/>
                <w:color w:val="auto"/>
                <w:highlight w:val="none"/>
                <w:lang w:bidi="ar"/>
              </w:rPr>
              <w:t>V类反光膜标志牌</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2C3EFA8">
            <w:pPr>
              <w:rPr>
                <w:color w:val="auto"/>
                <w:highlight w:val="none"/>
              </w:rPr>
            </w:pPr>
            <w:r>
              <w:rPr>
                <w:rFonts w:hint="eastAsia"/>
                <w:color w:val="auto"/>
                <w:highlight w:val="none"/>
                <w:lang w:bidi="ar"/>
              </w:rPr>
              <w:t>2.0mm厚度铝合金含配件等，反光膜与2015年以来交警管理项目（新）改建道路的一致</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AAEA46D">
            <w:pPr>
              <w:rPr>
                <w:color w:val="auto"/>
                <w:highlight w:val="none"/>
              </w:rPr>
            </w:pPr>
            <w:r>
              <w:rPr>
                <w:rFonts w:hint="eastAsia"/>
                <w:color w:val="auto"/>
                <w:highlight w:val="none"/>
                <w:lang w:bidi="ar"/>
              </w:rPr>
              <w:t>㎡</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C8A65D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E24856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E895F2D">
            <w:pPr>
              <w:rPr>
                <w:color w:val="auto"/>
                <w:highlight w:val="none"/>
              </w:rPr>
            </w:pPr>
          </w:p>
        </w:tc>
      </w:tr>
      <w:tr w14:paraId="041D93F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02EEF2B">
            <w:pPr>
              <w:rPr>
                <w:color w:val="auto"/>
                <w:highlight w:val="none"/>
              </w:rPr>
            </w:pPr>
            <w:r>
              <w:rPr>
                <w:rFonts w:hint="eastAsia"/>
                <w:color w:val="auto"/>
                <w:highlight w:val="none"/>
                <w:lang w:bidi="ar"/>
              </w:rPr>
              <w:t>76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BC693DA">
            <w:pPr>
              <w:rPr>
                <w:color w:val="auto"/>
                <w:highlight w:val="none"/>
              </w:rPr>
            </w:pPr>
            <w:r>
              <w:rPr>
                <w:rFonts w:hint="eastAsia"/>
                <w:color w:val="auto"/>
                <w:highlight w:val="none"/>
                <w:lang w:bidi="ar"/>
              </w:rPr>
              <w:t>V类反光膜标志牌</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B6156BA">
            <w:pPr>
              <w:rPr>
                <w:color w:val="auto"/>
                <w:highlight w:val="none"/>
              </w:rPr>
            </w:pPr>
            <w:r>
              <w:rPr>
                <w:rFonts w:hint="eastAsia"/>
                <w:color w:val="auto"/>
                <w:highlight w:val="none"/>
                <w:lang w:bidi="ar"/>
              </w:rPr>
              <w:t>1.5mm厚度铝合金含配件等，反光膜与2015年以来交警管理项目（新）改建道路的一致</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92A8FFD">
            <w:pPr>
              <w:rPr>
                <w:color w:val="auto"/>
                <w:highlight w:val="none"/>
              </w:rPr>
            </w:pPr>
            <w:r>
              <w:rPr>
                <w:rFonts w:hint="eastAsia"/>
                <w:color w:val="auto"/>
                <w:highlight w:val="none"/>
                <w:lang w:bidi="ar"/>
              </w:rPr>
              <w:t>㎡</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2AA6A5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CB4FBB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460.00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D048AF7">
            <w:pPr>
              <w:rPr>
                <w:color w:val="auto"/>
                <w:highlight w:val="none"/>
              </w:rPr>
            </w:pPr>
          </w:p>
        </w:tc>
      </w:tr>
      <w:tr w14:paraId="644F5AF1">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12CF096">
            <w:pPr>
              <w:rPr>
                <w:color w:val="auto"/>
                <w:highlight w:val="none"/>
              </w:rPr>
            </w:pPr>
            <w:r>
              <w:rPr>
                <w:rFonts w:hint="eastAsia"/>
                <w:color w:val="auto"/>
                <w:highlight w:val="none"/>
                <w:lang w:bidi="ar"/>
              </w:rPr>
              <w:t>77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147DF42">
            <w:pPr>
              <w:rPr>
                <w:color w:val="auto"/>
                <w:highlight w:val="none"/>
              </w:rPr>
            </w:pPr>
            <w:r>
              <w:rPr>
                <w:rFonts w:hint="eastAsia"/>
                <w:color w:val="auto"/>
                <w:highlight w:val="none"/>
                <w:lang w:bidi="ar"/>
              </w:rPr>
              <w:t>L型杆件挑4M杆件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D2DC7CE">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3D29433">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075469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047DC4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F2449B3">
            <w:pPr>
              <w:rPr>
                <w:color w:val="auto"/>
                <w:highlight w:val="none"/>
              </w:rPr>
            </w:pPr>
          </w:p>
        </w:tc>
      </w:tr>
      <w:tr w14:paraId="5C6BE424">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9DB9AAB">
            <w:pPr>
              <w:rPr>
                <w:color w:val="auto"/>
                <w:highlight w:val="none"/>
              </w:rPr>
            </w:pPr>
            <w:r>
              <w:rPr>
                <w:rFonts w:hint="eastAsia"/>
                <w:color w:val="auto"/>
                <w:highlight w:val="none"/>
                <w:lang w:bidi="ar"/>
              </w:rPr>
              <w:t>78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B3F900F">
            <w:pPr>
              <w:rPr>
                <w:color w:val="auto"/>
                <w:highlight w:val="none"/>
              </w:rPr>
            </w:pPr>
            <w:r>
              <w:rPr>
                <w:rFonts w:hint="eastAsia"/>
                <w:color w:val="auto"/>
                <w:highlight w:val="none"/>
                <w:lang w:bidi="ar"/>
              </w:rPr>
              <w:t>L型杆件挑5M杆件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4F110CE">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4BD2653">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33D83B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98B592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7F57443">
            <w:pPr>
              <w:rPr>
                <w:color w:val="auto"/>
                <w:highlight w:val="none"/>
              </w:rPr>
            </w:pPr>
          </w:p>
        </w:tc>
      </w:tr>
      <w:tr w14:paraId="58AF177A">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94BC57">
            <w:pPr>
              <w:rPr>
                <w:color w:val="auto"/>
                <w:highlight w:val="none"/>
              </w:rPr>
            </w:pPr>
            <w:r>
              <w:rPr>
                <w:rFonts w:hint="eastAsia"/>
                <w:color w:val="auto"/>
                <w:highlight w:val="none"/>
                <w:lang w:bidi="ar"/>
              </w:rPr>
              <w:t>79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54D323A">
            <w:pPr>
              <w:rPr>
                <w:color w:val="auto"/>
                <w:highlight w:val="none"/>
              </w:rPr>
            </w:pPr>
            <w:r>
              <w:rPr>
                <w:rFonts w:hint="eastAsia"/>
                <w:color w:val="auto"/>
                <w:highlight w:val="none"/>
                <w:lang w:bidi="ar"/>
              </w:rPr>
              <w:t>L型杆件挑6M杆件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667686">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135E5FD">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283DCB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A5F649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4,300.00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855E385">
            <w:pPr>
              <w:rPr>
                <w:color w:val="auto"/>
                <w:highlight w:val="none"/>
              </w:rPr>
            </w:pPr>
          </w:p>
        </w:tc>
      </w:tr>
      <w:tr w14:paraId="79FA225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28E969A">
            <w:pPr>
              <w:rPr>
                <w:color w:val="auto"/>
                <w:highlight w:val="none"/>
              </w:rPr>
            </w:pPr>
            <w:r>
              <w:rPr>
                <w:rFonts w:hint="eastAsia"/>
                <w:color w:val="auto"/>
                <w:highlight w:val="none"/>
                <w:lang w:bidi="ar"/>
              </w:rPr>
              <w:t>80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F0E0388">
            <w:pPr>
              <w:rPr>
                <w:color w:val="auto"/>
                <w:highlight w:val="none"/>
              </w:rPr>
            </w:pPr>
            <w:r>
              <w:rPr>
                <w:rFonts w:hint="eastAsia"/>
                <w:color w:val="auto"/>
                <w:highlight w:val="none"/>
                <w:lang w:bidi="ar"/>
              </w:rPr>
              <w:t>L型杆件挑7M杆件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1052F0F">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B065BD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6FCC15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B51926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4A0B851">
            <w:pPr>
              <w:rPr>
                <w:color w:val="auto"/>
                <w:highlight w:val="none"/>
              </w:rPr>
            </w:pPr>
          </w:p>
        </w:tc>
      </w:tr>
      <w:tr w14:paraId="35234C4B">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9A3F5FF">
            <w:pPr>
              <w:rPr>
                <w:color w:val="auto"/>
                <w:highlight w:val="none"/>
              </w:rPr>
            </w:pPr>
            <w:r>
              <w:rPr>
                <w:rFonts w:hint="eastAsia"/>
                <w:color w:val="auto"/>
                <w:highlight w:val="none"/>
                <w:lang w:bidi="ar"/>
              </w:rPr>
              <w:t>81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44156A4">
            <w:pPr>
              <w:rPr>
                <w:color w:val="auto"/>
                <w:highlight w:val="none"/>
              </w:rPr>
            </w:pPr>
            <w:r>
              <w:rPr>
                <w:rFonts w:hint="eastAsia"/>
                <w:color w:val="auto"/>
                <w:highlight w:val="none"/>
                <w:lang w:bidi="ar"/>
              </w:rPr>
              <w:t>L型杆件挑8M杆件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2C2EBF5">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0EC084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39B1B7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08E926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F67BCB9">
            <w:pPr>
              <w:rPr>
                <w:color w:val="auto"/>
                <w:highlight w:val="none"/>
              </w:rPr>
            </w:pPr>
          </w:p>
        </w:tc>
      </w:tr>
      <w:tr w14:paraId="634A49B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C3E578">
            <w:pPr>
              <w:rPr>
                <w:color w:val="auto"/>
                <w:highlight w:val="none"/>
              </w:rPr>
            </w:pPr>
            <w:r>
              <w:rPr>
                <w:rFonts w:hint="eastAsia"/>
                <w:color w:val="auto"/>
                <w:highlight w:val="none"/>
                <w:lang w:bidi="ar"/>
              </w:rPr>
              <w:t>82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EA3D53C">
            <w:pPr>
              <w:rPr>
                <w:color w:val="auto"/>
                <w:highlight w:val="none"/>
              </w:rPr>
            </w:pPr>
            <w:r>
              <w:rPr>
                <w:rFonts w:hint="eastAsia"/>
                <w:color w:val="auto"/>
                <w:highlight w:val="none"/>
                <w:lang w:bidi="ar"/>
              </w:rPr>
              <w:t>L型杆件挑9M杆件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D38782F">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D8135C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70ECC30">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5EF599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5644FB7">
            <w:pPr>
              <w:rPr>
                <w:color w:val="auto"/>
                <w:highlight w:val="none"/>
              </w:rPr>
            </w:pPr>
          </w:p>
        </w:tc>
      </w:tr>
      <w:tr w14:paraId="447E19D2">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CE58741">
            <w:pPr>
              <w:rPr>
                <w:color w:val="auto"/>
                <w:highlight w:val="none"/>
              </w:rPr>
            </w:pPr>
            <w:r>
              <w:rPr>
                <w:rFonts w:hint="eastAsia"/>
                <w:color w:val="auto"/>
                <w:highlight w:val="none"/>
                <w:lang w:bidi="ar"/>
              </w:rPr>
              <w:t>83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F50D0BC">
            <w:pPr>
              <w:rPr>
                <w:color w:val="auto"/>
                <w:highlight w:val="none"/>
              </w:rPr>
            </w:pPr>
            <w:r>
              <w:rPr>
                <w:rFonts w:hint="eastAsia"/>
                <w:color w:val="auto"/>
                <w:highlight w:val="none"/>
                <w:lang w:bidi="ar"/>
              </w:rPr>
              <w:t>L型杆件挑10M杆件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299D1E8">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1D62630">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5C167D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8AE503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37C6AE5">
            <w:pPr>
              <w:rPr>
                <w:color w:val="auto"/>
                <w:highlight w:val="none"/>
              </w:rPr>
            </w:pPr>
          </w:p>
        </w:tc>
      </w:tr>
      <w:tr w14:paraId="0D58FE21">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4CE5954">
            <w:pPr>
              <w:rPr>
                <w:color w:val="auto"/>
                <w:highlight w:val="none"/>
              </w:rPr>
            </w:pPr>
            <w:r>
              <w:rPr>
                <w:rFonts w:hint="eastAsia"/>
                <w:color w:val="auto"/>
                <w:highlight w:val="none"/>
                <w:lang w:bidi="ar"/>
              </w:rPr>
              <w:t>84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4DE75CA">
            <w:pPr>
              <w:rPr>
                <w:color w:val="auto"/>
                <w:highlight w:val="none"/>
              </w:rPr>
            </w:pPr>
            <w:r>
              <w:rPr>
                <w:rFonts w:hint="eastAsia"/>
                <w:color w:val="auto"/>
                <w:highlight w:val="none"/>
                <w:lang w:bidi="ar"/>
              </w:rPr>
              <w:t>L型杆件挑11M杆件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4E036C9">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643D454">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68A711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3EF409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7,300.00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95A5B5F">
            <w:pPr>
              <w:rPr>
                <w:color w:val="auto"/>
                <w:highlight w:val="none"/>
              </w:rPr>
            </w:pPr>
          </w:p>
        </w:tc>
      </w:tr>
      <w:tr w14:paraId="4185155A">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681BB80">
            <w:pPr>
              <w:rPr>
                <w:color w:val="auto"/>
                <w:highlight w:val="none"/>
              </w:rPr>
            </w:pPr>
            <w:r>
              <w:rPr>
                <w:rFonts w:hint="eastAsia"/>
                <w:color w:val="auto"/>
                <w:highlight w:val="none"/>
                <w:lang w:bidi="ar"/>
              </w:rPr>
              <w:t>85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B8C5A4D">
            <w:pPr>
              <w:rPr>
                <w:color w:val="auto"/>
                <w:highlight w:val="none"/>
              </w:rPr>
            </w:pPr>
            <w:r>
              <w:rPr>
                <w:rFonts w:hint="eastAsia"/>
                <w:color w:val="auto"/>
                <w:highlight w:val="none"/>
                <w:lang w:bidi="ar"/>
              </w:rPr>
              <w:t>L型杆件挑12M杆件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CF589AE">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C09C308">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ABDE30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9EED13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52E0979">
            <w:pPr>
              <w:rPr>
                <w:color w:val="auto"/>
                <w:highlight w:val="none"/>
              </w:rPr>
            </w:pPr>
          </w:p>
        </w:tc>
      </w:tr>
      <w:tr w14:paraId="31D5DB2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80CEE59">
            <w:pPr>
              <w:rPr>
                <w:color w:val="auto"/>
                <w:highlight w:val="none"/>
              </w:rPr>
            </w:pPr>
            <w:r>
              <w:rPr>
                <w:rFonts w:hint="eastAsia"/>
                <w:color w:val="auto"/>
                <w:highlight w:val="none"/>
                <w:lang w:bidi="ar"/>
              </w:rPr>
              <w:t>86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F07544A">
            <w:pPr>
              <w:rPr>
                <w:color w:val="auto"/>
                <w:highlight w:val="none"/>
              </w:rPr>
            </w:pPr>
            <w:r>
              <w:rPr>
                <w:rFonts w:hint="eastAsia"/>
                <w:color w:val="auto"/>
                <w:highlight w:val="none"/>
                <w:lang w:bidi="ar"/>
              </w:rPr>
              <w:t>L型杆件挑13M杆件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8A4121C">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5F9A083">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E650BA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E8C5BB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9A351C6">
            <w:pPr>
              <w:rPr>
                <w:color w:val="auto"/>
                <w:highlight w:val="none"/>
              </w:rPr>
            </w:pPr>
          </w:p>
        </w:tc>
      </w:tr>
      <w:tr w14:paraId="051CB258">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C022762">
            <w:pPr>
              <w:rPr>
                <w:color w:val="auto"/>
                <w:highlight w:val="none"/>
              </w:rPr>
            </w:pPr>
            <w:r>
              <w:rPr>
                <w:rFonts w:hint="eastAsia"/>
                <w:color w:val="auto"/>
                <w:highlight w:val="none"/>
                <w:lang w:bidi="ar"/>
              </w:rPr>
              <w:t>87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29BE8CF">
            <w:pPr>
              <w:rPr>
                <w:color w:val="auto"/>
                <w:highlight w:val="none"/>
              </w:rPr>
            </w:pPr>
            <w:r>
              <w:rPr>
                <w:rFonts w:hint="eastAsia"/>
                <w:color w:val="auto"/>
                <w:highlight w:val="none"/>
                <w:lang w:bidi="ar"/>
              </w:rPr>
              <w:t>L型杆件挑14M杆件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AF5631E">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657E5AA">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356067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A0F433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D76D7DA">
            <w:pPr>
              <w:rPr>
                <w:color w:val="auto"/>
                <w:highlight w:val="none"/>
              </w:rPr>
            </w:pPr>
          </w:p>
        </w:tc>
      </w:tr>
      <w:tr w14:paraId="5AD734E1">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BA9F1EA">
            <w:pPr>
              <w:rPr>
                <w:color w:val="auto"/>
                <w:highlight w:val="none"/>
              </w:rPr>
            </w:pPr>
            <w:r>
              <w:rPr>
                <w:rFonts w:hint="eastAsia"/>
                <w:color w:val="auto"/>
                <w:highlight w:val="none"/>
                <w:lang w:bidi="ar"/>
              </w:rPr>
              <w:t>88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1305D98">
            <w:pPr>
              <w:rPr>
                <w:color w:val="auto"/>
                <w:highlight w:val="none"/>
              </w:rPr>
            </w:pPr>
            <w:r>
              <w:rPr>
                <w:rFonts w:hint="eastAsia"/>
                <w:color w:val="auto"/>
                <w:highlight w:val="none"/>
                <w:lang w:bidi="ar"/>
              </w:rPr>
              <w:t>L型杆件挑15M杆件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BA0103D">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6F2E4E4">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66F570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7E8A6F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10,500.00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5532200">
            <w:pPr>
              <w:rPr>
                <w:color w:val="auto"/>
                <w:highlight w:val="none"/>
              </w:rPr>
            </w:pPr>
          </w:p>
        </w:tc>
      </w:tr>
      <w:tr w14:paraId="6C2AA36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D14FC38">
            <w:pPr>
              <w:rPr>
                <w:color w:val="auto"/>
                <w:highlight w:val="none"/>
              </w:rPr>
            </w:pPr>
            <w:r>
              <w:rPr>
                <w:rFonts w:hint="eastAsia"/>
                <w:color w:val="auto"/>
                <w:highlight w:val="none"/>
                <w:lang w:bidi="ar"/>
              </w:rPr>
              <w:t>89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510F079">
            <w:pPr>
              <w:rPr>
                <w:color w:val="auto"/>
                <w:highlight w:val="none"/>
              </w:rPr>
            </w:pPr>
            <w:r>
              <w:rPr>
                <w:rFonts w:hint="eastAsia"/>
                <w:color w:val="auto"/>
                <w:highlight w:val="none"/>
                <w:lang w:bidi="ar"/>
              </w:rPr>
              <w:t>T型杆件挑5M-8M杆件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215B6B7">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3B0A549">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945004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A477C6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523EFD5">
            <w:pPr>
              <w:rPr>
                <w:color w:val="auto"/>
                <w:highlight w:val="none"/>
              </w:rPr>
            </w:pPr>
          </w:p>
        </w:tc>
      </w:tr>
      <w:tr w14:paraId="63E2AC84">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B01AAE8">
            <w:pPr>
              <w:rPr>
                <w:color w:val="auto"/>
                <w:highlight w:val="none"/>
              </w:rPr>
            </w:pPr>
            <w:r>
              <w:rPr>
                <w:rFonts w:hint="eastAsia"/>
                <w:color w:val="auto"/>
                <w:highlight w:val="none"/>
                <w:lang w:bidi="ar"/>
              </w:rPr>
              <w:t>90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7E959D9">
            <w:pPr>
              <w:rPr>
                <w:color w:val="auto"/>
                <w:highlight w:val="none"/>
              </w:rPr>
            </w:pPr>
            <w:r>
              <w:rPr>
                <w:rFonts w:hint="eastAsia"/>
                <w:color w:val="auto"/>
                <w:highlight w:val="none"/>
                <w:lang w:bidi="ar"/>
              </w:rPr>
              <w:t>T型杆件挑9M-11M杆件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E0B50C1">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F75515E">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B5E0CB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65BC03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E1C41BC">
            <w:pPr>
              <w:rPr>
                <w:color w:val="auto"/>
                <w:highlight w:val="none"/>
              </w:rPr>
            </w:pPr>
          </w:p>
        </w:tc>
      </w:tr>
      <w:tr w14:paraId="6AD75ED0">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B77B846">
            <w:pPr>
              <w:rPr>
                <w:color w:val="auto"/>
                <w:highlight w:val="none"/>
              </w:rPr>
            </w:pPr>
            <w:r>
              <w:rPr>
                <w:rFonts w:hint="eastAsia"/>
                <w:color w:val="auto"/>
                <w:highlight w:val="none"/>
                <w:lang w:bidi="ar"/>
              </w:rPr>
              <w:t>91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0E1D7D6">
            <w:pPr>
              <w:rPr>
                <w:color w:val="auto"/>
                <w:highlight w:val="none"/>
              </w:rPr>
            </w:pPr>
            <w:r>
              <w:rPr>
                <w:rFonts w:hint="eastAsia"/>
                <w:color w:val="auto"/>
                <w:highlight w:val="none"/>
                <w:lang w:bidi="ar"/>
              </w:rPr>
              <w:t>T型杆件挑12M-15M杆件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C6C5A26">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3A1F5D7">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AE0B00A">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DA2E4C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DB23F9D">
            <w:pPr>
              <w:rPr>
                <w:color w:val="auto"/>
                <w:highlight w:val="none"/>
              </w:rPr>
            </w:pPr>
          </w:p>
        </w:tc>
      </w:tr>
      <w:tr w14:paraId="2A27B416">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9380E0B">
            <w:pPr>
              <w:rPr>
                <w:color w:val="auto"/>
                <w:highlight w:val="none"/>
              </w:rPr>
            </w:pPr>
            <w:r>
              <w:rPr>
                <w:rFonts w:hint="eastAsia"/>
                <w:color w:val="auto"/>
                <w:highlight w:val="none"/>
                <w:lang w:bidi="ar"/>
              </w:rPr>
              <w:t>92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A0BC235">
            <w:pPr>
              <w:rPr>
                <w:color w:val="auto"/>
                <w:highlight w:val="none"/>
              </w:rPr>
            </w:pPr>
            <w:r>
              <w:rPr>
                <w:rFonts w:hint="eastAsia"/>
                <w:color w:val="auto"/>
                <w:highlight w:val="none"/>
                <w:lang w:bidi="ar"/>
              </w:rPr>
              <w:t>高空杆件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4737FA2">
            <w:pPr>
              <w:rPr>
                <w:color w:val="auto"/>
                <w:highlight w:val="none"/>
              </w:rPr>
            </w:pPr>
            <w:r>
              <w:rPr>
                <w:rFonts w:hint="eastAsia"/>
                <w:color w:val="auto"/>
                <w:highlight w:val="none"/>
                <w:lang w:bidi="ar"/>
              </w:rPr>
              <w:t>16米高杆（定制）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48314B1">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364DCE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F2DD7F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18,000.00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5EBF4F9A">
            <w:pPr>
              <w:rPr>
                <w:color w:val="auto"/>
                <w:highlight w:val="none"/>
              </w:rPr>
            </w:pPr>
          </w:p>
        </w:tc>
      </w:tr>
      <w:tr w14:paraId="015F6B82">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4038745">
            <w:pPr>
              <w:rPr>
                <w:color w:val="auto"/>
                <w:highlight w:val="none"/>
              </w:rPr>
            </w:pPr>
            <w:r>
              <w:rPr>
                <w:rFonts w:hint="eastAsia"/>
                <w:color w:val="auto"/>
                <w:highlight w:val="none"/>
                <w:lang w:bidi="ar"/>
              </w:rPr>
              <w:t>93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421CC7C">
            <w:pPr>
              <w:rPr>
                <w:color w:val="auto"/>
                <w:highlight w:val="none"/>
              </w:rPr>
            </w:pPr>
            <w:r>
              <w:rPr>
                <w:rFonts w:hint="eastAsia"/>
                <w:color w:val="auto"/>
                <w:highlight w:val="none"/>
                <w:lang w:bidi="ar"/>
              </w:rPr>
              <w:t>杆件吊装</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4D587BD">
            <w:pPr>
              <w:rPr>
                <w:color w:val="auto"/>
                <w:highlight w:val="none"/>
              </w:rPr>
            </w:pPr>
            <w:r>
              <w:rPr>
                <w:rFonts w:hint="eastAsia"/>
                <w:color w:val="auto"/>
                <w:highlight w:val="none"/>
                <w:lang w:bidi="ar"/>
              </w:rPr>
              <w:t>旧杆移位吊装</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BC79CB3">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DD7FE5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299870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028839E">
            <w:pPr>
              <w:rPr>
                <w:color w:val="auto"/>
                <w:highlight w:val="none"/>
              </w:rPr>
            </w:pPr>
          </w:p>
        </w:tc>
      </w:tr>
      <w:tr w14:paraId="1EB38E9D">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F8A07FC">
            <w:pPr>
              <w:rPr>
                <w:color w:val="auto"/>
                <w:highlight w:val="none"/>
              </w:rPr>
            </w:pPr>
            <w:r>
              <w:rPr>
                <w:rFonts w:hint="eastAsia"/>
                <w:color w:val="auto"/>
                <w:highlight w:val="none"/>
                <w:lang w:bidi="ar"/>
              </w:rPr>
              <w:t>94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D6C429D">
            <w:pPr>
              <w:rPr>
                <w:color w:val="auto"/>
                <w:highlight w:val="none"/>
              </w:rPr>
            </w:pPr>
            <w:r>
              <w:rPr>
                <w:rFonts w:hint="eastAsia"/>
                <w:color w:val="auto"/>
                <w:highlight w:val="none"/>
                <w:lang w:bidi="ar"/>
              </w:rPr>
              <w:t>杆件拆除</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EED4100">
            <w:pPr>
              <w:rPr>
                <w:color w:val="auto"/>
                <w:highlight w:val="none"/>
              </w:rPr>
            </w:pPr>
            <w:r>
              <w:rPr>
                <w:rFonts w:hint="eastAsia"/>
                <w:color w:val="auto"/>
                <w:highlight w:val="none"/>
                <w:lang w:bidi="ar"/>
              </w:rPr>
              <w:t>旧杆拆除</w:t>
            </w:r>
          </w:p>
        </w:tc>
        <w:tc>
          <w:tcPr>
            <w:tcW w:w="245" w:type="pct"/>
            <w:tcBorders>
              <w:top w:val="nil"/>
              <w:left w:val="single" w:color="000000" w:sz="8" w:space="0"/>
              <w:bottom w:val="single" w:color="000000" w:sz="8" w:space="0"/>
              <w:right w:val="single" w:color="000000" w:sz="8" w:space="0"/>
            </w:tcBorders>
            <w:shd w:val="clear" w:color="auto" w:fill="auto"/>
            <w:noWrap/>
            <w:vAlign w:val="center"/>
          </w:tcPr>
          <w:p w14:paraId="48B8CFB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noWrap/>
            <w:vAlign w:val="center"/>
          </w:tcPr>
          <w:p w14:paraId="1AB6655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noWrap/>
            <w:vAlign w:val="center"/>
          </w:tcPr>
          <w:p w14:paraId="3DAF31A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250" w:type="pct"/>
            <w:tcBorders>
              <w:top w:val="nil"/>
              <w:left w:val="single" w:color="000000" w:sz="8" w:space="0"/>
              <w:bottom w:val="single" w:color="000000" w:sz="8" w:space="0"/>
              <w:right w:val="single" w:color="000000" w:sz="8" w:space="0"/>
            </w:tcBorders>
            <w:shd w:val="clear" w:color="auto" w:fill="auto"/>
            <w:noWrap/>
            <w:vAlign w:val="center"/>
          </w:tcPr>
          <w:p w14:paraId="1CB7971C">
            <w:pPr>
              <w:rPr>
                <w:color w:val="auto"/>
                <w:highlight w:val="none"/>
              </w:rPr>
            </w:pPr>
          </w:p>
        </w:tc>
      </w:tr>
      <w:tr w14:paraId="194D4CC4">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4ABA99F">
            <w:pPr>
              <w:rPr>
                <w:color w:val="auto"/>
                <w:highlight w:val="none"/>
              </w:rPr>
            </w:pPr>
            <w:r>
              <w:rPr>
                <w:rFonts w:hint="eastAsia"/>
                <w:color w:val="auto"/>
                <w:highlight w:val="none"/>
                <w:lang w:bidi="ar"/>
              </w:rPr>
              <w:t>95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719399D">
            <w:pPr>
              <w:rPr>
                <w:color w:val="auto"/>
                <w:highlight w:val="none"/>
              </w:rPr>
            </w:pPr>
            <w:r>
              <w:rPr>
                <w:rFonts w:hint="eastAsia"/>
                <w:color w:val="auto"/>
                <w:highlight w:val="none"/>
                <w:lang w:bidi="ar"/>
              </w:rPr>
              <w:t>L型杆件挑3M-9M杆件基础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FA5673C">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BE04934">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13B0F0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EB1D96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18C460F">
            <w:pPr>
              <w:rPr>
                <w:color w:val="auto"/>
                <w:highlight w:val="none"/>
              </w:rPr>
            </w:pPr>
          </w:p>
        </w:tc>
      </w:tr>
      <w:tr w14:paraId="01F1600C">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76B5924">
            <w:pPr>
              <w:rPr>
                <w:color w:val="auto"/>
                <w:highlight w:val="none"/>
              </w:rPr>
            </w:pPr>
            <w:r>
              <w:rPr>
                <w:rFonts w:hint="eastAsia"/>
                <w:color w:val="auto"/>
                <w:highlight w:val="none"/>
                <w:lang w:bidi="ar"/>
              </w:rPr>
              <w:t>96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DE8124A">
            <w:pPr>
              <w:rPr>
                <w:color w:val="auto"/>
                <w:highlight w:val="none"/>
              </w:rPr>
            </w:pPr>
            <w:r>
              <w:rPr>
                <w:rFonts w:hint="eastAsia"/>
                <w:color w:val="auto"/>
                <w:highlight w:val="none"/>
                <w:lang w:bidi="ar"/>
              </w:rPr>
              <w:t>L型杆件挑10M-12M杆件基础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FD263B6">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473214B">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5ECFC9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33C78F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5AED45F">
            <w:pPr>
              <w:rPr>
                <w:color w:val="auto"/>
                <w:highlight w:val="none"/>
              </w:rPr>
            </w:pPr>
          </w:p>
        </w:tc>
      </w:tr>
      <w:tr w14:paraId="6D75F93C">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11B8679">
            <w:pPr>
              <w:rPr>
                <w:color w:val="auto"/>
                <w:highlight w:val="none"/>
              </w:rPr>
            </w:pPr>
            <w:r>
              <w:rPr>
                <w:rFonts w:hint="eastAsia"/>
                <w:color w:val="auto"/>
                <w:highlight w:val="none"/>
                <w:lang w:bidi="ar"/>
              </w:rPr>
              <w:t>97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BAABE2F">
            <w:pPr>
              <w:rPr>
                <w:color w:val="auto"/>
                <w:highlight w:val="none"/>
              </w:rPr>
            </w:pPr>
            <w:r>
              <w:rPr>
                <w:rFonts w:hint="eastAsia"/>
                <w:color w:val="auto"/>
                <w:highlight w:val="none"/>
                <w:lang w:bidi="ar"/>
              </w:rPr>
              <w:t>L型杆件挑13M-15M杆件基础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2C6D884">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78DF522">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CE7270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001AF3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6866036">
            <w:pPr>
              <w:rPr>
                <w:color w:val="auto"/>
                <w:highlight w:val="none"/>
              </w:rPr>
            </w:pPr>
          </w:p>
        </w:tc>
      </w:tr>
      <w:tr w14:paraId="7F891065">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C48D385">
            <w:pPr>
              <w:rPr>
                <w:color w:val="auto"/>
                <w:highlight w:val="none"/>
              </w:rPr>
            </w:pPr>
            <w:r>
              <w:rPr>
                <w:rFonts w:hint="eastAsia"/>
                <w:color w:val="auto"/>
                <w:highlight w:val="none"/>
                <w:lang w:bidi="ar"/>
              </w:rPr>
              <w:t>98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9FB88DD">
            <w:pPr>
              <w:rPr>
                <w:color w:val="auto"/>
                <w:highlight w:val="none"/>
              </w:rPr>
            </w:pPr>
            <w:r>
              <w:rPr>
                <w:rFonts w:hint="eastAsia"/>
                <w:color w:val="auto"/>
                <w:highlight w:val="none"/>
                <w:lang w:bidi="ar"/>
              </w:rPr>
              <w:t>T型杆件挑5M-8M杆件基础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62CE9CB">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E184B25">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95CAC6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2012CE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A2D21A6">
            <w:pPr>
              <w:rPr>
                <w:color w:val="auto"/>
                <w:highlight w:val="none"/>
              </w:rPr>
            </w:pPr>
          </w:p>
        </w:tc>
      </w:tr>
      <w:tr w14:paraId="154D047F">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142C225">
            <w:pPr>
              <w:rPr>
                <w:color w:val="auto"/>
                <w:highlight w:val="none"/>
              </w:rPr>
            </w:pPr>
            <w:r>
              <w:rPr>
                <w:rFonts w:hint="eastAsia"/>
                <w:color w:val="auto"/>
                <w:highlight w:val="none"/>
                <w:lang w:bidi="ar"/>
              </w:rPr>
              <w:t>99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1CE4BB0">
            <w:pPr>
              <w:rPr>
                <w:color w:val="auto"/>
                <w:highlight w:val="none"/>
              </w:rPr>
            </w:pPr>
            <w:r>
              <w:rPr>
                <w:rFonts w:hint="eastAsia"/>
                <w:color w:val="auto"/>
                <w:highlight w:val="none"/>
                <w:lang w:bidi="ar"/>
              </w:rPr>
              <w:t>T型杆件挑9M-11M杆件基础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DC9EAC2">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79E57F7">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7441DA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459D33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8DCCC47">
            <w:pPr>
              <w:rPr>
                <w:color w:val="auto"/>
                <w:highlight w:val="none"/>
              </w:rPr>
            </w:pPr>
          </w:p>
        </w:tc>
      </w:tr>
      <w:tr w14:paraId="05DB9326">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D541E96">
            <w:pPr>
              <w:rPr>
                <w:color w:val="auto"/>
                <w:highlight w:val="none"/>
              </w:rPr>
            </w:pPr>
            <w:r>
              <w:rPr>
                <w:rFonts w:hint="eastAsia"/>
                <w:color w:val="auto"/>
                <w:highlight w:val="none"/>
                <w:lang w:bidi="ar"/>
              </w:rPr>
              <w:t>100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463A224">
            <w:pPr>
              <w:rPr>
                <w:color w:val="auto"/>
                <w:highlight w:val="none"/>
              </w:rPr>
            </w:pPr>
            <w:r>
              <w:rPr>
                <w:rFonts w:hint="eastAsia"/>
                <w:color w:val="auto"/>
                <w:highlight w:val="none"/>
                <w:lang w:bidi="ar"/>
              </w:rPr>
              <w:t>T型杆件挑12M-15M杆件基础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612E16C">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9B9A147">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A813C0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540133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EAB29AD">
            <w:pPr>
              <w:rPr>
                <w:color w:val="auto"/>
                <w:highlight w:val="none"/>
              </w:rPr>
            </w:pPr>
          </w:p>
        </w:tc>
      </w:tr>
      <w:tr w14:paraId="3A5408A0">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BBEE93B">
            <w:pPr>
              <w:rPr>
                <w:color w:val="auto"/>
                <w:highlight w:val="none"/>
              </w:rPr>
            </w:pPr>
            <w:r>
              <w:rPr>
                <w:rFonts w:hint="eastAsia"/>
                <w:color w:val="auto"/>
                <w:highlight w:val="none"/>
                <w:lang w:bidi="ar"/>
              </w:rPr>
              <w:t>101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898AFB4">
            <w:pPr>
              <w:rPr>
                <w:color w:val="auto"/>
                <w:highlight w:val="none"/>
              </w:rPr>
            </w:pPr>
            <w:r>
              <w:rPr>
                <w:rFonts w:hint="eastAsia"/>
                <w:color w:val="auto"/>
                <w:highlight w:val="none"/>
                <w:lang w:bidi="ar"/>
              </w:rPr>
              <w:t>诱导屏龙门架基础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DD80CB">
            <w:pPr>
              <w:rPr>
                <w:color w:val="auto"/>
                <w:highlight w:val="none"/>
              </w:rPr>
            </w:pPr>
            <w:r>
              <w:rPr>
                <w:rFonts w:hint="eastAsia"/>
                <w:color w:val="auto"/>
                <w:highlight w:val="none"/>
                <w:lang w:bidi="ar"/>
              </w:rPr>
              <w:t>3400mm*1600mm*1800mm</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2D03672">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66E51D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8DE8DE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6,500.00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85F5191">
            <w:pPr>
              <w:rPr>
                <w:color w:val="auto"/>
                <w:highlight w:val="none"/>
              </w:rPr>
            </w:pPr>
          </w:p>
        </w:tc>
      </w:tr>
      <w:tr w14:paraId="66FF68E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B426262">
            <w:pPr>
              <w:rPr>
                <w:color w:val="auto"/>
                <w:highlight w:val="none"/>
              </w:rPr>
            </w:pPr>
            <w:r>
              <w:rPr>
                <w:rFonts w:hint="eastAsia"/>
                <w:color w:val="auto"/>
                <w:highlight w:val="none"/>
                <w:lang w:bidi="ar"/>
              </w:rPr>
              <w:t>102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AAB0016">
            <w:pPr>
              <w:rPr>
                <w:color w:val="auto"/>
                <w:highlight w:val="none"/>
              </w:rPr>
            </w:pPr>
            <w:r>
              <w:rPr>
                <w:rFonts w:hint="eastAsia"/>
                <w:color w:val="auto"/>
                <w:highlight w:val="none"/>
                <w:lang w:bidi="ar"/>
              </w:rPr>
              <w:t>其他形状基础</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8E7753C">
            <w:pPr>
              <w:rPr>
                <w:color w:val="auto"/>
                <w:highlight w:val="none"/>
              </w:rPr>
            </w:pPr>
            <w:r>
              <w:rPr>
                <w:rFonts w:hint="eastAsia"/>
                <w:color w:val="auto"/>
                <w:highlight w:val="none"/>
                <w:lang w:bidi="ar"/>
              </w:rPr>
              <w:t>根据现场环境定制，按实际立方数计算</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F9009F2">
            <w:pPr>
              <w:rPr>
                <w:color w:val="auto"/>
                <w:highlight w:val="none"/>
              </w:rPr>
            </w:pPr>
            <w:r>
              <w:rPr>
                <w:rFonts w:hint="eastAsia"/>
                <w:color w:val="auto"/>
                <w:highlight w:val="none"/>
                <w:lang w:bidi="ar"/>
              </w:rPr>
              <w:t>立方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749723E">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54C5D4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4D72082">
            <w:pPr>
              <w:rPr>
                <w:color w:val="auto"/>
                <w:highlight w:val="none"/>
              </w:rPr>
            </w:pPr>
          </w:p>
        </w:tc>
      </w:tr>
      <w:tr w14:paraId="52428EA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4D7DEBB">
            <w:pPr>
              <w:rPr>
                <w:color w:val="auto"/>
                <w:highlight w:val="none"/>
              </w:rPr>
            </w:pPr>
            <w:r>
              <w:rPr>
                <w:rFonts w:hint="eastAsia"/>
                <w:color w:val="auto"/>
                <w:highlight w:val="none"/>
                <w:lang w:bidi="ar"/>
              </w:rPr>
              <w:t>103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7369F61">
            <w:pPr>
              <w:rPr>
                <w:color w:val="auto"/>
                <w:highlight w:val="none"/>
              </w:rPr>
            </w:pPr>
            <w:r>
              <w:rPr>
                <w:rFonts w:hint="eastAsia"/>
                <w:color w:val="auto"/>
                <w:highlight w:val="none"/>
                <w:lang w:bidi="ar"/>
              </w:rPr>
              <w:t>3-9M杆件预埋件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5B7210F">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EEB2B44">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8F5C05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F63783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084189B">
            <w:pPr>
              <w:rPr>
                <w:color w:val="auto"/>
                <w:highlight w:val="none"/>
              </w:rPr>
            </w:pPr>
          </w:p>
        </w:tc>
      </w:tr>
      <w:tr w14:paraId="63CC00CB">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DD9CC6">
            <w:pPr>
              <w:rPr>
                <w:color w:val="auto"/>
                <w:highlight w:val="none"/>
              </w:rPr>
            </w:pPr>
            <w:r>
              <w:rPr>
                <w:rFonts w:hint="eastAsia"/>
                <w:color w:val="auto"/>
                <w:highlight w:val="none"/>
                <w:lang w:bidi="ar"/>
              </w:rPr>
              <w:t>104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5B8AA83">
            <w:pPr>
              <w:rPr>
                <w:color w:val="auto"/>
                <w:highlight w:val="none"/>
              </w:rPr>
            </w:pPr>
            <w:r>
              <w:rPr>
                <w:rFonts w:hint="eastAsia"/>
                <w:color w:val="auto"/>
                <w:highlight w:val="none"/>
                <w:lang w:bidi="ar"/>
              </w:rPr>
              <w:t>10-12M杆件预埋件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E145848">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84C7A91">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BEF7E9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B0BBE5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E8E7A47">
            <w:pPr>
              <w:rPr>
                <w:color w:val="auto"/>
                <w:highlight w:val="none"/>
              </w:rPr>
            </w:pPr>
          </w:p>
        </w:tc>
      </w:tr>
      <w:tr w14:paraId="4CE265E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50EC076">
            <w:pPr>
              <w:rPr>
                <w:color w:val="auto"/>
                <w:highlight w:val="none"/>
              </w:rPr>
            </w:pPr>
            <w:r>
              <w:rPr>
                <w:rFonts w:hint="eastAsia"/>
                <w:color w:val="auto"/>
                <w:highlight w:val="none"/>
                <w:lang w:bidi="ar"/>
              </w:rPr>
              <w:t>105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AD5BE15">
            <w:pPr>
              <w:rPr>
                <w:color w:val="auto"/>
                <w:highlight w:val="none"/>
              </w:rPr>
            </w:pPr>
            <w:r>
              <w:rPr>
                <w:rFonts w:hint="eastAsia"/>
                <w:color w:val="auto"/>
                <w:highlight w:val="none"/>
                <w:lang w:bidi="ar"/>
              </w:rPr>
              <w:t>13-15M杆件预埋件</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A040C07">
            <w:pPr>
              <w:rPr>
                <w:color w:val="auto"/>
                <w:highlight w:val="none"/>
              </w:rPr>
            </w:pPr>
            <w:r>
              <w:rPr>
                <w:rFonts w:hint="eastAsia"/>
                <w:color w:val="auto"/>
                <w:highlight w:val="none"/>
                <w:lang w:bidi="ar"/>
              </w:rPr>
              <w:t>定制</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1E7BBFD">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0BA246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4AFB50F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1,700.00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54E091A">
            <w:pPr>
              <w:rPr>
                <w:color w:val="auto"/>
                <w:highlight w:val="none"/>
              </w:rPr>
            </w:pPr>
          </w:p>
        </w:tc>
      </w:tr>
      <w:tr w14:paraId="6EBA513F">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E47F3CB">
            <w:pPr>
              <w:rPr>
                <w:color w:val="auto"/>
                <w:highlight w:val="none"/>
              </w:rPr>
            </w:pPr>
            <w:r>
              <w:rPr>
                <w:rFonts w:hint="eastAsia"/>
                <w:color w:val="auto"/>
                <w:highlight w:val="none"/>
                <w:lang w:bidi="ar"/>
              </w:rPr>
              <w:t>106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E56B4DD">
            <w:pPr>
              <w:rPr>
                <w:color w:val="auto"/>
                <w:highlight w:val="none"/>
              </w:rPr>
            </w:pPr>
            <w:r>
              <w:rPr>
                <w:rFonts w:hint="eastAsia"/>
                <w:color w:val="auto"/>
                <w:highlight w:val="none"/>
                <w:lang w:bidi="ar"/>
              </w:rPr>
              <w:t>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98277EA">
            <w:pPr>
              <w:rPr>
                <w:color w:val="auto"/>
                <w:highlight w:val="none"/>
              </w:rPr>
            </w:pPr>
            <w:r>
              <w:rPr>
                <w:rFonts w:hint="eastAsia"/>
                <w:color w:val="auto"/>
                <w:highlight w:val="none"/>
                <w:lang w:bidi="ar"/>
              </w:rPr>
              <w:t>RVV2*10</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66030BB">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42084C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6517BB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E0450F2">
            <w:pPr>
              <w:rPr>
                <w:color w:val="auto"/>
                <w:highlight w:val="none"/>
              </w:rPr>
            </w:pPr>
          </w:p>
        </w:tc>
      </w:tr>
      <w:tr w14:paraId="62F4221F">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BC7FA90">
            <w:pPr>
              <w:rPr>
                <w:color w:val="auto"/>
                <w:highlight w:val="none"/>
              </w:rPr>
            </w:pPr>
            <w:r>
              <w:rPr>
                <w:rFonts w:hint="eastAsia"/>
                <w:color w:val="auto"/>
                <w:highlight w:val="none"/>
                <w:lang w:bidi="ar"/>
              </w:rPr>
              <w:t>107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EABF461">
            <w:pPr>
              <w:rPr>
                <w:color w:val="auto"/>
                <w:highlight w:val="none"/>
              </w:rPr>
            </w:pPr>
            <w:r>
              <w:rPr>
                <w:rFonts w:hint="eastAsia"/>
                <w:color w:val="auto"/>
                <w:highlight w:val="none"/>
                <w:lang w:bidi="ar"/>
              </w:rPr>
              <w:t>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0B1FF79">
            <w:pPr>
              <w:rPr>
                <w:color w:val="auto"/>
                <w:highlight w:val="none"/>
              </w:rPr>
            </w:pPr>
            <w:r>
              <w:rPr>
                <w:rFonts w:hint="eastAsia"/>
                <w:color w:val="auto"/>
                <w:highlight w:val="none"/>
                <w:lang w:bidi="ar"/>
              </w:rPr>
              <w:t>RVV3*6.0</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3FF6700">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2B3557A">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7C15CC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C323008">
            <w:pPr>
              <w:rPr>
                <w:color w:val="auto"/>
                <w:highlight w:val="none"/>
              </w:rPr>
            </w:pPr>
          </w:p>
        </w:tc>
      </w:tr>
      <w:tr w14:paraId="114788E2">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A5467CC">
            <w:pPr>
              <w:rPr>
                <w:color w:val="auto"/>
                <w:highlight w:val="none"/>
              </w:rPr>
            </w:pPr>
            <w:r>
              <w:rPr>
                <w:rFonts w:hint="eastAsia"/>
                <w:color w:val="auto"/>
                <w:highlight w:val="none"/>
                <w:lang w:bidi="ar"/>
              </w:rPr>
              <w:t>108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84114CD">
            <w:pPr>
              <w:rPr>
                <w:color w:val="auto"/>
                <w:highlight w:val="none"/>
              </w:rPr>
            </w:pPr>
            <w:r>
              <w:rPr>
                <w:rFonts w:hint="eastAsia"/>
                <w:color w:val="auto"/>
                <w:highlight w:val="none"/>
                <w:lang w:bidi="ar"/>
              </w:rPr>
              <w:t>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AC4AF79">
            <w:pPr>
              <w:rPr>
                <w:color w:val="auto"/>
                <w:highlight w:val="none"/>
              </w:rPr>
            </w:pPr>
            <w:r>
              <w:rPr>
                <w:rFonts w:hint="eastAsia"/>
                <w:color w:val="auto"/>
                <w:highlight w:val="none"/>
                <w:lang w:bidi="ar"/>
              </w:rPr>
              <w:t>RVV3*2.5</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072DE33">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C34D508">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7931CA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7.00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3C993FA">
            <w:pPr>
              <w:rPr>
                <w:color w:val="auto"/>
                <w:highlight w:val="none"/>
              </w:rPr>
            </w:pPr>
          </w:p>
        </w:tc>
      </w:tr>
      <w:tr w14:paraId="55855DE3">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8A5CCA1">
            <w:pPr>
              <w:rPr>
                <w:color w:val="auto"/>
                <w:highlight w:val="none"/>
              </w:rPr>
            </w:pPr>
            <w:r>
              <w:rPr>
                <w:rFonts w:hint="eastAsia"/>
                <w:color w:val="auto"/>
                <w:highlight w:val="none"/>
                <w:lang w:bidi="ar"/>
              </w:rPr>
              <w:t>109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90E71AF">
            <w:pPr>
              <w:rPr>
                <w:color w:val="auto"/>
                <w:highlight w:val="none"/>
              </w:rPr>
            </w:pPr>
            <w:r>
              <w:rPr>
                <w:rFonts w:hint="eastAsia"/>
                <w:color w:val="auto"/>
                <w:highlight w:val="none"/>
                <w:lang w:bidi="ar"/>
              </w:rPr>
              <w:t>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1EF42EC">
            <w:pPr>
              <w:rPr>
                <w:color w:val="auto"/>
                <w:highlight w:val="none"/>
              </w:rPr>
            </w:pPr>
            <w:r>
              <w:rPr>
                <w:rFonts w:hint="eastAsia"/>
                <w:color w:val="auto"/>
                <w:highlight w:val="none"/>
                <w:lang w:bidi="ar"/>
              </w:rPr>
              <w:t>RVV3*1.5</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1FE032A">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A143D60">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2B2C77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016E3E1">
            <w:pPr>
              <w:rPr>
                <w:color w:val="auto"/>
                <w:highlight w:val="none"/>
              </w:rPr>
            </w:pPr>
          </w:p>
        </w:tc>
      </w:tr>
      <w:tr w14:paraId="7BFA8A34">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4FCD3A4">
            <w:pPr>
              <w:rPr>
                <w:color w:val="auto"/>
                <w:highlight w:val="none"/>
              </w:rPr>
            </w:pPr>
            <w:r>
              <w:rPr>
                <w:rFonts w:hint="eastAsia"/>
                <w:color w:val="auto"/>
                <w:highlight w:val="none"/>
                <w:lang w:bidi="ar"/>
              </w:rPr>
              <w:t>110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9D519F6">
            <w:pPr>
              <w:rPr>
                <w:color w:val="auto"/>
                <w:highlight w:val="none"/>
              </w:rPr>
            </w:pPr>
            <w:r>
              <w:rPr>
                <w:rFonts w:hint="eastAsia"/>
                <w:color w:val="auto"/>
                <w:highlight w:val="none"/>
                <w:lang w:bidi="ar"/>
              </w:rPr>
              <w:t>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4F1DEED">
            <w:pPr>
              <w:rPr>
                <w:color w:val="auto"/>
                <w:highlight w:val="none"/>
              </w:rPr>
            </w:pPr>
            <w:r>
              <w:rPr>
                <w:rFonts w:hint="eastAsia"/>
                <w:color w:val="auto"/>
                <w:highlight w:val="none"/>
                <w:lang w:bidi="ar"/>
              </w:rPr>
              <w:t>RVV3*1.0</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3A06E1E">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51E3C0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D42DA9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8F8BC27">
            <w:pPr>
              <w:rPr>
                <w:color w:val="auto"/>
                <w:highlight w:val="none"/>
              </w:rPr>
            </w:pPr>
          </w:p>
        </w:tc>
      </w:tr>
      <w:tr w14:paraId="0C75CA8B">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350FEA5">
            <w:pPr>
              <w:rPr>
                <w:color w:val="auto"/>
                <w:highlight w:val="none"/>
              </w:rPr>
            </w:pPr>
            <w:r>
              <w:rPr>
                <w:rFonts w:hint="eastAsia"/>
                <w:color w:val="auto"/>
                <w:highlight w:val="none"/>
                <w:lang w:bidi="ar"/>
              </w:rPr>
              <w:t>111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DD86270">
            <w:pPr>
              <w:rPr>
                <w:color w:val="auto"/>
                <w:highlight w:val="none"/>
              </w:rPr>
            </w:pPr>
            <w:r>
              <w:rPr>
                <w:rFonts w:hint="eastAsia"/>
                <w:color w:val="auto"/>
                <w:highlight w:val="none"/>
                <w:lang w:bidi="ar"/>
              </w:rPr>
              <w:t>服务器电源线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AF879BD">
            <w:pPr>
              <w:rPr>
                <w:color w:val="auto"/>
                <w:highlight w:val="none"/>
              </w:rPr>
            </w:pPr>
            <w:r>
              <w:rPr>
                <w:rFonts w:hint="eastAsia"/>
                <w:color w:val="auto"/>
                <w:highlight w:val="none"/>
                <w:lang w:bidi="ar"/>
              </w:rPr>
              <w:t>10A</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618A727">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76AD3B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F6FD26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5C7C8DC">
            <w:pPr>
              <w:rPr>
                <w:color w:val="auto"/>
                <w:highlight w:val="none"/>
              </w:rPr>
            </w:pPr>
          </w:p>
        </w:tc>
      </w:tr>
      <w:tr w14:paraId="24CA47EB">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1AFDD84">
            <w:pPr>
              <w:rPr>
                <w:color w:val="auto"/>
                <w:highlight w:val="none"/>
              </w:rPr>
            </w:pPr>
            <w:r>
              <w:rPr>
                <w:rFonts w:hint="eastAsia"/>
                <w:color w:val="auto"/>
                <w:highlight w:val="none"/>
                <w:lang w:bidi="ar"/>
              </w:rPr>
              <w:t>112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C9AFB8D">
            <w:pPr>
              <w:rPr>
                <w:color w:val="auto"/>
                <w:highlight w:val="none"/>
              </w:rPr>
            </w:pPr>
            <w:r>
              <w:rPr>
                <w:rFonts w:hint="eastAsia"/>
                <w:color w:val="auto"/>
                <w:highlight w:val="none"/>
                <w:lang w:bidi="ar"/>
              </w:rPr>
              <w:t>服务器电源线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062389C">
            <w:pPr>
              <w:rPr>
                <w:color w:val="auto"/>
                <w:highlight w:val="none"/>
              </w:rPr>
            </w:pPr>
            <w:r>
              <w:rPr>
                <w:rFonts w:hint="eastAsia"/>
                <w:color w:val="auto"/>
                <w:highlight w:val="none"/>
                <w:lang w:bidi="ar"/>
              </w:rPr>
              <w:t>16A</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A580007">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1DE7E9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4FA5A9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44.00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0A9AE4A">
            <w:pPr>
              <w:rPr>
                <w:color w:val="auto"/>
                <w:highlight w:val="none"/>
              </w:rPr>
            </w:pPr>
          </w:p>
        </w:tc>
      </w:tr>
      <w:tr w14:paraId="432DA35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701AF3A">
            <w:pPr>
              <w:rPr>
                <w:color w:val="auto"/>
                <w:highlight w:val="none"/>
              </w:rPr>
            </w:pPr>
            <w:r>
              <w:rPr>
                <w:rFonts w:hint="eastAsia"/>
                <w:color w:val="auto"/>
                <w:highlight w:val="none"/>
                <w:lang w:bidi="ar"/>
              </w:rPr>
              <w:t>113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FCAE696">
            <w:pPr>
              <w:rPr>
                <w:color w:val="auto"/>
                <w:highlight w:val="none"/>
              </w:rPr>
            </w:pPr>
            <w:r>
              <w:rPr>
                <w:rFonts w:hint="eastAsia"/>
                <w:color w:val="auto"/>
                <w:highlight w:val="none"/>
                <w:lang w:bidi="ar"/>
              </w:rPr>
              <w:t>控制线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C89E4BC">
            <w:pPr>
              <w:rPr>
                <w:color w:val="auto"/>
                <w:highlight w:val="none"/>
              </w:rPr>
            </w:pPr>
            <w:r>
              <w:rPr>
                <w:rFonts w:hint="eastAsia"/>
                <w:color w:val="auto"/>
                <w:highlight w:val="none"/>
                <w:lang w:bidi="ar"/>
              </w:rPr>
              <w:t>RVVSP2*1.0mm²</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4EC4787">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AA229A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D42513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3FF2AED">
            <w:pPr>
              <w:rPr>
                <w:color w:val="auto"/>
                <w:highlight w:val="none"/>
              </w:rPr>
            </w:pPr>
          </w:p>
        </w:tc>
      </w:tr>
      <w:tr w14:paraId="2A6B7A77">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36B6BDE">
            <w:pPr>
              <w:rPr>
                <w:color w:val="auto"/>
                <w:highlight w:val="none"/>
              </w:rPr>
            </w:pPr>
            <w:r>
              <w:rPr>
                <w:rFonts w:hint="eastAsia"/>
                <w:color w:val="auto"/>
                <w:highlight w:val="none"/>
                <w:lang w:bidi="ar"/>
              </w:rPr>
              <w:t>114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23F5AB0">
            <w:pPr>
              <w:rPr>
                <w:color w:val="auto"/>
                <w:highlight w:val="none"/>
              </w:rPr>
            </w:pPr>
            <w:r>
              <w:rPr>
                <w:rFonts w:hint="eastAsia"/>
                <w:color w:val="auto"/>
                <w:highlight w:val="none"/>
                <w:lang w:bidi="ar"/>
              </w:rPr>
              <w:t>室外四芯光纤</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1AC0EF6">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020D3C0">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781D5C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F31F8A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F204832">
            <w:pPr>
              <w:rPr>
                <w:color w:val="auto"/>
                <w:highlight w:val="none"/>
              </w:rPr>
            </w:pPr>
          </w:p>
        </w:tc>
      </w:tr>
      <w:tr w14:paraId="4D28758C">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762C4D5">
            <w:pPr>
              <w:rPr>
                <w:color w:val="auto"/>
                <w:highlight w:val="none"/>
              </w:rPr>
            </w:pPr>
            <w:r>
              <w:rPr>
                <w:rFonts w:hint="eastAsia"/>
                <w:color w:val="auto"/>
                <w:highlight w:val="none"/>
                <w:lang w:bidi="ar"/>
              </w:rPr>
              <w:t>115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A0525C0">
            <w:pPr>
              <w:rPr>
                <w:color w:val="auto"/>
                <w:highlight w:val="none"/>
              </w:rPr>
            </w:pPr>
            <w:r>
              <w:rPr>
                <w:rFonts w:hint="eastAsia"/>
                <w:color w:val="auto"/>
                <w:highlight w:val="none"/>
                <w:lang w:bidi="ar"/>
              </w:rPr>
              <w:t>室外超五类网线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95A3BD7">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47E4728">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26DE6C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7D4061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C2506F7">
            <w:pPr>
              <w:rPr>
                <w:color w:val="auto"/>
                <w:highlight w:val="none"/>
              </w:rPr>
            </w:pPr>
          </w:p>
        </w:tc>
      </w:tr>
      <w:tr w14:paraId="1E520C43">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008D4C9">
            <w:pPr>
              <w:rPr>
                <w:color w:val="auto"/>
                <w:highlight w:val="none"/>
              </w:rPr>
            </w:pPr>
            <w:r>
              <w:rPr>
                <w:rFonts w:hint="eastAsia"/>
                <w:color w:val="auto"/>
                <w:highlight w:val="none"/>
                <w:lang w:bidi="ar"/>
              </w:rPr>
              <w:t>116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6D4D370">
            <w:pPr>
              <w:rPr>
                <w:color w:val="auto"/>
                <w:highlight w:val="none"/>
              </w:rPr>
            </w:pPr>
            <w:r>
              <w:rPr>
                <w:rFonts w:hint="eastAsia"/>
                <w:color w:val="auto"/>
                <w:highlight w:val="none"/>
                <w:lang w:bidi="ar"/>
              </w:rPr>
              <w:t>六类网线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26C9DB9">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C50F1EC">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DB908D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13AA78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AB83FA6">
            <w:pPr>
              <w:rPr>
                <w:color w:val="auto"/>
                <w:highlight w:val="none"/>
              </w:rPr>
            </w:pPr>
          </w:p>
        </w:tc>
      </w:tr>
      <w:tr w14:paraId="5264F03E">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ACF193C">
            <w:pPr>
              <w:rPr>
                <w:color w:val="auto"/>
                <w:highlight w:val="none"/>
              </w:rPr>
            </w:pPr>
            <w:r>
              <w:rPr>
                <w:rFonts w:hint="eastAsia"/>
                <w:color w:val="auto"/>
                <w:highlight w:val="none"/>
                <w:lang w:bidi="ar"/>
              </w:rPr>
              <w:t>117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2FCACBB">
            <w:pPr>
              <w:rPr>
                <w:color w:val="auto"/>
                <w:highlight w:val="none"/>
              </w:rPr>
            </w:pPr>
            <w:r>
              <w:rPr>
                <w:rFonts w:hint="eastAsia"/>
                <w:color w:val="auto"/>
                <w:highlight w:val="none"/>
                <w:lang w:bidi="ar"/>
              </w:rPr>
              <w:t>1米光纤跳线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5586E20">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B4855B2">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26A3C9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C2C980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4574A5C">
            <w:pPr>
              <w:rPr>
                <w:color w:val="auto"/>
                <w:highlight w:val="none"/>
              </w:rPr>
            </w:pPr>
          </w:p>
        </w:tc>
      </w:tr>
      <w:tr w14:paraId="4371FDBC">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8A20CEC">
            <w:pPr>
              <w:rPr>
                <w:color w:val="auto"/>
                <w:highlight w:val="none"/>
              </w:rPr>
            </w:pPr>
            <w:r>
              <w:rPr>
                <w:rFonts w:hint="eastAsia"/>
                <w:color w:val="auto"/>
                <w:highlight w:val="none"/>
                <w:lang w:bidi="ar"/>
              </w:rPr>
              <w:t>118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00A9C93">
            <w:pPr>
              <w:rPr>
                <w:color w:val="auto"/>
                <w:highlight w:val="none"/>
              </w:rPr>
            </w:pPr>
            <w:r>
              <w:rPr>
                <w:rFonts w:hint="eastAsia"/>
                <w:color w:val="auto"/>
                <w:highlight w:val="none"/>
                <w:lang w:bidi="ar"/>
              </w:rPr>
              <w:t>3米光纤跳线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911C3B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3B78ED2">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429170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92D9A5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BC8DF8C">
            <w:pPr>
              <w:rPr>
                <w:color w:val="auto"/>
                <w:highlight w:val="none"/>
              </w:rPr>
            </w:pPr>
          </w:p>
        </w:tc>
      </w:tr>
      <w:tr w14:paraId="2CCE46C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50A14BE">
            <w:pPr>
              <w:rPr>
                <w:color w:val="auto"/>
                <w:highlight w:val="none"/>
              </w:rPr>
            </w:pPr>
            <w:r>
              <w:rPr>
                <w:rFonts w:hint="eastAsia"/>
                <w:color w:val="auto"/>
                <w:highlight w:val="none"/>
                <w:lang w:bidi="ar"/>
              </w:rPr>
              <w:t>119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C3F1A4C">
            <w:pPr>
              <w:rPr>
                <w:color w:val="auto"/>
                <w:highlight w:val="none"/>
              </w:rPr>
            </w:pPr>
            <w:r>
              <w:rPr>
                <w:rFonts w:hint="eastAsia"/>
                <w:color w:val="auto"/>
                <w:highlight w:val="none"/>
                <w:lang w:bidi="ar"/>
              </w:rPr>
              <w:t>5米光纤跳线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BA65624">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588FEEA">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2BBEB10">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3EEE7E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EA88CF0">
            <w:pPr>
              <w:rPr>
                <w:color w:val="auto"/>
                <w:highlight w:val="none"/>
              </w:rPr>
            </w:pPr>
          </w:p>
        </w:tc>
      </w:tr>
      <w:tr w14:paraId="4EB301B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7091A7B">
            <w:pPr>
              <w:rPr>
                <w:color w:val="auto"/>
                <w:highlight w:val="none"/>
              </w:rPr>
            </w:pPr>
            <w:r>
              <w:rPr>
                <w:rFonts w:hint="eastAsia"/>
                <w:color w:val="auto"/>
                <w:highlight w:val="none"/>
                <w:lang w:bidi="ar"/>
              </w:rPr>
              <w:t>120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7F39D80">
            <w:pPr>
              <w:rPr>
                <w:color w:val="auto"/>
                <w:highlight w:val="none"/>
              </w:rPr>
            </w:pPr>
            <w:r>
              <w:rPr>
                <w:rFonts w:hint="eastAsia"/>
                <w:color w:val="auto"/>
                <w:highlight w:val="none"/>
                <w:lang w:bidi="ar"/>
              </w:rPr>
              <w:t>10米光纤跳线</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F14C791">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E2204B5">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7FD761A">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99AA50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67301E4">
            <w:pPr>
              <w:rPr>
                <w:color w:val="auto"/>
                <w:highlight w:val="none"/>
              </w:rPr>
            </w:pPr>
          </w:p>
        </w:tc>
      </w:tr>
      <w:tr w14:paraId="012C9D7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FAFC9F2">
            <w:pPr>
              <w:rPr>
                <w:color w:val="auto"/>
                <w:highlight w:val="none"/>
              </w:rPr>
            </w:pPr>
            <w:r>
              <w:rPr>
                <w:rFonts w:hint="eastAsia"/>
                <w:color w:val="auto"/>
                <w:highlight w:val="none"/>
                <w:lang w:bidi="ar"/>
              </w:rPr>
              <w:t>121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8A9303B">
            <w:pPr>
              <w:rPr>
                <w:color w:val="auto"/>
                <w:highlight w:val="none"/>
              </w:rPr>
            </w:pPr>
            <w:r>
              <w:rPr>
                <w:rFonts w:hint="eastAsia"/>
                <w:color w:val="auto"/>
                <w:highlight w:val="none"/>
                <w:lang w:bidi="ar"/>
              </w:rPr>
              <w:t>4口光纤终端盒</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8AEF2F0">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D31827D">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56BAA5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4C6341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BCEC008">
            <w:pPr>
              <w:rPr>
                <w:color w:val="auto"/>
                <w:highlight w:val="none"/>
              </w:rPr>
            </w:pPr>
          </w:p>
        </w:tc>
      </w:tr>
      <w:tr w14:paraId="1B4C5B93">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7B5D2EA">
            <w:pPr>
              <w:rPr>
                <w:color w:val="auto"/>
                <w:highlight w:val="none"/>
              </w:rPr>
            </w:pPr>
            <w:r>
              <w:rPr>
                <w:rFonts w:hint="eastAsia"/>
                <w:color w:val="auto"/>
                <w:highlight w:val="none"/>
                <w:lang w:bidi="ar"/>
              </w:rPr>
              <w:t>122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4D8F862">
            <w:pPr>
              <w:rPr>
                <w:color w:val="auto"/>
                <w:highlight w:val="none"/>
              </w:rPr>
            </w:pPr>
            <w:r>
              <w:rPr>
                <w:rFonts w:hint="eastAsia"/>
                <w:color w:val="auto"/>
                <w:highlight w:val="none"/>
                <w:lang w:bidi="ar"/>
              </w:rPr>
              <w:t>16口机架式光纤盒</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B3BF88A">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FFA8FAF">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01A7DF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26DEF6B">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600.00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D629F08">
            <w:pPr>
              <w:rPr>
                <w:color w:val="auto"/>
                <w:highlight w:val="none"/>
              </w:rPr>
            </w:pPr>
          </w:p>
        </w:tc>
      </w:tr>
      <w:tr w14:paraId="38F34129">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FF587D">
            <w:pPr>
              <w:rPr>
                <w:color w:val="auto"/>
                <w:highlight w:val="none"/>
              </w:rPr>
            </w:pPr>
            <w:r>
              <w:rPr>
                <w:rFonts w:hint="eastAsia"/>
                <w:color w:val="auto"/>
                <w:highlight w:val="none"/>
                <w:lang w:bidi="ar"/>
              </w:rPr>
              <w:t>123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63A6781">
            <w:pPr>
              <w:rPr>
                <w:color w:val="auto"/>
                <w:highlight w:val="none"/>
              </w:rPr>
            </w:pPr>
            <w:r>
              <w:rPr>
                <w:rFonts w:hint="eastAsia"/>
                <w:color w:val="auto"/>
                <w:highlight w:val="none"/>
                <w:lang w:bidi="ar"/>
              </w:rPr>
              <w:t>枪机、灯抱箍</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5E2D3E6">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213684C">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81A117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A577883">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3C74F0B">
            <w:pPr>
              <w:rPr>
                <w:color w:val="auto"/>
                <w:highlight w:val="none"/>
              </w:rPr>
            </w:pPr>
          </w:p>
        </w:tc>
      </w:tr>
      <w:tr w14:paraId="0FF7722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6F9D14D">
            <w:pPr>
              <w:rPr>
                <w:color w:val="auto"/>
                <w:highlight w:val="none"/>
              </w:rPr>
            </w:pPr>
            <w:r>
              <w:rPr>
                <w:rFonts w:hint="eastAsia"/>
                <w:color w:val="auto"/>
                <w:highlight w:val="none"/>
                <w:lang w:bidi="ar"/>
              </w:rPr>
              <w:t>124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7322D86">
            <w:pPr>
              <w:rPr>
                <w:color w:val="auto"/>
                <w:highlight w:val="none"/>
              </w:rPr>
            </w:pPr>
            <w:r>
              <w:rPr>
                <w:rFonts w:hint="eastAsia"/>
                <w:color w:val="auto"/>
                <w:highlight w:val="none"/>
                <w:lang w:bidi="ar"/>
              </w:rPr>
              <w:t>光纤对接法兰</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522A75C">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5C06FFB">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AC59E9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219D791">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1357DF5">
            <w:pPr>
              <w:rPr>
                <w:color w:val="auto"/>
                <w:highlight w:val="none"/>
              </w:rPr>
            </w:pPr>
          </w:p>
        </w:tc>
      </w:tr>
      <w:tr w14:paraId="6ED21557">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D393553">
            <w:pPr>
              <w:rPr>
                <w:color w:val="auto"/>
                <w:highlight w:val="none"/>
              </w:rPr>
            </w:pPr>
            <w:r>
              <w:rPr>
                <w:rFonts w:hint="eastAsia"/>
                <w:color w:val="auto"/>
                <w:highlight w:val="none"/>
                <w:lang w:bidi="ar"/>
              </w:rPr>
              <w:t>125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AF786B5">
            <w:pPr>
              <w:rPr>
                <w:color w:val="auto"/>
                <w:highlight w:val="none"/>
              </w:rPr>
            </w:pPr>
            <w:r>
              <w:rPr>
                <w:rFonts w:hint="eastAsia"/>
                <w:color w:val="auto"/>
                <w:highlight w:val="none"/>
                <w:lang w:bidi="ar"/>
              </w:rPr>
              <w:t>杆件三色防水帽</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C38D8CB">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729F44F">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D42C7F9">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3F4805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8422F68">
            <w:pPr>
              <w:rPr>
                <w:color w:val="auto"/>
                <w:highlight w:val="none"/>
              </w:rPr>
            </w:pPr>
          </w:p>
        </w:tc>
      </w:tr>
      <w:tr w14:paraId="401FF14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87B6987">
            <w:pPr>
              <w:rPr>
                <w:color w:val="auto"/>
                <w:highlight w:val="none"/>
              </w:rPr>
            </w:pPr>
            <w:r>
              <w:rPr>
                <w:rFonts w:hint="eastAsia"/>
                <w:color w:val="auto"/>
                <w:highlight w:val="none"/>
                <w:lang w:bidi="ar"/>
              </w:rPr>
              <w:t>126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3D83224">
            <w:pPr>
              <w:rPr>
                <w:color w:val="auto"/>
                <w:highlight w:val="none"/>
              </w:rPr>
            </w:pPr>
            <w:r>
              <w:rPr>
                <w:rFonts w:hint="eastAsia"/>
                <w:color w:val="auto"/>
                <w:highlight w:val="none"/>
                <w:lang w:bidi="ar"/>
              </w:rPr>
              <w:t>落地机柜锁</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F69E0A5">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84749D5">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83D275B">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92B071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110.00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789BE31">
            <w:pPr>
              <w:rPr>
                <w:color w:val="auto"/>
                <w:highlight w:val="none"/>
              </w:rPr>
            </w:pPr>
          </w:p>
        </w:tc>
      </w:tr>
      <w:tr w14:paraId="72D303E8">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3B3D1B8">
            <w:pPr>
              <w:rPr>
                <w:color w:val="auto"/>
                <w:highlight w:val="none"/>
              </w:rPr>
            </w:pPr>
            <w:r>
              <w:rPr>
                <w:rFonts w:hint="eastAsia"/>
                <w:color w:val="auto"/>
                <w:highlight w:val="none"/>
                <w:lang w:bidi="ar"/>
              </w:rPr>
              <w:t>127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4AFC2D0">
            <w:pPr>
              <w:rPr>
                <w:color w:val="auto"/>
                <w:highlight w:val="none"/>
              </w:rPr>
            </w:pPr>
            <w:r>
              <w:rPr>
                <w:rFonts w:hint="eastAsia"/>
                <w:color w:val="auto"/>
                <w:highlight w:val="none"/>
                <w:lang w:bidi="ar"/>
              </w:rPr>
              <w:t>1P空气开关10A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51174576">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03CA5B8">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FA9F8A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7A5C07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12.00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1ECED9F">
            <w:pPr>
              <w:rPr>
                <w:color w:val="auto"/>
                <w:highlight w:val="none"/>
              </w:rPr>
            </w:pPr>
          </w:p>
        </w:tc>
      </w:tr>
      <w:tr w14:paraId="061CE6AC">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0A859EC">
            <w:pPr>
              <w:rPr>
                <w:color w:val="auto"/>
                <w:highlight w:val="none"/>
              </w:rPr>
            </w:pPr>
            <w:r>
              <w:rPr>
                <w:rFonts w:hint="eastAsia"/>
                <w:color w:val="auto"/>
                <w:highlight w:val="none"/>
                <w:lang w:bidi="ar"/>
              </w:rPr>
              <w:t>128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1AFD213">
            <w:pPr>
              <w:rPr>
                <w:color w:val="auto"/>
                <w:highlight w:val="none"/>
              </w:rPr>
            </w:pPr>
            <w:r>
              <w:rPr>
                <w:rFonts w:hint="eastAsia"/>
                <w:color w:val="auto"/>
                <w:highlight w:val="none"/>
                <w:lang w:bidi="ar"/>
              </w:rPr>
              <w:t>2P空气开关15A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C43340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59A42574">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DEF688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EF8E1FF">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24.00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4C26308">
            <w:pPr>
              <w:rPr>
                <w:color w:val="auto"/>
                <w:highlight w:val="none"/>
              </w:rPr>
            </w:pPr>
          </w:p>
        </w:tc>
      </w:tr>
      <w:tr w14:paraId="17E5048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140C568B">
            <w:pPr>
              <w:rPr>
                <w:color w:val="auto"/>
                <w:highlight w:val="none"/>
              </w:rPr>
            </w:pPr>
            <w:r>
              <w:rPr>
                <w:rFonts w:hint="eastAsia"/>
                <w:color w:val="auto"/>
                <w:highlight w:val="none"/>
                <w:lang w:bidi="ar"/>
              </w:rPr>
              <w:t>129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F2967AB">
            <w:pPr>
              <w:rPr>
                <w:color w:val="auto"/>
                <w:highlight w:val="none"/>
              </w:rPr>
            </w:pPr>
            <w:r>
              <w:rPr>
                <w:rFonts w:hint="eastAsia"/>
                <w:color w:val="auto"/>
                <w:highlight w:val="none"/>
                <w:lang w:bidi="ar"/>
              </w:rPr>
              <w:t>2P空气开关25A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89C8B93">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8FAF8BD">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A0B309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612C41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26.00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CDFA7C1">
            <w:pPr>
              <w:rPr>
                <w:color w:val="auto"/>
                <w:highlight w:val="none"/>
              </w:rPr>
            </w:pPr>
          </w:p>
        </w:tc>
      </w:tr>
      <w:tr w14:paraId="530AE6CC">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E07826A">
            <w:pPr>
              <w:rPr>
                <w:color w:val="auto"/>
                <w:highlight w:val="none"/>
              </w:rPr>
            </w:pPr>
            <w:r>
              <w:rPr>
                <w:rFonts w:hint="eastAsia"/>
                <w:color w:val="auto"/>
                <w:highlight w:val="none"/>
                <w:lang w:bidi="ar"/>
              </w:rPr>
              <w:t>130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B98F18E">
            <w:pPr>
              <w:rPr>
                <w:color w:val="auto"/>
                <w:highlight w:val="none"/>
              </w:rPr>
            </w:pPr>
            <w:r>
              <w:rPr>
                <w:rFonts w:hint="eastAsia"/>
                <w:color w:val="auto"/>
                <w:highlight w:val="none"/>
                <w:lang w:bidi="ar"/>
              </w:rPr>
              <w:t>2P空气开关32A</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0FD260D">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817100F">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F5F4137">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D90AD1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083A953">
            <w:pPr>
              <w:rPr>
                <w:color w:val="auto"/>
                <w:highlight w:val="none"/>
              </w:rPr>
            </w:pPr>
          </w:p>
        </w:tc>
      </w:tr>
      <w:tr w14:paraId="14F79B46">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1D3C203">
            <w:pPr>
              <w:rPr>
                <w:color w:val="auto"/>
                <w:highlight w:val="none"/>
              </w:rPr>
            </w:pPr>
            <w:r>
              <w:rPr>
                <w:rFonts w:hint="eastAsia"/>
                <w:color w:val="auto"/>
                <w:highlight w:val="none"/>
                <w:lang w:bidi="ar"/>
              </w:rPr>
              <w:t>131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DFDD0C3">
            <w:pPr>
              <w:rPr>
                <w:color w:val="auto"/>
                <w:highlight w:val="none"/>
              </w:rPr>
            </w:pPr>
            <w:r>
              <w:rPr>
                <w:rFonts w:hint="eastAsia"/>
                <w:color w:val="auto"/>
                <w:highlight w:val="none"/>
                <w:lang w:bidi="ar"/>
              </w:rPr>
              <w:t>落地机柜风扇</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D9E197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EB107BE">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26EDE20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D8D5F09">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3FCC18EC">
            <w:pPr>
              <w:rPr>
                <w:color w:val="auto"/>
                <w:highlight w:val="none"/>
              </w:rPr>
            </w:pPr>
          </w:p>
        </w:tc>
      </w:tr>
      <w:tr w14:paraId="4F496DEA">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76E97DF">
            <w:pPr>
              <w:rPr>
                <w:color w:val="auto"/>
                <w:highlight w:val="none"/>
              </w:rPr>
            </w:pPr>
            <w:r>
              <w:rPr>
                <w:rFonts w:hint="eastAsia"/>
                <w:color w:val="auto"/>
                <w:highlight w:val="none"/>
                <w:lang w:bidi="ar"/>
              </w:rPr>
              <w:t>132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FCD293B">
            <w:pPr>
              <w:rPr>
                <w:color w:val="auto"/>
                <w:highlight w:val="none"/>
              </w:rPr>
            </w:pPr>
            <w:r>
              <w:rPr>
                <w:rFonts w:hint="eastAsia"/>
                <w:color w:val="auto"/>
                <w:highlight w:val="none"/>
                <w:lang w:bidi="ar"/>
              </w:rPr>
              <w:t>多功能插线板（8位三插）</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18006ED">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B42FBDA">
            <w:pPr>
              <w:rPr>
                <w:color w:val="auto"/>
                <w:highlight w:val="none"/>
              </w:rPr>
            </w:pPr>
            <w:r>
              <w:rPr>
                <w:rFonts w:hint="eastAsia"/>
                <w:color w:val="auto"/>
                <w:highlight w:val="none"/>
                <w:lang w:bidi="ar"/>
              </w:rPr>
              <w:t>个</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0B96D4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844BE4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118.00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452682A">
            <w:pPr>
              <w:rPr>
                <w:color w:val="auto"/>
                <w:highlight w:val="none"/>
              </w:rPr>
            </w:pPr>
          </w:p>
        </w:tc>
      </w:tr>
      <w:tr w14:paraId="45A8B743">
        <w:tblPrEx>
          <w:tblCellMar>
            <w:top w:w="0" w:type="dxa"/>
            <w:left w:w="108" w:type="dxa"/>
            <w:bottom w:w="0" w:type="dxa"/>
            <w:right w:w="108" w:type="dxa"/>
          </w:tblCellMar>
        </w:tblPrEx>
        <w:trPr>
          <w:trHeight w:val="73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44BA69C">
            <w:pPr>
              <w:rPr>
                <w:color w:val="auto"/>
                <w:highlight w:val="none"/>
              </w:rPr>
            </w:pPr>
            <w:r>
              <w:rPr>
                <w:rFonts w:hint="eastAsia"/>
                <w:color w:val="auto"/>
                <w:highlight w:val="none"/>
                <w:lang w:bidi="ar"/>
              </w:rPr>
              <w:t>133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A5B4EC8">
            <w:pPr>
              <w:rPr>
                <w:color w:val="auto"/>
                <w:highlight w:val="none"/>
              </w:rPr>
            </w:pPr>
            <w:r>
              <w:rPr>
                <w:rFonts w:hint="eastAsia"/>
                <w:color w:val="auto"/>
                <w:highlight w:val="none"/>
                <w:lang w:bidi="ar"/>
              </w:rPr>
              <w:t>LC-FC光纤跳线10米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19A989">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56B8054">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C7C593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EAB0C9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E3DDD1F">
            <w:pPr>
              <w:rPr>
                <w:color w:val="auto"/>
                <w:highlight w:val="none"/>
              </w:rPr>
            </w:pPr>
          </w:p>
        </w:tc>
      </w:tr>
      <w:tr w14:paraId="09F5ECC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ED82FD1">
            <w:pPr>
              <w:rPr>
                <w:color w:val="auto"/>
                <w:highlight w:val="none"/>
              </w:rPr>
            </w:pPr>
            <w:r>
              <w:rPr>
                <w:rFonts w:hint="eastAsia"/>
                <w:color w:val="auto"/>
                <w:highlight w:val="none"/>
                <w:lang w:bidi="ar"/>
              </w:rPr>
              <w:t>134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1A61141">
            <w:pPr>
              <w:rPr>
                <w:color w:val="auto"/>
                <w:highlight w:val="none"/>
              </w:rPr>
            </w:pPr>
            <w:r>
              <w:rPr>
                <w:rFonts w:hint="eastAsia"/>
                <w:color w:val="auto"/>
                <w:highlight w:val="none"/>
                <w:lang w:bidi="ar"/>
              </w:rPr>
              <w:t>LC-FC光纤跳线15米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DD01CBD">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6AB56B2">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62DFCF8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0F3A052">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5008FA2">
            <w:pPr>
              <w:rPr>
                <w:color w:val="auto"/>
                <w:highlight w:val="none"/>
              </w:rPr>
            </w:pPr>
          </w:p>
        </w:tc>
      </w:tr>
      <w:tr w14:paraId="4593F69F">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AE49EDE">
            <w:pPr>
              <w:rPr>
                <w:color w:val="auto"/>
                <w:highlight w:val="none"/>
              </w:rPr>
            </w:pPr>
            <w:r>
              <w:rPr>
                <w:rFonts w:hint="eastAsia"/>
                <w:color w:val="auto"/>
                <w:highlight w:val="none"/>
                <w:lang w:bidi="ar"/>
              </w:rPr>
              <w:t>135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959128D">
            <w:pPr>
              <w:rPr>
                <w:color w:val="auto"/>
                <w:highlight w:val="none"/>
              </w:rPr>
            </w:pPr>
            <w:r>
              <w:rPr>
                <w:rFonts w:hint="eastAsia"/>
                <w:color w:val="auto"/>
                <w:highlight w:val="none"/>
                <w:lang w:bidi="ar"/>
              </w:rPr>
              <w:t>LC-SC光纤跳线10米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4224A63F">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4C317CBD">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6688D0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7EC6B8E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C9A98C3">
            <w:pPr>
              <w:rPr>
                <w:color w:val="auto"/>
                <w:highlight w:val="none"/>
              </w:rPr>
            </w:pPr>
          </w:p>
        </w:tc>
      </w:tr>
      <w:tr w14:paraId="736FA40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1F06F4A">
            <w:pPr>
              <w:rPr>
                <w:color w:val="auto"/>
                <w:highlight w:val="none"/>
              </w:rPr>
            </w:pPr>
            <w:r>
              <w:rPr>
                <w:rFonts w:hint="eastAsia"/>
                <w:color w:val="auto"/>
                <w:highlight w:val="none"/>
                <w:lang w:bidi="ar"/>
              </w:rPr>
              <w:t>136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B3479C5">
            <w:pPr>
              <w:rPr>
                <w:color w:val="auto"/>
                <w:highlight w:val="none"/>
              </w:rPr>
            </w:pPr>
            <w:r>
              <w:rPr>
                <w:rFonts w:hint="eastAsia"/>
                <w:color w:val="auto"/>
                <w:highlight w:val="none"/>
                <w:lang w:bidi="ar"/>
              </w:rPr>
              <w:t>LC-SC光纤跳线15米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BBE0097">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2787408">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BE96FB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66A04F0">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0B668EB8">
            <w:pPr>
              <w:rPr>
                <w:color w:val="auto"/>
                <w:highlight w:val="none"/>
              </w:rPr>
            </w:pPr>
          </w:p>
        </w:tc>
      </w:tr>
      <w:tr w14:paraId="4C06DBA4">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BDBEE66">
            <w:pPr>
              <w:rPr>
                <w:color w:val="auto"/>
                <w:highlight w:val="none"/>
              </w:rPr>
            </w:pPr>
            <w:r>
              <w:rPr>
                <w:rFonts w:hint="eastAsia"/>
                <w:color w:val="auto"/>
                <w:highlight w:val="none"/>
                <w:lang w:bidi="ar"/>
              </w:rPr>
              <w:t>137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29DBFE87">
            <w:pPr>
              <w:rPr>
                <w:color w:val="auto"/>
                <w:highlight w:val="none"/>
              </w:rPr>
            </w:pPr>
            <w:r>
              <w:rPr>
                <w:rFonts w:hint="eastAsia"/>
                <w:color w:val="auto"/>
                <w:highlight w:val="none"/>
                <w:lang w:bidi="ar"/>
              </w:rPr>
              <w:t>LC-LC光纤跳线10米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197E1914">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AAF530F">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659EAA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5913CEE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85985E3">
            <w:pPr>
              <w:rPr>
                <w:color w:val="auto"/>
                <w:highlight w:val="none"/>
              </w:rPr>
            </w:pPr>
          </w:p>
        </w:tc>
      </w:tr>
      <w:tr w14:paraId="555CDF1E">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502F16C">
            <w:pPr>
              <w:rPr>
                <w:color w:val="auto"/>
                <w:highlight w:val="none"/>
              </w:rPr>
            </w:pPr>
            <w:r>
              <w:rPr>
                <w:rFonts w:hint="eastAsia"/>
                <w:color w:val="auto"/>
                <w:highlight w:val="none"/>
                <w:lang w:bidi="ar"/>
              </w:rPr>
              <w:t>138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E13DD75">
            <w:pPr>
              <w:rPr>
                <w:color w:val="auto"/>
                <w:highlight w:val="none"/>
              </w:rPr>
            </w:pPr>
            <w:r>
              <w:rPr>
                <w:rFonts w:hint="eastAsia"/>
                <w:color w:val="auto"/>
                <w:highlight w:val="none"/>
                <w:lang w:bidi="ar"/>
              </w:rPr>
              <w:t>LC-LC光纤跳线15米</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52989F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62B7780">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F793880">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4BCA37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30.00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9F48EA7">
            <w:pPr>
              <w:rPr>
                <w:color w:val="auto"/>
                <w:highlight w:val="none"/>
              </w:rPr>
            </w:pPr>
          </w:p>
        </w:tc>
      </w:tr>
      <w:tr w14:paraId="49B6DE6D">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6D30C267">
            <w:pPr>
              <w:rPr>
                <w:color w:val="auto"/>
                <w:highlight w:val="none"/>
              </w:rPr>
            </w:pPr>
            <w:r>
              <w:rPr>
                <w:rFonts w:hint="eastAsia"/>
                <w:color w:val="auto"/>
                <w:highlight w:val="none"/>
                <w:lang w:bidi="ar"/>
              </w:rPr>
              <w:t>139</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E6A30DC">
            <w:pPr>
              <w:rPr>
                <w:color w:val="auto"/>
                <w:highlight w:val="none"/>
              </w:rPr>
            </w:pPr>
            <w:r>
              <w:rPr>
                <w:rFonts w:hint="eastAsia"/>
                <w:color w:val="auto"/>
                <w:highlight w:val="none"/>
                <w:lang w:bidi="ar"/>
              </w:rPr>
              <w:t>光纤熔接费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6A0D7743">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208294F">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DE73D91">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A0CD076">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464CB680">
            <w:pPr>
              <w:rPr>
                <w:color w:val="auto"/>
                <w:highlight w:val="none"/>
              </w:rPr>
            </w:pPr>
          </w:p>
        </w:tc>
      </w:tr>
      <w:tr w14:paraId="3E231D7A">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0A33177">
            <w:pPr>
              <w:rPr>
                <w:color w:val="auto"/>
                <w:highlight w:val="none"/>
              </w:rPr>
            </w:pPr>
            <w:r>
              <w:rPr>
                <w:rFonts w:hint="eastAsia"/>
                <w:color w:val="auto"/>
                <w:highlight w:val="none"/>
                <w:lang w:bidi="ar"/>
              </w:rPr>
              <w:t>140</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7A7A7297">
            <w:pPr>
              <w:rPr>
                <w:color w:val="auto"/>
                <w:highlight w:val="none"/>
              </w:rPr>
            </w:pPr>
            <w:r>
              <w:rPr>
                <w:rFonts w:hint="eastAsia"/>
                <w:color w:val="auto"/>
                <w:highlight w:val="none"/>
                <w:lang w:bidi="ar"/>
              </w:rPr>
              <w:t>电表箱（含电表）</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5C10AF0">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38E9ACC">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787BC9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07B097D">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832.00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CBBDFD7">
            <w:pPr>
              <w:rPr>
                <w:color w:val="auto"/>
                <w:highlight w:val="none"/>
              </w:rPr>
            </w:pPr>
          </w:p>
        </w:tc>
      </w:tr>
      <w:tr w14:paraId="74B0E09A">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085DAB4F">
            <w:pPr>
              <w:rPr>
                <w:color w:val="auto"/>
                <w:highlight w:val="none"/>
              </w:rPr>
            </w:pPr>
            <w:r>
              <w:rPr>
                <w:rFonts w:hint="eastAsia"/>
                <w:color w:val="auto"/>
                <w:highlight w:val="none"/>
                <w:lang w:bidi="ar"/>
              </w:rPr>
              <w:t>141</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6DB8A343">
            <w:pPr>
              <w:rPr>
                <w:color w:val="auto"/>
                <w:highlight w:val="none"/>
              </w:rPr>
            </w:pPr>
            <w:r>
              <w:rPr>
                <w:rFonts w:hint="eastAsia"/>
                <w:color w:val="auto"/>
                <w:highlight w:val="none"/>
                <w:lang w:bidi="ar"/>
              </w:rPr>
              <w:t>电表空箱</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B95152E">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8A7AD5D">
            <w:pPr>
              <w:rPr>
                <w:color w:val="auto"/>
                <w:highlight w:val="none"/>
              </w:rPr>
            </w:pPr>
            <w:r>
              <w:rPr>
                <w:rFonts w:hint="eastAsia"/>
                <w:color w:val="auto"/>
                <w:highlight w:val="none"/>
                <w:lang w:bidi="ar"/>
              </w:rPr>
              <w:t>套</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0F2BDB2">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3734E8C">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450.00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1AFAAAD">
            <w:pPr>
              <w:rPr>
                <w:color w:val="auto"/>
                <w:highlight w:val="none"/>
              </w:rPr>
            </w:pPr>
          </w:p>
        </w:tc>
      </w:tr>
      <w:tr w14:paraId="26534B91">
        <w:tblPrEx>
          <w:tblCellMar>
            <w:top w:w="0" w:type="dxa"/>
            <w:left w:w="108" w:type="dxa"/>
            <w:bottom w:w="0" w:type="dxa"/>
            <w:right w:w="108" w:type="dxa"/>
          </w:tblCellMar>
        </w:tblPrEx>
        <w:trPr>
          <w:trHeight w:val="270"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10D66D5">
            <w:pPr>
              <w:rPr>
                <w:color w:val="auto"/>
                <w:sz w:val="20"/>
                <w:szCs w:val="20"/>
                <w:highlight w:val="none"/>
              </w:rPr>
            </w:pPr>
            <w:r>
              <w:rPr>
                <w:rFonts w:hint="eastAsia"/>
                <w:color w:val="auto"/>
                <w:highlight w:val="none"/>
                <w:lang w:bidi="ar"/>
              </w:rPr>
              <w:t>142</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5A1B638F">
            <w:pPr>
              <w:rPr>
                <w:color w:val="auto"/>
                <w:highlight w:val="none"/>
              </w:rPr>
            </w:pPr>
            <w:r>
              <w:rPr>
                <w:rFonts w:hint="eastAsia"/>
                <w:color w:val="auto"/>
                <w:highlight w:val="none"/>
                <w:lang w:bidi="ar"/>
              </w:rPr>
              <w:t>接地角铁50*50*2500</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79AD8897">
            <w:pPr>
              <w:rPr>
                <w:color w:val="auto"/>
                <w:highlight w:val="none"/>
              </w:rPr>
            </w:pPr>
            <w:r>
              <w:rPr>
                <w:rFonts w:hint="eastAsia"/>
                <w:color w:val="auto"/>
                <w:highlight w:val="none"/>
                <w:lang w:bidi="ar"/>
              </w:rPr>
              <w:t>符合要求</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358BEA8A">
            <w:pPr>
              <w:rPr>
                <w:color w:val="auto"/>
                <w:highlight w:val="none"/>
              </w:rPr>
            </w:pPr>
            <w:r>
              <w:rPr>
                <w:rFonts w:hint="eastAsia"/>
                <w:color w:val="auto"/>
                <w:highlight w:val="none"/>
                <w:lang w:bidi="ar"/>
              </w:rPr>
              <w:t>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3C199A1D">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D243CE4">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135.00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7470ED0">
            <w:pPr>
              <w:rPr>
                <w:color w:val="auto"/>
                <w:highlight w:val="none"/>
              </w:rPr>
            </w:pPr>
          </w:p>
        </w:tc>
      </w:tr>
      <w:tr w14:paraId="4976C04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3B9D3F60">
            <w:pPr>
              <w:rPr>
                <w:color w:val="auto"/>
                <w:sz w:val="20"/>
                <w:szCs w:val="20"/>
                <w:highlight w:val="none"/>
              </w:rPr>
            </w:pPr>
            <w:r>
              <w:rPr>
                <w:rFonts w:hint="eastAsia"/>
                <w:color w:val="auto"/>
                <w:highlight w:val="none"/>
                <w:lang w:bidi="ar"/>
              </w:rPr>
              <w:t>143</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362861A4">
            <w:pPr>
              <w:rPr>
                <w:color w:val="auto"/>
                <w:highlight w:val="none"/>
              </w:rPr>
            </w:pPr>
            <w:r>
              <w:rPr>
                <w:rFonts w:hint="eastAsia"/>
                <w:color w:val="auto"/>
                <w:highlight w:val="none"/>
                <w:lang w:bidi="ar"/>
              </w:rPr>
              <w:t>抓拍式相机安装调试费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3F9C2AB6">
            <w:pPr>
              <w:rPr>
                <w:color w:val="auto"/>
                <w:highlight w:val="none"/>
              </w:rPr>
            </w:pPr>
            <w:r>
              <w:rPr>
                <w:rFonts w:hint="eastAsia"/>
                <w:color w:val="auto"/>
                <w:highlight w:val="none"/>
                <w:lang w:bidi="ar"/>
              </w:rPr>
              <w:t>原抓拍式相机移位安装、调试等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221B44F5">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11BFC515">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64FDAEFA">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9CC25E3">
            <w:pPr>
              <w:rPr>
                <w:color w:val="auto"/>
                <w:highlight w:val="none"/>
              </w:rPr>
            </w:pPr>
          </w:p>
        </w:tc>
      </w:tr>
      <w:tr w14:paraId="37C65F05">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509FDA2">
            <w:pPr>
              <w:rPr>
                <w:color w:val="auto"/>
                <w:sz w:val="20"/>
                <w:szCs w:val="20"/>
                <w:highlight w:val="none"/>
              </w:rPr>
            </w:pPr>
            <w:r>
              <w:rPr>
                <w:rFonts w:hint="eastAsia"/>
                <w:color w:val="auto"/>
                <w:highlight w:val="none"/>
                <w:lang w:bidi="ar"/>
              </w:rPr>
              <w:t>144</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598F957">
            <w:pPr>
              <w:rPr>
                <w:color w:val="auto"/>
                <w:highlight w:val="none"/>
              </w:rPr>
            </w:pPr>
            <w:r>
              <w:rPr>
                <w:rFonts w:hint="eastAsia"/>
                <w:color w:val="auto"/>
                <w:highlight w:val="none"/>
                <w:lang w:bidi="ar"/>
              </w:rPr>
              <w:t>球式相机安装调试费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AB8995B">
            <w:pPr>
              <w:rPr>
                <w:color w:val="auto"/>
                <w:highlight w:val="none"/>
              </w:rPr>
            </w:pPr>
            <w:r>
              <w:rPr>
                <w:rFonts w:hint="eastAsia"/>
                <w:color w:val="auto"/>
                <w:highlight w:val="none"/>
                <w:lang w:bidi="ar"/>
              </w:rPr>
              <w:t>原制球式移位安装、调试等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202B953">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27D8CA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3518FA7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284D8DD4">
            <w:pPr>
              <w:rPr>
                <w:color w:val="auto"/>
                <w:highlight w:val="none"/>
              </w:rPr>
            </w:pPr>
          </w:p>
        </w:tc>
      </w:tr>
      <w:tr w14:paraId="0E8CD3A3">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5D0E5326">
            <w:pPr>
              <w:rPr>
                <w:color w:val="auto"/>
                <w:sz w:val="20"/>
                <w:szCs w:val="20"/>
                <w:highlight w:val="none"/>
              </w:rPr>
            </w:pPr>
            <w:r>
              <w:rPr>
                <w:rFonts w:hint="eastAsia"/>
                <w:color w:val="auto"/>
                <w:highlight w:val="none"/>
                <w:lang w:bidi="ar"/>
              </w:rPr>
              <w:t>145</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197515DC">
            <w:pPr>
              <w:rPr>
                <w:color w:val="auto"/>
                <w:highlight w:val="none"/>
              </w:rPr>
            </w:pPr>
            <w:r>
              <w:rPr>
                <w:rFonts w:hint="eastAsia"/>
                <w:color w:val="auto"/>
                <w:highlight w:val="none"/>
                <w:lang w:bidi="ar"/>
              </w:rPr>
              <w:t>制高点相机调试费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421E6D0">
            <w:pPr>
              <w:rPr>
                <w:color w:val="auto"/>
                <w:highlight w:val="none"/>
              </w:rPr>
            </w:pPr>
            <w:r>
              <w:rPr>
                <w:rFonts w:hint="eastAsia"/>
                <w:color w:val="auto"/>
                <w:highlight w:val="none"/>
                <w:lang w:bidi="ar"/>
              </w:rPr>
              <w:t>原制高点相机移位安装、调试等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6793CA4D">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4E663153">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897ADAE">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6992699">
            <w:pPr>
              <w:rPr>
                <w:color w:val="auto"/>
                <w:highlight w:val="none"/>
              </w:rPr>
            </w:pPr>
          </w:p>
        </w:tc>
      </w:tr>
      <w:tr w14:paraId="71771647">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47E4DC5B">
            <w:pPr>
              <w:rPr>
                <w:color w:val="auto"/>
                <w:sz w:val="20"/>
                <w:szCs w:val="20"/>
                <w:highlight w:val="none"/>
              </w:rPr>
            </w:pPr>
            <w:r>
              <w:rPr>
                <w:rFonts w:hint="eastAsia"/>
                <w:color w:val="auto"/>
                <w:highlight w:val="none"/>
                <w:lang w:bidi="ar"/>
              </w:rPr>
              <w:t>146</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B1B9D4A">
            <w:pPr>
              <w:rPr>
                <w:color w:val="auto"/>
                <w:highlight w:val="none"/>
              </w:rPr>
            </w:pPr>
            <w:r>
              <w:rPr>
                <w:rFonts w:hint="eastAsia"/>
                <w:color w:val="auto"/>
                <w:highlight w:val="none"/>
                <w:lang w:bidi="ar"/>
              </w:rPr>
              <w:t>枪球联动摄像机调试费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EC432C5">
            <w:pPr>
              <w:rPr>
                <w:color w:val="auto"/>
                <w:highlight w:val="none"/>
              </w:rPr>
            </w:pPr>
            <w:r>
              <w:rPr>
                <w:rFonts w:hint="eastAsia"/>
                <w:color w:val="auto"/>
                <w:highlight w:val="none"/>
                <w:lang w:bidi="ar"/>
              </w:rPr>
              <w:t>原枪球联动摄像机移位安装、调试等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1C33DC8B">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0B39D3D6">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0E997658">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6964965A">
            <w:pPr>
              <w:rPr>
                <w:color w:val="auto"/>
                <w:highlight w:val="none"/>
              </w:rPr>
            </w:pPr>
          </w:p>
        </w:tc>
      </w:tr>
      <w:tr w14:paraId="354FB132">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2D2F168F">
            <w:pPr>
              <w:rPr>
                <w:color w:val="auto"/>
                <w:sz w:val="20"/>
                <w:szCs w:val="20"/>
                <w:highlight w:val="none"/>
              </w:rPr>
            </w:pPr>
            <w:r>
              <w:rPr>
                <w:rFonts w:hint="eastAsia"/>
                <w:color w:val="auto"/>
                <w:highlight w:val="none"/>
                <w:lang w:bidi="ar"/>
              </w:rPr>
              <w:t>147</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0744CE8F">
            <w:pPr>
              <w:rPr>
                <w:color w:val="auto"/>
                <w:highlight w:val="none"/>
              </w:rPr>
            </w:pPr>
            <w:r>
              <w:rPr>
                <w:rFonts w:hint="eastAsia"/>
                <w:color w:val="auto"/>
                <w:highlight w:val="none"/>
                <w:lang w:bidi="ar"/>
              </w:rPr>
              <w:t>抱杆机柜安装及接线费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2A62CC31">
            <w:pPr>
              <w:rPr>
                <w:color w:val="auto"/>
                <w:highlight w:val="none"/>
              </w:rPr>
            </w:pPr>
            <w:r>
              <w:rPr>
                <w:rFonts w:hint="eastAsia"/>
                <w:color w:val="auto"/>
                <w:highlight w:val="none"/>
                <w:lang w:bidi="ar"/>
              </w:rPr>
              <w:t>原旧抱杆机柜移位后安装及重新接线等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00A394FA">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74D804BC">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14EDF767">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295.00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190E9C68">
            <w:pPr>
              <w:rPr>
                <w:color w:val="auto"/>
                <w:highlight w:val="none"/>
              </w:rPr>
            </w:pPr>
          </w:p>
        </w:tc>
      </w:tr>
      <w:tr w14:paraId="5F7F7267">
        <w:tblPrEx>
          <w:tblCellMar>
            <w:top w:w="0" w:type="dxa"/>
            <w:left w:w="108" w:type="dxa"/>
            <w:bottom w:w="0" w:type="dxa"/>
            <w:right w:w="108" w:type="dxa"/>
          </w:tblCellMar>
        </w:tblPrEx>
        <w:trPr>
          <w:trHeight w:val="495" w:hRule="atLeast"/>
        </w:trPr>
        <w:tc>
          <w:tcPr>
            <w:tcW w:w="240" w:type="pct"/>
            <w:tcBorders>
              <w:top w:val="nil"/>
              <w:left w:val="single" w:color="000000" w:sz="8" w:space="0"/>
              <w:bottom w:val="single" w:color="000000" w:sz="8" w:space="0"/>
              <w:right w:val="single" w:color="000000" w:sz="8" w:space="0"/>
            </w:tcBorders>
            <w:shd w:val="clear" w:color="auto" w:fill="auto"/>
            <w:vAlign w:val="center"/>
          </w:tcPr>
          <w:p w14:paraId="7D76BFB4">
            <w:pPr>
              <w:rPr>
                <w:color w:val="auto"/>
                <w:sz w:val="20"/>
                <w:szCs w:val="20"/>
                <w:highlight w:val="none"/>
              </w:rPr>
            </w:pPr>
            <w:r>
              <w:rPr>
                <w:rFonts w:hint="eastAsia"/>
                <w:color w:val="auto"/>
                <w:highlight w:val="none"/>
                <w:lang w:bidi="ar"/>
              </w:rPr>
              <w:t>148</w:t>
            </w:r>
          </w:p>
        </w:tc>
        <w:tc>
          <w:tcPr>
            <w:tcW w:w="435" w:type="pct"/>
            <w:tcBorders>
              <w:top w:val="nil"/>
              <w:left w:val="single" w:color="000000" w:sz="8" w:space="0"/>
              <w:bottom w:val="single" w:color="000000" w:sz="8" w:space="0"/>
              <w:right w:val="single" w:color="000000" w:sz="8" w:space="0"/>
            </w:tcBorders>
            <w:shd w:val="clear" w:color="auto" w:fill="auto"/>
            <w:vAlign w:val="center"/>
          </w:tcPr>
          <w:p w14:paraId="4457A22B">
            <w:pPr>
              <w:rPr>
                <w:color w:val="auto"/>
                <w:highlight w:val="none"/>
              </w:rPr>
            </w:pPr>
            <w:r>
              <w:rPr>
                <w:rFonts w:hint="eastAsia"/>
                <w:color w:val="auto"/>
                <w:highlight w:val="none"/>
                <w:lang w:bidi="ar"/>
              </w:rPr>
              <w:t>落地机柜安装及接线费</w:t>
            </w:r>
          </w:p>
        </w:tc>
        <w:tc>
          <w:tcPr>
            <w:tcW w:w="3200" w:type="pct"/>
            <w:tcBorders>
              <w:top w:val="nil"/>
              <w:left w:val="single" w:color="000000" w:sz="8" w:space="0"/>
              <w:bottom w:val="single" w:color="000000" w:sz="8" w:space="0"/>
              <w:right w:val="single" w:color="000000" w:sz="8" w:space="0"/>
            </w:tcBorders>
            <w:shd w:val="clear" w:color="auto" w:fill="auto"/>
            <w:vAlign w:val="center"/>
          </w:tcPr>
          <w:p w14:paraId="09C3311A">
            <w:pPr>
              <w:rPr>
                <w:color w:val="auto"/>
                <w:highlight w:val="none"/>
              </w:rPr>
            </w:pPr>
            <w:r>
              <w:rPr>
                <w:rFonts w:hint="eastAsia"/>
                <w:color w:val="auto"/>
                <w:highlight w:val="none"/>
                <w:lang w:bidi="ar"/>
              </w:rPr>
              <w:t>原旧抱落地机柜移位后安装及重新接线等</w:t>
            </w:r>
          </w:p>
        </w:tc>
        <w:tc>
          <w:tcPr>
            <w:tcW w:w="245" w:type="pct"/>
            <w:tcBorders>
              <w:top w:val="nil"/>
              <w:left w:val="single" w:color="000000" w:sz="8" w:space="0"/>
              <w:bottom w:val="single" w:color="000000" w:sz="8" w:space="0"/>
              <w:right w:val="single" w:color="000000" w:sz="8" w:space="0"/>
            </w:tcBorders>
            <w:shd w:val="clear" w:color="auto" w:fill="auto"/>
            <w:vAlign w:val="center"/>
          </w:tcPr>
          <w:p w14:paraId="779EE389">
            <w:pPr>
              <w:rPr>
                <w:color w:val="auto"/>
                <w:highlight w:val="none"/>
              </w:rPr>
            </w:pPr>
            <w:r>
              <w:rPr>
                <w:rFonts w:hint="eastAsia"/>
                <w:color w:val="auto"/>
                <w:highlight w:val="none"/>
                <w:lang w:bidi="ar"/>
              </w:rPr>
              <w:t>项</w:t>
            </w:r>
          </w:p>
        </w:tc>
        <w:tc>
          <w:tcPr>
            <w:tcW w:w="249" w:type="pct"/>
            <w:tcBorders>
              <w:top w:val="nil"/>
              <w:left w:val="single" w:color="000000" w:sz="8" w:space="0"/>
              <w:bottom w:val="single" w:color="000000" w:sz="8" w:space="0"/>
              <w:right w:val="single" w:color="000000" w:sz="8" w:space="0"/>
            </w:tcBorders>
            <w:shd w:val="clear" w:color="auto" w:fill="auto"/>
            <w:vAlign w:val="center"/>
          </w:tcPr>
          <w:p w14:paraId="5A67657F">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000000" w:sz="8" w:space="0"/>
              <w:right w:val="single" w:color="000000" w:sz="8" w:space="0"/>
            </w:tcBorders>
            <w:shd w:val="clear" w:color="auto" w:fill="auto"/>
            <w:vAlign w:val="center"/>
          </w:tcPr>
          <w:p w14:paraId="21EF737B">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900.00 </w:t>
            </w:r>
          </w:p>
        </w:tc>
        <w:tc>
          <w:tcPr>
            <w:tcW w:w="250" w:type="pct"/>
            <w:tcBorders>
              <w:top w:val="nil"/>
              <w:left w:val="single" w:color="000000" w:sz="8" w:space="0"/>
              <w:bottom w:val="single" w:color="000000" w:sz="8" w:space="0"/>
              <w:right w:val="single" w:color="000000" w:sz="8" w:space="0"/>
            </w:tcBorders>
            <w:shd w:val="clear" w:color="auto" w:fill="auto"/>
            <w:vAlign w:val="center"/>
          </w:tcPr>
          <w:p w14:paraId="7F59707F">
            <w:pPr>
              <w:rPr>
                <w:color w:val="auto"/>
                <w:highlight w:val="none"/>
              </w:rPr>
            </w:pPr>
          </w:p>
        </w:tc>
      </w:tr>
      <w:tr w14:paraId="73200324">
        <w:tblPrEx>
          <w:tblCellMar>
            <w:top w:w="0" w:type="dxa"/>
            <w:left w:w="108" w:type="dxa"/>
            <w:bottom w:w="0" w:type="dxa"/>
            <w:right w:w="108" w:type="dxa"/>
          </w:tblCellMar>
        </w:tblPrEx>
        <w:trPr>
          <w:trHeight w:val="615" w:hRule="atLeast"/>
        </w:trPr>
        <w:tc>
          <w:tcPr>
            <w:tcW w:w="240" w:type="pct"/>
            <w:tcBorders>
              <w:top w:val="nil"/>
              <w:left w:val="single" w:color="000000" w:sz="8" w:space="0"/>
              <w:bottom w:val="single" w:color="auto" w:sz="4" w:space="0"/>
              <w:right w:val="single" w:color="000000" w:sz="8" w:space="0"/>
            </w:tcBorders>
            <w:shd w:val="clear" w:color="auto" w:fill="auto"/>
            <w:vAlign w:val="center"/>
          </w:tcPr>
          <w:p w14:paraId="155AD5CC">
            <w:pPr>
              <w:rPr>
                <w:color w:val="auto"/>
                <w:highlight w:val="none"/>
                <w:lang w:bidi="ar"/>
              </w:rPr>
            </w:pPr>
            <w:r>
              <w:rPr>
                <w:rFonts w:hint="eastAsia"/>
                <w:color w:val="auto"/>
                <w:highlight w:val="none"/>
                <w:lang w:bidi="ar"/>
              </w:rPr>
              <w:t>149</w:t>
            </w:r>
          </w:p>
        </w:tc>
        <w:tc>
          <w:tcPr>
            <w:tcW w:w="435" w:type="pct"/>
            <w:tcBorders>
              <w:top w:val="nil"/>
              <w:left w:val="single" w:color="000000" w:sz="8" w:space="0"/>
              <w:bottom w:val="single" w:color="auto" w:sz="4" w:space="0"/>
              <w:right w:val="single" w:color="000000" w:sz="8" w:space="0"/>
            </w:tcBorders>
            <w:shd w:val="clear" w:color="auto" w:fill="auto"/>
            <w:vAlign w:val="center"/>
          </w:tcPr>
          <w:p w14:paraId="479D7C36">
            <w:pPr>
              <w:rPr>
                <w:color w:val="auto"/>
                <w:highlight w:val="none"/>
              </w:rPr>
            </w:pPr>
            <w:r>
              <w:rPr>
                <w:rFonts w:hint="eastAsia"/>
                <w:color w:val="auto"/>
                <w:highlight w:val="none"/>
                <w:lang w:bidi="ar"/>
              </w:rPr>
              <w:t>原有管道线缆敷设人工费</w:t>
            </w:r>
          </w:p>
        </w:tc>
        <w:tc>
          <w:tcPr>
            <w:tcW w:w="3200" w:type="pct"/>
            <w:tcBorders>
              <w:top w:val="nil"/>
              <w:left w:val="single" w:color="000000" w:sz="8" w:space="0"/>
              <w:bottom w:val="single" w:color="auto" w:sz="4" w:space="0"/>
              <w:right w:val="single" w:color="000000" w:sz="8" w:space="0"/>
            </w:tcBorders>
            <w:shd w:val="clear" w:color="auto" w:fill="auto"/>
            <w:vAlign w:val="center"/>
          </w:tcPr>
          <w:p w14:paraId="585B7926">
            <w:pPr>
              <w:rPr>
                <w:color w:val="auto"/>
                <w:highlight w:val="none"/>
              </w:rPr>
            </w:pPr>
            <w:r>
              <w:rPr>
                <w:rFonts w:hint="eastAsia"/>
                <w:color w:val="auto"/>
                <w:highlight w:val="none"/>
                <w:lang w:bidi="ar"/>
              </w:rPr>
              <w:t>借用原有管路铺设新线缆</w:t>
            </w:r>
          </w:p>
        </w:tc>
        <w:tc>
          <w:tcPr>
            <w:tcW w:w="245" w:type="pct"/>
            <w:tcBorders>
              <w:top w:val="nil"/>
              <w:left w:val="single" w:color="000000" w:sz="8" w:space="0"/>
              <w:bottom w:val="single" w:color="auto" w:sz="4" w:space="0"/>
              <w:right w:val="single" w:color="000000" w:sz="8" w:space="0"/>
            </w:tcBorders>
            <w:shd w:val="clear" w:color="auto" w:fill="auto"/>
            <w:vAlign w:val="center"/>
          </w:tcPr>
          <w:p w14:paraId="002D1D43">
            <w:pPr>
              <w:rPr>
                <w:color w:val="auto"/>
                <w:highlight w:val="none"/>
              </w:rPr>
            </w:pPr>
            <w:r>
              <w:rPr>
                <w:rFonts w:hint="eastAsia"/>
                <w:color w:val="auto"/>
                <w:highlight w:val="none"/>
                <w:lang w:bidi="ar"/>
              </w:rPr>
              <w:t>米</w:t>
            </w:r>
          </w:p>
        </w:tc>
        <w:tc>
          <w:tcPr>
            <w:tcW w:w="249" w:type="pct"/>
            <w:tcBorders>
              <w:top w:val="nil"/>
              <w:left w:val="single" w:color="000000" w:sz="8" w:space="0"/>
              <w:bottom w:val="single" w:color="auto" w:sz="4" w:space="0"/>
              <w:right w:val="single" w:color="000000" w:sz="8" w:space="0"/>
            </w:tcBorders>
            <w:shd w:val="clear" w:color="auto" w:fill="auto"/>
            <w:vAlign w:val="center"/>
          </w:tcPr>
          <w:p w14:paraId="7BA46DB4">
            <w:pPr>
              <w:rPr>
                <w:color w:val="auto"/>
                <w:highlight w:val="none"/>
              </w:rPr>
            </w:pPr>
            <w:r>
              <w:rPr>
                <w:rFonts w:hint="eastAsia"/>
                <w:color w:val="auto"/>
                <w:highlight w:val="none"/>
                <w:lang w:bidi="ar"/>
              </w:rPr>
              <w:t>1</w:t>
            </w:r>
          </w:p>
        </w:tc>
        <w:tc>
          <w:tcPr>
            <w:tcW w:w="378" w:type="pct"/>
            <w:tcBorders>
              <w:top w:val="nil"/>
              <w:left w:val="single" w:color="000000" w:sz="8" w:space="0"/>
              <w:bottom w:val="single" w:color="auto" w:sz="4" w:space="0"/>
              <w:right w:val="single" w:color="000000" w:sz="8" w:space="0"/>
            </w:tcBorders>
            <w:shd w:val="clear" w:color="auto" w:fill="auto"/>
            <w:vAlign w:val="center"/>
          </w:tcPr>
          <w:p w14:paraId="51933895">
            <w:pPr>
              <w:keepNext w:val="0"/>
              <w:keepLines w:val="0"/>
              <w:widowControl/>
              <w:suppressLineNumbers w:val="0"/>
              <w:jc w:val="right"/>
              <w:textAlignment w:val="center"/>
              <w:rPr>
                <w:color w:val="auto"/>
                <w:sz w:val="22"/>
                <w:szCs w:val="28"/>
                <w:highlight w:val="none"/>
              </w:rPr>
            </w:pPr>
            <w:r>
              <w:rPr>
                <w:rFonts w:hint="eastAsia" w:ascii="宋体" w:hAnsi="宋体" w:eastAsia="宋体" w:cs="宋体"/>
                <w:i w:val="0"/>
                <w:iCs w:val="0"/>
                <w:color w:val="auto"/>
                <w:kern w:val="0"/>
                <w:sz w:val="20"/>
                <w:szCs w:val="20"/>
                <w:highlight w:val="none"/>
                <w:u w:val="none"/>
                <w:lang w:val="en-US" w:eastAsia="zh-CN" w:bidi="ar"/>
              </w:rPr>
              <w:t xml:space="preserve">5.00 </w:t>
            </w:r>
          </w:p>
        </w:tc>
        <w:tc>
          <w:tcPr>
            <w:tcW w:w="250" w:type="pct"/>
            <w:tcBorders>
              <w:top w:val="nil"/>
              <w:left w:val="single" w:color="000000" w:sz="8" w:space="0"/>
              <w:bottom w:val="single" w:color="auto" w:sz="4" w:space="0"/>
              <w:right w:val="single" w:color="000000" w:sz="8" w:space="0"/>
            </w:tcBorders>
            <w:shd w:val="clear" w:color="auto" w:fill="auto"/>
            <w:vAlign w:val="center"/>
          </w:tcPr>
          <w:p w14:paraId="2763937E">
            <w:pPr>
              <w:rPr>
                <w:color w:val="auto"/>
                <w:highlight w:val="none"/>
              </w:rPr>
            </w:pPr>
          </w:p>
        </w:tc>
      </w:tr>
      <w:tr w14:paraId="46E762FE">
        <w:tblPrEx>
          <w:tblCellMar>
            <w:top w:w="0" w:type="dxa"/>
            <w:left w:w="108" w:type="dxa"/>
            <w:bottom w:w="0" w:type="dxa"/>
            <w:right w:w="108" w:type="dxa"/>
          </w:tblCellMar>
        </w:tblPrEx>
        <w:trPr>
          <w:trHeight w:val="615"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275E0AAB">
            <w:pPr>
              <w:rPr>
                <w:color w:val="auto"/>
                <w:highlight w:val="none"/>
                <w:lang w:bidi="ar"/>
              </w:rPr>
            </w:pPr>
            <w:r>
              <w:rPr>
                <w:rFonts w:hint="eastAsia"/>
                <w:color w:val="auto"/>
                <w:highlight w:val="none"/>
                <w:lang w:bidi="ar"/>
              </w:rPr>
              <w:t>150</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4809D31A">
            <w:pPr>
              <w:rPr>
                <w:color w:val="auto"/>
                <w:highlight w:val="none"/>
                <w:lang w:bidi="ar"/>
              </w:rPr>
            </w:pPr>
            <w:r>
              <w:rPr>
                <w:rFonts w:hint="eastAsia"/>
                <w:color w:val="auto"/>
                <w:highlight w:val="none"/>
                <w:lang w:bidi="ar"/>
              </w:rPr>
              <w:t>外场设备上色服务</w:t>
            </w:r>
          </w:p>
        </w:tc>
        <w:tc>
          <w:tcPr>
            <w:tcW w:w="3200" w:type="pct"/>
            <w:tcBorders>
              <w:top w:val="single" w:color="auto" w:sz="4" w:space="0"/>
              <w:left w:val="single" w:color="auto" w:sz="4" w:space="0"/>
              <w:bottom w:val="single" w:color="auto" w:sz="4" w:space="0"/>
              <w:right w:val="single" w:color="auto" w:sz="4" w:space="0"/>
            </w:tcBorders>
            <w:shd w:val="clear" w:color="auto" w:fill="auto"/>
            <w:vAlign w:val="center"/>
          </w:tcPr>
          <w:p w14:paraId="4079AFC5">
            <w:pPr>
              <w:rPr>
                <w:color w:val="auto"/>
                <w:highlight w:val="none"/>
                <w:lang w:bidi="ar"/>
              </w:rPr>
            </w:pPr>
            <w:r>
              <w:rPr>
                <w:rFonts w:hint="eastAsia"/>
                <w:color w:val="auto"/>
                <w:highlight w:val="none"/>
                <w:lang w:bidi="ar"/>
              </w:rPr>
              <w:t>根据业主单位要求，对外场设备进行上色服务（颜色要符合辖区实际情况，包含登高服务）</w:t>
            </w: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05E0A21B">
            <w:pPr>
              <w:rPr>
                <w:color w:val="auto"/>
                <w:highlight w:val="none"/>
                <w:lang w:bidi="ar"/>
              </w:rPr>
            </w:pPr>
            <w:r>
              <w:rPr>
                <w:rFonts w:hint="eastAsia"/>
                <w:color w:val="auto"/>
                <w:highlight w:val="none"/>
                <w:lang w:bidi="ar"/>
              </w:rPr>
              <w:t>个</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265A2E81">
            <w:pPr>
              <w:rPr>
                <w:color w:val="auto"/>
                <w:highlight w:val="none"/>
                <w:lang w:bidi="ar"/>
              </w:rPr>
            </w:pPr>
            <w:r>
              <w:rPr>
                <w:rFonts w:hint="eastAsia"/>
                <w:color w:val="auto"/>
                <w:highlight w:val="none"/>
                <w:lang w:bidi="ar"/>
              </w:rPr>
              <w:t>1</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6711865F">
            <w:pPr>
              <w:keepNext w:val="0"/>
              <w:keepLines w:val="0"/>
              <w:widowControl/>
              <w:suppressLineNumbers w:val="0"/>
              <w:jc w:val="right"/>
              <w:textAlignment w:val="center"/>
              <w:rPr>
                <w:color w:val="auto"/>
                <w:sz w:val="22"/>
                <w:szCs w:val="28"/>
                <w:highlight w:val="none"/>
                <w:lang w:bidi="ar"/>
              </w:rPr>
            </w:pPr>
            <w:r>
              <w:rPr>
                <w:rFonts w:hint="eastAsia" w:ascii="宋体" w:hAnsi="宋体" w:eastAsia="宋体" w:cs="宋体"/>
                <w:i w:val="0"/>
                <w:iCs w:val="0"/>
                <w:color w:val="auto"/>
                <w:kern w:val="0"/>
                <w:sz w:val="20"/>
                <w:szCs w:val="20"/>
                <w:highlight w:val="none"/>
                <w:u w:val="none"/>
                <w:lang w:val="en-US" w:eastAsia="zh-CN" w:bidi="ar"/>
              </w:rPr>
              <w:t xml:space="preserve">32.00 </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59A3421A">
            <w:pPr>
              <w:rPr>
                <w:color w:val="auto"/>
                <w:highlight w:val="none"/>
              </w:rPr>
            </w:pPr>
          </w:p>
        </w:tc>
      </w:tr>
      <w:tr w14:paraId="7FBA957E">
        <w:tblPrEx>
          <w:tblCellMar>
            <w:top w:w="0" w:type="dxa"/>
            <w:left w:w="108" w:type="dxa"/>
            <w:bottom w:w="0" w:type="dxa"/>
            <w:right w:w="108" w:type="dxa"/>
          </w:tblCellMar>
        </w:tblPrEx>
        <w:trPr>
          <w:trHeight w:val="615" w:hRule="atLeast"/>
        </w:trPr>
        <w:tc>
          <w:tcPr>
            <w:tcW w:w="240" w:type="pct"/>
            <w:tcBorders>
              <w:top w:val="single" w:color="auto" w:sz="4" w:space="0"/>
              <w:left w:val="single" w:color="auto" w:sz="4" w:space="0"/>
              <w:bottom w:val="single" w:color="auto" w:sz="4" w:space="0"/>
              <w:right w:val="single" w:color="auto" w:sz="4" w:space="0"/>
            </w:tcBorders>
            <w:shd w:val="clear" w:color="auto" w:fill="auto"/>
            <w:vAlign w:val="center"/>
          </w:tcPr>
          <w:p w14:paraId="6905480D">
            <w:pPr>
              <w:rPr>
                <w:rFonts w:hint="default" w:eastAsia="宋体"/>
                <w:color w:val="auto"/>
                <w:highlight w:val="none"/>
                <w:lang w:val="en-US" w:eastAsia="zh-CN" w:bidi="ar"/>
              </w:rPr>
            </w:pPr>
            <w:r>
              <w:rPr>
                <w:rFonts w:hint="eastAsia"/>
                <w:color w:val="auto"/>
                <w:highlight w:val="none"/>
                <w:lang w:val="en-US" w:eastAsia="zh-CN" w:bidi="ar"/>
              </w:rPr>
              <w:t>151</w:t>
            </w:r>
          </w:p>
        </w:tc>
        <w:tc>
          <w:tcPr>
            <w:tcW w:w="435" w:type="pct"/>
            <w:tcBorders>
              <w:top w:val="single" w:color="auto" w:sz="4" w:space="0"/>
              <w:left w:val="single" w:color="auto" w:sz="4" w:space="0"/>
              <w:bottom w:val="single" w:color="auto" w:sz="4" w:space="0"/>
              <w:right w:val="single" w:color="auto" w:sz="4" w:space="0"/>
            </w:tcBorders>
            <w:shd w:val="clear" w:color="auto" w:fill="auto"/>
            <w:vAlign w:val="center"/>
          </w:tcPr>
          <w:p w14:paraId="4F072612">
            <w:pPr>
              <w:rPr>
                <w:rFonts w:hint="eastAsia"/>
                <w:color w:val="auto"/>
                <w:highlight w:val="none"/>
                <w:lang w:bidi="ar"/>
              </w:rPr>
            </w:pPr>
            <w:r>
              <w:rPr>
                <w:rFonts w:hint="eastAsia"/>
                <w:color w:val="auto"/>
                <w:highlight w:val="none"/>
                <w:lang w:bidi="ar"/>
              </w:rPr>
              <w:t>户外网络音柱</w:t>
            </w:r>
          </w:p>
        </w:tc>
        <w:tc>
          <w:tcPr>
            <w:tcW w:w="3200" w:type="pct"/>
            <w:tcBorders>
              <w:top w:val="single" w:color="auto" w:sz="4" w:space="0"/>
              <w:left w:val="single" w:color="auto" w:sz="4" w:space="0"/>
              <w:bottom w:val="single" w:color="auto" w:sz="4" w:space="0"/>
              <w:right w:val="single" w:color="auto" w:sz="4" w:space="0"/>
            </w:tcBorders>
            <w:shd w:val="clear" w:color="auto" w:fill="auto"/>
            <w:vAlign w:val="center"/>
          </w:tcPr>
          <w:p w14:paraId="573295A7">
            <w:pPr>
              <w:rPr>
                <w:rFonts w:hint="eastAsia"/>
                <w:color w:val="auto"/>
                <w:highlight w:val="none"/>
                <w:lang w:bidi="ar"/>
              </w:rPr>
            </w:pPr>
            <w:r>
              <w:rPr>
                <w:rFonts w:hint="eastAsia"/>
                <w:color w:val="auto"/>
                <w:highlight w:val="none"/>
                <w:lang w:bidi="ar"/>
              </w:rPr>
              <w:t>一体壁挂式室外防水设计、整合网络音频解码，数字功放及音箱；支持离线广播功能，内置大容量存储器，采用嵌入式系统，设备内存≥64MB，设备存储≥4GB。支持远程IP网络下发定时广播任务，自动播放定时广播任务； 具有NTP自动校时功能，离线时自动与时钟服务器对时，避免长时间离线造成离线任务差异；</w:t>
            </w:r>
          </w:p>
          <w:p w14:paraId="06553252">
            <w:pPr>
              <w:rPr>
                <w:rFonts w:hint="eastAsia"/>
                <w:color w:val="auto"/>
                <w:highlight w:val="none"/>
                <w:lang w:bidi="ar"/>
              </w:rPr>
            </w:pPr>
            <w:r>
              <w:rPr>
                <w:rFonts w:hint="eastAsia"/>
                <w:color w:val="auto"/>
                <w:highlight w:val="none"/>
                <w:lang w:bidi="ar"/>
              </w:rPr>
              <w:t>支持通过web进行系统配置、网络配置、系统维护等操作；广播功耗功耗：≥120W；广播采样率：48KHz.，量化位数：≥16bit，信噪比：≥80dB；音频压缩标准：/G.711U/G.711A/MP3；物理接口：网口*1；报警输入*1；复位按钮*1；音频输入*1；电源：AC：100~240 V/1.5 A防水等级：IP65；支持和台州市交警局建设的枪球一体机配合，实现交通事件检测后的联动网络音柱语音播报</w:t>
            </w:r>
          </w:p>
        </w:tc>
        <w:tc>
          <w:tcPr>
            <w:tcW w:w="245" w:type="pct"/>
            <w:tcBorders>
              <w:top w:val="single" w:color="auto" w:sz="4" w:space="0"/>
              <w:left w:val="single" w:color="auto" w:sz="4" w:space="0"/>
              <w:bottom w:val="single" w:color="auto" w:sz="4" w:space="0"/>
              <w:right w:val="single" w:color="auto" w:sz="4" w:space="0"/>
            </w:tcBorders>
            <w:shd w:val="clear" w:color="auto" w:fill="auto"/>
            <w:vAlign w:val="center"/>
          </w:tcPr>
          <w:p w14:paraId="663F7852">
            <w:pPr>
              <w:rPr>
                <w:rFonts w:hint="eastAsia"/>
                <w:color w:val="auto"/>
                <w:highlight w:val="none"/>
                <w:lang w:bidi="ar"/>
              </w:rPr>
            </w:pPr>
            <w:r>
              <w:rPr>
                <w:rFonts w:hint="eastAsia"/>
                <w:color w:val="auto"/>
                <w:highlight w:val="none"/>
                <w:lang w:bidi="ar"/>
              </w:rPr>
              <w:t>个</w:t>
            </w:r>
          </w:p>
        </w:tc>
        <w:tc>
          <w:tcPr>
            <w:tcW w:w="249" w:type="pct"/>
            <w:tcBorders>
              <w:top w:val="single" w:color="auto" w:sz="4" w:space="0"/>
              <w:left w:val="single" w:color="auto" w:sz="4" w:space="0"/>
              <w:bottom w:val="single" w:color="auto" w:sz="4" w:space="0"/>
              <w:right w:val="single" w:color="auto" w:sz="4" w:space="0"/>
            </w:tcBorders>
            <w:shd w:val="clear" w:color="auto" w:fill="auto"/>
            <w:vAlign w:val="center"/>
          </w:tcPr>
          <w:p w14:paraId="582704C1">
            <w:pPr>
              <w:rPr>
                <w:rFonts w:hint="eastAsia" w:eastAsia="宋体"/>
                <w:color w:val="auto"/>
                <w:highlight w:val="none"/>
                <w:lang w:val="en-US" w:eastAsia="zh-CN" w:bidi="ar"/>
              </w:rPr>
            </w:pPr>
            <w:r>
              <w:rPr>
                <w:rFonts w:hint="eastAsia"/>
                <w:color w:val="auto"/>
                <w:highlight w:val="none"/>
                <w:lang w:val="en-US" w:eastAsia="zh-CN" w:bidi="ar"/>
              </w:rPr>
              <w:t>1</w:t>
            </w:r>
          </w:p>
        </w:tc>
        <w:tc>
          <w:tcPr>
            <w:tcW w:w="378" w:type="pct"/>
            <w:tcBorders>
              <w:top w:val="single" w:color="auto" w:sz="4" w:space="0"/>
              <w:left w:val="single" w:color="auto" w:sz="4" w:space="0"/>
              <w:bottom w:val="single" w:color="auto" w:sz="4" w:space="0"/>
              <w:right w:val="single" w:color="auto" w:sz="4" w:space="0"/>
            </w:tcBorders>
            <w:shd w:val="clear" w:color="auto" w:fill="auto"/>
            <w:vAlign w:val="center"/>
          </w:tcPr>
          <w:p w14:paraId="4DBF413B">
            <w:pPr>
              <w:keepNext w:val="0"/>
              <w:keepLines w:val="0"/>
              <w:widowControl/>
              <w:suppressLineNumbers w:val="0"/>
              <w:jc w:val="right"/>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2100</w:t>
            </w:r>
            <w:r>
              <w:rPr>
                <w:rFonts w:hint="eastAsia" w:ascii="宋体" w:hAnsi="宋体" w:eastAsia="宋体" w:cs="宋体"/>
                <w:i w:val="0"/>
                <w:iCs w:val="0"/>
                <w:color w:val="auto"/>
                <w:kern w:val="0"/>
                <w:sz w:val="20"/>
                <w:szCs w:val="20"/>
                <w:highlight w:val="none"/>
                <w:u w:val="none"/>
                <w:lang w:val="en-US" w:eastAsia="zh-CN" w:bidi="ar"/>
              </w:rPr>
              <w:t>.00</w:t>
            </w:r>
          </w:p>
        </w:tc>
        <w:tc>
          <w:tcPr>
            <w:tcW w:w="250" w:type="pct"/>
            <w:tcBorders>
              <w:top w:val="single" w:color="auto" w:sz="4" w:space="0"/>
              <w:left w:val="single" w:color="auto" w:sz="4" w:space="0"/>
              <w:bottom w:val="single" w:color="auto" w:sz="4" w:space="0"/>
              <w:right w:val="single" w:color="auto" w:sz="4" w:space="0"/>
            </w:tcBorders>
            <w:shd w:val="clear" w:color="auto" w:fill="auto"/>
            <w:vAlign w:val="center"/>
          </w:tcPr>
          <w:p w14:paraId="2F001C1F">
            <w:pPr>
              <w:rPr>
                <w:color w:val="auto"/>
                <w:highlight w:val="none"/>
              </w:rPr>
            </w:pPr>
          </w:p>
        </w:tc>
      </w:tr>
    </w:tbl>
    <w:p w14:paraId="39D9CF64">
      <w:pPr>
        <w:rPr>
          <w:rFonts w:hint="eastAsia" w:eastAsia="宋体"/>
          <w:b/>
          <w:bCs/>
          <w:color w:val="auto"/>
          <w:sz w:val="28"/>
          <w:szCs w:val="28"/>
          <w:highlight w:val="none"/>
          <w:lang w:val="en-US" w:eastAsia="zh-CN"/>
        </w:rPr>
      </w:pPr>
      <w:r>
        <w:rPr>
          <w:rFonts w:hint="eastAsia"/>
          <w:b/>
          <w:bCs/>
          <w:color w:val="auto"/>
          <w:sz w:val="28"/>
          <w:szCs w:val="28"/>
          <w:highlight w:val="none"/>
          <w:lang w:val="en-US" w:eastAsia="zh-CN"/>
        </w:rPr>
        <w:t>注：本项目核心产品：制高点高清球机</w:t>
      </w:r>
    </w:p>
    <w:p w14:paraId="4DD703AA">
      <w:pPr>
        <w:rPr>
          <w:color w:val="auto"/>
          <w:sz w:val="24"/>
          <w:szCs w:val="24"/>
          <w:highlight w:val="none"/>
        </w:rPr>
      </w:pPr>
      <w:r>
        <w:rPr>
          <w:rFonts w:hint="eastAsia"/>
          <w:color w:val="auto"/>
          <w:sz w:val="24"/>
          <w:szCs w:val="24"/>
          <w:highlight w:val="none"/>
        </w:rPr>
        <w:t>有关事项说明</w:t>
      </w:r>
    </w:p>
    <w:p w14:paraId="4FBBCC5A">
      <w:pPr>
        <w:pStyle w:val="45"/>
        <w:rPr>
          <w:color w:val="auto"/>
          <w:sz w:val="24"/>
          <w:szCs w:val="24"/>
          <w:highlight w:val="none"/>
        </w:rPr>
      </w:pPr>
      <w:r>
        <w:rPr>
          <w:rFonts w:hint="eastAsia"/>
          <w:color w:val="auto"/>
          <w:sz w:val="24"/>
          <w:szCs w:val="24"/>
          <w:highlight w:val="none"/>
        </w:rPr>
        <w:t>1.本预算综合单价为全费用单价，包含人工、材料、机械、质保、检测、验收、管理费、利润、组织措施费、规费、民工工伤保险费、税金、招标代理服务费等一切费用。</w:t>
      </w:r>
    </w:p>
    <w:p w14:paraId="19434478">
      <w:pPr>
        <w:rPr>
          <w:color w:val="auto"/>
          <w:sz w:val="24"/>
          <w:szCs w:val="24"/>
          <w:highlight w:val="none"/>
        </w:rPr>
      </w:pPr>
      <w:r>
        <w:rPr>
          <w:rFonts w:hint="eastAsia"/>
          <w:color w:val="auto"/>
          <w:sz w:val="24"/>
          <w:szCs w:val="24"/>
          <w:highlight w:val="none"/>
        </w:rPr>
        <w:t>2.各项目综合单价包含但不限于已标明的内容，清单项目特征中未单独描述但为该项目必须发生的工作内容，此费用均已计入综合单价内，不再另计。</w:t>
      </w:r>
    </w:p>
    <w:p w14:paraId="55158912">
      <w:pPr>
        <w:rPr>
          <w:color w:val="auto"/>
          <w:sz w:val="24"/>
          <w:szCs w:val="24"/>
          <w:highlight w:val="none"/>
        </w:rPr>
      </w:pPr>
      <w:r>
        <w:rPr>
          <w:rFonts w:hint="eastAsia"/>
          <w:color w:val="auto"/>
          <w:sz w:val="24"/>
          <w:szCs w:val="24"/>
          <w:highlight w:val="none"/>
        </w:rPr>
        <w:t>3.各项目具体做法及参数要求详见招标文件或国家有关规范。</w:t>
      </w:r>
    </w:p>
    <w:p w14:paraId="7DFE69C9">
      <w:pPr>
        <w:rPr>
          <w:b/>
          <w:bCs/>
          <w:color w:val="auto"/>
          <w:sz w:val="24"/>
          <w:szCs w:val="24"/>
          <w:highlight w:val="none"/>
        </w:rPr>
      </w:pPr>
      <w:r>
        <w:rPr>
          <w:rFonts w:hint="eastAsia"/>
          <w:b/>
          <w:bCs/>
          <w:color w:val="auto"/>
          <w:sz w:val="24"/>
          <w:szCs w:val="24"/>
          <w:highlight w:val="none"/>
        </w:rPr>
        <w:t>▲4.各投标人在投标报价时应综合考虑各项目综合单价的高低水平做总体下浮，以结算率方式结算。综合单价参照招标文件中的价格，成交单价=综合单价*成交结算率，结算时不以某项单价偏低而要求调整。</w:t>
      </w:r>
    </w:p>
    <w:p w14:paraId="5DE6C16D">
      <w:pPr>
        <w:rPr>
          <w:color w:val="auto"/>
          <w:sz w:val="24"/>
          <w:szCs w:val="24"/>
          <w:highlight w:val="none"/>
        </w:rPr>
      </w:pPr>
      <w:r>
        <w:rPr>
          <w:rFonts w:hint="eastAsia"/>
          <w:color w:val="auto"/>
          <w:sz w:val="24"/>
          <w:szCs w:val="24"/>
          <w:highlight w:val="none"/>
        </w:rPr>
        <w:t>5.最终的结算价（最终结算金额=改造维护数量*成交单价，成交单价=综合单价*成交结算率），本项目总结算价不超过150万元。</w:t>
      </w:r>
    </w:p>
    <w:p w14:paraId="28946916">
      <w:pPr>
        <w:rPr>
          <w:color w:val="auto"/>
          <w:sz w:val="24"/>
          <w:szCs w:val="24"/>
          <w:highlight w:val="none"/>
        </w:rPr>
      </w:pPr>
      <w:r>
        <w:rPr>
          <w:rFonts w:hint="eastAsia"/>
          <w:color w:val="auto"/>
          <w:sz w:val="24"/>
          <w:szCs w:val="24"/>
          <w:highlight w:val="none"/>
        </w:rPr>
        <w:t>6.履约保证金为15000元，签订合同后 3 个工作日内向采购人提交（履约保证金可采用支票、汇票、保函、担保等形式），验收合格后5个工作日无息退还。</w:t>
      </w:r>
    </w:p>
    <w:p w14:paraId="07F9D554">
      <w:pPr>
        <w:rPr>
          <w:color w:val="auto"/>
          <w:sz w:val="24"/>
          <w:szCs w:val="24"/>
          <w:highlight w:val="none"/>
        </w:rPr>
      </w:pPr>
      <w:r>
        <w:rPr>
          <w:rFonts w:hint="eastAsia"/>
          <w:color w:val="auto"/>
          <w:sz w:val="24"/>
          <w:szCs w:val="24"/>
          <w:highlight w:val="none"/>
        </w:rPr>
        <w:t>7.投标供应商提供至少一辆登高车，该费用包含在项目总体费用中。</w:t>
      </w:r>
    </w:p>
    <w:p w14:paraId="1358CC0B">
      <w:pPr>
        <w:rPr>
          <w:color w:val="auto"/>
          <w:sz w:val="24"/>
          <w:szCs w:val="24"/>
          <w:highlight w:val="none"/>
        </w:rPr>
        <w:sectPr>
          <w:pgSz w:w="16838" w:h="11906" w:orient="landscape"/>
          <w:pgMar w:top="1588" w:right="1134" w:bottom="1588" w:left="1134" w:header="851" w:footer="992" w:gutter="0"/>
          <w:cols w:space="720" w:num="1"/>
          <w:docGrid w:type="lines" w:linePitch="312" w:charSpace="0"/>
        </w:sectPr>
      </w:pPr>
      <w:r>
        <w:rPr>
          <w:color w:val="auto"/>
          <w:sz w:val="24"/>
          <w:szCs w:val="24"/>
          <w:highlight w:val="none"/>
        </w:rPr>
        <w:br w:type="page"/>
      </w:r>
    </w:p>
    <w:p w14:paraId="224AF8CD">
      <w:pPr>
        <w:pStyle w:val="4"/>
        <w:numPr>
          <w:ilvl w:val="0"/>
          <w:numId w:val="30"/>
        </w:numPr>
        <w:rPr>
          <w:color w:val="auto"/>
          <w:sz w:val="24"/>
          <w:szCs w:val="24"/>
          <w:highlight w:val="none"/>
        </w:rPr>
      </w:pPr>
      <w:r>
        <w:rPr>
          <w:rFonts w:hint="eastAsia"/>
          <w:color w:val="auto"/>
          <w:sz w:val="24"/>
          <w:szCs w:val="24"/>
          <w:highlight w:val="none"/>
        </w:rPr>
        <w:t>商务需求</w:t>
      </w:r>
    </w:p>
    <w:tbl>
      <w:tblPr>
        <w:tblStyle w:val="47"/>
        <w:tblW w:w="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7058"/>
      </w:tblGrid>
      <w:tr w14:paraId="52DE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90" w:type="dxa"/>
            <w:vAlign w:val="center"/>
          </w:tcPr>
          <w:p w14:paraId="45249613">
            <w:pPr>
              <w:jc w:val="both"/>
              <w:rPr>
                <w:rFonts w:ascii="Arial" w:hAnsi="Arial"/>
                <w:color w:val="auto"/>
                <w:sz w:val="24"/>
                <w:szCs w:val="24"/>
                <w:highlight w:val="none"/>
              </w:rPr>
            </w:pPr>
            <w:r>
              <w:rPr>
                <w:rFonts w:hint="eastAsia" w:ascii="Arial" w:hAnsi="Arial"/>
                <w:color w:val="auto"/>
                <w:sz w:val="24"/>
                <w:szCs w:val="24"/>
                <w:highlight w:val="none"/>
              </w:rPr>
              <w:t>工期</w:t>
            </w:r>
          </w:p>
        </w:tc>
        <w:tc>
          <w:tcPr>
            <w:tcW w:w="7058" w:type="dxa"/>
            <w:vAlign w:val="center"/>
          </w:tcPr>
          <w:p w14:paraId="716395CA">
            <w:pPr>
              <w:jc w:val="both"/>
              <w:rPr>
                <w:rFonts w:ascii="Arial" w:hAnsi="Arial"/>
                <w:color w:val="auto"/>
                <w:sz w:val="24"/>
                <w:szCs w:val="24"/>
                <w:highlight w:val="none"/>
              </w:rPr>
            </w:pPr>
            <w:r>
              <w:rPr>
                <w:rFonts w:hint="eastAsia" w:ascii="Arial" w:hAnsi="Arial"/>
                <w:color w:val="auto"/>
                <w:sz w:val="24"/>
                <w:szCs w:val="24"/>
                <w:highlight w:val="none"/>
              </w:rPr>
              <w:t>自合同签订之日起一年</w:t>
            </w:r>
          </w:p>
        </w:tc>
      </w:tr>
      <w:tr w14:paraId="33D8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90" w:type="dxa"/>
            <w:vAlign w:val="center"/>
          </w:tcPr>
          <w:p w14:paraId="30E7866D">
            <w:pPr>
              <w:jc w:val="both"/>
              <w:rPr>
                <w:rFonts w:ascii="Arial" w:hAnsi="Arial"/>
                <w:color w:val="auto"/>
                <w:sz w:val="24"/>
                <w:szCs w:val="24"/>
                <w:highlight w:val="none"/>
              </w:rPr>
            </w:pPr>
            <w:r>
              <w:rPr>
                <w:rFonts w:hint="eastAsia" w:ascii="Arial" w:hAnsi="Arial"/>
                <w:color w:val="auto"/>
                <w:sz w:val="24"/>
                <w:szCs w:val="24"/>
                <w:highlight w:val="none"/>
              </w:rPr>
              <w:t>验收方式及付款方式</w:t>
            </w:r>
          </w:p>
        </w:tc>
        <w:tc>
          <w:tcPr>
            <w:tcW w:w="7058" w:type="dxa"/>
            <w:vAlign w:val="center"/>
          </w:tcPr>
          <w:p w14:paraId="33139FA2">
            <w:pPr>
              <w:jc w:val="both"/>
              <w:rPr>
                <w:rFonts w:ascii="Arial" w:hAnsi="Arial"/>
                <w:color w:val="auto"/>
                <w:sz w:val="24"/>
                <w:szCs w:val="24"/>
                <w:highlight w:val="none"/>
              </w:rPr>
            </w:pPr>
            <w:r>
              <w:rPr>
                <w:rFonts w:hint="eastAsia" w:ascii="Arial" w:hAnsi="Arial"/>
                <w:color w:val="auto"/>
                <w:sz w:val="24"/>
                <w:szCs w:val="24"/>
                <w:highlight w:val="none"/>
              </w:rPr>
              <w:t>验收方式：在合同工期结束后或结算金额达150万对本项目进行验收。</w:t>
            </w:r>
          </w:p>
          <w:p w14:paraId="631711E3">
            <w:pPr>
              <w:jc w:val="both"/>
              <w:rPr>
                <w:rFonts w:ascii="Arial" w:hAnsi="Arial"/>
                <w:color w:val="auto"/>
                <w:sz w:val="24"/>
                <w:szCs w:val="24"/>
                <w:highlight w:val="none"/>
              </w:rPr>
            </w:pPr>
            <w:r>
              <w:rPr>
                <w:rFonts w:hint="eastAsia" w:ascii="Arial" w:hAnsi="Arial"/>
                <w:color w:val="auto"/>
                <w:sz w:val="24"/>
                <w:szCs w:val="24"/>
                <w:highlight w:val="none"/>
              </w:rPr>
              <w:t>付款方式：以下付款均是在采购人收到中标人提交的正式发票且财政资金到位后7个工作日支付。每月15日前中标单位提交经监理单位核实、采购人确认的上一月电子监控设备改造维护数量和价款，按月进行支付(每月只支付上一个月金额的80%)，其余款项待完工后按最终核定价款予以支付（项目总结算价不超过150万元）。</w:t>
            </w:r>
          </w:p>
        </w:tc>
      </w:tr>
      <w:tr w14:paraId="576F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590" w:type="dxa"/>
            <w:vAlign w:val="center"/>
          </w:tcPr>
          <w:p w14:paraId="5F088421">
            <w:pPr>
              <w:jc w:val="both"/>
              <w:rPr>
                <w:rFonts w:ascii="Arial" w:hAnsi="Arial"/>
                <w:color w:val="auto"/>
                <w:sz w:val="24"/>
                <w:szCs w:val="24"/>
                <w:highlight w:val="none"/>
              </w:rPr>
            </w:pPr>
            <w:r>
              <w:rPr>
                <w:rFonts w:hint="eastAsia" w:ascii="Arial" w:hAnsi="Arial"/>
                <w:color w:val="auto"/>
                <w:sz w:val="24"/>
                <w:szCs w:val="24"/>
                <w:highlight w:val="none"/>
              </w:rPr>
              <w:t>履约保证金</w:t>
            </w:r>
          </w:p>
        </w:tc>
        <w:tc>
          <w:tcPr>
            <w:tcW w:w="7058" w:type="dxa"/>
            <w:vAlign w:val="center"/>
          </w:tcPr>
          <w:p w14:paraId="38A20F2F">
            <w:pPr>
              <w:jc w:val="both"/>
              <w:rPr>
                <w:rFonts w:ascii="Arial" w:hAnsi="Arial"/>
                <w:b/>
                <w:color w:val="auto"/>
                <w:sz w:val="24"/>
                <w:szCs w:val="24"/>
                <w:highlight w:val="none"/>
              </w:rPr>
            </w:pPr>
            <w:r>
              <w:rPr>
                <w:rFonts w:hint="eastAsia" w:ascii="Arial" w:hAnsi="Arial"/>
                <w:color w:val="auto"/>
                <w:sz w:val="24"/>
                <w:szCs w:val="24"/>
                <w:highlight w:val="none"/>
              </w:rPr>
              <w:t>履约保证金为</w:t>
            </w:r>
            <w:r>
              <w:rPr>
                <w:rFonts w:hint="eastAsia" w:ascii="Arial" w:hAnsi="Arial"/>
                <w:color w:val="auto"/>
                <w:sz w:val="24"/>
                <w:szCs w:val="24"/>
                <w:highlight w:val="none"/>
                <w:lang w:val="en-US" w:eastAsia="zh-CN"/>
              </w:rPr>
              <w:t>15000</w:t>
            </w:r>
            <w:r>
              <w:rPr>
                <w:rFonts w:hint="eastAsia" w:ascii="Arial" w:hAnsi="Arial"/>
                <w:color w:val="auto"/>
                <w:sz w:val="24"/>
                <w:szCs w:val="24"/>
                <w:highlight w:val="none"/>
              </w:rPr>
              <w:t>元，签订合同后 3 个工作日内向采购人提交（履约保证金可采用支票、汇票、保函、担保等形式），验收合格后5个工作日无息退还。</w:t>
            </w:r>
          </w:p>
        </w:tc>
      </w:tr>
      <w:tr w14:paraId="02C1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655F547C">
            <w:pPr>
              <w:jc w:val="both"/>
              <w:rPr>
                <w:rFonts w:ascii="Arial" w:hAnsi="Arial"/>
                <w:color w:val="auto"/>
                <w:sz w:val="24"/>
                <w:szCs w:val="24"/>
                <w:highlight w:val="none"/>
              </w:rPr>
            </w:pPr>
            <w:r>
              <w:rPr>
                <w:rFonts w:hint="eastAsia" w:ascii="Arial" w:hAnsi="Arial"/>
                <w:color w:val="auto"/>
                <w:sz w:val="24"/>
                <w:szCs w:val="24"/>
                <w:highlight w:val="none"/>
              </w:rPr>
              <w:t>质保期及维保要求</w:t>
            </w:r>
          </w:p>
          <w:p w14:paraId="10F2949F">
            <w:pPr>
              <w:jc w:val="both"/>
              <w:rPr>
                <w:rFonts w:ascii="Arial" w:hAnsi="Arial"/>
                <w:color w:val="auto"/>
                <w:sz w:val="24"/>
                <w:szCs w:val="24"/>
                <w:highlight w:val="none"/>
              </w:rPr>
            </w:pPr>
          </w:p>
        </w:tc>
        <w:tc>
          <w:tcPr>
            <w:tcW w:w="7058" w:type="dxa"/>
            <w:vAlign w:val="center"/>
          </w:tcPr>
          <w:p w14:paraId="7E3E6B98">
            <w:pPr>
              <w:pStyle w:val="14"/>
              <w:jc w:val="both"/>
              <w:rPr>
                <w:rFonts w:ascii="Arial" w:hAnsi="Arial"/>
                <w:color w:val="auto"/>
                <w:sz w:val="24"/>
                <w:szCs w:val="24"/>
                <w:highlight w:val="none"/>
              </w:rPr>
            </w:pPr>
            <w:r>
              <w:rPr>
                <w:rFonts w:hint="eastAsia" w:ascii="Arial" w:hAnsi="Arial"/>
                <w:color w:val="auto"/>
                <w:sz w:val="24"/>
                <w:szCs w:val="24"/>
                <w:highlight w:val="none"/>
              </w:rPr>
              <w:t>1、质保期：要求从验收合格后开始硬件质保三年(具体需质保设备见清单备注)</w:t>
            </w:r>
          </w:p>
          <w:p w14:paraId="14365A37">
            <w:pPr>
              <w:pStyle w:val="123"/>
              <w:ind w:firstLine="480"/>
              <w:jc w:val="both"/>
              <w:rPr>
                <w:color w:val="auto"/>
                <w:sz w:val="24"/>
                <w:szCs w:val="24"/>
                <w:highlight w:val="none"/>
              </w:rPr>
            </w:pPr>
            <w:r>
              <w:rPr>
                <w:rFonts w:hint="eastAsia"/>
                <w:color w:val="auto"/>
                <w:sz w:val="24"/>
                <w:szCs w:val="24"/>
                <w:highlight w:val="none"/>
              </w:rPr>
              <w:t>2、相机、终端、传输设备、硬盘或其他等设备出现故障，在接到采购人（或使用人）或监理单位的维修通知后，应在30分钟内响应，并在2小时内赶到现场维修，4小时恢复正常工作，若问题不能现场解决，也将采取相应措施（包括用备品备件更换故障设备）以保证设备正常运行，维护结束恢复正常后须由采购人（或使用人）或监理单位书面确认，维护维修记录应当做记录（一式两份），未履行（包括用备品备件更换故障设备）的每次从履约保证金中扣款500元。故障超过24小时仍未解决的，另按每个设备500元/天从履约保证金中扣除费用，直至故障修复为止。有特殊情况的，经采购人（或使用人）同意，可以延长修复时间。</w:t>
            </w:r>
          </w:p>
          <w:p w14:paraId="6F4B5CA6">
            <w:pPr>
              <w:pStyle w:val="123"/>
              <w:ind w:firstLine="480"/>
              <w:jc w:val="both"/>
              <w:rPr>
                <w:color w:val="auto"/>
                <w:sz w:val="24"/>
                <w:szCs w:val="24"/>
                <w:highlight w:val="none"/>
              </w:rPr>
            </w:pPr>
            <w:r>
              <w:rPr>
                <w:rFonts w:hint="eastAsia"/>
                <w:color w:val="auto"/>
                <w:sz w:val="24"/>
                <w:szCs w:val="24"/>
                <w:highlight w:val="none"/>
              </w:rPr>
              <w:t>3、管道、基础、窨井、线缆等破损的（排除不可抗力及人为破坏造成的情况），应2小时内响应，并在48小时内修复，未履行的每次从履约保证金中扣款1000元，故障超过48小时仍未解决的，另按500元/天从履约保证金中扣除费用，直至故障修复为止。特殊情况，经采购人（或使用人）同意，可以延长修复时间。设备修复后，中标人须提供一式两份报告给采购人（或使用人）或监理单位，包括故障原因，解决措施完成修理所需时间及恢复正常运行日期。</w:t>
            </w:r>
          </w:p>
          <w:p w14:paraId="1329753B">
            <w:pPr>
              <w:pStyle w:val="123"/>
              <w:ind w:firstLine="480"/>
              <w:jc w:val="both"/>
              <w:rPr>
                <w:color w:val="auto"/>
                <w:sz w:val="24"/>
                <w:szCs w:val="24"/>
                <w:highlight w:val="none"/>
              </w:rPr>
            </w:pPr>
            <w:r>
              <w:rPr>
                <w:rFonts w:hint="eastAsia"/>
                <w:color w:val="auto"/>
                <w:sz w:val="24"/>
                <w:szCs w:val="24"/>
                <w:highlight w:val="none"/>
              </w:rPr>
              <w:t>4、中标人必须完全配合本项目合同履约期间监理单位工作，对经采购人（授权监理单位）签发的通知单等，中标人都应按要求予以回复及执行。不及时回复或执行的，采购人（或使用人）有权每次从履约保证金中扣除1000元/次。</w:t>
            </w:r>
          </w:p>
          <w:p w14:paraId="6CD117F2">
            <w:pPr>
              <w:jc w:val="both"/>
              <w:rPr>
                <w:rFonts w:ascii="Arial" w:hAnsi="Arial"/>
                <w:color w:val="auto"/>
                <w:sz w:val="24"/>
                <w:szCs w:val="24"/>
                <w:highlight w:val="none"/>
              </w:rPr>
            </w:pPr>
          </w:p>
        </w:tc>
      </w:tr>
      <w:tr w14:paraId="3B06B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0" w:type="dxa"/>
            <w:vAlign w:val="center"/>
          </w:tcPr>
          <w:p w14:paraId="7AE6405F">
            <w:pPr>
              <w:jc w:val="both"/>
              <w:rPr>
                <w:rFonts w:ascii="Arial" w:hAnsi="Arial"/>
                <w:color w:val="auto"/>
                <w:sz w:val="24"/>
                <w:szCs w:val="24"/>
                <w:highlight w:val="none"/>
              </w:rPr>
            </w:pPr>
            <w:r>
              <w:rPr>
                <w:rFonts w:hint="eastAsia" w:ascii="Arial" w:hAnsi="Arial"/>
                <w:color w:val="auto"/>
                <w:sz w:val="24"/>
                <w:szCs w:val="24"/>
                <w:highlight w:val="none"/>
              </w:rPr>
              <w:t>其他要求</w:t>
            </w:r>
          </w:p>
        </w:tc>
        <w:tc>
          <w:tcPr>
            <w:tcW w:w="7058" w:type="dxa"/>
            <w:vAlign w:val="center"/>
          </w:tcPr>
          <w:p w14:paraId="53CF4AAC">
            <w:pPr>
              <w:pStyle w:val="4"/>
              <w:jc w:val="both"/>
              <w:rPr>
                <w:rFonts w:ascii="Arial" w:hAnsi="Arial"/>
                <w:color w:val="auto"/>
                <w:sz w:val="24"/>
                <w:szCs w:val="24"/>
                <w:highlight w:val="none"/>
              </w:rPr>
            </w:pPr>
            <w:r>
              <w:rPr>
                <w:rFonts w:hint="eastAsia" w:ascii="Arial" w:hAnsi="Arial"/>
                <w:color w:val="auto"/>
                <w:sz w:val="24"/>
                <w:szCs w:val="24"/>
                <w:highlight w:val="none"/>
              </w:rPr>
              <w:t>（一）中标单位职责、权限</w:t>
            </w:r>
          </w:p>
          <w:p w14:paraId="165FD4DF">
            <w:pPr>
              <w:jc w:val="both"/>
              <w:rPr>
                <w:rFonts w:ascii="Arial" w:hAnsi="Arial"/>
                <w:color w:val="auto"/>
                <w:sz w:val="24"/>
                <w:szCs w:val="24"/>
                <w:highlight w:val="none"/>
              </w:rPr>
            </w:pPr>
            <w:r>
              <w:rPr>
                <w:rFonts w:hint="eastAsia" w:ascii="Arial" w:hAnsi="Arial"/>
                <w:color w:val="auto"/>
                <w:sz w:val="24"/>
                <w:szCs w:val="24"/>
                <w:highlight w:val="none"/>
              </w:rPr>
              <w:t>（1）按有关技术规范进行施工，确保项目质量。</w:t>
            </w:r>
          </w:p>
          <w:p w14:paraId="716D5819">
            <w:pPr>
              <w:jc w:val="both"/>
              <w:rPr>
                <w:rFonts w:ascii="Arial" w:hAnsi="Arial"/>
                <w:color w:val="auto"/>
                <w:sz w:val="24"/>
                <w:szCs w:val="24"/>
                <w:highlight w:val="none"/>
              </w:rPr>
            </w:pPr>
            <w:r>
              <w:rPr>
                <w:rFonts w:hint="eastAsia" w:ascii="Arial" w:hAnsi="Arial"/>
                <w:color w:val="auto"/>
                <w:sz w:val="24"/>
                <w:szCs w:val="24"/>
                <w:highlight w:val="none"/>
              </w:rPr>
              <w:t>（2）服从交通警察局、监理单位工作的进程安排，及时进场并保证工期。</w:t>
            </w:r>
          </w:p>
          <w:p w14:paraId="0EE9347E">
            <w:pPr>
              <w:jc w:val="both"/>
              <w:rPr>
                <w:rFonts w:ascii="Arial" w:hAnsi="Arial"/>
                <w:color w:val="auto"/>
                <w:sz w:val="24"/>
                <w:szCs w:val="24"/>
                <w:highlight w:val="none"/>
              </w:rPr>
            </w:pPr>
            <w:r>
              <w:rPr>
                <w:rFonts w:hint="eastAsia" w:ascii="Arial" w:hAnsi="Arial"/>
                <w:color w:val="auto"/>
                <w:sz w:val="24"/>
                <w:szCs w:val="24"/>
                <w:highlight w:val="none"/>
              </w:rPr>
              <w:t>(3)接到交通警察局书面通知后，按要求进行工程项目建设，并及时向监理单位报备（书面通知格式和方式另行规定）。</w:t>
            </w:r>
          </w:p>
          <w:p w14:paraId="05A36455">
            <w:pPr>
              <w:jc w:val="both"/>
              <w:rPr>
                <w:rFonts w:ascii="Arial" w:hAnsi="Arial"/>
                <w:color w:val="auto"/>
                <w:sz w:val="24"/>
                <w:szCs w:val="24"/>
                <w:highlight w:val="none"/>
              </w:rPr>
            </w:pPr>
            <w:r>
              <w:rPr>
                <w:rFonts w:hint="eastAsia" w:ascii="Arial" w:hAnsi="Arial"/>
                <w:color w:val="auto"/>
                <w:sz w:val="24"/>
                <w:szCs w:val="24"/>
                <w:highlight w:val="none"/>
              </w:rPr>
              <w:t>(4)应严格按本次招投标的规定要求履行并承担自己的职责。</w:t>
            </w:r>
          </w:p>
          <w:p w14:paraId="34210CF8">
            <w:pPr>
              <w:jc w:val="both"/>
              <w:rPr>
                <w:rFonts w:ascii="Arial" w:hAnsi="Arial"/>
                <w:color w:val="auto"/>
                <w:sz w:val="24"/>
                <w:szCs w:val="24"/>
                <w:highlight w:val="none"/>
              </w:rPr>
            </w:pPr>
            <w:r>
              <w:rPr>
                <w:rFonts w:hint="eastAsia" w:ascii="Arial" w:hAnsi="Arial"/>
                <w:color w:val="auto"/>
                <w:sz w:val="24"/>
                <w:szCs w:val="24"/>
                <w:highlight w:val="none"/>
              </w:rPr>
              <w:t>(5)按合同条款、技术规范或图纸等要求，承担项目的建设、改造和维护等工作。</w:t>
            </w:r>
          </w:p>
          <w:p w14:paraId="22EB830C">
            <w:pPr>
              <w:jc w:val="both"/>
              <w:rPr>
                <w:rFonts w:ascii="Arial" w:hAnsi="Arial"/>
                <w:color w:val="auto"/>
                <w:sz w:val="24"/>
                <w:szCs w:val="24"/>
                <w:highlight w:val="none"/>
              </w:rPr>
            </w:pPr>
            <w:r>
              <w:rPr>
                <w:rFonts w:hint="eastAsia" w:ascii="Arial" w:hAnsi="Arial"/>
                <w:color w:val="auto"/>
                <w:sz w:val="24"/>
                <w:szCs w:val="24"/>
                <w:highlight w:val="none"/>
              </w:rPr>
              <w:t>(6)所使用的主要原材料均需要提供检测报告或质量保证单。</w:t>
            </w:r>
          </w:p>
          <w:p w14:paraId="50AED0B9">
            <w:pPr>
              <w:jc w:val="both"/>
              <w:rPr>
                <w:rFonts w:ascii="Arial" w:hAnsi="Arial"/>
                <w:color w:val="auto"/>
                <w:sz w:val="24"/>
                <w:szCs w:val="24"/>
                <w:highlight w:val="none"/>
              </w:rPr>
            </w:pPr>
            <w:r>
              <w:rPr>
                <w:rFonts w:hint="eastAsia" w:ascii="Arial" w:hAnsi="Arial"/>
                <w:color w:val="auto"/>
                <w:sz w:val="24"/>
                <w:szCs w:val="24"/>
                <w:highlight w:val="none"/>
              </w:rPr>
              <w:t>(7)接受交通警察局的各项工作业务指导。</w:t>
            </w:r>
          </w:p>
          <w:p w14:paraId="3B82B2FD">
            <w:pPr>
              <w:jc w:val="both"/>
              <w:rPr>
                <w:rFonts w:ascii="Arial" w:hAnsi="Arial"/>
                <w:color w:val="auto"/>
                <w:sz w:val="24"/>
                <w:szCs w:val="24"/>
                <w:highlight w:val="none"/>
              </w:rPr>
            </w:pPr>
            <w:r>
              <w:rPr>
                <w:rFonts w:hint="eastAsia" w:ascii="Arial" w:hAnsi="Arial"/>
                <w:color w:val="auto"/>
                <w:sz w:val="24"/>
                <w:szCs w:val="24"/>
                <w:highlight w:val="none"/>
              </w:rPr>
              <w:t>(8)负责施工场地的安全文明生产。</w:t>
            </w:r>
          </w:p>
          <w:p w14:paraId="4C7522CD">
            <w:pPr>
              <w:jc w:val="both"/>
              <w:rPr>
                <w:rFonts w:ascii="Arial" w:hAnsi="Arial"/>
                <w:color w:val="auto"/>
                <w:sz w:val="24"/>
                <w:szCs w:val="24"/>
                <w:highlight w:val="none"/>
              </w:rPr>
            </w:pPr>
            <w:r>
              <w:rPr>
                <w:rFonts w:hint="eastAsia" w:ascii="Arial" w:hAnsi="Arial"/>
                <w:color w:val="auto"/>
                <w:sz w:val="24"/>
                <w:szCs w:val="24"/>
                <w:highlight w:val="none"/>
              </w:rPr>
              <w:t>(9)建立项目施工的质量保证体系。</w:t>
            </w:r>
          </w:p>
          <w:p w14:paraId="3EA0B25F">
            <w:pPr>
              <w:jc w:val="both"/>
              <w:rPr>
                <w:rFonts w:ascii="Arial" w:hAnsi="Arial"/>
                <w:color w:val="auto"/>
                <w:sz w:val="24"/>
                <w:szCs w:val="24"/>
                <w:highlight w:val="none"/>
              </w:rPr>
            </w:pPr>
            <w:r>
              <w:rPr>
                <w:rFonts w:hint="eastAsia" w:ascii="Arial" w:hAnsi="Arial"/>
                <w:color w:val="auto"/>
                <w:sz w:val="24"/>
                <w:szCs w:val="24"/>
                <w:highlight w:val="none"/>
              </w:rPr>
              <w:t>(10)接受交通警察局、监理单位对文明施工、安全施工、质量、施工时效等的监管。</w:t>
            </w:r>
          </w:p>
          <w:p w14:paraId="22AC3F12">
            <w:pPr>
              <w:jc w:val="both"/>
              <w:rPr>
                <w:rFonts w:ascii="Arial" w:hAnsi="Arial"/>
                <w:color w:val="auto"/>
                <w:sz w:val="24"/>
                <w:szCs w:val="24"/>
                <w:highlight w:val="none"/>
              </w:rPr>
            </w:pPr>
            <w:r>
              <w:rPr>
                <w:rFonts w:hint="eastAsia" w:ascii="Arial" w:hAnsi="Arial"/>
                <w:color w:val="auto"/>
                <w:sz w:val="24"/>
                <w:szCs w:val="24"/>
                <w:highlight w:val="none"/>
              </w:rPr>
              <w:t>（11）监理单位在巡查过程中发现中标单位在施工中不按国家有关标准设置，施工单位无条件返工；</w:t>
            </w:r>
          </w:p>
          <w:p w14:paraId="66B75BC3">
            <w:pPr>
              <w:jc w:val="both"/>
              <w:rPr>
                <w:rFonts w:ascii="Arial" w:hAnsi="Arial"/>
                <w:color w:val="auto"/>
                <w:sz w:val="24"/>
                <w:szCs w:val="24"/>
                <w:highlight w:val="none"/>
              </w:rPr>
            </w:pPr>
            <w:r>
              <w:rPr>
                <w:rFonts w:hint="eastAsia" w:ascii="Arial" w:hAnsi="Arial"/>
                <w:color w:val="auto"/>
                <w:sz w:val="24"/>
                <w:szCs w:val="24"/>
                <w:highlight w:val="none"/>
              </w:rPr>
              <w:t>（12）中标单位应完全配合本项目监理单位工作，对经招标单位授权监理单位签发的通知单等，中标单位都应按要求予以回复及执行，否则按1000元/次处罚。</w:t>
            </w:r>
          </w:p>
          <w:p w14:paraId="2204BCEA">
            <w:pPr>
              <w:jc w:val="both"/>
              <w:rPr>
                <w:rFonts w:ascii="Arial" w:hAnsi="Arial"/>
                <w:b/>
                <w:color w:val="auto"/>
                <w:sz w:val="24"/>
                <w:szCs w:val="24"/>
                <w:highlight w:val="none"/>
              </w:rPr>
            </w:pPr>
            <w:r>
              <w:rPr>
                <w:rFonts w:hint="eastAsia" w:ascii="Arial" w:hAnsi="Arial"/>
                <w:color w:val="auto"/>
                <w:sz w:val="24"/>
                <w:szCs w:val="24"/>
                <w:highlight w:val="none"/>
              </w:rPr>
              <w:t>（13）若中标单位员工在作业过程中发生意外事故，必须按有关规定处理，一切经济损失和各项费用由中标单位承担，与招标单位无关。</w:t>
            </w:r>
          </w:p>
          <w:p w14:paraId="5C3FD9D6">
            <w:pPr>
              <w:pStyle w:val="4"/>
              <w:jc w:val="both"/>
              <w:rPr>
                <w:rFonts w:ascii="Arial" w:hAnsi="Arial"/>
                <w:color w:val="auto"/>
                <w:sz w:val="24"/>
                <w:szCs w:val="24"/>
                <w:highlight w:val="none"/>
              </w:rPr>
            </w:pPr>
            <w:r>
              <w:rPr>
                <w:rFonts w:hint="eastAsia" w:ascii="Arial" w:hAnsi="Arial"/>
                <w:color w:val="auto"/>
                <w:sz w:val="24"/>
                <w:szCs w:val="24"/>
                <w:highlight w:val="none"/>
              </w:rPr>
              <w:t>（二）中标单位违约责任</w:t>
            </w:r>
          </w:p>
          <w:p w14:paraId="14B6E8DC">
            <w:pPr>
              <w:jc w:val="both"/>
              <w:rPr>
                <w:rFonts w:ascii="Arial" w:hAnsi="Arial"/>
                <w:color w:val="auto"/>
                <w:sz w:val="24"/>
                <w:szCs w:val="24"/>
                <w:highlight w:val="none"/>
              </w:rPr>
            </w:pPr>
            <w:r>
              <w:rPr>
                <w:rFonts w:hint="eastAsia" w:ascii="Arial" w:hAnsi="Arial"/>
                <w:color w:val="auto"/>
                <w:sz w:val="24"/>
                <w:szCs w:val="24"/>
                <w:highlight w:val="none"/>
              </w:rPr>
              <w:t>1、未达到招标文件的技术要求标准，按每一项扣减合同款1000元，并无条件进行返工。</w:t>
            </w:r>
          </w:p>
          <w:p w14:paraId="72D26464">
            <w:pPr>
              <w:jc w:val="both"/>
              <w:rPr>
                <w:rFonts w:ascii="Arial" w:hAnsi="Arial"/>
                <w:color w:val="auto"/>
                <w:sz w:val="24"/>
                <w:szCs w:val="24"/>
                <w:highlight w:val="none"/>
              </w:rPr>
            </w:pPr>
            <w:r>
              <w:rPr>
                <w:rFonts w:hint="eastAsia" w:ascii="Arial" w:hAnsi="Arial"/>
                <w:color w:val="auto"/>
                <w:sz w:val="24"/>
                <w:szCs w:val="24"/>
                <w:highlight w:val="none"/>
              </w:rPr>
              <w:t>2、 未按要求或工期进行施工的，发现一次，每次扣合同款1000元。</w:t>
            </w:r>
          </w:p>
          <w:p w14:paraId="47A0E58B">
            <w:pPr>
              <w:jc w:val="both"/>
              <w:rPr>
                <w:rFonts w:ascii="Arial" w:hAnsi="Arial"/>
                <w:color w:val="auto"/>
                <w:sz w:val="24"/>
                <w:szCs w:val="24"/>
                <w:highlight w:val="none"/>
              </w:rPr>
            </w:pPr>
            <w:r>
              <w:rPr>
                <w:rFonts w:hint="eastAsia" w:ascii="Arial" w:hAnsi="Arial"/>
                <w:color w:val="auto"/>
                <w:sz w:val="24"/>
                <w:szCs w:val="24"/>
                <w:highlight w:val="none"/>
              </w:rPr>
              <w:t>3、中标单位未按要求回复及执行监理通知单，每次扣合同款1000元。</w:t>
            </w:r>
          </w:p>
          <w:p w14:paraId="31B70439">
            <w:pPr>
              <w:jc w:val="both"/>
              <w:rPr>
                <w:rFonts w:ascii="Arial" w:hAnsi="Arial"/>
                <w:color w:val="auto"/>
                <w:sz w:val="24"/>
                <w:szCs w:val="24"/>
                <w:highlight w:val="none"/>
              </w:rPr>
            </w:pPr>
            <w:r>
              <w:rPr>
                <w:rFonts w:hint="eastAsia" w:ascii="Arial" w:hAnsi="Arial"/>
                <w:color w:val="auto"/>
                <w:sz w:val="24"/>
                <w:szCs w:val="24"/>
                <w:highlight w:val="none"/>
              </w:rPr>
              <w:t>4、发现用不符合要求的设备、材料和偷工减料的情况，除按要求返工外,第一次从最近支付的合同款中扣减1000元；第二次从最近支付的合同款中扣减2000元；第三次从最近支付的合同款中扣减3000元，采购人有权中止合同，并追究中标单位责任。</w:t>
            </w:r>
          </w:p>
          <w:p w14:paraId="3B29FAFA">
            <w:pPr>
              <w:jc w:val="both"/>
              <w:rPr>
                <w:rFonts w:hint="eastAsia" w:ascii="Arial" w:hAnsi="Arial"/>
                <w:color w:val="auto"/>
                <w:sz w:val="24"/>
                <w:szCs w:val="24"/>
                <w:highlight w:val="none"/>
              </w:rPr>
            </w:pPr>
            <w:r>
              <w:rPr>
                <w:rFonts w:hint="eastAsia" w:ascii="Arial" w:hAnsi="Arial"/>
                <w:color w:val="auto"/>
                <w:sz w:val="24"/>
                <w:szCs w:val="24"/>
                <w:highlight w:val="none"/>
              </w:rPr>
              <w:t>5、未按采购文件要求或投标承诺提供登高车的，采购人有权按每辆登高车3000元违约金罚没，并从最近支付的合同款中扣减。</w:t>
            </w:r>
          </w:p>
          <w:p w14:paraId="799DDD6A">
            <w:pPr>
              <w:jc w:val="both"/>
              <w:rPr>
                <w:rFonts w:hint="eastAsia" w:ascii="Arial" w:hAnsi="Arial"/>
                <w:color w:val="auto"/>
                <w:sz w:val="24"/>
                <w:szCs w:val="24"/>
                <w:highlight w:val="none"/>
                <w:lang w:eastAsia="zh-CN"/>
              </w:rPr>
            </w:pPr>
          </w:p>
          <w:p w14:paraId="7FC98C54">
            <w:pPr>
              <w:jc w:val="both"/>
              <w:rPr>
                <w:rFonts w:hint="eastAsia" w:ascii="Arial" w:hAnsi="Arial"/>
                <w:color w:val="auto"/>
                <w:sz w:val="24"/>
                <w:szCs w:val="24"/>
                <w:highlight w:val="none"/>
              </w:rPr>
            </w:pPr>
            <w:r>
              <w:rPr>
                <w:rFonts w:hint="eastAsia" w:ascii="Arial" w:hAnsi="Arial"/>
                <w:color w:val="auto"/>
                <w:sz w:val="24"/>
                <w:szCs w:val="24"/>
                <w:highlight w:val="none"/>
                <w:lang w:eastAsia="zh-CN"/>
              </w:rPr>
              <w:t>（</w:t>
            </w:r>
            <w:r>
              <w:rPr>
                <w:rFonts w:hint="eastAsia" w:ascii="Arial" w:hAnsi="Arial"/>
                <w:color w:val="auto"/>
                <w:sz w:val="24"/>
                <w:szCs w:val="24"/>
                <w:highlight w:val="none"/>
                <w:lang w:val="en-US" w:eastAsia="zh-CN"/>
              </w:rPr>
              <w:t>三</w:t>
            </w:r>
            <w:r>
              <w:rPr>
                <w:rFonts w:hint="eastAsia" w:ascii="Arial" w:hAnsi="Arial"/>
                <w:color w:val="auto"/>
                <w:sz w:val="24"/>
                <w:szCs w:val="24"/>
                <w:highlight w:val="none"/>
                <w:lang w:eastAsia="zh-CN"/>
              </w:rPr>
              <w:t>）</w:t>
            </w:r>
            <w:r>
              <w:rPr>
                <w:rFonts w:hint="eastAsia" w:ascii="Arial" w:hAnsi="Arial"/>
                <w:color w:val="auto"/>
                <w:sz w:val="24"/>
                <w:szCs w:val="24"/>
                <w:highlight w:val="none"/>
              </w:rPr>
              <w:t>▲所有参加该项目的技术人员和管理人员上岗前都需参加保密工作培训，确保公安系统底层数据和客户资料的无泄密,要求中标供应商在合同签订前与采购人签订保密协议，并提供技术人员和管理人员参加保密工作培训的书面记录（包括但不限于：保密培训材料、培训签到册、培训现场照片、培训考核情况等）。</w:t>
            </w:r>
          </w:p>
          <w:p w14:paraId="3D17D546">
            <w:pPr>
              <w:jc w:val="both"/>
              <w:rPr>
                <w:rFonts w:hint="eastAsia" w:ascii="Arial" w:hAnsi="Arial"/>
                <w:color w:val="auto"/>
                <w:sz w:val="24"/>
                <w:szCs w:val="24"/>
                <w:highlight w:val="none"/>
              </w:rPr>
            </w:pPr>
            <w:r>
              <w:rPr>
                <w:rFonts w:hint="eastAsia" w:ascii="Arial" w:hAnsi="Arial"/>
                <w:color w:val="auto"/>
                <w:sz w:val="24"/>
                <w:szCs w:val="24"/>
                <w:highlight w:val="none"/>
              </w:rPr>
              <w:t>中标供应商应建立健全的数据使用安全管理制度，并定期组织开展数据安全教育培训，采取相应的技术措施和其他必要措施，保障数据安全。利用互联网等信息网络开展数据处理活动，应当在网络安全等级保护制度的基础上，履行上述数据安全保护义务。</w:t>
            </w:r>
          </w:p>
        </w:tc>
      </w:tr>
    </w:tbl>
    <w:p w14:paraId="2E9FC279">
      <w:pPr>
        <w:rPr>
          <w:rFonts w:asciiTheme="minorEastAsia" w:hAnsiTheme="minorEastAsia" w:eastAsiaTheme="minorEastAsia"/>
          <w:color w:val="auto"/>
          <w:sz w:val="24"/>
          <w:szCs w:val="24"/>
          <w:highlight w:val="none"/>
        </w:rPr>
      </w:pPr>
      <w:r>
        <w:rPr>
          <w:color w:val="auto"/>
          <w:sz w:val="24"/>
          <w:szCs w:val="24"/>
          <w:highlight w:val="none"/>
        </w:rPr>
        <w:br w:type="page"/>
      </w:r>
    </w:p>
    <w:p w14:paraId="0DDFA268">
      <w:pPr>
        <w:numPr>
          <w:ilvl w:val="0"/>
          <w:numId w:val="15"/>
        </w:numPr>
        <w:spacing w:line="360" w:lineRule="auto"/>
        <w:jc w:val="center"/>
        <w:rPr>
          <w:rFonts w:asciiTheme="minorEastAsia" w:hAnsiTheme="minorEastAsia" w:eastAsiaTheme="minorEastAsia"/>
          <w:b/>
          <w:color w:val="auto"/>
          <w:sz w:val="36"/>
          <w:szCs w:val="36"/>
          <w:highlight w:val="none"/>
        </w:rPr>
      </w:pPr>
      <w:bookmarkStart w:id="125" w:name="_Toc31173_WPSOffice_Level1"/>
      <w:r>
        <w:rPr>
          <w:rFonts w:hint="eastAsia" w:asciiTheme="minorEastAsia" w:hAnsiTheme="minorEastAsia" w:eastAsiaTheme="minorEastAsia"/>
          <w:b/>
          <w:color w:val="auto"/>
          <w:sz w:val="36"/>
          <w:szCs w:val="36"/>
          <w:highlight w:val="none"/>
        </w:rPr>
        <w:t>评标</w:t>
      </w:r>
      <w:bookmarkEnd w:id="125"/>
    </w:p>
    <w:p w14:paraId="74359083">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一、评标方法</w:t>
      </w:r>
    </w:p>
    <w:p w14:paraId="1434A8E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综合评分法,是指投标文件满足招标文件全部实质性要求，且按照评审因素的量化指标评审得分最高的投标供应商为第一中标候选人，次高的投标供应商为第二中标候选人的评标方法。</w:t>
      </w:r>
    </w:p>
    <w:p w14:paraId="255E77F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二、评标原则</w:t>
      </w:r>
    </w:p>
    <w:p w14:paraId="262730D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（一）评标活动遵循公平、公正、科学和择优的原则，以招标文件和投标文件为评标的基本依据，并按照招标文件规定的评标方法和评标标准进行评标。</w:t>
      </w:r>
    </w:p>
    <w:p w14:paraId="6E9B03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（二）任何单位和个人不得干扰、影响评标的正常进行；评标委员会及有关工作人员应不带任何倾向性和启发性，不得向外界透露任何与评标有关的内容，不得私下与投标供应商接触。</w:t>
      </w:r>
    </w:p>
    <w:p w14:paraId="360AAEA6">
      <w:pPr>
        <w:pStyle w:val="45"/>
        <w:spacing w:after="0" w:line="360" w:lineRule="auto"/>
        <w:ind w:left="0" w:leftChars="0"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三、评标委员会</w:t>
      </w:r>
    </w:p>
    <w:p w14:paraId="393AA985">
      <w:pPr>
        <w:pStyle w:val="13"/>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（一）本项目评标委员会由采购人代表和评审专家组成。</w:t>
      </w:r>
    </w:p>
    <w:p w14:paraId="50C501B7">
      <w:pPr>
        <w:pStyle w:val="13"/>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（二）评标委员会成员与参与投标的供应商有下列情形之一的，应当回避：</w:t>
      </w:r>
    </w:p>
    <w:p w14:paraId="351ADF5B">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14:paraId="495FF35C">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14:paraId="7F2E086E">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14:paraId="3A198D76">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14:paraId="4CB78307">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14:paraId="22DD8B0F">
      <w:pPr>
        <w:pStyle w:val="13"/>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（三）评标委员会负责具体评标事务，并独立履行下列职责：</w:t>
      </w:r>
    </w:p>
    <w:p w14:paraId="39E19BCE">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1.审查、评价投标文件是否符合招标文件的商务、技术等实质性要求；</w:t>
      </w:r>
    </w:p>
    <w:p w14:paraId="61BA0DE8">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2.要求投标供应商对投标文件有关事项做出澄清或者说明；</w:t>
      </w:r>
    </w:p>
    <w:p w14:paraId="074D140D">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3.对投标文件进行比较和评价；</w:t>
      </w:r>
    </w:p>
    <w:p w14:paraId="193B7250">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4.确定中标候选人名单，以及根据采购人委托直接确定中标供应商；</w:t>
      </w:r>
    </w:p>
    <w:p w14:paraId="78DA18FF">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5.向采购人、采购组织机构或者有关部门报告评标中发现的违法行为；</w:t>
      </w:r>
    </w:p>
    <w:p w14:paraId="2F59457F">
      <w:pPr>
        <w:pStyle w:val="13"/>
        <w:spacing w:line="360" w:lineRule="auto"/>
        <w:ind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6.法律法规规定的其他职责。</w:t>
      </w:r>
    </w:p>
    <w:p w14:paraId="77F76A83">
      <w:pPr>
        <w:pStyle w:val="42"/>
        <w:spacing w:before="0" w:beforeAutospacing="0" w:after="0" w:afterAutospacing="0" w:line="360" w:lineRule="auto"/>
        <w:ind w:firstLine="422" w:firstLineChars="200"/>
        <w:jc w:val="both"/>
        <w:rPr>
          <w:rFonts w:hint="default" w:asciiTheme="minorEastAsia" w:hAnsiTheme="minorEastAsia" w:eastAsiaTheme="minorEastAsia"/>
          <w:b/>
          <w:color w:val="auto"/>
          <w:sz w:val="21"/>
          <w:szCs w:val="21"/>
          <w:highlight w:val="none"/>
        </w:rPr>
      </w:pPr>
      <w:r>
        <w:rPr>
          <w:rFonts w:asciiTheme="minorEastAsia" w:hAnsiTheme="minorEastAsia" w:eastAsiaTheme="minorEastAsia"/>
          <w:b/>
          <w:color w:val="auto"/>
          <w:sz w:val="21"/>
          <w:szCs w:val="21"/>
          <w:highlight w:val="none"/>
        </w:rPr>
        <w:t>四、无效标情形</w:t>
      </w:r>
    </w:p>
    <w:p w14:paraId="678655BA">
      <w:pPr>
        <w:adjustRightInd w:val="0"/>
        <w:snapToGrid w:val="0"/>
        <w:spacing w:line="360" w:lineRule="auto"/>
        <w:ind w:firstLine="420"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color w:val="auto"/>
          <w:kern w:val="0"/>
          <w:szCs w:val="21"/>
          <w:highlight w:val="none"/>
        </w:rPr>
        <w:t>（一）在资格证明文件或商务与技术文件中出现投标报价的，或者报价文件中报价的服务跟商务与技术文件中的投标服务出现重大偏差的；</w:t>
      </w:r>
    </w:p>
    <w:p w14:paraId="03DF802B">
      <w:pPr>
        <w:pStyle w:val="42"/>
        <w:tabs>
          <w:tab w:val="left" w:pos="7380"/>
        </w:tabs>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（二）不具备招标文件中规定的资格要求的；</w:t>
      </w:r>
      <w:r>
        <w:rPr>
          <w:rFonts w:hint="default" w:asciiTheme="minorEastAsia" w:hAnsiTheme="minorEastAsia" w:eastAsiaTheme="minorEastAsia"/>
          <w:color w:val="auto"/>
          <w:sz w:val="21"/>
          <w:szCs w:val="21"/>
          <w:highlight w:val="none"/>
        </w:rPr>
        <w:tab/>
      </w:r>
    </w:p>
    <w:p w14:paraId="3DEF8EC0">
      <w:pPr>
        <w:pStyle w:val="42"/>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（三）投标文件含有采购人不能接受的附加条件的；</w:t>
      </w:r>
    </w:p>
    <w:p w14:paraId="273C20B7">
      <w:pPr>
        <w:pStyle w:val="18"/>
        <w:spacing w:line="360" w:lineRule="auto"/>
        <w:ind w:firstLine="420" w:firstLineChars="200"/>
        <w:jc w:val="both"/>
        <w:rPr>
          <w:rFonts w:asciiTheme="minorEastAsia" w:hAnsiTheme="minorEastAsia" w:eastAsiaTheme="minorEastAsia"/>
          <w:bCs/>
          <w:color w:val="auto"/>
          <w:kern w:val="0"/>
          <w:szCs w:val="21"/>
          <w:highlight w:val="none"/>
        </w:rPr>
      </w:pPr>
      <w:r>
        <w:rPr>
          <w:rFonts w:hint="eastAsia" w:asciiTheme="minorEastAsia" w:hAnsiTheme="minorEastAsia" w:eastAsiaTheme="minorEastAsia"/>
          <w:color w:val="auto"/>
          <w:kern w:val="0"/>
          <w:szCs w:val="21"/>
          <w:highlight w:val="none"/>
        </w:rPr>
        <w:t>（四）评标委员会认为投标供应商的报价明显低于其他通过符合性审查投标供应商的报价，有可能影响产品质量或者不能诚信履约的，投标供应商在限定的时间内不能证明其报价合理性的，评标委员会应当将其作为无效投标处理；</w:t>
      </w:r>
    </w:p>
    <w:p w14:paraId="45F95999">
      <w:pPr>
        <w:pStyle w:val="42"/>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 xml:space="preserve">（五）报价超过招标文件中规定的预算金额（结算率）/最高限价或未填写投标报价的； </w:t>
      </w:r>
    </w:p>
    <w:p w14:paraId="0F015D22">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（六）投标参数未如实填写；</w:t>
      </w:r>
    </w:p>
    <w:p w14:paraId="2A8BE92F">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 xml:space="preserve">（七）投标文件存在虚假材料的； </w:t>
      </w:r>
    </w:p>
    <w:p w14:paraId="467C4366">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（八）有</w:t>
      </w:r>
      <w:r>
        <w:rPr>
          <w:rFonts w:asciiTheme="minorEastAsia" w:hAnsiTheme="minorEastAsia" w:eastAsiaTheme="minorEastAsia"/>
          <w:color w:val="auto"/>
          <w:kern w:val="0"/>
          <w:szCs w:val="21"/>
          <w:highlight w:val="none"/>
        </w:rPr>
        <w:t>中华人民共和国财政部令第87号《政府采购货物和服务招标投标管理办法》第三十七条情形之一的，视为投标供应商串通投标，其投标无效</w:t>
      </w:r>
      <w:r>
        <w:rPr>
          <w:rFonts w:hint="eastAsia" w:asciiTheme="minorEastAsia" w:hAnsiTheme="minorEastAsia" w:eastAsiaTheme="minorEastAsia"/>
          <w:color w:val="auto"/>
          <w:kern w:val="0"/>
          <w:szCs w:val="21"/>
          <w:highlight w:val="none"/>
        </w:rPr>
        <w:t>，并移送采购监管部门</w:t>
      </w:r>
      <w:r>
        <w:rPr>
          <w:rFonts w:asciiTheme="minorEastAsia" w:hAnsiTheme="minorEastAsia" w:eastAsiaTheme="minorEastAsia"/>
          <w:color w:val="auto"/>
          <w:kern w:val="0"/>
          <w:szCs w:val="21"/>
          <w:highlight w:val="none"/>
        </w:rPr>
        <w:t>：</w:t>
      </w:r>
    </w:p>
    <w:p w14:paraId="5B8D04DE">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不同投标供应商的投标文件由同一单位或者个人编制；</w:t>
      </w:r>
    </w:p>
    <w:p w14:paraId="2FD3AE99">
      <w:pPr>
        <w:pStyle w:val="42"/>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2.不同投标供应商委托同一单位或者个人办理投标事宜；</w:t>
      </w:r>
    </w:p>
    <w:p w14:paraId="781CD3C8">
      <w:pPr>
        <w:pStyle w:val="42"/>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3.不同投标供应商的投标文件载明的项目管理成员或者联系人员为同一人；</w:t>
      </w:r>
    </w:p>
    <w:p w14:paraId="449FAA8D">
      <w:pPr>
        <w:pStyle w:val="42"/>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4.不同投标供应商的投标文件异常一致或者投标报价呈规律性差异；</w:t>
      </w:r>
    </w:p>
    <w:p w14:paraId="73C31F74">
      <w:pPr>
        <w:pStyle w:val="42"/>
        <w:spacing w:before="0" w:beforeAutospacing="0" w:after="0" w:afterAutospacing="0" w:line="360" w:lineRule="auto"/>
        <w:ind w:firstLine="420"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color w:val="auto"/>
          <w:sz w:val="21"/>
          <w:szCs w:val="21"/>
          <w:highlight w:val="none"/>
        </w:rPr>
        <w:t>5.不同投标供应商的投标文件相互混装；</w:t>
      </w:r>
    </w:p>
    <w:p w14:paraId="3FEB34F8">
      <w:pPr>
        <w:pStyle w:val="42"/>
        <w:spacing w:before="0" w:beforeAutospacing="0" w:after="0" w:afterAutospacing="0" w:line="360" w:lineRule="auto"/>
        <w:ind w:firstLine="420" w:firstLineChars="200"/>
        <w:jc w:val="both"/>
        <w:rPr>
          <w:rFonts w:hint="default" w:asciiTheme="minorEastAsia" w:hAnsiTheme="minorEastAsia"/>
          <w:color w:val="auto"/>
          <w:sz w:val="21"/>
          <w:szCs w:val="21"/>
          <w:highlight w:val="none"/>
        </w:rPr>
      </w:pPr>
      <w:r>
        <w:rPr>
          <w:rFonts w:asciiTheme="minorEastAsia" w:hAnsiTheme="minorEastAsia" w:eastAsiaTheme="minorEastAsia"/>
          <w:color w:val="auto"/>
          <w:sz w:val="21"/>
          <w:szCs w:val="21"/>
          <w:highlight w:val="none"/>
        </w:rPr>
        <w:t>（十）</w:t>
      </w:r>
      <w:r>
        <w:rPr>
          <w:rFonts w:cs="宋体"/>
          <w:color w:val="auto"/>
          <w:sz w:val="21"/>
          <w:szCs w:val="21"/>
          <w:highlight w:val="none"/>
        </w:rPr>
        <w:t>实质性要求（招标文件中打“▲”内容）不响应的；</w:t>
      </w:r>
    </w:p>
    <w:p w14:paraId="79C815D5">
      <w:pPr>
        <w:pStyle w:val="13"/>
        <w:spacing w:line="360" w:lineRule="auto"/>
        <w:ind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（十一）商务条款不响应的；</w:t>
      </w:r>
    </w:p>
    <w:p w14:paraId="0DB4810E">
      <w:pPr>
        <w:pStyle w:val="13"/>
        <w:spacing w:line="360" w:lineRule="auto"/>
        <w:ind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（十二）投标文件有效期不足的；</w:t>
      </w:r>
    </w:p>
    <w:p w14:paraId="496E7785">
      <w:pPr>
        <w:pStyle w:val="13"/>
        <w:spacing w:line="360" w:lineRule="auto"/>
        <w:ind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（十三）逾期或未按要求提交投标文件的；</w:t>
      </w:r>
    </w:p>
    <w:p w14:paraId="71E29C1A">
      <w:pPr>
        <w:pStyle w:val="13"/>
        <w:spacing w:line="360" w:lineRule="auto"/>
        <w:ind w:firstLineChars="200"/>
        <w:rPr>
          <w:rFonts w:asciiTheme="minorEastAsia" w:hAnsiTheme="minorEastAsia"/>
          <w:color w:val="auto"/>
          <w:kern w:val="0"/>
          <w:szCs w:val="21"/>
          <w:highlight w:val="none"/>
        </w:rPr>
      </w:pPr>
      <w:r>
        <w:rPr>
          <w:rFonts w:hint="eastAsia" w:asciiTheme="minorEastAsia" w:hAnsiTheme="minorEastAsia" w:eastAsiaTheme="minorEastAsia"/>
          <w:color w:val="auto"/>
          <w:kern w:val="0"/>
          <w:szCs w:val="21"/>
          <w:highlight w:val="none"/>
        </w:rPr>
        <w:t>（十四）其他</w:t>
      </w:r>
      <w:r>
        <w:rPr>
          <w:rFonts w:ascii="宋体" w:hAnsi="宋体" w:cs="宋体"/>
          <w:color w:val="auto"/>
          <w:szCs w:val="21"/>
          <w:highlight w:val="none"/>
        </w:rPr>
        <w:t>不符合法律法规相关规定的</w:t>
      </w:r>
      <w:r>
        <w:rPr>
          <w:rFonts w:hint="eastAsia" w:ascii="宋体" w:hAnsi="宋体" w:cs="宋体"/>
          <w:color w:val="auto"/>
          <w:szCs w:val="21"/>
          <w:highlight w:val="none"/>
        </w:rPr>
        <w:t>。</w:t>
      </w:r>
    </w:p>
    <w:p w14:paraId="05EC70CE">
      <w:pPr>
        <w:autoSpaceDE w:val="0"/>
        <w:autoSpaceDN w:val="0"/>
        <w:adjustRightInd w:val="0"/>
        <w:spacing w:line="360" w:lineRule="auto"/>
        <w:ind w:firstLine="422" w:firstLineChars="200"/>
        <w:rPr>
          <w:rFonts w:ascii="宋体" w:hAnsi="宋体" w:cs="宋体"/>
          <w:color w:val="auto"/>
          <w:kern w:val="0"/>
          <w:szCs w:val="21"/>
          <w:highlight w:val="none"/>
        </w:rPr>
      </w:pPr>
      <w:r>
        <w:rPr>
          <w:rFonts w:hint="eastAsia" w:ascii="宋体" w:hAnsi="宋体" w:cs="宋体"/>
          <w:b/>
          <w:color w:val="auto"/>
          <w:kern w:val="0"/>
          <w:szCs w:val="21"/>
          <w:highlight w:val="none"/>
        </w:rPr>
        <w:t>五、废标情形</w:t>
      </w:r>
    </w:p>
    <w:p w14:paraId="1258A044">
      <w:pPr>
        <w:pStyle w:val="42"/>
        <w:spacing w:before="0" w:beforeAutospacing="0" w:after="0" w:afterAutospacing="0" w:line="360" w:lineRule="auto"/>
        <w:ind w:firstLine="420" w:firstLineChars="200"/>
        <w:jc w:val="both"/>
        <w:rPr>
          <w:rFonts w:hint="default" w:cs="宋体"/>
          <w:color w:val="auto"/>
          <w:sz w:val="21"/>
          <w:szCs w:val="21"/>
          <w:highlight w:val="none"/>
        </w:rPr>
      </w:pPr>
      <w:r>
        <w:rPr>
          <w:rFonts w:asciiTheme="minorEastAsia" w:hAnsiTheme="minorEastAsia" w:eastAsiaTheme="minorEastAsia"/>
          <w:color w:val="auto"/>
          <w:sz w:val="21"/>
          <w:szCs w:val="21"/>
          <w:highlight w:val="none"/>
        </w:rPr>
        <w:t>（一）</w:t>
      </w:r>
      <w:r>
        <w:rPr>
          <w:rFonts w:cs="宋体"/>
          <w:color w:val="auto"/>
          <w:sz w:val="21"/>
          <w:szCs w:val="21"/>
          <w:highlight w:val="none"/>
        </w:rPr>
        <w:t>出现影响采购公正的违法、违规行为的；</w:t>
      </w:r>
    </w:p>
    <w:p w14:paraId="0163A9B9">
      <w:pPr>
        <w:pStyle w:val="42"/>
        <w:spacing w:before="0" w:beforeAutospacing="0" w:after="0" w:afterAutospacing="0" w:line="360" w:lineRule="auto"/>
        <w:ind w:firstLine="420" w:firstLineChars="200"/>
        <w:jc w:val="both"/>
        <w:rPr>
          <w:rFonts w:hint="default" w:cs="宋体"/>
          <w:b/>
          <w:bCs/>
          <w:color w:val="auto"/>
          <w:sz w:val="21"/>
          <w:szCs w:val="21"/>
          <w:highlight w:val="none"/>
        </w:rPr>
      </w:pPr>
      <w:r>
        <w:rPr>
          <w:rFonts w:asciiTheme="minorEastAsia" w:hAnsiTheme="minorEastAsia" w:eastAsiaTheme="minorEastAsia"/>
          <w:color w:val="auto"/>
          <w:sz w:val="21"/>
          <w:szCs w:val="21"/>
          <w:highlight w:val="none"/>
        </w:rPr>
        <w:t>（二）</w:t>
      </w:r>
      <w:r>
        <w:rPr>
          <w:rFonts w:cs="宋体"/>
          <w:color w:val="auto"/>
          <w:sz w:val="21"/>
          <w:szCs w:val="21"/>
          <w:highlight w:val="none"/>
        </w:rPr>
        <w:t>评标委员会发现招标文件存在歧义、重大缺陷导致评标工作无法进行，或者招标文件内容违反国家有关强制性规定的；</w:t>
      </w:r>
    </w:p>
    <w:p w14:paraId="65DF635C">
      <w:pPr>
        <w:pStyle w:val="42"/>
        <w:spacing w:before="0" w:beforeAutospacing="0" w:after="0" w:afterAutospacing="0" w:line="360" w:lineRule="auto"/>
        <w:ind w:firstLine="420" w:firstLineChars="200"/>
        <w:jc w:val="both"/>
        <w:rPr>
          <w:rFonts w:hint="default" w:cs="宋体"/>
          <w:color w:val="auto"/>
          <w:sz w:val="21"/>
          <w:szCs w:val="21"/>
          <w:highlight w:val="none"/>
        </w:rPr>
      </w:pPr>
      <w:r>
        <w:rPr>
          <w:rFonts w:asciiTheme="minorEastAsia" w:hAnsiTheme="minorEastAsia" w:eastAsiaTheme="minorEastAsia"/>
          <w:color w:val="auto"/>
          <w:sz w:val="21"/>
          <w:szCs w:val="21"/>
          <w:highlight w:val="none"/>
        </w:rPr>
        <w:t>（三）</w:t>
      </w:r>
      <w:r>
        <w:rPr>
          <w:rFonts w:cs="宋体"/>
          <w:color w:val="auto"/>
          <w:sz w:val="21"/>
          <w:szCs w:val="21"/>
          <w:highlight w:val="none"/>
        </w:rPr>
        <w:t>因重大变故，采购任务取消的；</w:t>
      </w:r>
    </w:p>
    <w:p w14:paraId="7FA7D2E2">
      <w:pPr>
        <w:pStyle w:val="42"/>
        <w:spacing w:before="0" w:beforeAutospacing="0" w:after="0" w:afterAutospacing="0" w:line="360" w:lineRule="auto"/>
        <w:ind w:firstLine="420" w:firstLineChars="200"/>
        <w:jc w:val="both"/>
        <w:rPr>
          <w:rFonts w:hint="default" w:cs="宋体"/>
          <w:color w:val="auto"/>
          <w:sz w:val="21"/>
          <w:szCs w:val="21"/>
          <w:highlight w:val="none"/>
        </w:rPr>
      </w:pPr>
      <w:r>
        <w:rPr>
          <w:rFonts w:asciiTheme="minorEastAsia" w:hAnsiTheme="minorEastAsia" w:eastAsiaTheme="minorEastAsia"/>
          <w:color w:val="auto"/>
          <w:sz w:val="21"/>
          <w:szCs w:val="21"/>
          <w:highlight w:val="none"/>
        </w:rPr>
        <w:t>（四）</w:t>
      </w:r>
      <w:r>
        <w:rPr>
          <w:rFonts w:cs="宋体"/>
          <w:color w:val="auto"/>
          <w:sz w:val="21"/>
          <w:szCs w:val="21"/>
          <w:highlight w:val="none"/>
        </w:rPr>
        <w:t>法律、法规和招标文件规定的其他导致评标结果无效的。</w:t>
      </w:r>
    </w:p>
    <w:p w14:paraId="2BB1ED7A">
      <w:pPr>
        <w:pStyle w:val="26"/>
        <w:snapToGrid w:val="0"/>
        <w:spacing w:line="360" w:lineRule="auto"/>
        <w:ind w:firstLine="422" w:firstLineChars="200"/>
        <w:rPr>
          <w:rFonts w:hAnsi="宋体" w:cs="宋体"/>
          <w:b/>
          <w:color w:val="auto"/>
          <w:szCs w:val="21"/>
          <w:highlight w:val="none"/>
        </w:rPr>
      </w:pPr>
      <w:r>
        <w:rPr>
          <w:rFonts w:hint="eastAsia" w:hAnsi="宋体" w:cs="宋体"/>
          <w:b/>
          <w:color w:val="auto"/>
          <w:szCs w:val="21"/>
          <w:highlight w:val="none"/>
        </w:rPr>
        <w:t>六、评标过程的监控</w:t>
      </w:r>
    </w:p>
    <w:p w14:paraId="2A70894F">
      <w:pPr>
        <w:pStyle w:val="42"/>
        <w:spacing w:before="0" w:beforeAutospacing="0" w:after="0" w:afterAutospacing="0" w:line="360" w:lineRule="auto"/>
        <w:ind w:firstLine="420" w:firstLineChars="200"/>
        <w:jc w:val="both"/>
        <w:rPr>
          <w:rFonts w:hint="default" w:cs="宋体"/>
          <w:color w:val="auto"/>
          <w:sz w:val="21"/>
          <w:szCs w:val="21"/>
          <w:highlight w:val="none"/>
        </w:rPr>
      </w:pPr>
      <w:r>
        <w:rPr>
          <w:rFonts w:cs="宋体"/>
          <w:color w:val="auto"/>
          <w:sz w:val="21"/>
          <w:szCs w:val="21"/>
          <w:highlight w:val="none"/>
        </w:rPr>
        <w:t>本项目评标过程实行全程录音、录像监控，政府采购监管部门视情进行现场监督，投标供应商在评标过程中所进行的试图影响评标结果的不公正活动，可能导致其投标被拒绝。</w:t>
      </w:r>
    </w:p>
    <w:p w14:paraId="138A89B2">
      <w:pPr>
        <w:pStyle w:val="26"/>
        <w:snapToGrid w:val="0"/>
        <w:spacing w:line="360" w:lineRule="auto"/>
        <w:ind w:firstLine="482" w:firstLineChars="200"/>
        <w:rPr>
          <w:rFonts w:hAnsi="宋体" w:cs="宋体"/>
          <w:b/>
          <w:bCs/>
          <w:color w:val="auto"/>
          <w:sz w:val="24"/>
          <w:highlight w:val="none"/>
        </w:rPr>
      </w:pPr>
      <w:r>
        <w:rPr>
          <w:rFonts w:hint="eastAsia" w:hAnsi="宋体" w:cs="宋体"/>
          <w:b/>
          <w:bCs/>
          <w:color w:val="auto"/>
          <w:sz w:val="24"/>
          <w:highlight w:val="none"/>
        </w:rPr>
        <w:t>七、政府采购政策落实</w:t>
      </w:r>
    </w:p>
    <w:p w14:paraId="6FDF654A">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（一）</w:t>
      </w:r>
      <w:r>
        <w:rPr>
          <w:rFonts w:hint="eastAsia" w:ascii="宋体" w:hAnsi="宋体" w:cs="宋体"/>
          <w:color w:val="auto"/>
          <w:kern w:val="0"/>
          <w:szCs w:val="21"/>
          <w:highlight w:val="none"/>
          <w:lang w:val="zh-CN"/>
        </w:rPr>
        <w:t>政府采购政策及优惠：</w:t>
      </w:r>
    </w:p>
    <w:p w14:paraId="6C4F2F39">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应提供《产品适用政府采购政策情况表》（格式见附件）、《中小企业声明函》（格式见附件），</w:t>
      </w:r>
      <w:r>
        <w:rPr>
          <w:rFonts w:hint="eastAsia" w:ascii="宋体" w:hAnsi="宋体" w:cs="宋体"/>
          <w:color w:val="auto"/>
          <w:kern w:val="0"/>
          <w:szCs w:val="21"/>
          <w:highlight w:val="none"/>
        </w:rPr>
        <w:t>投标人未提供以上资料或者经</w:t>
      </w:r>
      <w:r>
        <w:rPr>
          <w:rFonts w:hint="eastAsia" w:ascii="宋体" w:hAnsi="宋体" w:cs="宋体"/>
          <w:color w:val="auto"/>
          <w:kern w:val="0"/>
          <w:szCs w:val="21"/>
          <w:highlight w:val="none"/>
          <w:lang w:val="zh-CN"/>
        </w:rPr>
        <w:t>评标委员会核查不符的</w:t>
      </w:r>
      <w:r>
        <w:rPr>
          <w:rFonts w:hint="eastAsia" w:ascii="宋体" w:hAnsi="宋体" w:cs="宋体"/>
          <w:color w:val="auto"/>
          <w:kern w:val="0"/>
          <w:szCs w:val="21"/>
          <w:highlight w:val="none"/>
        </w:rPr>
        <w:t>，将不能享受相应的小微企业优惠政策。</w:t>
      </w:r>
    </w:p>
    <w:p w14:paraId="3AA41D6D">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zh-CN"/>
        </w:rPr>
        <w:t>监狱企业参加政府采购活动时，应当提供由省级以上监狱管理局、戒毒管理局（含新疆生产建设兵团）出具的属于监狱企业的证明文件和《产品适用政府采购政策情况表》（格式见附件），视同小型、微型企业，享受小微企业政府采购优惠政策；</w:t>
      </w:r>
      <w:r>
        <w:rPr>
          <w:rFonts w:hint="eastAsia" w:ascii="宋体" w:hAnsi="宋体" w:cs="宋体"/>
          <w:color w:val="auto"/>
          <w:kern w:val="0"/>
          <w:szCs w:val="21"/>
          <w:highlight w:val="none"/>
        </w:rPr>
        <w:t>投标人未提供以上资料或者经</w:t>
      </w:r>
      <w:r>
        <w:rPr>
          <w:rFonts w:hint="eastAsia" w:ascii="宋体" w:hAnsi="宋体" w:cs="宋体"/>
          <w:color w:val="auto"/>
          <w:kern w:val="0"/>
          <w:szCs w:val="21"/>
          <w:highlight w:val="none"/>
          <w:lang w:val="zh-CN"/>
        </w:rPr>
        <w:t>评标委员会核查不符的</w:t>
      </w:r>
      <w:r>
        <w:rPr>
          <w:rFonts w:hint="eastAsia" w:ascii="宋体" w:hAnsi="宋体" w:cs="宋体"/>
          <w:color w:val="auto"/>
          <w:kern w:val="0"/>
          <w:szCs w:val="21"/>
          <w:highlight w:val="none"/>
        </w:rPr>
        <w:t>，将不能享受相应的小微企业优惠政策。</w:t>
      </w:r>
    </w:p>
    <w:p w14:paraId="16C5F917">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zh-CN"/>
        </w:rPr>
        <w:t>残疾人福利性单位在参加政府采购活动时，应提供《残疾人福利性单位声明函》（格式见附件）和《产品适用政府采购政策情况表》（格式见附件），视同小型、微型企业，享受小微企业政府采购优惠政策。</w:t>
      </w:r>
      <w:r>
        <w:rPr>
          <w:rFonts w:hint="eastAsia" w:ascii="宋体" w:hAnsi="宋体" w:cs="宋体"/>
          <w:color w:val="auto"/>
          <w:kern w:val="0"/>
          <w:szCs w:val="21"/>
          <w:highlight w:val="none"/>
        </w:rPr>
        <w:t>投标人未提供以上资料或者经</w:t>
      </w:r>
      <w:r>
        <w:rPr>
          <w:rFonts w:hint="eastAsia" w:ascii="宋体" w:hAnsi="宋体" w:cs="宋体"/>
          <w:color w:val="auto"/>
          <w:kern w:val="0"/>
          <w:szCs w:val="21"/>
          <w:highlight w:val="none"/>
          <w:lang w:val="zh-CN"/>
        </w:rPr>
        <w:t>评标委员会核查不符的</w:t>
      </w:r>
      <w:r>
        <w:rPr>
          <w:rFonts w:hint="eastAsia" w:ascii="宋体" w:hAnsi="宋体" w:cs="宋体"/>
          <w:color w:val="auto"/>
          <w:kern w:val="0"/>
          <w:szCs w:val="21"/>
          <w:highlight w:val="none"/>
        </w:rPr>
        <w:t>，将不能享受相应的小微企业优惠政策。</w:t>
      </w:r>
    </w:p>
    <w:p w14:paraId="7265F58C">
      <w:pPr>
        <w:pStyle w:val="18"/>
        <w:spacing w:line="360" w:lineRule="auto"/>
        <w:ind w:firstLine="420" w:firstLineChars="200"/>
        <w:jc w:val="both"/>
        <w:rPr>
          <w:rFonts w:ascii="宋体" w:hAnsi="宋体" w:cs="宋体"/>
          <w:color w:val="auto"/>
          <w:kern w:val="0"/>
          <w:szCs w:val="21"/>
          <w:highlight w:val="none"/>
        </w:rPr>
      </w:pPr>
      <w:r>
        <w:rPr>
          <w:rFonts w:hint="eastAsia" w:ascii="宋体" w:hAnsi="宋体" w:cs="宋体"/>
          <w:color w:val="auto"/>
          <w:kern w:val="0"/>
          <w:szCs w:val="21"/>
          <w:highlight w:val="none"/>
        </w:rPr>
        <w:t>4.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3A60B878">
      <w:pPr>
        <w:pStyle w:val="18"/>
        <w:spacing w:line="360" w:lineRule="auto"/>
        <w:ind w:firstLine="420" w:firstLineChars="200"/>
        <w:jc w:val="both"/>
        <w:rPr>
          <w:rFonts w:ascii="宋体" w:hAnsi="宋体" w:cs="宋体"/>
          <w:color w:val="auto"/>
          <w:kern w:val="0"/>
          <w:szCs w:val="21"/>
          <w:highlight w:val="none"/>
        </w:rPr>
      </w:pPr>
      <w:r>
        <w:rPr>
          <w:rFonts w:hint="eastAsia" w:ascii="宋体" w:hAnsi="宋体" w:cs="宋体"/>
          <w:color w:val="auto"/>
          <w:kern w:val="0"/>
          <w:szCs w:val="21"/>
          <w:highlight w:val="none"/>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1ECC982">
      <w:pPr>
        <w:autoSpaceDE w:val="0"/>
        <w:autoSpaceDN w:val="0"/>
        <w:adjustRightIn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（二）</w:t>
      </w:r>
      <w:r>
        <w:rPr>
          <w:rFonts w:hint="eastAsia" w:ascii="宋体" w:hAnsi="宋体" w:cs="宋体"/>
          <w:color w:val="auto"/>
          <w:kern w:val="0"/>
          <w:szCs w:val="21"/>
          <w:highlight w:val="none"/>
        </w:rPr>
        <w:t>价格扣除相关要求：</w:t>
      </w:r>
    </w:p>
    <w:p w14:paraId="40C0F360">
      <w:pPr>
        <w:autoSpaceDE w:val="0"/>
        <w:autoSpaceDN w:val="0"/>
        <w:adjustRightInd w:val="0"/>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对于非联合体投标，小型微型企业产品的价格给予</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lang w:val="zh-CN"/>
        </w:rPr>
        <w:t>0%的扣除，用扣除后的价格计算评标基准价和投标报价。同一投标人，小微企业、监狱企业、残疾人福利性单位价格扣除优惠只享受一次，不得重复享受。</w:t>
      </w:r>
    </w:p>
    <w:p w14:paraId="44EB6827">
      <w:pPr>
        <w:pStyle w:val="26"/>
        <w:snapToGrid w:val="0"/>
        <w:spacing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bCs/>
          <w:color w:val="auto"/>
          <w:szCs w:val="21"/>
          <w:highlight w:val="none"/>
        </w:rPr>
        <w:t>八、</w:t>
      </w:r>
      <w:r>
        <w:rPr>
          <w:rFonts w:asciiTheme="minorEastAsia" w:hAnsiTheme="minorEastAsia" w:eastAsiaTheme="minorEastAsia"/>
          <w:b/>
          <w:bCs/>
          <w:color w:val="auto"/>
          <w:szCs w:val="21"/>
          <w:highlight w:val="none"/>
        </w:rPr>
        <w:t>评标程序</w:t>
      </w:r>
    </w:p>
    <w:p w14:paraId="05A1E009">
      <w:pPr>
        <w:snapToGrid w:val="0"/>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（一）资格</w:t>
      </w:r>
      <w:r>
        <w:rPr>
          <w:rFonts w:asciiTheme="minorEastAsia" w:hAnsiTheme="minorEastAsia" w:eastAsiaTheme="minorEastAsia"/>
          <w:b/>
          <w:bCs/>
          <w:color w:val="auto"/>
          <w:szCs w:val="21"/>
          <w:highlight w:val="none"/>
        </w:rPr>
        <w:t>审查</w:t>
      </w:r>
    </w:p>
    <w:p w14:paraId="0012D4FB">
      <w:pPr>
        <w:pStyle w:val="18"/>
        <w:spacing w:line="360" w:lineRule="auto"/>
        <w:ind w:firstLine="420" w:firstLineChars="200"/>
        <w:jc w:val="both"/>
        <w:rPr>
          <w:rFonts w:asciiTheme="minorEastAsia" w:hAnsiTheme="minorEastAsia" w:eastAsiaTheme="minorEastAsia"/>
          <w:color w:val="auto"/>
          <w:szCs w:val="21"/>
          <w:highlight w:val="none"/>
        </w:rPr>
      </w:pPr>
      <w:r>
        <w:rPr>
          <w:rFonts w:hint="eastAsia" w:ascii="宋体" w:hAnsi="宋体" w:cs="宋体"/>
          <w:color w:val="auto"/>
          <w:szCs w:val="21"/>
          <w:highlight w:val="none"/>
        </w:rPr>
        <w:t>投标文件解密后</w:t>
      </w:r>
      <w:r>
        <w:rPr>
          <w:rFonts w:asciiTheme="minorEastAsia" w:hAnsiTheme="minorEastAsia" w:eastAsiaTheme="minorEastAsia"/>
          <w:color w:val="auto"/>
          <w:szCs w:val="21"/>
          <w:highlight w:val="none"/>
        </w:rPr>
        <w:t>，采购人或采购组织机构依法对投标供应商的资格进行审查，对审查发现无效的进行必要的询标，</w:t>
      </w:r>
      <w:r>
        <w:rPr>
          <w:rFonts w:hint="eastAsia"/>
          <w:color w:val="auto"/>
          <w:szCs w:val="21"/>
          <w:highlight w:val="none"/>
        </w:rPr>
        <w:t>在政采云平台公布</w:t>
      </w:r>
      <w:r>
        <w:rPr>
          <w:rFonts w:asciiTheme="minorEastAsia" w:hAnsiTheme="minorEastAsia" w:eastAsiaTheme="minorEastAsia"/>
          <w:color w:val="auto"/>
          <w:szCs w:val="21"/>
          <w:highlight w:val="none"/>
        </w:rPr>
        <w:t>无效投标的投标供应商名单、投标无效的原因。</w:t>
      </w:r>
    </w:p>
    <w:tbl>
      <w:tblPr>
        <w:tblStyle w:val="46"/>
        <w:tblW w:w="8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7"/>
        <w:gridCol w:w="6842"/>
      </w:tblGrid>
      <w:tr w14:paraId="63B26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587" w:type="dxa"/>
            <w:vAlign w:val="center"/>
          </w:tcPr>
          <w:p w14:paraId="61564D07">
            <w:pPr>
              <w:pStyle w:val="108"/>
              <w:spacing w:before="1" w:line="360" w:lineRule="auto"/>
              <w:ind w:right="146"/>
              <w:jc w:val="center"/>
              <w:rPr>
                <w:color w:val="auto"/>
                <w:szCs w:val="21"/>
                <w:highlight w:val="none"/>
              </w:rPr>
            </w:pPr>
            <w:r>
              <w:rPr>
                <w:rFonts w:hint="eastAsia"/>
                <w:color w:val="auto"/>
                <w:szCs w:val="21"/>
                <w:highlight w:val="none"/>
              </w:rPr>
              <w:t>具有独立承担民事责任的能力</w:t>
            </w:r>
          </w:p>
        </w:tc>
        <w:tc>
          <w:tcPr>
            <w:tcW w:w="6842" w:type="dxa"/>
            <w:vAlign w:val="center"/>
          </w:tcPr>
          <w:p w14:paraId="7B212042">
            <w:pPr>
              <w:pStyle w:val="108"/>
              <w:spacing w:before="48" w:line="360" w:lineRule="auto"/>
              <w:ind w:right="63" w:firstLine="420" w:firstLineChars="200"/>
              <w:rPr>
                <w:color w:val="auto"/>
                <w:szCs w:val="21"/>
                <w:highlight w:val="none"/>
              </w:rPr>
            </w:pPr>
            <w:r>
              <w:rPr>
                <w:rFonts w:hint="eastAsia"/>
                <w:color w:val="auto"/>
                <w:szCs w:val="21"/>
                <w:highlight w:val="none"/>
              </w:rPr>
              <w:t>在中华人民共和国境内注册的法人或其他组织或自然人，投标时提交有效的营业执照（或事业法人登记证或身份证等相关证明）副本扫描件。</w:t>
            </w:r>
          </w:p>
        </w:tc>
      </w:tr>
      <w:tr w14:paraId="7C8F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587" w:type="dxa"/>
            <w:shd w:val="clear" w:color="auto" w:fill="F6F6F6"/>
            <w:vAlign w:val="center"/>
          </w:tcPr>
          <w:p w14:paraId="6D2D3909">
            <w:pPr>
              <w:pStyle w:val="108"/>
              <w:spacing w:before="1" w:line="360" w:lineRule="auto"/>
              <w:ind w:right="146"/>
              <w:jc w:val="center"/>
              <w:rPr>
                <w:color w:val="auto"/>
                <w:szCs w:val="21"/>
                <w:highlight w:val="none"/>
              </w:rPr>
            </w:pPr>
            <w:r>
              <w:rPr>
                <w:rFonts w:hint="eastAsia"/>
                <w:color w:val="auto"/>
                <w:szCs w:val="21"/>
                <w:highlight w:val="none"/>
              </w:rPr>
              <w:t>有依法缴纳税收和社会保障资金的良好记录</w:t>
            </w:r>
          </w:p>
        </w:tc>
        <w:tc>
          <w:tcPr>
            <w:tcW w:w="6842" w:type="dxa"/>
            <w:vMerge w:val="restart"/>
            <w:shd w:val="clear" w:color="auto" w:fill="F6F6F6"/>
            <w:vAlign w:val="center"/>
          </w:tcPr>
          <w:p w14:paraId="5FA55262">
            <w:pPr>
              <w:pStyle w:val="108"/>
              <w:spacing w:before="48" w:line="360" w:lineRule="auto"/>
              <w:ind w:right="63" w:firstLine="420" w:firstLineChars="200"/>
              <w:rPr>
                <w:color w:val="auto"/>
                <w:szCs w:val="21"/>
                <w:highlight w:val="none"/>
              </w:rPr>
            </w:pPr>
            <w:r>
              <w:rPr>
                <w:rFonts w:hint="eastAsia"/>
                <w:color w:val="auto"/>
                <w:szCs w:val="21"/>
                <w:highlight w:val="none"/>
              </w:rPr>
              <w:t>提供关于供应商财务状况和依法缴纳税收及社会保障资金的书面承诺（</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tc>
      </w:tr>
      <w:tr w14:paraId="1C24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587" w:type="dxa"/>
            <w:vAlign w:val="center"/>
          </w:tcPr>
          <w:p w14:paraId="39EAEA64">
            <w:pPr>
              <w:pStyle w:val="108"/>
              <w:spacing w:before="1" w:line="360" w:lineRule="auto"/>
              <w:ind w:right="146"/>
              <w:jc w:val="center"/>
              <w:rPr>
                <w:color w:val="auto"/>
                <w:szCs w:val="21"/>
                <w:highlight w:val="none"/>
              </w:rPr>
            </w:pPr>
            <w:r>
              <w:rPr>
                <w:rFonts w:hint="eastAsia"/>
                <w:color w:val="auto"/>
                <w:szCs w:val="21"/>
                <w:highlight w:val="none"/>
              </w:rPr>
              <w:t>具有良好的商业信誉和健全的财务会计制度</w:t>
            </w:r>
          </w:p>
        </w:tc>
        <w:tc>
          <w:tcPr>
            <w:tcW w:w="6842" w:type="dxa"/>
            <w:vMerge w:val="continue"/>
            <w:vAlign w:val="center"/>
          </w:tcPr>
          <w:p w14:paraId="659A7962">
            <w:pPr>
              <w:pStyle w:val="108"/>
              <w:spacing w:before="48" w:line="360" w:lineRule="auto"/>
              <w:ind w:right="63" w:firstLine="420" w:firstLineChars="200"/>
              <w:rPr>
                <w:color w:val="auto"/>
                <w:szCs w:val="21"/>
                <w:highlight w:val="none"/>
              </w:rPr>
            </w:pPr>
          </w:p>
        </w:tc>
      </w:tr>
      <w:tr w14:paraId="0170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587" w:type="dxa"/>
            <w:shd w:val="clear" w:color="auto" w:fill="F6F6F6"/>
            <w:vAlign w:val="center"/>
          </w:tcPr>
          <w:p w14:paraId="1CD508ED">
            <w:pPr>
              <w:pStyle w:val="108"/>
              <w:spacing w:before="1" w:line="360" w:lineRule="auto"/>
              <w:ind w:right="146"/>
              <w:jc w:val="center"/>
              <w:rPr>
                <w:color w:val="auto"/>
                <w:szCs w:val="21"/>
                <w:highlight w:val="none"/>
              </w:rPr>
            </w:pPr>
            <w:r>
              <w:rPr>
                <w:rFonts w:hint="eastAsia"/>
                <w:color w:val="auto"/>
                <w:szCs w:val="21"/>
                <w:highlight w:val="none"/>
              </w:rPr>
              <w:t>履行合同所必需的设备和专业技术能力</w:t>
            </w:r>
          </w:p>
        </w:tc>
        <w:tc>
          <w:tcPr>
            <w:tcW w:w="6842" w:type="dxa"/>
            <w:shd w:val="clear" w:color="auto" w:fill="F6F6F6"/>
            <w:vAlign w:val="center"/>
          </w:tcPr>
          <w:p w14:paraId="4A7458A1">
            <w:pPr>
              <w:pStyle w:val="108"/>
              <w:spacing w:before="48" w:line="360" w:lineRule="auto"/>
              <w:ind w:right="63" w:firstLine="420" w:firstLineChars="200"/>
              <w:rPr>
                <w:color w:val="auto"/>
                <w:szCs w:val="21"/>
                <w:highlight w:val="none"/>
              </w:rPr>
            </w:pPr>
            <w:r>
              <w:rPr>
                <w:rFonts w:hint="eastAsia"/>
                <w:color w:val="auto"/>
                <w:szCs w:val="21"/>
                <w:highlight w:val="none"/>
              </w:rPr>
              <w:t>按投标文件格式填报设备及专业技术能力情况。（</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tc>
      </w:tr>
      <w:tr w14:paraId="10B1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2" w:hRule="atLeast"/>
          <w:jc w:val="center"/>
        </w:trPr>
        <w:tc>
          <w:tcPr>
            <w:tcW w:w="1587" w:type="dxa"/>
            <w:vAlign w:val="center"/>
          </w:tcPr>
          <w:p w14:paraId="2A454014">
            <w:pPr>
              <w:pStyle w:val="108"/>
              <w:spacing w:line="360" w:lineRule="auto"/>
              <w:ind w:right="146"/>
              <w:jc w:val="center"/>
              <w:rPr>
                <w:color w:val="auto"/>
                <w:szCs w:val="21"/>
                <w:highlight w:val="none"/>
              </w:rPr>
            </w:pPr>
            <w:r>
              <w:rPr>
                <w:rFonts w:hint="eastAsia"/>
                <w:color w:val="auto"/>
                <w:szCs w:val="21"/>
                <w:highlight w:val="none"/>
              </w:rPr>
              <w:t>参加采购活动前3年内，在经营活动中没有重大违法记录</w:t>
            </w:r>
          </w:p>
        </w:tc>
        <w:tc>
          <w:tcPr>
            <w:tcW w:w="6842" w:type="dxa"/>
            <w:vAlign w:val="center"/>
          </w:tcPr>
          <w:p w14:paraId="20E6E86E">
            <w:pPr>
              <w:pStyle w:val="108"/>
              <w:spacing w:before="48" w:line="360" w:lineRule="auto"/>
              <w:ind w:right="63" w:firstLine="420" w:firstLineChars="200"/>
              <w:rPr>
                <w:color w:val="auto"/>
                <w:szCs w:val="21"/>
                <w:highlight w:val="none"/>
              </w:rPr>
            </w:pPr>
            <w:r>
              <w:rPr>
                <w:rFonts w:hint="eastAsia"/>
                <w:color w:val="auto"/>
                <w:szCs w:val="21"/>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403B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1587" w:type="dxa"/>
            <w:shd w:val="clear" w:color="auto" w:fill="F6F6F6"/>
            <w:vAlign w:val="center"/>
          </w:tcPr>
          <w:p w14:paraId="64512AE6">
            <w:pPr>
              <w:pStyle w:val="108"/>
              <w:spacing w:line="360" w:lineRule="auto"/>
              <w:ind w:left="64"/>
              <w:jc w:val="center"/>
              <w:rPr>
                <w:color w:val="auto"/>
                <w:szCs w:val="21"/>
                <w:highlight w:val="none"/>
              </w:rPr>
            </w:pPr>
            <w:r>
              <w:rPr>
                <w:rFonts w:hint="eastAsia"/>
                <w:color w:val="auto"/>
                <w:szCs w:val="21"/>
                <w:highlight w:val="none"/>
              </w:rPr>
              <w:t>信用记录</w:t>
            </w:r>
          </w:p>
        </w:tc>
        <w:tc>
          <w:tcPr>
            <w:tcW w:w="6842" w:type="dxa"/>
            <w:shd w:val="clear" w:color="auto" w:fill="F6F6F6"/>
            <w:vAlign w:val="center"/>
          </w:tcPr>
          <w:p w14:paraId="5569E3BC">
            <w:pPr>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截止时点：</w:t>
            </w:r>
            <w:r>
              <w:rPr>
                <w:rFonts w:hint="eastAsia" w:ascii="宋体" w:hAnsi="宋体" w:cs="宋体"/>
                <w:color w:val="auto"/>
                <w:szCs w:val="21"/>
                <w:highlight w:val="none"/>
              </w:rPr>
              <w:t>开标后评标前</w:t>
            </w:r>
            <w:r>
              <w:rPr>
                <w:rFonts w:ascii="宋体" w:hAnsi="宋体" w:cs="宋体"/>
                <w:color w:val="auto"/>
                <w:szCs w:val="21"/>
                <w:highlight w:val="none"/>
              </w:rPr>
              <w:t>。</w:t>
            </w:r>
          </w:p>
          <w:p w14:paraId="4F5EBA73">
            <w:pPr>
              <w:pStyle w:val="108"/>
              <w:spacing w:before="48" w:line="360" w:lineRule="auto"/>
              <w:ind w:right="63" w:firstLine="420" w:firstLineChars="200"/>
              <w:rPr>
                <w:color w:val="auto"/>
                <w:szCs w:val="21"/>
                <w:highlight w:val="none"/>
              </w:rPr>
            </w:pPr>
            <w:r>
              <w:rPr>
                <w:rFonts w:hint="eastAsia"/>
                <w:color w:val="auto"/>
                <w:szCs w:val="21"/>
                <w:highlight w:val="none"/>
              </w:rPr>
              <w:t>2.</w:t>
            </w:r>
            <w:r>
              <w:rPr>
                <w:color w:val="auto"/>
                <w:szCs w:val="21"/>
                <w:highlight w:val="none"/>
              </w:rPr>
              <w:t>信用信息查询记录和证据留存的具体方式：由采购组织机构在规定查询时间内打印信用信息查询记录并归入项目档案。</w:t>
            </w:r>
            <w:r>
              <w:rPr>
                <w:color w:val="auto"/>
                <w:szCs w:val="21"/>
                <w:highlight w:val="none"/>
              </w:rPr>
              <w:br w:type="textWrapping"/>
            </w:r>
            <w:r>
              <w:rPr>
                <w:rFonts w:hint="eastAsia"/>
                <w:color w:val="auto"/>
                <w:szCs w:val="21"/>
                <w:highlight w:val="none"/>
              </w:rPr>
              <w:t xml:space="preserve">    3.</w:t>
            </w:r>
            <w:r>
              <w:rPr>
                <w:color w:val="auto"/>
                <w:szCs w:val="21"/>
                <w:highlight w:val="none"/>
              </w:rPr>
              <w:t>使用规则</w:t>
            </w:r>
            <w:r>
              <w:rPr>
                <w:rFonts w:hint="eastAsia"/>
                <w:color w:val="auto"/>
                <w:szCs w:val="21"/>
                <w:highlight w:val="none"/>
              </w:rPr>
              <w:t>：投标供应商未被列入</w:t>
            </w:r>
            <w:r>
              <w:rPr>
                <w:color w:val="auto"/>
                <w:szCs w:val="21"/>
                <w:highlight w:val="none"/>
              </w:rPr>
              <w:t>“信用中国”失信被执行人或重大税收违法失信主体；</w:t>
            </w:r>
            <w:r>
              <w:rPr>
                <w:rFonts w:hint="eastAsia"/>
                <w:color w:val="auto"/>
                <w:szCs w:val="21"/>
                <w:highlight w:val="none"/>
              </w:rPr>
              <w:t>未</w:t>
            </w:r>
            <w:r>
              <w:rPr>
                <w:color w:val="auto"/>
                <w:szCs w:val="21"/>
                <w:highlight w:val="none"/>
              </w:rPr>
              <w:t>处于“中国政府采购网”政府采购严重违法失信行为信息记录中的禁止参加政府采购活动期间。（以联合体形式投标时，联合体各方均须满足该条款）</w:t>
            </w:r>
          </w:p>
          <w:p w14:paraId="0553916B">
            <w:pPr>
              <w:pStyle w:val="108"/>
              <w:spacing w:before="48" w:line="360" w:lineRule="auto"/>
              <w:ind w:right="63" w:firstLine="422" w:firstLineChars="200"/>
              <w:rPr>
                <w:color w:val="auto"/>
                <w:szCs w:val="21"/>
                <w:highlight w:val="none"/>
              </w:rPr>
            </w:pPr>
            <w:r>
              <w:rPr>
                <w:rFonts w:hint="eastAsia"/>
                <w:b/>
                <w:color w:val="auto"/>
                <w:szCs w:val="21"/>
                <w:highlight w:val="none"/>
              </w:rPr>
              <w:t>注：供应商无须单独提供</w:t>
            </w:r>
          </w:p>
        </w:tc>
      </w:tr>
      <w:tr w14:paraId="7B6B2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2" w:hRule="atLeast"/>
          <w:jc w:val="center"/>
        </w:trPr>
        <w:tc>
          <w:tcPr>
            <w:tcW w:w="1587" w:type="dxa"/>
            <w:vAlign w:val="center"/>
          </w:tcPr>
          <w:p w14:paraId="67CF62FB">
            <w:pPr>
              <w:pStyle w:val="108"/>
              <w:spacing w:line="360" w:lineRule="auto"/>
              <w:ind w:right="146"/>
              <w:jc w:val="center"/>
              <w:rPr>
                <w:color w:val="auto"/>
                <w:szCs w:val="21"/>
                <w:highlight w:val="none"/>
              </w:rPr>
            </w:pPr>
            <w:r>
              <w:rPr>
                <w:rFonts w:hint="eastAsia"/>
                <w:color w:val="auto"/>
                <w:szCs w:val="21"/>
                <w:highlight w:val="none"/>
              </w:rPr>
              <w:t>必须符合法律、行政法规规定的其他条件</w:t>
            </w:r>
          </w:p>
        </w:tc>
        <w:tc>
          <w:tcPr>
            <w:tcW w:w="6842" w:type="dxa"/>
            <w:vAlign w:val="center"/>
          </w:tcPr>
          <w:p w14:paraId="4807FB26">
            <w:pPr>
              <w:pStyle w:val="108"/>
              <w:spacing w:before="48" w:line="360" w:lineRule="auto"/>
              <w:ind w:right="63" w:firstLine="420" w:firstLineChars="200"/>
              <w:rPr>
                <w:color w:val="auto"/>
                <w:szCs w:val="21"/>
                <w:highlight w:val="none"/>
              </w:rPr>
            </w:pPr>
            <w:r>
              <w:rPr>
                <w:rFonts w:hint="eastAsia"/>
                <w:color w:val="auto"/>
                <w:szCs w:val="21"/>
                <w:highlight w:val="none"/>
              </w:rPr>
              <w:t>1.单位负责人为同一人或者存在直接控股、管理关系的不同供应商，不得同时参加本项目投标。</w:t>
            </w:r>
          </w:p>
          <w:p w14:paraId="51DEDAD7">
            <w:pPr>
              <w:pStyle w:val="108"/>
              <w:spacing w:before="48" w:line="360" w:lineRule="auto"/>
              <w:ind w:right="63" w:firstLine="420" w:firstLineChars="200"/>
              <w:rPr>
                <w:color w:val="auto"/>
                <w:szCs w:val="21"/>
                <w:highlight w:val="none"/>
              </w:rPr>
            </w:pPr>
            <w:r>
              <w:rPr>
                <w:rFonts w:hint="eastAsia"/>
                <w:color w:val="auto"/>
                <w:szCs w:val="21"/>
                <w:highlight w:val="none"/>
              </w:rPr>
              <w:t>2.为本项目提供整体设计、规范编制或者项目管理、监理、检测等服务的供应商，不得再参与本项目投标。</w:t>
            </w:r>
          </w:p>
          <w:p w14:paraId="3B3D6493">
            <w:pPr>
              <w:pStyle w:val="108"/>
              <w:spacing w:before="48" w:line="360" w:lineRule="auto"/>
              <w:ind w:right="63" w:firstLine="420" w:firstLineChars="200"/>
              <w:rPr>
                <w:color w:val="auto"/>
                <w:szCs w:val="21"/>
                <w:highlight w:val="none"/>
              </w:rPr>
            </w:pPr>
            <w:r>
              <w:rPr>
                <w:rFonts w:hint="eastAsia"/>
                <w:color w:val="auto"/>
                <w:szCs w:val="21"/>
                <w:highlight w:val="none"/>
              </w:rPr>
              <w:t>3.其他相关承诺要求内容（如有）。</w:t>
            </w:r>
          </w:p>
          <w:p w14:paraId="56FE416B">
            <w:pPr>
              <w:pStyle w:val="108"/>
              <w:spacing w:before="48" w:line="360" w:lineRule="auto"/>
              <w:ind w:right="63" w:firstLine="420" w:firstLineChars="200"/>
              <w:rPr>
                <w:color w:val="auto"/>
                <w:szCs w:val="21"/>
                <w:highlight w:val="none"/>
              </w:rPr>
            </w:pPr>
            <w:r>
              <w:rPr>
                <w:rFonts w:hint="eastAsia"/>
                <w:color w:val="auto"/>
                <w:szCs w:val="21"/>
                <w:highlight w:val="none"/>
              </w:rPr>
              <w:t>（以联合体形式投标时，联合体各方均须满足该条款）</w:t>
            </w:r>
          </w:p>
          <w:p w14:paraId="6298BB39">
            <w:pPr>
              <w:pStyle w:val="108"/>
              <w:spacing w:before="48" w:line="360" w:lineRule="auto"/>
              <w:ind w:right="63" w:firstLine="422" w:firstLineChars="200"/>
              <w:rPr>
                <w:color w:val="auto"/>
                <w:szCs w:val="21"/>
                <w:highlight w:val="none"/>
              </w:rPr>
            </w:pPr>
            <w:r>
              <w:rPr>
                <w:rFonts w:hint="eastAsia"/>
                <w:b/>
                <w:color w:val="auto"/>
                <w:szCs w:val="21"/>
                <w:highlight w:val="none"/>
              </w:rPr>
              <w:t>注：供应商无须单独提供</w:t>
            </w:r>
          </w:p>
        </w:tc>
      </w:tr>
      <w:tr w14:paraId="239F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587" w:type="dxa"/>
            <w:shd w:val="clear" w:color="auto" w:fill="F6F6F6"/>
            <w:vAlign w:val="center"/>
          </w:tcPr>
          <w:p w14:paraId="0421F328">
            <w:pPr>
              <w:pStyle w:val="108"/>
              <w:spacing w:before="48" w:line="360" w:lineRule="auto"/>
              <w:ind w:left="64"/>
              <w:jc w:val="center"/>
              <w:rPr>
                <w:color w:val="auto"/>
                <w:szCs w:val="21"/>
                <w:highlight w:val="none"/>
              </w:rPr>
            </w:pPr>
            <w:r>
              <w:rPr>
                <w:rFonts w:hint="eastAsia"/>
                <w:color w:val="auto"/>
                <w:szCs w:val="21"/>
                <w:highlight w:val="none"/>
              </w:rPr>
              <w:t>联合体投标</w:t>
            </w:r>
          </w:p>
        </w:tc>
        <w:tc>
          <w:tcPr>
            <w:tcW w:w="6842" w:type="dxa"/>
            <w:shd w:val="clear" w:color="auto" w:fill="F6F6F6"/>
            <w:vAlign w:val="center"/>
          </w:tcPr>
          <w:p w14:paraId="242F16E5">
            <w:pPr>
              <w:pStyle w:val="108"/>
              <w:spacing w:before="48" w:line="360" w:lineRule="auto"/>
              <w:ind w:right="63" w:firstLine="420" w:firstLineChars="200"/>
              <w:rPr>
                <w:color w:val="auto"/>
                <w:szCs w:val="21"/>
                <w:highlight w:val="none"/>
              </w:rPr>
            </w:pPr>
            <w:r>
              <w:rPr>
                <w:rFonts w:hint="eastAsia"/>
                <w:color w:val="auto"/>
                <w:szCs w:val="21"/>
                <w:highlight w:val="none"/>
              </w:rPr>
              <w:t>本项目不接受联合体投标。</w:t>
            </w:r>
          </w:p>
        </w:tc>
      </w:tr>
      <w:tr w14:paraId="224EB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587" w:type="dxa"/>
            <w:vAlign w:val="center"/>
          </w:tcPr>
          <w:p w14:paraId="78A75252">
            <w:pPr>
              <w:pStyle w:val="108"/>
              <w:spacing w:line="360" w:lineRule="auto"/>
              <w:ind w:right="146"/>
              <w:jc w:val="center"/>
              <w:rPr>
                <w:color w:val="auto"/>
                <w:szCs w:val="21"/>
                <w:highlight w:val="none"/>
              </w:rPr>
            </w:pPr>
            <w:r>
              <w:rPr>
                <w:rFonts w:hint="eastAsia"/>
                <w:color w:val="auto"/>
                <w:szCs w:val="21"/>
                <w:highlight w:val="none"/>
              </w:rPr>
              <w:t>资质</w:t>
            </w:r>
          </w:p>
        </w:tc>
        <w:tc>
          <w:tcPr>
            <w:tcW w:w="6842" w:type="dxa"/>
            <w:vAlign w:val="center"/>
          </w:tcPr>
          <w:p w14:paraId="318E88E4">
            <w:pPr>
              <w:pStyle w:val="108"/>
              <w:spacing w:before="48" w:line="360" w:lineRule="auto"/>
              <w:ind w:right="63" w:firstLine="420" w:firstLineChars="200"/>
              <w:rPr>
                <w:color w:val="auto"/>
                <w:szCs w:val="21"/>
                <w:highlight w:val="none"/>
              </w:rPr>
            </w:pPr>
            <w:r>
              <w:rPr>
                <w:color w:val="auto"/>
                <w:szCs w:val="21"/>
                <w:highlight w:val="none"/>
              </w:rPr>
              <w:t>无</w:t>
            </w:r>
          </w:p>
        </w:tc>
      </w:tr>
      <w:tr w14:paraId="3A809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587" w:type="dxa"/>
            <w:shd w:val="clear" w:color="auto" w:fill="F6F6F6"/>
            <w:vAlign w:val="center"/>
          </w:tcPr>
          <w:p w14:paraId="180EBCA4">
            <w:pPr>
              <w:pStyle w:val="108"/>
              <w:spacing w:line="360" w:lineRule="auto"/>
              <w:ind w:right="146"/>
              <w:jc w:val="center"/>
              <w:rPr>
                <w:color w:val="auto"/>
                <w:szCs w:val="21"/>
                <w:highlight w:val="none"/>
              </w:rPr>
            </w:pPr>
            <w:r>
              <w:rPr>
                <w:rFonts w:hint="eastAsia"/>
                <w:color w:val="auto"/>
                <w:szCs w:val="21"/>
                <w:highlight w:val="none"/>
              </w:rPr>
              <w:t>落实政府采购政策需满足的资格要求</w:t>
            </w:r>
          </w:p>
        </w:tc>
        <w:tc>
          <w:tcPr>
            <w:tcW w:w="6842" w:type="dxa"/>
            <w:shd w:val="clear" w:color="auto" w:fill="F6F6F6"/>
            <w:vAlign w:val="center"/>
          </w:tcPr>
          <w:p w14:paraId="4E9BD8D1">
            <w:pPr>
              <w:pStyle w:val="108"/>
              <w:spacing w:before="48" w:line="360" w:lineRule="auto"/>
              <w:ind w:right="63" w:firstLine="420" w:firstLineChars="200"/>
              <w:rPr>
                <w:color w:val="auto"/>
                <w:szCs w:val="21"/>
                <w:highlight w:val="none"/>
              </w:rPr>
            </w:pPr>
            <w:r>
              <w:rPr>
                <w:color w:val="auto"/>
                <w:szCs w:val="21"/>
                <w:highlight w:val="none"/>
              </w:rPr>
              <w:t>无</w:t>
            </w:r>
          </w:p>
        </w:tc>
      </w:tr>
      <w:tr w14:paraId="777D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587" w:type="dxa"/>
            <w:shd w:val="clear" w:color="auto" w:fill="F6F6F6"/>
            <w:vAlign w:val="center"/>
          </w:tcPr>
          <w:p w14:paraId="1E69C6CA">
            <w:pPr>
              <w:pStyle w:val="108"/>
              <w:spacing w:line="360" w:lineRule="auto"/>
              <w:ind w:right="146"/>
              <w:rPr>
                <w:color w:val="auto"/>
                <w:szCs w:val="21"/>
                <w:highlight w:val="none"/>
              </w:rPr>
            </w:pPr>
            <w:r>
              <w:rPr>
                <w:rFonts w:hint="eastAsia"/>
                <w:color w:val="auto"/>
                <w:szCs w:val="21"/>
                <w:highlight w:val="none"/>
              </w:rPr>
              <w:t>法定代表人/负责人资格证明书或法定代表人授权委托书</w:t>
            </w:r>
          </w:p>
        </w:tc>
        <w:tc>
          <w:tcPr>
            <w:tcW w:w="6842" w:type="dxa"/>
            <w:shd w:val="clear" w:color="auto" w:fill="F6F6F6"/>
            <w:vAlign w:val="center"/>
          </w:tcPr>
          <w:p w14:paraId="39E9DD7D">
            <w:pPr>
              <w:pStyle w:val="108"/>
              <w:spacing w:before="48" w:line="360" w:lineRule="auto"/>
              <w:ind w:right="63" w:firstLine="420" w:firstLineChars="200"/>
              <w:rPr>
                <w:color w:val="auto"/>
                <w:szCs w:val="21"/>
                <w:highlight w:val="none"/>
              </w:rPr>
            </w:pPr>
            <w:r>
              <w:rPr>
                <w:rFonts w:hint="eastAsia"/>
                <w:color w:val="auto"/>
                <w:szCs w:val="21"/>
                <w:highlight w:val="none"/>
              </w:rPr>
              <w:t>法定代表人/负责人资格证明书（身份证）或法定代表人授权委托书，按对应格式文件签署、盖章。</w:t>
            </w:r>
          </w:p>
        </w:tc>
      </w:tr>
    </w:tbl>
    <w:p w14:paraId="19E820F8">
      <w:pPr>
        <w:pStyle w:val="18"/>
        <w:spacing w:line="360" w:lineRule="auto"/>
        <w:ind w:firstLine="422" w:firstLineChars="200"/>
        <w:rPr>
          <w:rFonts w:asciiTheme="minorEastAsia" w:hAnsiTheme="minorEastAsia" w:eastAsiaTheme="minorEastAsia"/>
          <w:b/>
          <w:bCs/>
          <w:color w:val="auto"/>
          <w:szCs w:val="21"/>
          <w:highlight w:val="none"/>
        </w:rPr>
      </w:pPr>
      <w:r>
        <w:rPr>
          <w:rFonts w:hint="eastAsia" w:asciiTheme="minorEastAsia" w:hAnsiTheme="minorEastAsia" w:eastAsiaTheme="minorEastAsia"/>
          <w:b/>
          <w:bCs/>
          <w:color w:val="auto"/>
          <w:szCs w:val="21"/>
          <w:highlight w:val="none"/>
        </w:rPr>
        <w:t>（二）</w:t>
      </w:r>
      <w:r>
        <w:rPr>
          <w:rFonts w:asciiTheme="minorEastAsia" w:hAnsiTheme="minorEastAsia" w:eastAsiaTheme="minorEastAsia"/>
          <w:b/>
          <w:bCs/>
          <w:color w:val="auto"/>
          <w:szCs w:val="21"/>
          <w:highlight w:val="none"/>
        </w:rPr>
        <w:t>符合性审查</w:t>
      </w:r>
    </w:p>
    <w:p w14:paraId="7D8EB289">
      <w:pPr>
        <w:pStyle w:val="18"/>
        <w:spacing w:line="360" w:lineRule="auto"/>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评标委员会应当对符合资格的投标供应商的投标文件进行符合性审查，以确定其是否满足招标文件的实质性要求，对审查发现无效的进行必要的询标，</w:t>
      </w:r>
      <w:r>
        <w:rPr>
          <w:rFonts w:hint="eastAsia" w:ascii="宋体" w:hAnsi="宋体" w:cs="宋体"/>
          <w:color w:val="auto"/>
          <w:szCs w:val="21"/>
          <w:highlight w:val="none"/>
        </w:rPr>
        <w:t>在政采云平台公布无效投标的投标供应商名单、投标无效的原因</w:t>
      </w:r>
      <w:r>
        <w:rPr>
          <w:rFonts w:hint="eastAsia" w:asciiTheme="minorEastAsia" w:hAnsiTheme="minorEastAsia" w:eastAsiaTheme="minorEastAsia"/>
          <w:color w:val="auto"/>
          <w:szCs w:val="21"/>
          <w:highlight w:val="none"/>
        </w:rPr>
        <w:t>。</w:t>
      </w:r>
    </w:p>
    <w:tbl>
      <w:tblPr>
        <w:tblStyle w:val="46"/>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9"/>
        <w:gridCol w:w="6878"/>
      </w:tblGrid>
      <w:tr w14:paraId="0FF4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0" w:hRule="atLeast"/>
          <w:jc w:val="center"/>
        </w:trPr>
        <w:tc>
          <w:tcPr>
            <w:tcW w:w="1449" w:type="dxa"/>
            <w:vAlign w:val="center"/>
          </w:tcPr>
          <w:p w14:paraId="5B7599A2">
            <w:pPr>
              <w:pStyle w:val="108"/>
              <w:spacing w:line="360" w:lineRule="auto"/>
              <w:ind w:right="146"/>
              <w:jc w:val="center"/>
              <w:rPr>
                <w:color w:val="auto"/>
                <w:szCs w:val="21"/>
                <w:highlight w:val="none"/>
              </w:rPr>
            </w:pPr>
            <w:r>
              <w:rPr>
                <w:rFonts w:hint="eastAsia"/>
                <w:color w:val="auto"/>
                <w:szCs w:val="21"/>
                <w:highlight w:val="none"/>
              </w:rPr>
              <w:t>投标文件</w:t>
            </w:r>
          </w:p>
        </w:tc>
        <w:tc>
          <w:tcPr>
            <w:tcW w:w="6878" w:type="dxa"/>
            <w:vAlign w:val="center"/>
          </w:tcPr>
          <w:p w14:paraId="5CA3A053">
            <w:pPr>
              <w:pStyle w:val="108"/>
              <w:spacing w:before="48" w:line="360" w:lineRule="auto"/>
              <w:rPr>
                <w:color w:val="auto"/>
                <w:szCs w:val="21"/>
                <w:highlight w:val="none"/>
              </w:rPr>
            </w:pPr>
            <w:r>
              <w:rPr>
                <w:rFonts w:hint="eastAsia"/>
                <w:color w:val="auto"/>
                <w:szCs w:val="21"/>
                <w:highlight w:val="none"/>
              </w:rPr>
              <w:t>投标文件无重大错漏，并按要求签署、盖章。</w:t>
            </w:r>
          </w:p>
        </w:tc>
      </w:tr>
      <w:tr w14:paraId="5F226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4" w:hRule="atLeast"/>
          <w:jc w:val="center"/>
        </w:trPr>
        <w:tc>
          <w:tcPr>
            <w:tcW w:w="1449" w:type="dxa"/>
            <w:vAlign w:val="center"/>
          </w:tcPr>
          <w:p w14:paraId="6301E85E">
            <w:pPr>
              <w:pStyle w:val="108"/>
              <w:spacing w:line="360" w:lineRule="auto"/>
              <w:ind w:right="146"/>
              <w:jc w:val="center"/>
              <w:rPr>
                <w:color w:val="auto"/>
                <w:szCs w:val="21"/>
                <w:highlight w:val="none"/>
              </w:rPr>
            </w:pPr>
            <w:r>
              <w:rPr>
                <w:rFonts w:hint="eastAsia"/>
                <w:color w:val="auto"/>
                <w:szCs w:val="21"/>
                <w:highlight w:val="none"/>
              </w:rPr>
              <w:t>“▲”实质性条款</w:t>
            </w:r>
          </w:p>
        </w:tc>
        <w:tc>
          <w:tcPr>
            <w:tcW w:w="6878" w:type="dxa"/>
            <w:vAlign w:val="center"/>
          </w:tcPr>
          <w:p w14:paraId="793153A4">
            <w:pPr>
              <w:pStyle w:val="108"/>
              <w:spacing w:before="48" w:line="360" w:lineRule="auto"/>
              <w:rPr>
                <w:color w:val="auto"/>
                <w:szCs w:val="21"/>
                <w:highlight w:val="none"/>
              </w:rPr>
            </w:pPr>
            <w:r>
              <w:rPr>
                <w:rFonts w:hint="eastAsia"/>
                <w:color w:val="auto"/>
                <w:szCs w:val="21"/>
                <w:highlight w:val="none"/>
              </w:rPr>
              <w:t>“▲”实质性条款必须满足招标文件要求。</w:t>
            </w:r>
          </w:p>
        </w:tc>
      </w:tr>
      <w:tr w14:paraId="392F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7" w:hRule="atLeast"/>
          <w:jc w:val="center"/>
        </w:trPr>
        <w:tc>
          <w:tcPr>
            <w:tcW w:w="1449" w:type="dxa"/>
            <w:shd w:val="clear" w:color="auto" w:fill="F6F6F6"/>
            <w:vAlign w:val="center"/>
          </w:tcPr>
          <w:p w14:paraId="6B826D94">
            <w:pPr>
              <w:pStyle w:val="108"/>
              <w:spacing w:line="360" w:lineRule="auto"/>
              <w:ind w:right="146"/>
              <w:jc w:val="center"/>
              <w:rPr>
                <w:color w:val="auto"/>
                <w:szCs w:val="21"/>
                <w:highlight w:val="none"/>
              </w:rPr>
            </w:pPr>
            <w:r>
              <w:rPr>
                <w:rFonts w:hint="eastAsia"/>
                <w:color w:val="auto"/>
                <w:szCs w:val="21"/>
                <w:highlight w:val="none"/>
              </w:rPr>
              <w:t>串通投标</w:t>
            </w:r>
          </w:p>
        </w:tc>
        <w:tc>
          <w:tcPr>
            <w:tcW w:w="6878" w:type="dxa"/>
            <w:shd w:val="clear" w:color="auto" w:fill="F6F6F6"/>
            <w:vAlign w:val="center"/>
          </w:tcPr>
          <w:p w14:paraId="5F8C10A6">
            <w:pPr>
              <w:pStyle w:val="108"/>
              <w:spacing w:before="48" w:line="360" w:lineRule="auto"/>
              <w:rPr>
                <w:color w:val="auto"/>
                <w:szCs w:val="21"/>
                <w:highlight w:val="none"/>
              </w:rPr>
            </w:pPr>
            <w:r>
              <w:rPr>
                <w:rFonts w:hint="eastAsia"/>
                <w:color w:val="auto"/>
                <w:szCs w:val="21"/>
                <w:highlight w:val="none"/>
              </w:rPr>
              <w:t>未出现财政部87号令《政府采购货物和服务招标投标管理办法》第三十七条规定的串通投标情形。</w:t>
            </w:r>
          </w:p>
        </w:tc>
      </w:tr>
      <w:tr w14:paraId="5141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1449" w:type="dxa"/>
            <w:vAlign w:val="center"/>
          </w:tcPr>
          <w:p w14:paraId="72E74DA3">
            <w:pPr>
              <w:pStyle w:val="108"/>
              <w:spacing w:line="360" w:lineRule="auto"/>
              <w:ind w:right="146"/>
              <w:jc w:val="center"/>
              <w:rPr>
                <w:color w:val="auto"/>
                <w:szCs w:val="21"/>
                <w:highlight w:val="none"/>
              </w:rPr>
            </w:pPr>
            <w:r>
              <w:rPr>
                <w:rFonts w:hint="eastAsia"/>
                <w:color w:val="auto"/>
                <w:szCs w:val="21"/>
                <w:highlight w:val="none"/>
              </w:rPr>
              <w:t>附加条件</w:t>
            </w:r>
          </w:p>
        </w:tc>
        <w:tc>
          <w:tcPr>
            <w:tcW w:w="6878" w:type="dxa"/>
            <w:vAlign w:val="center"/>
          </w:tcPr>
          <w:p w14:paraId="4BE85F14">
            <w:pPr>
              <w:pStyle w:val="108"/>
              <w:spacing w:before="48" w:line="360" w:lineRule="auto"/>
              <w:rPr>
                <w:color w:val="auto"/>
                <w:szCs w:val="21"/>
                <w:highlight w:val="none"/>
              </w:rPr>
            </w:pPr>
            <w:r>
              <w:rPr>
                <w:rFonts w:hint="eastAsia"/>
                <w:color w:val="auto"/>
                <w:szCs w:val="21"/>
                <w:highlight w:val="none"/>
              </w:rPr>
              <w:t>投标文件未含有采购人不可接受的附加条件。</w:t>
            </w:r>
          </w:p>
        </w:tc>
      </w:tr>
      <w:tr w14:paraId="19DA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1" w:hRule="atLeast"/>
          <w:jc w:val="center"/>
        </w:trPr>
        <w:tc>
          <w:tcPr>
            <w:tcW w:w="1449" w:type="dxa"/>
            <w:vAlign w:val="center"/>
          </w:tcPr>
          <w:p w14:paraId="5A4B9C7E">
            <w:pPr>
              <w:pStyle w:val="108"/>
              <w:spacing w:line="360" w:lineRule="auto"/>
              <w:ind w:right="146"/>
              <w:jc w:val="center"/>
              <w:rPr>
                <w:color w:val="auto"/>
                <w:szCs w:val="21"/>
                <w:highlight w:val="none"/>
              </w:rPr>
            </w:pPr>
            <w:r>
              <w:rPr>
                <w:rFonts w:hint="eastAsia"/>
                <w:color w:val="auto"/>
                <w:szCs w:val="21"/>
                <w:highlight w:val="none"/>
              </w:rPr>
              <w:t>其他</w:t>
            </w:r>
          </w:p>
        </w:tc>
        <w:tc>
          <w:tcPr>
            <w:tcW w:w="6878" w:type="dxa"/>
            <w:vAlign w:val="center"/>
          </w:tcPr>
          <w:p w14:paraId="250C5077">
            <w:pPr>
              <w:pStyle w:val="108"/>
              <w:spacing w:before="48" w:line="360" w:lineRule="auto"/>
              <w:rPr>
                <w:color w:val="auto"/>
                <w:szCs w:val="21"/>
                <w:highlight w:val="none"/>
              </w:rPr>
            </w:pPr>
            <w:r>
              <w:rPr>
                <w:rFonts w:hint="eastAsia"/>
                <w:color w:val="auto"/>
                <w:szCs w:val="21"/>
                <w:highlight w:val="none"/>
              </w:rPr>
              <w:t>投标文件并无其他法定或本文件规定的无效情形。</w:t>
            </w:r>
          </w:p>
        </w:tc>
      </w:tr>
    </w:tbl>
    <w:p w14:paraId="79A0F299">
      <w:pPr>
        <w:pStyle w:val="42"/>
        <w:spacing w:before="0" w:beforeAutospacing="0" w:after="0" w:afterAutospacing="0" w:line="360" w:lineRule="auto"/>
        <w:ind w:firstLine="422" w:firstLineChars="200"/>
        <w:jc w:val="both"/>
        <w:rPr>
          <w:rFonts w:hint="default" w:asciiTheme="minorEastAsia" w:hAnsiTheme="minorEastAsia" w:eastAsiaTheme="minorEastAsia"/>
          <w:color w:val="auto"/>
          <w:sz w:val="21"/>
          <w:szCs w:val="21"/>
          <w:highlight w:val="none"/>
        </w:rPr>
      </w:pPr>
      <w:r>
        <w:rPr>
          <w:rFonts w:asciiTheme="minorEastAsia" w:hAnsiTheme="minorEastAsia" w:eastAsiaTheme="minorEastAsia"/>
          <w:b/>
          <w:bCs/>
          <w:color w:val="auto"/>
          <w:sz w:val="21"/>
          <w:szCs w:val="21"/>
          <w:highlight w:val="none"/>
        </w:rPr>
        <w:t>（三）</w:t>
      </w:r>
      <w:r>
        <w:rPr>
          <w:rFonts w:ascii="Arial" w:hAnsi="Arial" w:cs="Arial" w:eastAsiaTheme="minorEastAsia"/>
          <w:b/>
          <w:bCs/>
          <w:color w:val="auto"/>
          <w:sz w:val="21"/>
          <w:szCs w:val="21"/>
          <w:highlight w:val="none"/>
        </w:rPr>
        <w:t>商务技术及价格评审</w:t>
      </w:r>
    </w:p>
    <w:p w14:paraId="77292DD9">
      <w:pPr>
        <w:autoSpaceDE w:val="0"/>
        <w:autoSpaceDN w:val="0"/>
        <w:spacing w:line="360" w:lineRule="auto"/>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kern w:val="0"/>
          <w:szCs w:val="21"/>
          <w:highlight w:val="none"/>
        </w:rPr>
        <w:t>项目评标方法为综合评分法，总计100分，评标按以下标准及要求进行：</w:t>
      </w:r>
    </w:p>
    <w:p w14:paraId="44EBA635">
      <w:pPr>
        <w:pStyle w:val="3"/>
        <w:ind w:right="0" w:firstLine="422" w:firstLineChars="200"/>
        <w:rPr>
          <w:rFonts w:cs="宋体"/>
          <w:bCs/>
          <w:color w:val="auto"/>
          <w:sz w:val="21"/>
          <w:szCs w:val="21"/>
          <w:highlight w:val="none"/>
        </w:rPr>
      </w:pPr>
      <w:r>
        <w:rPr>
          <w:rFonts w:hint="eastAsia" w:cs="宋体"/>
          <w:bCs/>
          <w:color w:val="auto"/>
          <w:sz w:val="21"/>
          <w:szCs w:val="21"/>
          <w:highlight w:val="none"/>
        </w:rPr>
        <w:t>1.评分标准</w:t>
      </w:r>
    </w:p>
    <w:tbl>
      <w:tblPr>
        <w:tblStyle w:val="46"/>
        <w:tblW w:w="11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78"/>
        <w:gridCol w:w="8669"/>
        <w:gridCol w:w="818"/>
      </w:tblGrid>
      <w:tr w14:paraId="11D11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12" w:type="dxa"/>
            <w:gridSpan w:val="2"/>
            <w:vMerge w:val="restart"/>
            <w:vAlign w:val="center"/>
          </w:tcPr>
          <w:p w14:paraId="66976C77">
            <w:pPr>
              <w:spacing w:line="360" w:lineRule="auto"/>
              <w:jc w:val="center"/>
              <w:rPr>
                <w:b/>
                <w:color w:val="auto"/>
                <w:kern w:val="0"/>
                <w:szCs w:val="21"/>
                <w:highlight w:val="none"/>
              </w:rPr>
            </w:pPr>
            <w:r>
              <w:rPr>
                <w:b/>
                <w:color w:val="auto"/>
                <w:kern w:val="0"/>
                <w:szCs w:val="21"/>
                <w:highlight w:val="none"/>
              </w:rPr>
              <w:t>项目</w:t>
            </w:r>
          </w:p>
        </w:tc>
        <w:tc>
          <w:tcPr>
            <w:tcW w:w="8669" w:type="dxa"/>
            <w:vMerge w:val="restart"/>
            <w:vAlign w:val="center"/>
          </w:tcPr>
          <w:p w14:paraId="344BEA66">
            <w:pPr>
              <w:spacing w:line="360" w:lineRule="auto"/>
              <w:jc w:val="center"/>
              <w:rPr>
                <w:b/>
                <w:color w:val="auto"/>
                <w:kern w:val="0"/>
                <w:szCs w:val="21"/>
                <w:highlight w:val="none"/>
              </w:rPr>
            </w:pPr>
            <w:r>
              <w:rPr>
                <w:b/>
                <w:color w:val="auto"/>
                <w:kern w:val="0"/>
                <w:szCs w:val="21"/>
                <w:highlight w:val="none"/>
              </w:rPr>
              <w:t>评标内容及分值</w:t>
            </w:r>
          </w:p>
        </w:tc>
        <w:tc>
          <w:tcPr>
            <w:tcW w:w="818" w:type="dxa"/>
            <w:vMerge w:val="restart"/>
            <w:vAlign w:val="center"/>
          </w:tcPr>
          <w:p w14:paraId="7D898FA7">
            <w:pPr>
              <w:spacing w:line="360" w:lineRule="auto"/>
              <w:jc w:val="center"/>
              <w:rPr>
                <w:b/>
                <w:color w:val="auto"/>
                <w:kern w:val="0"/>
                <w:szCs w:val="21"/>
                <w:highlight w:val="none"/>
              </w:rPr>
            </w:pPr>
            <w:r>
              <w:rPr>
                <w:b/>
                <w:color w:val="auto"/>
                <w:kern w:val="0"/>
                <w:szCs w:val="21"/>
                <w:highlight w:val="none"/>
              </w:rPr>
              <w:t>分值</w:t>
            </w:r>
          </w:p>
        </w:tc>
      </w:tr>
      <w:tr w14:paraId="10D6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712" w:type="dxa"/>
            <w:gridSpan w:val="2"/>
            <w:vMerge w:val="continue"/>
            <w:vAlign w:val="center"/>
          </w:tcPr>
          <w:p w14:paraId="736E24CD">
            <w:pPr>
              <w:spacing w:line="360" w:lineRule="auto"/>
              <w:jc w:val="center"/>
              <w:rPr>
                <w:color w:val="auto"/>
                <w:szCs w:val="21"/>
                <w:highlight w:val="none"/>
              </w:rPr>
            </w:pPr>
          </w:p>
        </w:tc>
        <w:tc>
          <w:tcPr>
            <w:tcW w:w="8669" w:type="dxa"/>
            <w:vMerge w:val="continue"/>
            <w:vAlign w:val="center"/>
          </w:tcPr>
          <w:p w14:paraId="744E4740">
            <w:pPr>
              <w:spacing w:line="360" w:lineRule="auto"/>
              <w:jc w:val="center"/>
              <w:rPr>
                <w:color w:val="auto"/>
                <w:szCs w:val="21"/>
                <w:highlight w:val="none"/>
              </w:rPr>
            </w:pPr>
          </w:p>
        </w:tc>
        <w:tc>
          <w:tcPr>
            <w:tcW w:w="818" w:type="dxa"/>
            <w:vMerge w:val="continue"/>
          </w:tcPr>
          <w:p w14:paraId="47224655">
            <w:pPr>
              <w:spacing w:line="360" w:lineRule="auto"/>
              <w:jc w:val="center"/>
              <w:rPr>
                <w:color w:val="auto"/>
                <w:szCs w:val="21"/>
                <w:highlight w:val="none"/>
              </w:rPr>
            </w:pPr>
          </w:p>
        </w:tc>
      </w:tr>
      <w:tr w14:paraId="4EF4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4" w:type="dxa"/>
            <w:vMerge w:val="restart"/>
            <w:textDirection w:val="tbRlV"/>
            <w:vAlign w:val="center"/>
          </w:tcPr>
          <w:p w14:paraId="3560C5BC">
            <w:pPr>
              <w:spacing w:line="340" w:lineRule="exact"/>
              <w:ind w:left="113" w:right="113"/>
              <w:jc w:val="center"/>
              <w:rPr>
                <w:rFonts w:asciiTheme="minorEastAsia" w:hAnsiTheme="minorEastAsia" w:eastAsiaTheme="minorEastAsia" w:cstheme="minorEastAsia"/>
                <w:b/>
                <w:color w:val="auto"/>
                <w:kern w:val="0"/>
                <w:szCs w:val="21"/>
                <w:highlight w:val="none"/>
              </w:rPr>
            </w:pPr>
            <w:r>
              <w:rPr>
                <w:rFonts w:hint="eastAsia" w:ascii="宋体" w:hAnsi="宋体" w:cs="宋体"/>
                <w:b/>
                <w:color w:val="auto"/>
                <w:sz w:val="24"/>
                <w:highlight w:val="none"/>
              </w:rPr>
              <w:t>技术、商务文件（</w:t>
            </w:r>
            <w:r>
              <w:rPr>
                <w:rFonts w:hint="eastAsia" w:ascii="宋体" w:hAnsi="宋体" w:cs="宋体"/>
                <w:b/>
                <w:color w:val="auto"/>
                <w:sz w:val="24"/>
                <w:highlight w:val="none"/>
                <w:lang w:val="en-US" w:eastAsia="zh-CN"/>
              </w:rPr>
              <w:t>70</w:t>
            </w:r>
            <w:r>
              <w:rPr>
                <w:rFonts w:hint="eastAsia" w:ascii="宋体" w:hAnsi="宋体" w:cs="宋体"/>
                <w:b/>
                <w:color w:val="auto"/>
                <w:sz w:val="24"/>
                <w:highlight w:val="none"/>
              </w:rPr>
              <w:t>分）</w:t>
            </w:r>
          </w:p>
        </w:tc>
        <w:tc>
          <w:tcPr>
            <w:tcW w:w="978" w:type="dxa"/>
            <w:vAlign w:val="center"/>
          </w:tcPr>
          <w:p w14:paraId="3C32A2FD">
            <w:pPr>
              <w:jc w:val="center"/>
              <w:rPr>
                <w:rFonts w:ascii="宋体" w:hAnsi="宋体" w:cs="宋体"/>
                <w:color w:val="auto"/>
                <w:szCs w:val="21"/>
                <w:highlight w:val="none"/>
              </w:rPr>
            </w:pPr>
            <w:r>
              <w:rPr>
                <w:rFonts w:hint="eastAsia" w:ascii="宋体" w:hAnsi="宋体" w:cs="宋体"/>
                <w:color w:val="auto"/>
                <w:szCs w:val="21"/>
                <w:highlight w:val="none"/>
              </w:rPr>
              <w:t>企业实力</w:t>
            </w:r>
          </w:p>
          <w:p w14:paraId="659879A7">
            <w:pPr>
              <w:jc w:val="center"/>
              <w:rPr>
                <w:rFonts w:ascii="宋体" w:hAnsi="宋体" w:cs="宋体"/>
                <w:color w:val="auto"/>
                <w:szCs w:val="21"/>
                <w:highlight w:val="none"/>
              </w:rPr>
            </w:pPr>
          </w:p>
        </w:tc>
        <w:tc>
          <w:tcPr>
            <w:tcW w:w="8669" w:type="dxa"/>
            <w:vAlign w:val="center"/>
          </w:tcPr>
          <w:p w14:paraId="7851695E">
            <w:pPr>
              <w:spacing w:line="360" w:lineRule="exact"/>
              <w:rPr>
                <w:rFonts w:ascii="宋体" w:hAnsi="宋体" w:cs="宋体"/>
                <w:color w:val="auto"/>
                <w:szCs w:val="21"/>
                <w:highlight w:val="none"/>
              </w:rPr>
            </w:pPr>
            <w:r>
              <w:rPr>
                <w:rFonts w:hint="eastAsia" w:ascii="宋体" w:hAnsi="宋体" w:cs="宋体"/>
                <w:color w:val="auto"/>
                <w:szCs w:val="21"/>
                <w:highlight w:val="none"/>
              </w:rPr>
              <w:t>投标单位具有电子与智能化工程专业承包资质的得2分。</w:t>
            </w:r>
          </w:p>
          <w:p w14:paraId="27521BBE">
            <w:pPr>
              <w:spacing w:line="360" w:lineRule="exact"/>
              <w:rPr>
                <w:rFonts w:ascii="宋体" w:hAnsi="宋体" w:cs="宋体"/>
                <w:color w:val="auto"/>
                <w:szCs w:val="21"/>
                <w:highlight w:val="none"/>
              </w:rPr>
            </w:pPr>
            <w:r>
              <w:rPr>
                <w:rFonts w:hint="eastAsia" w:ascii="宋体" w:hAnsi="宋体" w:cs="宋体"/>
                <w:color w:val="auto"/>
                <w:szCs w:val="21"/>
                <w:highlight w:val="none"/>
              </w:rPr>
              <w:t>具有ITSS信息技术服务运行维护能力标准符合型证书的得1分，未提供不得分。</w:t>
            </w:r>
          </w:p>
          <w:p w14:paraId="7A6A837F">
            <w:pPr>
              <w:spacing w:line="360" w:lineRule="exact"/>
              <w:rPr>
                <w:rFonts w:ascii="宋体" w:hAnsi="宋体" w:cs="宋体"/>
                <w:color w:val="auto"/>
                <w:szCs w:val="21"/>
                <w:highlight w:val="none"/>
              </w:rPr>
            </w:pPr>
            <w:r>
              <w:rPr>
                <w:rFonts w:hint="eastAsia" w:ascii="宋体" w:hAnsi="宋体" w:cs="宋体"/>
                <w:color w:val="auto"/>
                <w:szCs w:val="21"/>
                <w:highlight w:val="none"/>
              </w:rPr>
              <w:t>具有环境管理体系认证证书、信息安全管理体系认证证书、信息技术服务管理体系认证证书、职业健康安全管理体系认证证书、信息系统安全等级保护认证的，每个证书得1分，最高得5分。（以上均需提供有效期内的证书扫描件，不提供不得分）</w:t>
            </w:r>
          </w:p>
        </w:tc>
        <w:tc>
          <w:tcPr>
            <w:tcW w:w="818" w:type="dxa"/>
            <w:vAlign w:val="center"/>
          </w:tcPr>
          <w:p w14:paraId="672BDC68">
            <w:pPr>
              <w:spacing w:line="360" w:lineRule="exact"/>
              <w:rPr>
                <w:rFonts w:ascii="宋体" w:hAnsi="宋体" w:cs="宋体"/>
                <w:color w:val="auto"/>
                <w:highlight w:val="none"/>
              </w:rPr>
            </w:pPr>
            <w:r>
              <w:rPr>
                <w:rFonts w:hint="eastAsia" w:ascii="宋体" w:hAnsi="宋体" w:cs="宋体"/>
                <w:color w:val="auto"/>
                <w:highlight w:val="none"/>
              </w:rPr>
              <w:t>8分</w:t>
            </w:r>
          </w:p>
        </w:tc>
      </w:tr>
      <w:tr w14:paraId="51720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4" w:type="dxa"/>
            <w:vMerge w:val="continue"/>
            <w:vAlign w:val="center"/>
          </w:tcPr>
          <w:p w14:paraId="47475FE5">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Align w:val="center"/>
          </w:tcPr>
          <w:p w14:paraId="376896E9">
            <w:pPr>
              <w:widowControl/>
              <w:jc w:val="center"/>
              <w:rPr>
                <w:rFonts w:ascii="宋体" w:hAnsi="宋体" w:cs="宋体"/>
                <w:color w:val="auto"/>
                <w:szCs w:val="21"/>
                <w:highlight w:val="none"/>
              </w:rPr>
            </w:pPr>
            <w:r>
              <w:rPr>
                <w:rFonts w:hint="eastAsia" w:ascii="宋体" w:hAnsi="宋体" w:cs="宋体"/>
                <w:color w:val="auto"/>
                <w:szCs w:val="21"/>
                <w:highlight w:val="none"/>
              </w:rPr>
              <w:t>业绩</w:t>
            </w:r>
          </w:p>
          <w:p w14:paraId="600CE9A2">
            <w:pPr>
              <w:widowControl/>
              <w:jc w:val="center"/>
              <w:rPr>
                <w:rFonts w:ascii="宋体" w:hAnsi="宋体" w:cs="宋体"/>
                <w:color w:val="auto"/>
                <w:szCs w:val="21"/>
                <w:highlight w:val="none"/>
              </w:rPr>
            </w:pPr>
          </w:p>
        </w:tc>
        <w:tc>
          <w:tcPr>
            <w:tcW w:w="8669" w:type="dxa"/>
            <w:vAlign w:val="center"/>
          </w:tcPr>
          <w:p w14:paraId="1FE9767B">
            <w:pPr>
              <w:spacing w:line="360" w:lineRule="exact"/>
              <w:rPr>
                <w:rFonts w:ascii="宋体" w:hAnsi="宋体" w:cs="宋体"/>
                <w:color w:val="auto"/>
                <w:szCs w:val="21"/>
                <w:highlight w:val="none"/>
              </w:rPr>
            </w:pPr>
            <w:r>
              <w:rPr>
                <w:rFonts w:hint="eastAsia" w:ascii="宋体" w:hAnsi="宋体" w:cs="宋体"/>
                <w:color w:val="auto"/>
                <w:szCs w:val="21"/>
                <w:highlight w:val="none"/>
              </w:rPr>
              <w:t>投标人自2020年1月1日（以合同签订日期为准，包括1月1日）至今建设类似项目业绩，每提供一项目业绩得1分，最高得2分。（须提供合同扫描件并加盖电子公章）</w:t>
            </w:r>
          </w:p>
        </w:tc>
        <w:tc>
          <w:tcPr>
            <w:tcW w:w="818" w:type="dxa"/>
            <w:vAlign w:val="center"/>
          </w:tcPr>
          <w:p w14:paraId="0EE63405">
            <w:pPr>
              <w:widowControl/>
              <w:jc w:val="center"/>
              <w:rPr>
                <w:rFonts w:ascii="宋体" w:hAnsi="宋体" w:cs="宋体"/>
                <w:color w:val="auto"/>
                <w:highlight w:val="none"/>
              </w:rPr>
            </w:pPr>
            <w:r>
              <w:rPr>
                <w:rFonts w:hint="eastAsia" w:ascii="宋体" w:hAnsi="宋体" w:cs="宋体"/>
                <w:color w:val="auto"/>
                <w:highlight w:val="none"/>
              </w:rPr>
              <w:t>2分</w:t>
            </w:r>
          </w:p>
        </w:tc>
      </w:tr>
      <w:tr w14:paraId="11AD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4" w:type="dxa"/>
            <w:vMerge w:val="continue"/>
            <w:vAlign w:val="center"/>
          </w:tcPr>
          <w:p w14:paraId="11CE378E">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restart"/>
            <w:vAlign w:val="center"/>
          </w:tcPr>
          <w:p w14:paraId="53A964BB">
            <w:pPr>
              <w:widowControl/>
              <w:jc w:val="center"/>
              <w:rPr>
                <w:rFonts w:ascii="宋体" w:hAnsi="宋体" w:cs="宋体"/>
                <w:color w:val="auto"/>
                <w:szCs w:val="21"/>
                <w:highlight w:val="none"/>
              </w:rPr>
            </w:pPr>
            <w:r>
              <w:rPr>
                <w:rFonts w:hint="eastAsia" w:ascii="宋体" w:hAnsi="宋体" w:cs="宋体"/>
                <w:color w:val="auto"/>
                <w:szCs w:val="21"/>
                <w:highlight w:val="none"/>
              </w:rPr>
              <w:t>技术  性能</w:t>
            </w:r>
          </w:p>
          <w:p w14:paraId="4631AA37">
            <w:pPr>
              <w:widowControl/>
              <w:jc w:val="center"/>
              <w:rPr>
                <w:rFonts w:ascii="宋体" w:hAnsi="宋体" w:cs="宋体"/>
                <w:color w:val="auto"/>
                <w:szCs w:val="21"/>
                <w:highlight w:val="none"/>
              </w:rPr>
            </w:pPr>
          </w:p>
        </w:tc>
        <w:tc>
          <w:tcPr>
            <w:tcW w:w="8669" w:type="dxa"/>
            <w:vAlign w:val="center"/>
          </w:tcPr>
          <w:p w14:paraId="688B8554">
            <w:pPr>
              <w:pStyle w:val="443"/>
              <w:spacing w:line="360" w:lineRule="exact"/>
              <w:rPr>
                <w:rFonts w:hint="default" w:ascii="宋体" w:hAnsi="宋体" w:cs="宋体"/>
                <w:color w:val="auto"/>
                <w:szCs w:val="21"/>
                <w:highlight w:val="none"/>
              </w:rPr>
            </w:pPr>
            <w:r>
              <w:rPr>
                <w:rFonts w:ascii="宋体" w:hAnsi="宋体" w:cs="宋体"/>
                <w:color w:val="auto"/>
                <w:szCs w:val="21"/>
                <w:highlight w:val="none"/>
              </w:rPr>
              <w:t>根据投标产品的技术参数与</w:t>
            </w:r>
            <w:r>
              <w:rPr>
                <w:rFonts w:hint="eastAsia" w:ascii="宋体" w:hAnsi="宋体" w:cs="宋体"/>
                <w:color w:val="auto"/>
                <w:szCs w:val="21"/>
                <w:highlight w:val="none"/>
                <w:lang w:eastAsia="zh-CN"/>
              </w:rPr>
              <w:t>《</w:t>
            </w:r>
            <w:r>
              <w:rPr>
                <w:rFonts w:hint="eastAsia"/>
                <w:color w:val="auto"/>
                <w:highlight w:val="none"/>
                <w:lang w:val="zh-CN"/>
              </w:rPr>
              <w:t>2024年电子监控、基础及管路项目（第二次重新招标）</w:t>
            </w:r>
            <w:r>
              <w:rPr>
                <w:color w:val="auto"/>
                <w:highlight w:val="none"/>
              </w:rPr>
              <w:t>内容清单</w:t>
            </w:r>
            <w:r>
              <w:rPr>
                <w:rFonts w:hint="eastAsia" w:ascii="宋体" w:hAnsi="宋体" w:cs="宋体"/>
                <w:color w:val="auto"/>
                <w:szCs w:val="21"/>
                <w:highlight w:val="none"/>
                <w:lang w:eastAsia="zh-CN"/>
              </w:rPr>
              <w:t>》中标★内容</w:t>
            </w:r>
            <w:r>
              <w:rPr>
                <w:rFonts w:ascii="宋体" w:hAnsi="宋体" w:cs="宋体"/>
                <w:color w:val="auto"/>
                <w:szCs w:val="21"/>
                <w:highlight w:val="none"/>
              </w:rPr>
              <w:t>的</w:t>
            </w:r>
            <w:r>
              <w:rPr>
                <w:rFonts w:hint="eastAsia" w:ascii="宋体" w:hAnsi="宋体" w:cs="宋体"/>
                <w:color w:val="auto"/>
                <w:szCs w:val="21"/>
                <w:highlight w:val="none"/>
                <w:lang w:eastAsia="zh-CN"/>
              </w:rPr>
              <w:t>技术参数的响应</w:t>
            </w:r>
            <w:r>
              <w:rPr>
                <w:rFonts w:ascii="宋体" w:hAnsi="宋体" w:cs="宋体"/>
                <w:color w:val="auto"/>
                <w:szCs w:val="21"/>
                <w:highlight w:val="none"/>
              </w:rPr>
              <w:t>程度进行</w:t>
            </w:r>
            <w:r>
              <w:rPr>
                <w:rFonts w:hint="eastAsia" w:ascii="宋体" w:hAnsi="宋体" w:cs="宋体"/>
                <w:color w:val="auto"/>
                <w:szCs w:val="21"/>
                <w:highlight w:val="none"/>
                <w:lang w:eastAsia="zh-CN"/>
              </w:rPr>
              <w:t>打分</w:t>
            </w:r>
            <w:r>
              <w:rPr>
                <w:rFonts w:ascii="宋体" w:hAnsi="宋体" w:cs="宋体"/>
                <w:color w:val="auto"/>
                <w:szCs w:val="21"/>
                <w:highlight w:val="none"/>
              </w:rPr>
              <w:t>：</w:t>
            </w:r>
            <w:r>
              <w:rPr>
                <w:rFonts w:hint="eastAsia" w:ascii="宋体" w:hAnsi="宋体" w:cs="宋体"/>
                <w:color w:val="auto"/>
                <w:szCs w:val="21"/>
                <w:highlight w:val="none"/>
                <w:lang w:val="en-US" w:eastAsia="zh-CN"/>
              </w:rPr>
              <w:t>每负偏离一项扣1分</w:t>
            </w:r>
            <w:r>
              <w:rPr>
                <w:rFonts w:ascii="宋体" w:hAnsi="宋体" w:cs="宋体"/>
                <w:color w:val="auto"/>
                <w:szCs w:val="21"/>
                <w:highlight w:val="none"/>
              </w:rPr>
              <w:t>，扣完为止。</w:t>
            </w:r>
          </w:p>
        </w:tc>
        <w:tc>
          <w:tcPr>
            <w:tcW w:w="818" w:type="dxa"/>
            <w:vAlign w:val="center"/>
          </w:tcPr>
          <w:p w14:paraId="27F62D75">
            <w:pPr>
              <w:widowControl/>
              <w:jc w:val="center"/>
              <w:rPr>
                <w:rFonts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val="en-US" w:eastAsia="zh-CN"/>
              </w:rPr>
              <w:t>2</w:t>
            </w:r>
            <w:r>
              <w:rPr>
                <w:rFonts w:hint="eastAsia" w:ascii="宋体" w:hAnsi="宋体" w:cs="宋体"/>
                <w:color w:val="auto"/>
                <w:highlight w:val="none"/>
              </w:rPr>
              <w:t>分</w:t>
            </w:r>
          </w:p>
        </w:tc>
      </w:tr>
      <w:tr w14:paraId="312D9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734" w:type="dxa"/>
            <w:vMerge w:val="continue"/>
            <w:vAlign w:val="center"/>
          </w:tcPr>
          <w:p w14:paraId="4E24D83B">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continue"/>
            <w:vAlign w:val="center"/>
          </w:tcPr>
          <w:p w14:paraId="10B29CE9">
            <w:pPr>
              <w:widowControl/>
              <w:jc w:val="center"/>
              <w:rPr>
                <w:rFonts w:ascii="宋体" w:hAnsi="宋体" w:cs="宋体"/>
                <w:color w:val="auto"/>
                <w:kern w:val="0"/>
                <w:szCs w:val="21"/>
                <w:highlight w:val="none"/>
              </w:rPr>
            </w:pPr>
          </w:p>
        </w:tc>
        <w:tc>
          <w:tcPr>
            <w:tcW w:w="8669" w:type="dxa"/>
            <w:vAlign w:val="center"/>
          </w:tcPr>
          <w:p w14:paraId="23D81936">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详细阐述本项目实现思路和关键技术，以及对实施计划和建设方案的可行性等，分四档评分：</w:t>
            </w:r>
          </w:p>
          <w:p w14:paraId="168FEF3D">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第一档：建设方案完善，实现思路清晰，关键技术科学先进，实施计划安排合理、实施经验丰富，可行性强，得</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rPr>
              <w:t>分；</w:t>
            </w:r>
          </w:p>
          <w:p w14:paraId="2BD2C171">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第二档：建设方案较完善，实现思路较清晰，关键技术较科学先进，实施计划安排较合理、实施经验较丰富，可行性较强，得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p w14:paraId="1716B211">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第三档：建设方案欠完善，实现思路欠清晰，关键技术欠科学先进，实施计划安排欠合理，实施经验欠丰富，可行性欠强，得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p w14:paraId="6A11D496">
            <w:pPr>
              <w:pStyle w:val="2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第四档：建设方案不完善，实现思路不清晰，关键技术不科学先进，实施计划安排不合理，实施经验不足，可行性不强，得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tc>
        <w:tc>
          <w:tcPr>
            <w:tcW w:w="818" w:type="dxa"/>
            <w:vAlign w:val="center"/>
          </w:tcPr>
          <w:p w14:paraId="22821368">
            <w:pPr>
              <w:pStyle w:val="20"/>
              <w:spacing w:line="360" w:lineRule="auto"/>
              <w:jc w:val="center"/>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11">
                  <o:LockedField>false</o:LockedField>
                </o:OLEObject>
              </w:object>
            </w:r>
            <w:r>
              <w:rPr>
                <w:rFonts w:hint="eastAsia" w:ascii="宋体" w:hAnsi="宋体" w:cs="宋体"/>
                <w:b/>
                <w:bCs/>
                <w:color w:val="auto"/>
                <w:sz w:val="21"/>
                <w:highlight w:val="none"/>
                <w:lang w:val="en-US" w:eastAsia="zh-CN"/>
              </w:rPr>
              <w:t>7分</w:t>
            </w:r>
          </w:p>
        </w:tc>
      </w:tr>
      <w:tr w14:paraId="1052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34" w:type="dxa"/>
            <w:vMerge w:val="continue"/>
            <w:vAlign w:val="center"/>
          </w:tcPr>
          <w:p w14:paraId="45F9214F">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continue"/>
            <w:vAlign w:val="center"/>
          </w:tcPr>
          <w:p w14:paraId="5CBFFBB8">
            <w:pPr>
              <w:widowControl/>
              <w:jc w:val="center"/>
              <w:rPr>
                <w:rFonts w:ascii="宋体" w:hAnsi="宋体" w:cs="宋体"/>
                <w:color w:val="auto"/>
                <w:kern w:val="0"/>
                <w:szCs w:val="21"/>
                <w:highlight w:val="none"/>
              </w:rPr>
            </w:pPr>
          </w:p>
        </w:tc>
        <w:tc>
          <w:tcPr>
            <w:tcW w:w="8669" w:type="dxa"/>
            <w:vAlign w:val="center"/>
          </w:tcPr>
          <w:p w14:paraId="70B5D18B">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根据投标人提供摄像机（电警、卡口）、枪球联动式监控设备接入台州交警相关业务平台的对接和技术方案情况，分五档评分。</w:t>
            </w:r>
          </w:p>
          <w:p w14:paraId="12E286F6">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第一档：对台州交警平台整体的数据和网络架构了解非常清晰，对台州交警视频运行管理平台了解非常深入，能对所投产品接入和技术方案做详细阐述的，得</w:t>
            </w:r>
            <w:r>
              <w:rPr>
                <w:rFonts w:hint="eastAsia" w:cs="宋体" w:asciiTheme="minorEastAsia" w:hAnsiTheme="minorEastAsia" w:eastAsiaTheme="minorEastAsia"/>
                <w:color w:val="auto"/>
                <w:szCs w:val="21"/>
                <w:highlight w:val="none"/>
                <w:lang w:val="en-US" w:eastAsia="zh-CN"/>
              </w:rPr>
              <w:t>9</w:t>
            </w:r>
            <w:r>
              <w:rPr>
                <w:rFonts w:hint="eastAsia" w:ascii="宋体" w:hAnsi="宋体" w:cs="宋体"/>
                <w:color w:val="auto"/>
                <w:sz w:val="21"/>
                <w:szCs w:val="21"/>
                <w:highlight w:val="none"/>
              </w:rPr>
              <w:t>分；</w:t>
            </w:r>
          </w:p>
          <w:p w14:paraId="40A55D72">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第二档：对台州交警平台整体的数据和网络架构了解比较清晰，对台州交警视频运行管理平台了解比较深入，能对所投产品接入和技术方案做较为详细阐述的，得</w:t>
            </w:r>
            <w:r>
              <w:rPr>
                <w:rFonts w:hint="eastAsia" w:cs="宋体" w:asciiTheme="minorEastAsia" w:hAnsiTheme="minorEastAsia" w:eastAsiaTheme="minorEastAsia"/>
                <w:color w:val="auto"/>
                <w:szCs w:val="21"/>
                <w:highlight w:val="none"/>
                <w:lang w:val="en-US" w:eastAsia="zh-CN"/>
              </w:rPr>
              <w:t>7</w:t>
            </w:r>
            <w:r>
              <w:rPr>
                <w:rFonts w:hint="eastAsia" w:ascii="宋体" w:hAnsi="宋体" w:cs="宋体"/>
                <w:color w:val="auto"/>
                <w:sz w:val="21"/>
                <w:szCs w:val="21"/>
                <w:highlight w:val="none"/>
              </w:rPr>
              <w:t>分；</w:t>
            </w:r>
          </w:p>
          <w:p w14:paraId="6FE78046">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第三档：对台州交警平台整体的数据和网络架构了解欠清晰，对台州交警视频运行管理平台了解欠深入，能对所投产品接入和技术方案做大致阐述的，得</w:t>
            </w:r>
            <w:r>
              <w:rPr>
                <w:rFonts w:hint="eastAsia" w:cs="宋体" w:asciiTheme="minorEastAsia" w:hAnsiTheme="minorEastAsia" w:eastAsiaTheme="minorEastAsia"/>
                <w:color w:val="auto"/>
                <w:szCs w:val="21"/>
                <w:highlight w:val="none"/>
                <w:lang w:val="en-US" w:eastAsia="zh-CN"/>
              </w:rPr>
              <w:t>5</w:t>
            </w:r>
            <w:r>
              <w:rPr>
                <w:rFonts w:hint="eastAsia" w:ascii="宋体" w:hAnsi="宋体" w:cs="宋体"/>
                <w:color w:val="auto"/>
                <w:sz w:val="21"/>
                <w:szCs w:val="21"/>
                <w:highlight w:val="none"/>
              </w:rPr>
              <w:t>分；</w:t>
            </w:r>
          </w:p>
          <w:p w14:paraId="07D0D808">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第四档：对台州交警平台整体的数据和网络架构了解不清晰，对台州交警视频运行管理平台了解不深入，能对所投产品接入和技术方案做基本阐述的，得</w:t>
            </w:r>
            <w:r>
              <w:rPr>
                <w:rFonts w:hint="eastAsia" w:cs="宋体" w:asciiTheme="minorEastAsia" w:hAnsiTheme="minorEastAsia" w:eastAsiaTheme="minorEastAsia"/>
                <w:color w:val="auto"/>
                <w:szCs w:val="21"/>
                <w:highlight w:val="none"/>
                <w:lang w:val="en-US" w:eastAsia="zh-CN"/>
              </w:rPr>
              <w:t>3</w:t>
            </w:r>
            <w:r>
              <w:rPr>
                <w:rFonts w:hint="eastAsia" w:ascii="宋体" w:hAnsi="宋体" w:cs="宋体"/>
                <w:color w:val="auto"/>
                <w:sz w:val="21"/>
                <w:szCs w:val="21"/>
                <w:highlight w:val="none"/>
              </w:rPr>
              <w:t>分；</w:t>
            </w:r>
          </w:p>
          <w:p w14:paraId="17D75A19">
            <w:pPr>
              <w:pStyle w:val="20"/>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第五档：对台州交警平台整体的数据和网络架构完全不了解，对台州交警视频运行管理平台完全不了解，所投产品接入和技术方案实际不可行的，得</w:t>
            </w:r>
            <w:r>
              <w:rPr>
                <w:rFonts w:hint="eastAsia" w:cs="宋体" w:asciiTheme="minorEastAsia" w:hAnsiTheme="minorEastAsia" w:eastAsiaTheme="minorEastAsia"/>
                <w:color w:val="auto"/>
                <w:szCs w:val="21"/>
                <w:highlight w:val="none"/>
                <w:lang w:val="en-US" w:eastAsia="zh-CN"/>
              </w:rPr>
              <w:t>1</w:t>
            </w:r>
            <w:r>
              <w:rPr>
                <w:rFonts w:hint="eastAsia" w:ascii="宋体" w:hAnsi="宋体" w:cs="宋体"/>
                <w:color w:val="auto"/>
                <w:sz w:val="21"/>
                <w:szCs w:val="21"/>
                <w:highlight w:val="none"/>
              </w:rPr>
              <w:t>分；</w:t>
            </w:r>
          </w:p>
        </w:tc>
        <w:tc>
          <w:tcPr>
            <w:tcW w:w="818" w:type="dxa"/>
            <w:vAlign w:val="center"/>
          </w:tcPr>
          <w:p w14:paraId="0ADD3C34">
            <w:pPr>
              <w:pStyle w:val="20"/>
              <w:spacing w:line="360" w:lineRule="auto"/>
              <w:jc w:val="center"/>
              <w:rPr>
                <w:rFonts w:hint="eastAsia" w:ascii="宋体" w:hAnsi="宋体" w:eastAsia="宋体" w:cs="宋体"/>
                <w:color w:val="auto"/>
                <w:sz w:val="21"/>
                <w:highlight w:val="none"/>
                <w:lang w:eastAsia="zh-CN"/>
              </w:rPr>
            </w:pPr>
            <w:r>
              <w:rPr>
                <w:rFonts w:hint="eastAsia" w:ascii="宋体" w:hAnsi="宋体" w:cs="宋体"/>
                <w:b/>
                <w:color w:val="auto"/>
                <w:kern w:val="0"/>
                <w:sz w:val="21"/>
                <w:szCs w:val="21"/>
                <w:highlight w:val="none"/>
                <w:lang w:val="en-US" w:eastAsia="zh-CN" w:bidi="ar-SA"/>
              </w:rPr>
              <w:t>9</w:t>
            </w:r>
            <w:r>
              <w:rPr>
                <w:rFonts w:hint="eastAsia" w:ascii="宋体" w:hAnsi="宋体" w:eastAsia="宋体" w:cs="宋体"/>
                <w:b/>
                <w:color w:val="auto"/>
                <w:kern w:val="0"/>
                <w:sz w:val="21"/>
                <w:szCs w:val="21"/>
                <w:highlight w:val="none"/>
                <w:lang w:val="en-US" w:eastAsia="zh-CN" w:bidi="ar-SA"/>
              </w:rPr>
              <w:t>分</w:t>
            </w:r>
          </w:p>
        </w:tc>
      </w:tr>
      <w:tr w14:paraId="2BAF3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34" w:type="dxa"/>
            <w:vMerge w:val="continue"/>
            <w:vAlign w:val="center"/>
          </w:tcPr>
          <w:p w14:paraId="7FB6BC61">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Align w:val="center"/>
          </w:tcPr>
          <w:p w14:paraId="39266FD5">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安全  方案</w:t>
            </w:r>
          </w:p>
          <w:p w14:paraId="21603CE6">
            <w:pPr>
              <w:widowControl/>
              <w:jc w:val="center"/>
              <w:rPr>
                <w:rFonts w:ascii="宋体" w:hAnsi="宋体" w:cs="宋体"/>
                <w:color w:val="auto"/>
                <w:kern w:val="0"/>
                <w:szCs w:val="21"/>
                <w:highlight w:val="none"/>
              </w:rPr>
            </w:pPr>
          </w:p>
        </w:tc>
        <w:tc>
          <w:tcPr>
            <w:tcW w:w="8669" w:type="dxa"/>
            <w:vAlign w:val="center"/>
          </w:tcPr>
          <w:p w14:paraId="55683166">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w:t>
            </w:r>
            <w:r>
              <w:rPr>
                <w:rFonts w:cs="宋体" w:asciiTheme="minorEastAsia" w:hAnsiTheme="minorEastAsia" w:eastAsiaTheme="minorEastAsia"/>
                <w:color w:val="auto"/>
                <w:szCs w:val="21"/>
                <w:highlight w:val="none"/>
              </w:rPr>
              <w:t>1）</w:t>
            </w:r>
            <w:r>
              <w:rPr>
                <w:rFonts w:ascii="Arial" w:hAnsi="Arial" w:cs="Arial"/>
                <w:color w:val="auto"/>
                <w:szCs w:val="21"/>
                <w:highlight w:val="none"/>
                <w:shd w:val="clear" w:color="auto" w:fill="FFFFFF"/>
              </w:rPr>
              <w:t>安全责任</w:t>
            </w:r>
            <w:r>
              <w:rPr>
                <w:rFonts w:hint="eastAsia" w:ascii="Arial" w:hAnsi="Arial" w:cs="Arial"/>
                <w:color w:val="auto"/>
                <w:szCs w:val="21"/>
                <w:highlight w:val="none"/>
                <w:shd w:val="clear" w:color="auto" w:fill="FFFFFF"/>
              </w:rPr>
              <w:t>条款明确</w:t>
            </w:r>
            <w:r>
              <w:rPr>
                <w:rFonts w:ascii="Arial" w:hAnsi="Arial" w:cs="Arial"/>
                <w:color w:val="auto"/>
                <w:szCs w:val="21"/>
                <w:highlight w:val="none"/>
                <w:shd w:val="clear" w:color="auto" w:fill="FFFFFF"/>
              </w:rPr>
              <w:t>落实</w:t>
            </w:r>
            <w:r>
              <w:rPr>
                <w:rFonts w:hint="eastAsia" w:ascii="Arial" w:hAnsi="Arial" w:cs="Arial"/>
                <w:color w:val="auto"/>
                <w:szCs w:val="21"/>
                <w:highlight w:val="none"/>
                <w:shd w:val="clear" w:color="auto" w:fill="FFFFFF"/>
              </w:rPr>
              <w:t>到实处，惩罚措施、</w:t>
            </w:r>
            <w:r>
              <w:rPr>
                <w:rFonts w:ascii="Arial" w:hAnsi="Arial" w:cs="Arial"/>
                <w:color w:val="auto"/>
                <w:szCs w:val="21"/>
                <w:highlight w:val="none"/>
                <w:shd w:val="clear" w:color="auto" w:fill="FFFFFF"/>
              </w:rPr>
              <w:t>责任管理实施</w:t>
            </w:r>
            <w:r>
              <w:rPr>
                <w:rFonts w:hint="eastAsia" w:ascii="Arial" w:hAnsi="Arial" w:cs="Arial"/>
                <w:color w:val="auto"/>
                <w:szCs w:val="21"/>
                <w:highlight w:val="none"/>
                <w:shd w:val="clear" w:color="auto" w:fill="FFFFFF"/>
              </w:rPr>
              <w:t>条款明确，安全台账账目齐全的</w:t>
            </w:r>
            <w:r>
              <w:rPr>
                <w:rFonts w:hint="eastAsia" w:cs="宋体" w:asciiTheme="minorEastAsia" w:hAnsiTheme="minorEastAsia" w:eastAsiaTheme="minorEastAsia"/>
                <w:color w:val="auto"/>
                <w:szCs w:val="21"/>
                <w:highlight w:val="none"/>
              </w:rPr>
              <w:t>为一档</w:t>
            </w:r>
            <w:r>
              <w:rPr>
                <w:rFonts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6</w:t>
            </w:r>
            <w:r>
              <w:rPr>
                <w:rFonts w:cs="宋体" w:asciiTheme="minorEastAsia" w:hAnsiTheme="minorEastAsia" w:eastAsiaTheme="minorEastAsia"/>
                <w:color w:val="auto"/>
                <w:szCs w:val="21"/>
                <w:highlight w:val="none"/>
              </w:rPr>
              <w:t>分；</w:t>
            </w:r>
          </w:p>
          <w:p w14:paraId="248AB8BB">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ascii="Arial" w:hAnsi="Arial" w:cs="Arial"/>
                <w:color w:val="auto"/>
                <w:szCs w:val="21"/>
                <w:highlight w:val="none"/>
                <w:shd w:val="clear" w:color="auto" w:fill="FFFFFF"/>
              </w:rPr>
              <w:t>安全责任</w:t>
            </w:r>
            <w:r>
              <w:rPr>
                <w:rFonts w:hint="eastAsia" w:ascii="Arial" w:hAnsi="Arial" w:cs="Arial"/>
                <w:color w:val="auto"/>
                <w:szCs w:val="21"/>
                <w:highlight w:val="none"/>
                <w:shd w:val="clear" w:color="auto" w:fill="FFFFFF"/>
              </w:rPr>
              <w:t>条款大部分落实到实处</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惩罚措施、</w:t>
            </w:r>
            <w:r>
              <w:rPr>
                <w:rFonts w:ascii="Arial" w:hAnsi="Arial" w:cs="Arial"/>
                <w:color w:val="auto"/>
                <w:szCs w:val="21"/>
                <w:highlight w:val="none"/>
                <w:shd w:val="clear" w:color="auto" w:fill="FFFFFF"/>
              </w:rPr>
              <w:t>责任管理实施</w:t>
            </w:r>
            <w:r>
              <w:rPr>
                <w:rFonts w:hint="eastAsia" w:ascii="Arial" w:hAnsi="Arial" w:cs="Arial"/>
                <w:color w:val="auto"/>
                <w:szCs w:val="21"/>
                <w:highlight w:val="none"/>
                <w:shd w:val="clear" w:color="auto" w:fill="FFFFFF"/>
              </w:rPr>
              <w:t>条款比较明确、安全台账账目比较齐全</w:t>
            </w:r>
            <w:r>
              <w:rPr>
                <w:rFonts w:hint="eastAsia" w:cs="宋体" w:asciiTheme="minorEastAsia" w:hAnsiTheme="minorEastAsia" w:eastAsiaTheme="minorEastAsia"/>
                <w:color w:val="auto"/>
                <w:szCs w:val="21"/>
                <w:highlight w:val="none"/>
              </w:rPr>
              <w:t>为二档</w:t>
            </w:r>
            <w:r>
              <w:rPr>
                <w:rFonts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4</w:t>
            </w:r>
            <w:r>
              <w:rPr>
                <w:rFonts w:cs="宋体" w:asciiTheme="minorEastAsia" w:hAnsiTheme="minorEastAsia" w:eastAsiaTheme="minorEastAsia"/>
                <w:color w:val="auto"/>
                <w:szCs w:val="21"/>
                <w:highlight w:val="none"/>
              </w:rPr>
              <w:t>分；</w:t>
            </w:r>
          </w:p>
          <w:p w14:paraId="3DFFCAFA">
            <w:pPr>
              <w:spacing w:line="360" w:lineRule="exact"/>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Arial" w:hAnsi="Arial" w:cs="Arial"/>
                <w:color w:val="auto"/>
                <w:szCs w:val="21"/>
                <w:highlight w:val="none"/>
                <w:shd w:val="clear" w:color="auto" w:fill="FFFFFF"/>
              </w:rPr>
              <w:t>安全责任</w:t>
            </w:r>
            <w:r>
              <w:rPr>
                <w:rFonts w:hint="eastAsia" w:ascii="Arial" w:hAnsi="Arial" w:cs="Arial"/>
                <w:color w:val="auto"/>
                <w:szCs w:val="21"/>
                <w:highlight w:val="none"/>
                <w:shd w:val="clear" w:color="auto" w:fill="FFFFFF"/>
              </w:rPr>
              <w:t>条款少部分落实到实处</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惩罚措施、</w:t>
            </w:r>
            <w:r>
              <w:rPr>
                <w:rFonts w:ascii="Arial" w:hAnsi="Arial" w:cs="Arial"/>
                <w:color w:val="auto"/>
                <w:szCs w:val="21"/>
                <w:highlight w:val="none"/>
                <w:shd w:val="clear" w:color="auto" w:fill="FFFFFF"/>
              </w:rPr>
              <w:t>责任管理实施</w:t>
            </w:r>
            <w:r>
              <w:rPr>
                <w:rFonts w:hint="eastAsia" w:ascii="Arial" w:hAnsi="Arial" w:cs="Arial"/>
                <w:color w:val="auto"/>
                <w:szCs w:val="21"/>
                <w:highlight w:val="none"/>
                <w:shd w:val="clear" w:color="auto" w:fill="FFFFFF"/>
              </w:rPr>
              <w:t>条款不够明确</w:t>
            </w:r>
            <w:r>
              <w:rPr>
                <w:rFonts w:hint="eastAsia" w:cs="宋体" w:asciiTheme="minorEastAsia" w:hAnsiTheme="minorEastAsia" w:eastAsiaTheme="minorEastAsia"/>
                <w:color w:val="auto"/>
                <w:szCs w:val="21"/>
                <w:highlight w:val="none"/>
              </w:rPr>
              <w:t>、安全台账账目基本齐全为三档得</w:t>
            </w:r>
            <w:r>
              <w:rPr>
                <w:rFonts w:hint="eastAsia" w:cs="宋体" w:asciiTheme="minorEastAsia" w:hAnsiTheme="minorEastAsia" w:eastAsiaTheme="minorEastAsia"/>
                <w:color w:val="auto"/>
                <w:szCs w:val="21"/>
                <w:highlight w:val="none"/>
                <w:lang w:val="en-US" w:eastAsia="zh-CN"/>
              </w:rPr>
              <w:t>2</w:t>
            </w:r>
            <w:r>
              <w:rPr>
                <w:rFonts w:cs="宋体" w:asciiTheme="minorEastAsia" w:hAnsiTheme="minorEastAsia" w:eastAsiaTheme="minorEastAsia"/>
                <w:color w:val="auto"/>
                <w:szCs w:val="21"/>
                <w:highlight w:val="none"/>
              </w:rPr>
              <w:t>分；</w:t>
            </w:r>
          </w:p>
          <w:p w14:paraId="40D03089">
            <w:pPr>
              <w:spacing w:line="360" w:lineRule="exact"/>
              <w:jc w:val="left"/>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4</w:t>
            </w:r>
            <w:r>
              <w:rPr>
                <w:rFonts w:cs="宋体" w:asciiTheme="minorEastAsia" w:hAnsiTheme="minorEastAsia" w:eastAsiaTheme="minorEastAsia"/>
                <w:color w:val="auto"/>
                <w:szCs w:val="21"/>
                <w:highlight w:val="none"/>
              </w:rPr>
              <w:t>）</w:t>
            </w:r>
            <w:r>
              <w:rPr>
                <w:rFonts w:ascii="Arial" w:hAnsi="Arial" w:cs="Arial"/>
                <w:color w:val="auto"/>
                <w:szCs w:val="21"/>
                <w:highlight w:val="none"/>
                <w:shd w:val="clear" w:color="auto" w:fill="FFFFFF"/>
              </w:rPr>
              <w:t>安全责任</w:t>
            </w:r>
            <w:r>
              <w:rPr>
                <w:rFonts w:hint="eastAsia" w:ascii="Arial" w:hAnsi="Arial" w:cs="Arial"/>
                <w:color w:val="auto"/>
                <w:szCs w:val="21"/>
                <w:highlight w:val="none"/>
                <w:shd w:val="clear" w:color="auto" w:fill="FFFFFF"/>
              </w:rPr>
              <w:t>条款基本未落实到实处</w:t>
            </w:r>
            <w:r>
              <w:rPr>
                <w:rFonts w:ascii="Arial" w:hAnsi="Arial" w:cs="Arial"/>
                <w:color w:val="auto"/>
                <w:szCs w:val="21"/>
                <w:highlight w:val="none"/>
                <w:shd w:val="clear" w:color="auto" w:fill="FFFFFF"/>
              </w:rPr>
              <w:t>、</w:t>
            </w:r>
            <w:r>
              <w:rPr>
                <w:rFonts w:hint="eastAsia" w:ascii="Arial" w:hAnsi="Arial" w:cs="Arial"/>
                <w:color w:val="auto"/>
                <w:szCs w:val="21"/>
                <w:highlight w:val="none"/>
                <w:shd w:val="clear" w:color="auto" w:fill="FFFFFF"/>
              </w:rPr>
              <w:t>惩罚措施、</w:t>
            </w:r>
            <w:r>
              <w:rPr>
                <w:rFonts w:ascii="Arial" w:hAnsi="Arial" w:cs="Arial"/>
                <w:color w:val="auto"/>
                <w:szCs w:val="21"/>
                <w:highlight w:val="none"/>
                <w:shd w:val="clear" w:color="auto" w:fill="FFFFFF"/>
              </w:rPr>
              <w:t>责任管理实施</w:t>
            </w:r>
            <w:r>
              <w:rPr>
                <w:rFonts w:hint="eastAsia" w:ascii="Arial" w:hAnsi="Arial" w:cs="Arial"/>
                <w:color w:val="auto"/>
                <w:szCs w:val="21"/>
                <w:highlight w:val="none"/>
                <w:shd w:val="clear" w:color="auto" w:fill="FFFFFF"/>
              </w:rPr>
              <w:t>条款不够明确、安全台账账目不够齐全</w:t>
            </w:r>
            <w:r>
              <w:rPr>
                <w:rFonts w:hint="eastAsia" w:cs="宋体" w:asciiTheme="minorEastAsia" w:hAnsiTheme="minorEastAsia" w:eastAsiaTheme="minorEastAsia"/>
                <w:color w:val="auto"/>
                <w:szCs w:val="21"/>
                <w:highlight w:val="none"/>
              </w:rPr>
              <w:t>为四档</w:t>
            </w:r>
            <w:r>
              <w:rPr>
                <w:rFonts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1</w:t>
            </w:r>
            <w:r>
              <w:rPr>
                <w:rFonts w:cs="宋体" w:asciiTheme="minorEastAsia" w:hAnsiTheme="minorEastAsia" w:eastAsiaTheme="minorEastAsia"/>
                <w:color w:val="auto"/>
                <w:szCs w:val="21"/>
                <w:highlight w:val="none"/>
              </w:rPr>
              <w:t>分</w:t>
            </w:r>
            <w:r>
              <w:rPr>
                <w:rFonts w:hint="eastAsia" w:cs="宋体" w:asciiTheme="minorEastAsia" w:hAnsiTheme="minorEastAsia" w:eastAsiaTheme="minorEastAsia"/>
                <w:color w:val="auto"/>
                <w:szCs w:val="21"/>
                <w:highlight w:val="none"/>
              </w:rPr>
              <w:t xml:space="preserve">。                                                           </w:t>
            </w:r>
            <w:r>
              <w:rPr>
                <w:rFonts w:hint="eastAsia"/>
                <w:color w:val="auto"/>
                <w:szCs w:val="21"/>
                <w:highlight w:val="none"/>
              </w:rPr>
              <w:t>（5</w:t>
            </w:r>
            <w:r>
              <w:rPr>
                <w:color w:val="auto"/>
                <w:szCs w:val="21"/>
                <w:highlight w:val="none"/>
              </w:rPr>
              <w:t>）</w:t>
            </w:r>
            <w:r>
              <w:rPr>
                <w:rFonts w:hint="eastAsia"/>
                <w:color w:val="auto"/>
                <w:szCs w:val="21"/>
                <w:highlight w:val="none"/>
              </w:rPr>
              <w:t>未提及此项的不得分。</w:t>
            </w:r>
          </w:p>
        </w:tc>
        <w:tc>
          <w:tcPr>
            <w:tcW w:w="818" w:type="dxa"/>
            <w:vAlign w:val="center"/>
          </w:tcPr>
          <w:p w14:paraId="59FE989A">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6</w:t>
            </w:r>
            <w:r>
              <w:rPr>
                <w:rFonts w:hint="eastAsia" w:ascii="宋体" w:hAnsi="宋体" w:cs="宋体"/>
                <w:b/>
                <w:color w:val="auto"/>
                <w:kern w:val="0"/>
                <w:szCs w:val="21"/>
                <w:highlight w:val="none"/>
              </w:rPr>
              <w:t>分</w:t>
            </w:r>
          </w:p>
        </w:tc>
      </w:tr>
      <w:tr w14:paraId="7994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4" w:type="dxa"/>
            <w:vMerge w:val="continue"/>
            <w:vAlign w:val="center"/>
          </w:tcPr>
          <w:p w14:paraId="6F2C84A9">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Align w:val="center"/>
          </w:tcPr>
          <w:p w14:paraId="56A395B7">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组织  方案</w:t>
            </w:r>
          </w:p>
          <w:p w14:paraId="5E48CBFD">
            <w:pPr>
              <w:widowControl/>
              <w:jc w:val="center"/>
              <w:rPr>
                <w:rFonts w:ascii="宋体" w:hAnsi="宋体" w:cs="宋体"/>
                <w:color w:val="auto"/>
                <w:kern w:val="0"/>
                <w:szCs w:val="21"/>
                <w:highlight w:val="none"/>
              </w:rPr>
            </w:pPr>
          </w:p>
        </w:tc>
        <w:tc>
          <w:tcPr>
            <w:tcW w:w="8669" w:type="dxa"/>
            <w:vAlign w:val="center"/>
          </w:tcPr>
          <w:p w14:paraId="3B18DDCD">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cs="宋体" w:asciiTheme="minorEastAsia" w:hAnsiTheme="minorEastAsia" w:eastAsiaTheme="minorEastAsia"/>
                <w:color w:val="auto"/>
                <w:kern w:val="0"/>
                <w:szCs w:val="21"/>
                <w:highlight w:val="none"/>
              </w:rPr>
              <w:t>施工组织方案</w:t>
            </w:r>
            <w:r>
              <w:rPr>
                <w:rFonts w:hint="eastAsia" w:cs="宋体" w:asciiTheme="minorEastAsia" w:hAnsiTheme="minorEastAsia" w:eastAsiaTheme="minorEastAsia"/>
                <w:color w:val="auto"/>
                <w:szCs w:val="21"/>
                <w:highlight w:val="none"/>
              </w:rPr>
              <w:t>条款措施明确、</w:t>
            </w:r>
            <w:r>
              <w:rPr>
                <w:rFonts w:hint="eastAsia" w:asciiTheme="minorEastAsia" w:hAnsiTheme="minorEastAsia" w:eastAsiaTheme="minorEastAsia"/>
                <w:color w:val="auto"/>
                <w:szCs w:val="21"/>
                <w:highlight w:val="none"/>
              </w:rPr>
              <w:t>内容齐全</w:t>
            </w:r>
            <w:r>
              <w:rPr>
                <w:rFonts w:hint="eastAsia" w:cs="宋体" w:asciiTheme="minorEastAsia" w:hAnsiTheme="minorEastAsia" w:eastAsiaTheme="minorEastAsia"/>
                <w:color w:val="auto"/>
                <w:szCs w:val="21"/>
                <w:highlight w:val="none"/>
              </w:rPr>
              <w:t>且贴合本项目实际情况</w:t>
            </w:r>
            <w:r>
              <w:rPr>
                <w:rFonts w:hint="eastAsia" w:asciiTheme="minorEastAsia" w:hAnsiTheme="minorEastAsia" w:eastAsiaTheme="minorEastAsia"/>
                <w:color w:val="auto"/>
                <w:szCs w:val="21"/>
                <w:highlight w:val="none"/>
              </w:rPr>
              <w:t>的</w:t>
            </w:r>
            <w:r>
              <w:rPr>
                <w:rFonts w:hint="eastAsia" w:ascii="Arial" w:hAnsi="Arial" w:cs="Arial"/>
                <w:color w:val="auto"/>
                <w:szCs w:val="21"/>
                <w:highlight w:val="none"/>
                <w:shd w:val="clear" w:color="auto" w:fill="FFFFFF"/>
              </w:rPr>
              <w:t>为一档得</w:t>
            </w:r>
            <w:r>
              <w:rPr>
                <w:rFonts w:hint="eastAsia" w:ascii="Arial" w:hAnsi="Arial" w:cs="Arial"/>
                <w:color w:val="auto"/>
                <w:szCs w:val="21"/>
                <w:highlight w:val="none"/>
                <w:shd w:val="clear" w:color="auto" w:fill="FFFFFF"/>
                <w:lang w:val="en-US" w:eastAsia="zh-CN"/>
              </w:rPr>
              <w:t>4</w:t>
            </w:r>
            <w:r>
              <w:rPr>
                <w:rFonts w:ascii="Arial" w:hAnsi="Arial" w:cs="Arial"/>
                <w:color w:val="auto"/>
                <w:szCs w:val="21"/>
                <w:highlight w:val="none"/>
                <w:shd w:val="clear" w:color="auto" w:fill="FFFFFF"/>
              </w:rPr>
              <w:t>分；</w:t>
            </w:r>
          </w:p>
          <w:p w14:paraId="1FE5BDA1">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cs="宋体" w:asciiTheme="minorEastAsia" w:hAnsiTheme="minorEastAsia" w:eastAsiaTheme="minorEastAsia"/>
                <w:color w:val="auto"/>
                <w:kern w:val="0"/>
                <w:szCs w:val="21"/>
                <w:highlight w:val="none"/>
              </w:rPr>
              <w:t>施工组织方案</w:t>
            </w:r>
            <w:r>
              <w:rPr>
                <w:rFonts w:hint="eastAsia" w:cs="宋体" w:asciiTheme="minorEastAsia" w:hAnsiTheme="minorEastAsia" w:eastAsiaTheme="minorEastAsia"/>
                <w:color w:val="auto"/>
                <w:szCs w:val="21"/>
                <w:highlight w:val="none"/>
              </w:rPr>
              <w:t>条款措施比较明确、</w:t>
            </w:r>
            <w:r>
              <w:rPr>
                <w:rFonts w:hint="eastAsia" w:asciiTheme="minorEastAsia" w:hAnsiTheme="minorEastAsia" w:eastAsiaTheme="minorEastAsia"/>
                <w:color w:val="auto"/>
                <w:szCs w:val="21"/>
                <w:highlight w:val="none"/>
              </w:rPr>
              <w:t>内容比较齐全</w:t>
            </w:r>
            <w:r>
              <w:rPr>
                <w:rFonts w:hint="eastAsia" w:cs="宋体" w:asciiTheme="minorEastAsia" w:hAnsiTheme="minorEastAsia" w:eastAsiaTheme="minorEastAsia"/>
                <w:color w:val="auto"/>
                <w:szCs w:val="21"/>
                <w:highlight w:val="none"/>
              </w:rPr>
              <w:t>但没有针对本项目的实际情况</w:t>
            </w:r>
            <w:r>
              <w:rPr>
                <w:rFonts w:hint="eastAsia" w:asciiTheme="minorEastAsia" w:hAnsiTheme="minorEastAsia" w:eastAsiaTheme="minorEastAsia"/>
                <w:color w:val="auto"/>
                <w:szCs w:val="21"/>
                <w:highlight w:val="none"/>
              </w:rPr>
              <w:t>的</w:t>
            </w:r>
            <w:r>
              <w:rPr>
                <w:rFonts w:hint="eastAsia" w:ascii="Arial" w:hAnsi="Arial" w:cs="Arial"/>
                <w:color w:val="auto"/>
                <w:szCs w:val="21"/>
                <w:highlight w:val="none"/>
                <w:shd w:val="clear" w:color="auto" w:fill="FFFFFF"/>
              </w:rPr>
              <w:t>为二档得</w:t>
            </w:r>
            <w:r>
              <w:rPr>
                <w:rFonts w:hint="eastAsia" w:ascii="Arial" w:hAnsi="Arial" w:cs="Arial"/>
                <w:color w:val="auto"/>
                <w:szCs w:val="21"/>
                <w:highlight w:val="none"/>
                <w:shd w:val="clear" w:color="auto" w:fill="FFFFFF"/>
                <w:lang w:val="en-US" w:eastAsia="zh-CN"/>
              </w:rPr>
              <w:t>2</w:t>
            </w:r>
            <w:r>
              <w:rPr>
                <w:rFonts w:cs="宋体" w:asciiTheme="minorEastAsia" w:hAnsiTheme="minorEastAsia" w:eastAsiaTheme="minorEastAsia"/>
                <w:color w:val="auto"/>
                <w:szCs w:val="21"/>
                <w:highlight w:val="none"/>
              </w:rPr>
              <w:t>分；</w:t>
            </w:r>
          </w:p>
          <w:p w14:paraId="6DCB81FE">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kern w:val="0"/>
                <w:szCs w:val="21"/>
                <w:highlight w:val="none"/>
              </w:rPr>
              <w:t>施工组织方案</w:t>
            </w:r>
            <w:r>
              <w:rPr>
                <w:rFonts w:hint="eastAsia" w:cs="宋体" w:asciiTheme="minorEastAsia" w:hAnsiTheme="minorEastAsia" w:eastAsiaTheme="minorEastAsia"/>
                <w:color w:val="auto"/>
                <w:szCs w:val="21"/>
                <w:highlight w:val="none"/>
              </w:rPr>
              <w:t>条款措施不够明确</w:t>
            </w:r>
            <w:r>
              <w:rPr>
                <w:rFonts w:hint="eastAsia" w:asciiTheme="minorEastAsia" w:hAnsiTheme="minorEastAsia" w:eastAsiaTheme="minorEastAsia"/>
                <w:color w:val="auto"/>
                <w:szCs w:val="21"/>
                <w:highlight w:val="none"/>
              </w:rPr>
              <w:t>，缺少内容的</w:t>
            </w:r>
            <w:r>
              <w:rPr>
                <w:rFonts w:hint="eastAsia" w:ascii="Arial" w:hAnsi="Arial" w:cs="Arial"/>
                <w:color w:val="auto"/>
                <w:szCs w:val="21"/>
                <w:highlight w:val="none"/>
                <w:shd w:val="clear" w:color="auto" w:fill="FFFFFF"/>
              </w:rPr>
              <w:t>为三档</w:t>
            </w:r>
            <w:r>
              <w:rPr>
                <w:rFonts w:cs="宋体" w:asciiTheme="minorEastAsia" w:hAnsiTheme="minorEastAsia" w:eastAsiaTheme="minorEastAsia"/>
                <w:color w:val="auto"/>
                <w:szCs w:val="21"/>
                <w:highlight w:val="none"/>
              </w:rPr>
              <w:t>得</w:t>
            </w:r>
            <w:r>
              <w:rPr>
                <w:rFonts w:hint="eastAsia" w:cs="宋体" w:asciiTheme="minorEastAsia" w:hAnsiTheme="minorEastAsia" w:eastAsiaTheme="minorEastAsia"/>
                <w:color w:val="auto"/>
                <w:szCs w:val="21"/>
                <w:highlight w:val="none"/>
                <w:lang w:val="en-US" w:eastAsia="zh-CN"/>
              </w:rPr>
              <w:t>1</w:t>
            </w:r>
            <w:r>
              <w:rPr>
                <w:rFonts w:cs="宋体" w:asciiTheme="minorEastAsia" w:hAnsiTheme="minorEastAsia" w:eastAsiaTheme="minorEastAsia"/>
                <w:color w:val="auto"/>
                <w:szCs w:val="21"/>
                <w:highlight w:val="none"/>
              </w:rPr>
              <w:t>分；</w:t>
            </w:r>
          </w:p>
          <w:p w14:paraId="357F3BF4">
            <w:pPr>
              <w:spacing w:line="36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（4）未提及此项的不得分。</w:t>
            </w:r>
          </w:p>
        </w:tc>
        <w:tc>
          <w:tcPr>
            <w:tcW w:w="818" w:type="dxa"/>
            <w:vAlign w:val="center"/>
          </w:tcPr>
          <w:p w14:paraId="4F6F6942">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4</w:t>
            </w:r>
            <w:r>
              <w:rPr>
                <w:rFonts w:hint="eastAsia" w:ascii="宋体" w:hAnsi="宋体" w:cs="宋体"/>
                <w:b/>
                <w:color w:val="auto"/>
                <w:kern w:val="0"/>
                <w:szCs w:val="21"/>
                <w:highlight w:val="none"/>
              </w:rPr>
              <w:t>分</w:t>
            </w:r>
          </w:p>
        </w:tc>
      </w:tr>
      <w:tr w14:paraId="13F8B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734" w:type="dxa"/>
            <w:vMerge w:val="continue"/>
            <w:vAlign w:val="center"/>
          </w:tcPr>
          <w:p w14:paraId="56532CF9">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restart"/>
            <w:vAlign w:val="center"/>
          </w:tcPr>
          <w:p w14:paraId="7E5FC2A9">
            <w:pPr>
              <w:jc w:val="center"/>
              <w:rPr>
                <w:rFonts w:ascii="宋体" w:hAnsi="宋体" w:cs="宋体" w:eastAsiaTheme="minorEastAsia"/>
                <w:color w:val="auto"/>
                <w:kern w:val="0"/>
                <w:szCs w:val="21"/>
                <w:highlight w:val="none"/>
              </w:rPr>
            </w:pPr>
            <w:r>
              <w:rPr>
                <w:rFonts w:hint="eastAsia" w:ascii="宋体" w:hAnsi="宋体" w:cs="宋体" w:eastAsiaTheme="minorEastAsia"/>
                <w:color w:val="auto"/>
                <w:kern w:val="0"/>
                <w:szCs w:val="21"/>
                <w:highlight w:val="none"/>
              </w:rPr>
              <w:t xml:space="preserve">       </w:t>
            </w:r>
          </w:p>
          <w:p w14:paraId="5DF63D0C">
            <w:pPr>
              <w:jc w:val="center"/>
              <w:rPr>
                <w:rFonts w:ascii="宋体" w:hAnsi="宋体" w:cs="宋体" w:eastAsiaTheme="minorEastAsia"/>
                <w:color w:val="auto"/>
                <w:kern w:val="0"/>
                <w:szCs w:val="21"/>
                <w:highlight w:val="none"/>
              </w:rPr>
            </w:pPr>
          </w:p>
          <w:p w14:paraId="5EC379DE">
            <w:pPr>
              <w:jc w:val="center"/>
              <w:rPr>
                <w:rFonts w:ascii="宋体" w:hAnsi="宋体" w:cs="宋体" w:eastAsiaTheme="minorEastAsia"/>
                <w:color w:val="auto"/>
                <w:kern w:val="0"/>
                <w:szCs w:val="21"/>
                <w:highlight w:val="none"/>
              </w:rPr>
            </w:pPr>
          </w:p>
          <w:p w14:paraId="5DBA2BEA">
            <w:pPr>
              <w:jc w:val="center"/>
              <w:rPr>
                <w:rFonts w:ascii="宋体" w:hAnsi="宋体" w:cs="宋体" w:eastAsiaTheme="minorEastAsia"/>
                <w:color w:val="auto"/>
                <w:kern w:val="0"/>
                <w:szCs w:val="21"/>
                <w:highlight w:val="none"/>
              </w:rPr>
            </w:pPr>
          </w:p>
          <w:p w14:paraId="3E3C06E1">
            <w:pPr>
              <w:jc w:val="center"/>
              <w:rPr>
                <w:rFonts w:ascii="宋体" w:hAnsi="宋体" w:cs="宋体"/>
                <w:color w:val="auto"/>
                <w:kern w:val="0"/>
                <w:szCs w:val="21"/>
                <w:highlight w:val="none"/>
              </w:rPr>
            </w:pPr>
            <w:r>
              <w:rPr>
                <w:rFonts w:hint="eastAsia" w:ascii="宋体" w:hAnsi="宋体" w:cs="宋体"/>
                <w:color w:val="auto"/>
                <w:kern w:val="0"/>
                <w:szCs w:val="21"/>
                <w:highlight w:val="none"/>
              </w:rPr>
              <w:t>售后服务</w:t>
            </w:r>
          </w:p>
          <w:p w14:paraId="7FC8F7EA">
            <w:pPr>
              <w:widowControl/>
              <w:rPr>
                <w:rFonts w:ascii="宋体" w:hAnsi="宋体" w:cs="宋体" w:eastAsiaTheme="minorEastAsia"/>
                <w:color w:val="auto"/>
                <w:kern w:val="0"/>
                <w:szCs w:val="21"/>
                <w:highlight w:val="none"/>
              </w:rPr>
            </w:pPr>
          </w:p>
        </w:tc>
        <w:tc>
          <w:tcPr>
            <w:tcW w:w="8669" w:type="dxa"/>
            <w:vAlign w:val="center"/>
          </w:tcPr>
          <w:p w14:paraId="7390DD6B">
            <w:pPr>
              <w:spacing w:line="360" w:lineRule="exact"/>
              <w:jc w:val="left"/>
              <w:rPr>
                <w:rFonts w:hint="eastAsia"/>
                <w:color w:val="auto"/>
                <w:highlight w:val="none"/>
              </w:rPr>
            </w:pPr>
            <w:r>
              <w:rPr>
                <w:rFonts w:hint="eastAsia"/>
                <w:color w:val="auto"/>
                <w:highlight w:val="none"/>
              </w:rPr>
              <w:t>投标人在项目所在地范围内有常驻服务机构或承诺</w:t>
            </w:r>
            <w:r>
              <w:rPr>
                <w:rFonts w:hint="eastAsia"/>
                <w:color w:val="auto"/>
                <w:highlight w:val="none"/>
                <w:lang w:eastAsia="zh-CN"/>
              </w:rPr>
              <w:t>合同签订前</w:t>
            </w:r>
            <w:r>
              <w:rPr>
                <w:rFonts w:hint="eastAsia"/>
                <w:color w:val="auto"/>
                <w:highlight w:val="none"/>
              </w:rPr>
              <w:t>在项目所在地范围内设立常驻服务机构的得3分。</w:t>
            </w:r>
          </w:p>
          <w:p w14:paraId="519AFB05">
            <w:pPr>
              <w:pStyle w:val="45"/>
              <w:ind w:left="0" w:leftChars="0" w:firstLine="0" w:firstLineChars="0"/>
              <w:rPr>
                <w:color w:val="auto"/>
                <w:highlight w:val="none"/>
              </w:rPr>
            </w:pPr>
            <w:r>
              <w:rPr>
                <w:rFonts w:hint="eastAsia" w:ascii="宋体" w:hAnsi="宋体" w:cs="宋体"/>
                <w:color w:val="auto"/>
                <w:szCs w:val="21"/>
                <w:highlight w:val="none"/>
              </w:rPr>
              <w:t>（提供承诺函或相关证明材料并加盖电子公章，未提供不得分）</w:t>
            </w:r>
          </w:p>
        </w:tc>
        <w:tc>
          <w:tcPr>
            <w:tcW w:w="818" w:type="dxa"/>
            <w:vAlign w:val="center"/>
          </w:tcPr>
          <w:p w14:paraId="07FAD54E">
            <w:pPr>
              <w:jc w:val="center"/>
              <w:rPr>
                <w:rFonts w:asciiTheme="minorEastAsia" w:hAnsiTheme="minorEastAsia" w:eastAsiaTheme="minorEastAsia" w:cstheme="minorEastAsia"/>
                <w:b/>
                <w:color w:val="auto"/>
                <w:szCs w:val="21"/>
                <w:highlight w:val="none"/>
              </w:rPr>
            </w:pPr>
            <w:r>
              <w:rPr>
                <w:rFonts w:hint="eastAsia" w:ascii="宋体" w:hAnsi="宋体" w:cs="宋体"/>
                <w:b/>
                <w:color w:val="auto"/>
                <w:kern w:val="0"/>
                <w:szCs w:val="21"/>
                <w:highlight w:val="none"/>
              </w:rPr>
              <w:t>3分</w:t>
            </w:r>
          </w:p>
        </w:tc>
      </w:tr>
      <w:tr w14:paraId="03B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34" w:type="dxa"/>
            <w:vMerge w:val="continue"/>
            <w:vAlign w:val="center"/>
          </w:tcPr>
          <w:p w14:paraId="2C26605D">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continue"/>
            <w:vAlign w:val="center"/>
          </w:tcPr>
          <w:p w14:paraId="58A838CC">
            <w:pPr>
              <w:jc w:val="center"/>
              <w:rPr>
                <w:rFonts w:ascii="宋体" w:hAnsi="宋体" w:cs="宋体"/>
                <w:color w:val="auto"/>
                <w:kern w:val="0"/>
                <w:szCs w:val="21"/>
                <w:highlight w:val="none"/>
              </w:rPr>
            </w:pPr>
          </w:p>
        </w:tc>
        <w:tc>
          <w:tcPr>
            <w:tcW w:w="8669" w:type="dxa"/>
            <w:vAlign w:val="center"/>
          </w:tcPr>
          <w:p w14:paraId="47BE1A7F">
            <w:pPr>
              <w:spacing w:line="360" w:lineRule="exact"/>
              <w:rPr>
                <w:rFonts w:cs="宋体" w:asciiTheme="minorEastAsia" w:hAnsiTheme="minorEastAsia" w:eastAsiaTheme="minorEastAsia"/>
                <w:color w:val="auto"/>
                <w:kern w:val="0"/>
                <w:szCs w:val="21"/>
                <w:highlight w:val="none"/>
              </w:rPr>
            </w:pPr>
            <w:r>
              <w:rPr>
                <w:rFonts w:hint="eastAsia" w:cs="宋体" w:asciiTheme="minorEastAsia" w:hAnsiTheme="minorEastAsia" w:eastAsiaTheme="minorEastAsia"/>
                <w:color w:val="auto"/>
                <w:kern w:val="0"/>
                <w:szCs w:val="21"/>
                <w:highlight w:val="none"/>
              </w:rPr>
              <w:t>投标单位提供自有登高车1辆不得分，提供2辆得1分，3辆得2分，4辆及以上得3分。（需提供行驶证扫描件，不提供不得分）。</w:t>
            </w:r>
          </w:p>
        </w:tc>
        <w:tc>
          <w:tcPr>
            <w:tcW w:w="818" w:type="dxa"/>
            <w:vAlign w:val="center"/>
          </w:tcPr>
          <w:p w14:paraId="31FA06D8">
            <w:pPr>
              <w:widowControl/>
              <w:jc w:val="center"/>
              <w:rPr>
                <w:rFonts w:ascii="宋体" w:hAnsi="宋体" w:cs="宋体"/>
                <w:b/>
                <w:color w:val="auto"/>
                <w:kern w:val="0"/>
                <w:szCs w:val="21"/>
                <w:highlight w:val="none"/>
              </w:rPr>
            </w:pPr>
            <w:r>
              <w:rPr>
                <w:rFonts w:hint="eastAsia" w:ascii="宋体" w:hAnsi="宋体" w:cs="宋体"/>
                <w:b/>
                <w:color w:val="auto"/>
                <w:kern w:val="0"/>
                <w:szCs w:val="21"/>
                <w:highlight w:val="none"/>
              </w:rPr>
              <w:t>3分</w:t>
            </w:r>
          </w:p>
        </w:tc>
      </w:tr>
      <w:tr w14:paraId="1E84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734" w:type="dxa"/>
            <w:vMerge w:val="continue"/>
            <w:vAlign w:val="center"/>
          </w:tcPr>
          <w:p w14:paraId="18D58506">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continue"/>
            <w:vAlign w:val="center"/>
          </w:tcPr>
          <w:p w14:paraId="7247D6C7">
            <w:pPr>
              <w:jc w:val="center"/>
              <w:rPr>
                <w:rFonts w:ascii="宋体" w:hAnsi="宋体" w:cs="宋体"/>
                <w:color w:val="auto"/>
                <w:kern w:val="0"/>
                <w:szCs w:val="21"/>
                <w:highlight w:val="none"/>
              </w:rPr>
            </w:pPr>
          </w:p>
        </w:tc>
        <w:tc>
          <w:tcPr>
            <w:tcW w:w="8669" w:type="dxa"/>
            <w:vAlign w:val="center"/>
          </w:tcPr>
          <w:p w14:paraId="7EF81ECA">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（1）在质保期内，接到采购人故障电话，承诺在45分钟</w:t>
            </w:r>
            <w:r>
              <w:rPr>
                <w:rFonts w:cs="宋体" w:asciiTheme="minorEastAsia" w:hAnsiTheme="minorEastAsia" w:eastAsiaTheme="minorEastAsia"/>
                <w:color w:val="auto"/>
                <w:szCs w:val="21"/>
                <w:highlight w:val="none"/>
              </w:rPr>
              <w:t>内到达现场进行故障处理</w:t>
            </w:r>
            <w:r>
              <w:rPr>
                <w:rFonts w:hint="eastAsia" w:cs="宋体" w:asciiTheme="minorEastAsia" w:hAnsiTheme="minorEastAsia" w:eastAsiaTheme="minorEastAsia"/>
                <w:color w:val="auto"/>
                <w:szCs w:val="21"/>
                <w:highlight w:val="none"/>
              </w:rPr>
              <w:t>的得3分；</w:t>
            </w:r>
          </w:p>
          <w:p w14:paraId="61EE7CF3">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（2）在质保期内，接到采购人故障电话，承诺在90分钟</w:t>
            </w:r>
            <w:r>
              <w:rPr>
                <w:rFonts w:cs="宋体" w:asciiTheme="minorEastAsia" w:hAnsiTheme="minorEastAsia" w:eastAsiaTheme="minorEastAsia"/>
                <w:color w:val="auto"/>
                <w:szCs w:val="21"/>
                <w:highlight w:val="none"/>
              </w:rPr>
              <w:t>内到达现场进行故障处理</w:t>
            </w:r>
            <w:r>
              <w:rPr>
                <w:rFonts w:hint="eastAsia" w:cs="宋体" w:asciiTheme="minorEastAsia" w:hAnsiTheme="minorEastAsia" w:eastAsiaTheme="minorEastAsia"/>
                <w:color w:val="auto"/>
                <w:szCs w:val="21"/>
                <w:highlight w:val="none"/>
              </w:rPr>
              <w:t>的得2分；</w:t>
            </w:r>
          </w:p>
          <w:p w14:paraId="25E0328D">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（3）在质保期内，接到采购人故障电话，承诺在180分钟</w:t>
            </w:r>
            <w:r>
              <w:rPr>
                <w:rFonts w:cs="宋体" w:asciiTheme="minorEastAsia" w:hAnsiTheme="minorEastAsia" w:eastAsiaTheme="minorEastAsia"/>
                <w:color w:val="auto"/>
                <w:szCs w:val="21"/>
                <w:highlight w:val="none"/>
              </w:rPr>
              <w:t>内到达现场进行故障处理</w:t>
            </w:r>
            <w:r>
              <w:rPr>
                <w:rFonts w:hint="eastAsia" w:cs="宋体" w:asciiTheme="minorEastAsia" w:hAnsiTheme="minorEastAsia" w:eastAsiaTheme="minorEastAsia"/>
                <w:color w:val="auto"/>
                <w:szCs w:val="21"/>
                <w:highlight w:val="none"/>
              </w:rPr>
              <w:t>的得1分；</w:t>
            </w:r>
          </w:p>
          <w:p w14:paraId="2CD449CC">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 未提及此项的不得分。</w:t>
            </w:r>
          </w:p>
        </w:tc>
        <w:tc>
          <w:tcPr>
            <w:tcW w:w="818" w:type="dxa"/>
            <w:vAlign w:val="center"/>
          </w:tcPr>
          <w:p w14:paraId="706FFCF2">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3分</w:t>
            </w:r>
          </w:p>
        </w:tc>
      </w:tr>
      <w:tr w14:paraId="25181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734" w:type="dxa"/>
            <w:vMerge w:val="continue"/>
            <w:vAlign w:val="center"/>
          </w:tcPr>
          <w:p w14:paraId="3773A5D6">
            <w:pPr>
              <w:spacing w:line="340" w:lineRule="exact"/>
              <w:jc w:val="center"/>
              <w:rPr>
                <w:rFonts w:asciiTheme="minorEastAsia" w:hAnsiTheme="minorEastAsia" w:eastAsiaTheme="minorEastAsia" w:cstheme="minorEastAsia"/>
                <w:b/>
                <w:color w:val="auto"/>
                <w:kern w:val="0"/>
                <w:szCs w:val="21"/>
                <w:highlight w:val="none"/>
              </w:rPr>
            </w:pPr>
          </w:p>
        </w:tc>
        <w:tc>
          <w:tcPr>
            <w:tcW w:w="978" w:type="dxa"/>
            <w:vMerge w:val="continue"/>
            <w:vAlign w:val="center"/>
          </w:tcPr>
          <w:p w14:paraId="1A3F5F0F">
            <w:pPr>
              <w:jc w:val="center"/>
              <w:rPr>
                <w:rFonts w:ascii="宋体" w:hAnsi="宋体" w:cs="宋体"/>
                <w:color w:val="auto"/>
                <w:kern w:val="0"/>
                <w:szCs w:val="21"/>
                <w:highlight w:val="none"/>
              </w:rPr>
            </w:pPr>
          </w:p>
        </w:tc>
        <w:tc>
          <w:tcPr>
            <w:tcW w:w="8669" w:type="dxa"/>
            <w:vAlign w:val="center"/>
          </w:tcPr>
          <w:p w14:paraId="6777E6A1">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(1)承诺在应急情况下能提供的维护人员大于7人，相关应急措施条款明确的得3分；</w:t>
            </w:r>
          </w:p>
          <w:p w14:paraId="111CF55D">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 承诺在应急情况下能提供维护人员＞5且≤7人，相关应急措施条款比较明确的得2分；</w:t>
            </w:r>
          </w:p>
          <w:p w14:paraId="36886C54">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 承诺在应急情况下能提供的维护人员大＞3人且≤5,相关应急措施条款不够明确的得1分。</w:t>
            </w:r>
          </w:p>
          <w:p w14:paraId="12D1DC0C">
            <w:pPr>
              <w:tabs>
                <w:tab w:val="left" w:pos="8280"/>
              </w:tabs>
              <w:spacing w:line="360" w:lineRule="exact"/>
              <w:ind w:right="25"/>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 未提及此项的不得分。</w:t>
            </w:r>
          </w:p>
        </w:tc>
        <w:tc>
          <w:tcPr>
            <w:tcW w:w="818" w:type="dxa"/>
            <w:vAlign w:val="center"/>
          </w:tcPr>
          <w:p w14:paraId="415FE649">
            <w:pPr>
              <w:jc w:val="center"/>
              <w:rPr>
                <w:rFonts w:ascii="宋体" w:hAnsi="宋体" w:cs="宋体"/>
                <w:b/>
                <w:color w:val="auto"/>
                <w:kern w:val="0"/>
                <w:szCs w:val="21"/>
                <w:highlight w:val="none"/>
              </w:rPr>
            </w:pPr>
            <w:r>
              <w:rPr>
                <w:rFonts w:hint="eastAsia" w:ascii="宋体" w:hAnsi="宋体" w:cs="宋体"/>
                <w:b/>
                <w:color w:val="auto"/>
                <w:kern w:val="0"/>
                <w:szCs w:val="21"/>
                <w:highlight w:val="none"/>
              </w:rPr>
              <w:t>3分</w:t>
            </w:r>
          </w:p>
        </w:tc>
      </w:tr>
      <w:tr w14:paraId="12A5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4" w:type="dxa"/>
            <w:vAlign w:val="center"/>
          </w:tcPr>
          <w:p w14:paraId="033635AC">
            <w:pPr>
              <w:spacing w:line="340" w:lineRule="exact"/>
              <w:jc w:val="center"/>
              <w:rPr>
                <w:rFonts w:asciiTheme="minorEastAsia" w:hAnsiTheme="minorEastAsia" w:eastAsiaTheme="minorEastAsia" w:cstheme="minorEastAsia"/>
                <w:b/>
                <w:color w:val="auto"/>
                <w:kern w:val="0"/>
                <w:szCs w:val="21"/>
                <w:highlight w:val="none"/>
              </w:rPr>
            </w:pPr>
            <w:r>
              <w:rPr>
                <w:rFonts w:hint="eastAsia" w:ascii="宋体" w:hAnsi="宋体" w:cs="微软雅黑" w:eastAsiaTheme="minorEastAsia"/>
                <w:color w:val="auto"/>
                <w:szCs w:val="21"/>
                <w:highlight w:val="none"/>
              </w:rPr>
              <w:t>2</w:t>
            </w:r>
          </w:p>
        </w:tc>
        <w:tc>
          <w:tcPr>
            <w:tcW w:w="978" w:type="dxa"/>
            <w:vAlign w:val="center"/>
          </w:tcPr>
          <w:p w14:paraId="73FF03BA">
            <w:pPr>
              <w:spacing w:line="340" w:lineRule="exact"/>
              <w:jc w:val="center"/>
              <w:rPr>
                <w:rFonts w:ascii="宋体" w:hAnsi="宋体"/>
                <w:b/>
                <w:snapToGrid w:val="0"/>
                <w:color w:val="auto"/>
                <w:szCs w:val="21"/>
                <w:highlight w:val="none"/>
              </w:rPr>
            </w:pPr>
            <w:r>
              <w:rPr>
                <w:rFonts w:hint="eastAsia" w:ascii="宋体" w:hAnsi="宋体"/>
                <w:b/>
                <w:snapToGrid w:val="0"/>
                <w:color w:val="auto"/>
                <w:szCs w:val="21"/>
                <w:highlight w:val="none"/>
              </w:rPr>
              <w:t>价格</w:t>
            </w:r>
          </w:p>
          <w:p w14:paraId="11F290E7">
            <w:pPr>
              <w:jc w:val="center"/>
              <w:rPr>
                <w:rFonts w:ascii="宋体" w:hAnsi="宋体" w:cs="宋体"/>
                <w:color w:val="auto"/>
                <w:kern w:val="0"/>
                <w:szCs w:val="21"/>
                <w:highlight w:val="none"/>
              </w:rPr>
            </w:pPr>
          </w:p>
        </w:tc>
        <w:tc>
          <w:tcPr>
            <w:tcW w:w="8669" w:type="dxa"/>
            <w:vAlign w:val="center"/>
          </w:tcPr>
          <w:p w14:paraId="1C0A176C">
            <w:pPr>
              <w:adjustRightInd w:val="0"/>
              <w:snapToGrid w:val="0"/>
              <w:spacing w:line="400" w:lineRule="exact"/>
              <w:jc w:val="left"/>
              <w:rPr>
                <w:rFonts w:ascii="宋体" w:hAnsi="宋体"/>
                <w:snapToGrid w:val="0"/>
                <w:color w:val="auto"/>
                <w:kern w:val="0"/>
                <w:szCs w:val="21"/>
                <w:highlight w:val="none"/>
              </w:rPr>
            </w:pPr>
            <w:r>
              <w:rPr>
                <w:rFonts w:hint="eastAsia" w:ascii="宋体" w:hAnsi="宋体"/>
                <w:snapToGrid w:val="0"/>
                <w:color w:val="auto"/>
                <w:kern w:val="0"/>
                <w:szCs w:val="21"/>
                <w:highlight w:val="none"/>
              </w:rPr>
              <w:t>合格投标人有效投标总报价中的最低价为基准价，基准价为</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0分。投标报价得分＝（评标基准价/最终投标报价）×</w:t>
            </w:r>
            <w:r>
              <w:rPr>
                <w:rFonts w:hint="eastAsia" w:ascii="宋体" w:hAnsi="宋体"/>
                <w:snapToGrid w:val="0"/>
                <w:color w:val="auto"/>
                <w:kern w:val="0"/>
                <w:szCs w:val="21"/>
                <w:highlight w:val="none"/>
                <w:lang w:val="en-US" w:eastAsia="zh-CN"/>
              </w:rPr>
              <w:t>3</w:t>
            </w:r>
            <w:r>
              <w:rPr>
                <w:rFonts w:hint="eastAsia" w:ascii="宋体" w:hAnsi="宋体"/>
                <w:snapToGrid w:val="0"/>
                <w:color w:val="auto"/>
                <w:kern w:val="0"/>
                <w:szCs w:val="21"/>
                <w:highlight w:val="none"/>
              </w:rPr>
              <w:t>0%×100（</w:t>
            </w:r>
            <w:r>
              <w:rPr>
                <w:rFonts w:hint="eastAsia" w:ascii="宋体" w:hAnsi="宋体"/>
                <w:snapToGrid w:val="0"/>
                <w:color w:val="auto"/>
                <w:kern w:val="0"/>
                <w:szCs w:val="21"/>
                <w:highlight w:val="none"/>
                <w:lang w:val="zh-CN"/>
              </w:rPr>
              <w:t>得分以系统计算为准，</w:t>
            </w:r>
            <w:r>
              <w:rPr>
                <w:rFonts w:hint="eastAsia" w:ascii="宋体" w:hAnsi="宋体"/>
                <w:snapToGrid w:val="0"/>
                <w:color w:val="auto"/>
                <w:kern w:val="0"/>
                <w:szCs w:val="21"/>
                <w:highlight w:val="none"/>
              </w:rPr>
              <w:t>小数点后保留2位小数）</w:t>
            </w:r>
          </w:p>
          <w:p w14:paraId="5EF0BFC5">
            <w:pPr>
              <w:adjustRightInd w:val="0"/>
              <w:snapToGrid w:val="0"/>
              <w:spacing w:line="400" w:lineRule="exact"/>
              <w:jc w:val="left"/>
              <w:rPr>
                <w:rFonts w:ascii="宋体" w:hAnsi="宋体"/>
                <w:b/>
                <w:bCs/>
                <w:snapToGrid w:val="0"/>
                <w:color w:val="auto"/>
                <w:kern w:val="0"/>
                <w:szCs w:val="21"/>
                <w:highlight w:val="none"/>
              </w:rPr>
            </w:pPr>
            <w:r>
              <w:rPr>
                <w:rFonts w:hint="eastAsia" w:ascii="宋体" w:hAnsi="宋体"/>
                <w:b/>
                <w:bCs/>
                <w:snapToGrid w:val="0"/>
                <w:color w:val="auto"/>
                <w:kern w:val="0"/>
                <w:szCs w:val="21"/>
                <w:highlight w:val="none"/>
              </w:rPr>
              <w:t>▲本项目采用结算率报价，结算率不得高于99%。</w:t>
            </w:r>
          </w:p>
          <w:p w14:paraId="2EB156AE">
            <w:pPr>
              <w:spacing w:line="420" w:lineRule="exact"/>
              <w:rPr>
                <w:rFonts w:ascii="宋体" w:hAnsi="宋体"/>
                <w:b/>
                <w:snapToGrid w:val="0"/>
                <w:color w:val="auto"/>
                <w:szCs w:val="21"/>
                <w:highlight w:val="none"/>
              </w:rPr>
            </w:pPr>
            <w:r>
              <w:rPr>
                <w:rFonts w:hint="eastAsia" w:ascii="宋体" w:hAnsi="宋体"/>
                <w:snapToGrid w:val="0"/>
                <w:color w:val="auto"/>
                <w:kern w:val="0"/>
                <w:szCs w:val="21"/>
                <w:highlight w:val="none"/>
              </w:rPr>
              <w:t>参与评审的价格=投标总价-小微企业价格扣除优惠值</w:t>
            </w:r>
            <w:r>
              <w:rPr>
                <w:rFonts w:hint="eastAsia" w:ascii="宋体" w:hAnsi="宋体"/>
                <w:snapToGrid w:val="0"/>
                <w:color w:val="auto"/>
                <w:kern w:val="0"/>
                <w:szCs w:val="21"/>
                <w:highlight w:val="none"/>
                <w:lang w:val="en-US" w:eastAsia="zh-CN"/>
              </w:rPr>
              <w:t>1</w:t>
            </w:r>
            <w:r>
              <w:rPr>
                <w:rFonts w:hint="eastAsia" w:ascii="宋体" w:hAnsi="宋体"/>
                <w:snapToGrid w:val="0"/>
                <w:color w:val="auto"/>
                <w:kern w:val="0"/>
                <w:szCs w:val="21"/>
                <w:highlight w:val="none"/>
              </w:rPr>
              <w:t>0%（如有）</w:t>
            </w:r>
          </w:p>
        </w:tc>
        <w:tc>
          <w:tcPr>
            <w:tcW w:w="818" w:type="dxa"/>
            <w:vAlign w:val="center"/>
          </w:tcPr>
          <w:p w14:paraId="6BB394DD">
            <w:pPr>
              <w:spacing w:line="360" w:lineRule="exact"/>
              <w:jc w:val="center"/>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3</w:t>
            </w:r>
            <w:r>
              <w:rPr>
                <w:rFonts w:hint="eastAsia" w:ascii="宋体" w:hAnsi="宋体"/>
                <w:b/>
                <w:color w:val="auto"/>
                <w:szCs w:val="21"/>
                <w:highlight w:val="none"/>
              </w:rPr>
              <w:t>0</w:t>
            </w:r>
            <w:r>
              <w:rPr>
                <w:rFonts w:hint="eastAsia" w:ascii="宋体" w:hAnsi="宋体"/>
                <w:b/>
                <w:color w:val="auto"/>
                <w:szCs w:val="21"/>
                <w:highlight w:val="none"/>
                <w:lang w:eastAsia="zh-CN"/>
              </w:rPr>
              <w:t>分</w:t>
            </w:r>
          </w:p>
        </w:tc>
      </w:tr>
    </w:tbl>
    <w:p w14:paraId="61155D00">
      <w:pPr>
        <w:autoSpaceDE w:val="0"/>
        <w:autoSpaceDN w:val="0"/>
        <w:adjustRightInd w:val="0"/>
        <w:spacing w:line="360" w:lineRule="auto"/>
        <w:jc w:val="left"/>
        <w:rPr>
          <w:color w:val="auto"/>
          <w:highlight w:val="none"/>
        </w:rPr>
      </w:pPr>
      <w:r>
        <w:rPr>
          <w:rFonts w:hint="eastAsia"/>
          <w:b/>
          <w:color w:val="auto"/>
          <w:szCs w:val="21"/>
          <w:highlight w:val="none"/>
        </w:rPr>
        <w:t>(注：以上需提供的合同、证书等各项证明需将扫描件上传至投标文件，并加盖电子印章。)</w:t>
      </w:r>
    </w:p>
    <w:p w14:paraId="2C548BFC">
      <w:pPr>
        <w:pStyle w:val="26"/>
        <w:snapToGrid w:val="0"/>
        <w:spacing w:before="159" w:beforeLines="50" w:line="360" w:lineRule="auto"/>
        <w:ind w:firstLine="422" w:firstLineChars="20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2.评审要求</w:t>
      </w:r>
    </w:p>
    <w:p w14:paraId="28319332">
      <w:pPr>
        <w:spacing w:line="360" w:lineRule="auto"/>
        <w:ind w:firstLine="420" w:firstLineChars="200"/>
        <w:rPr>
          <w:rFonts w:ascii="宋体"/>
          <w:bCs/>
          <w:color w:val="auto"/>
          <w:szCs w:val="21"/>
          <w:highlight w:val="none"/>
          <w:lang w:val="zh-CN"/>
        </w:rPr>
      </w:pPr>
      <w:r>
        <w:rPr>
          <w:rFonts w:hint="eastAsia" w:ascii="宋体" w:hAnsi="宋体" w:cs="宋体"/>
          <w:color w:val="auto"/>
          <w:szCs w:val="21"/>
          <w:highlight w:val="none"/>
        </w:rPr>
        <w:t>(1)评标委员会应当按照招标文件中规定的评标方法和标准，对符合性审查合格的投标文件的商务部分和技术部分进行综合比较与评价，其中</w:t>
      </w:r>
      <w:r>
        <w:rPr>
          <w:rFonts w:hint="eastAsia" w:ascii="宋体"/>
          <w:bCs/>
          <w:color w:val="auto"/>
          <w:szCs w:val="21"/>
          <w:highlight w:val="none"/>
          <w:lang w:val="zh-CN"/>
        </w:rPr>
        <w:t>客观</w:t>
      </w:r>
      <w:r>
        <w:rPr>
          <w:rFonts w:hint="eastAsia" w:ascii="宋体"/>
          <w:bCs/>
          <w:color w:val="auto"/>
          <w:szCs w:val="21"/>
          <w:highlight w:val="none"/>
        </w:rPr>
        <w:t>评分项的分值</w:t>
      </w:r>
      <w:r>
        <w:rPr>
          <w:rFonts w:hint="eastAsia" w:ascii="宋体"/>
          <w:bCs/>
          <w:color w:val="auto"/>
          <w:szCs w:val="21"/>
          <w:highlight w:val="none"/>
          <w:lang w:val="zh-CN"/>
        </w:rPr>
        <w:t>应当一致，客观分打分不一致时，采购人及采购代理机构可以提示评审委员会复核或书面说明理由。</w:t>
      </w:r>
    </w:p>
    <w:p w14:paraId="75E5DC6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(2)对于投标文件报价出现前后不一致的，除招标文件另有规定外，按照下列规定修正：</w:t>
      </w:r>
    </w:p>
    <w:p w14:paraId="55A65FC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①‘政府采购云平台’上开启的投标报价与电子投标文件中开标</w:t>
      </w:r>
      <w:r>
        <w:rPr>
          <w:rFonts w:hint="eastAsia" w:ascii="宋体" w:hAnsi="宋体" w:cs="宋体"/>
          <w:color w:val="auto"/>
          <w:highlight w:val="none"/>
        </w:rPr>
        <w:t>一览表</w:t>
      </w:r>
      <w:r>
        <w:rPr>
          <w:rFonts w:hint="eastAsia" w:ascii="宋体" w:hAnsi="宋体" w:cs="宋体"/>
          <w:color w:val="auto"/>
          <w:szCs w:val="21"/>
          <w:highlight w:val="none"/>
        </w:rPr>
        <w:t>（报价表）内容不一致的，以电子投标文件中开标一览表（报价表）为准。</w:t>
      </w:r>
    </w:p>
    <w:p w14:paraId="469663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②投标文件中开标一览表（报价表）内容与投标文件中相应内容不一致的，以开标一览表（报价表）为准；</w:t>
      </w:r>
    </w:p>
    <w:p w14:paraId="1958D20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③大写金额和小写金额不一致的，以大写金额为准；</w:t>
      </w:r>
    </w:p>
    <w:p w14:paraId="413CF0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④单价金额小数点或者百分比有明显错位的，以开标一览表的总价为准，并修改单价；</w:t>
      </w:r>
    </w:p>
    <w:p w14:paraId="626B6E1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5 \* GB3 \* MERGEFORMAT </w:instrText>
      </w:r>
      <w:r>
        <w:rPr>
          <w:rFonts w:hint="eastAsia" w:ascii="宋体" w:hAnsi="宋体" w:cs="宋体"/>
          <w:color w:val="auto"/>
          <w:szCs w:val="21"/>
          <w:highlight w:val="none"/>
        </w:rPr>
        <w:fldChar w:fldCharType="separate"/>
      </w:r>
      <w:r>
        <w:rPr>
          <w:rFonts w:ascii="宋体" w:hAnsi="宋体" w:cs="宋体"/>
          <w:color w:val="auto"/>
          <w:szCs w:val="21"/>
          <w:highlight w:val="none"/>
        </w:rPr>
        <w:t>⑤</w:t>
      </w:r>
      <w:r>
        <w:rPr>
          <w:rFonts w:hint="eastAsia" w:ascii="宋体" w:hAnsi="宋体" w:cs="宋体"/>
          <w:color w:val="auto"/>
          <w:szCs w:val="21"/>
          <w:highlight w:val="none"/>
        </w:rPr>
        <w:fldChar w:fldCharType="end"/>
      </w:r>
      <w:r>
        <w:rPr>
          <w:rFonts w:hint="eastAsia" w:ascii="宋体" w:hAnsi="宋体" w:cs="宋体"/>
          <w:color w:val="auto"/>
          <w:szCs w:val="21"/>
          <w:highlight w:val="none"/>
        </w:rPr>
        <w:t>总价金额与按单价汇总金额不一致的，以单价金额计算结果为准。</w:t>
      </w:r>
    </w:p>
    <w:p w14:paraId="33151A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同时出现两种以上不一致的，按照前款规定的顺序修正。修正应当采用电子询标的形式，并加盖公章（电子印章）。</w:t>
      </w:r>
    </w:p>
    <w:p w14:paraId="15A2CE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（3）对于投标文件中含义不明确、同类问题表述不一致或者有明显文字和计算错误的内容，评标委员会应当要求投标供应商做出必要的澄清、说明或者补正。</w:t>
      </w:r>
    </w:p>
    <w:p w14:paraId="538B47DF">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（4）投标供应商的澄清、说明或者补正采用书面形式，并加盖公章（电子印章）或者由法定代表人或授权代表签字，且不得超出投标文件的范围或者改变投标文件的实质性内容。</w:t>
      </w:r>
      <w:r>
        <w:rPr>
          <w:rFonts w:hint="eastAsia" w:ascii="宋体" w:hAnsi="宋体" w:cs="宋体"/>
          <w:color w:val="auto"/>
          <w:szCs w:val="21"/>
          <w:highlight w:val="none"/>
          <w:lang w:val="en-US" w:eastAsia="zh-CN"/>
        </w:rPr>
        <w:t xml:space="preserve">        </w:t>
      </w:r>
    </w:p>
    <w:p w14:paraId="5D83658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说明：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77B03D65">
      <w:pPr>
        <w:spacing w:line="360" w:lineRule="auto"/>
        <w:ind w:firstLine="420" w:firstLineChars="200"/>
        <w:rPr>
          <w:rFonts w:hint="eastAsia" w:ascii="宋体" w:hAnsi="宋体" w:cs="宋体"/>
          <w:color w:val="auto"/>
          <w:szCs w:val="21"/>
          <w:highlight w:val="none"/>
        </w:rPr>
      </w:pPr>
    </w:p>
    <w:p w14:paraId="0B5E6D6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78713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非单一产品采购项目，多家投标供应商提供的核心产品品牌相同的，按上述规定处理。</w:t>
      </w:r>
    </w:p>
    <w:p w14:paraId="17000DB4">
      <w:pPr>
        <w:spacing w:line="360" w:lineRule="auto"/>
        <w:ind w:firstLine="843" w:firstLineChars="400"/>
        <w:rPr>
          <w:rFonts w:ascii="宋体" w:hAnsi="宋体" w:cs="宋体"/>
          <w:b/>
          <w:bCs/>
          <w:color w:val="auto"/>
          <w:szCs w:val="21"/>
          <w:highlight w:val="none"/>
        </w:rPr>
      </w:pPr>
      <w:r>
        <w:rPr>
          <w:rFonts w:hint="eastAsia" w:ascii="宋体" w:hAnsi="宋体" w:cs="宋体"/>
          <w:b/>
          <w:bCs/>
          <w:color w:val="auto"/>
          <w:szCs w:val="21"/>
          <w:highlight w:val="none"/>
        </w:rPr>
        <w:t>本项目核心产品：制高点高清球机</w:t>
      </w:r>
    </w:p>
    <w:p w14:paraId="2CB1F990">
      <w:pPr>
        <w:spacing w:line="360" w:lineRule="auto"/>
        <w:ind w:firstLine="422" w:firstLineChars="200"/>
        <w:rPr>
          <w:rFonts w:ascii="宋体"/>
          <w:color w:val="auto"/>
          <w:szCs w:val="21"/>
          <w:highlight w:val="none"/>
        </w:rPr>
      </w:pPr>
      <w:r>
        <w:rPr>
          <w:rFonts w:hint="eastAsia" w:ascii="宋体" w:hAnsi="宋体" w:cs="宋体"/>
          <w:b/>
          <w:bCs/>
          <w:color w:val="auto"/>
          <w:szCs w:val="21"/>
          <w:highlight w:val="none"/>
        </w:rPr>
        <w:t>（四）结果汇总及排序</w:t>
      </w:r>
    </w:p>
    <w:p w14:paraId="1A7CCAC4">
      <w:pPr>
        <w:spacing w:line="360" w:lineRule="auto"/>
        <w:ind w:firstLine="420" w:firstLineChars="200"/>
        <w:rPr>
          <w:rFonts w:ascii="宋体"/>
          <w:color w:val="auto"/>
          <w:szCs w:val="21"/>
          <w:highlight w:val="none"/>
          <w:lang w:val="zh-CN"/>
        </w:rPr>
      </w:pPr>
      <w:r>
        <w:rPr>
          <w:rFonts w:hint="eastAsia" w:ascii="宋体" w:hAnsi="宋体" w:cs="宋体"/>
          <w:color w:val="auto"/>
          <w:szCs w:val="21"/>
          <w:highlight w:val="none"/>
        </w:rPr>
        <w:t>评标委员会各成员应当独立对每个投标供应商的投标文件进行评价，并汇总每个投标供应商的得分。评标结果按评审后综合得分由高到低顺序排列，</w:t>
      </w:r>
      <w:r>
        <w:rPr>
          <w:rFonts w:hint="eastAsia" w:ascii="宋体"/>
          <w:color w:val="auto"/>
          <w:szCs w:val="21"/>
          <w:highlight w:val="none"/>
          <w:lang w:val="zh-CN"/>
        </w:rPr>
        <w:t>如综合得分相同，投标报价低者为先；如综合得分且投标报价相同的，货物类采购项目以技术部分得分较高者为先，服务类采购项目以商务部分得分较高者为先。</w:t>
      </w:r>
    </w:p>
    <w:p w14:paraId="6E7B59B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（五）评标报告撰写</w:t>
      </w:r>
    </w:p>
    <w:p w14:paraId="69D4614C">
      <w:pPr>
        <w:spacing w:line="360" w:lineRule="auto"/>
        <w:ind w:firstLine="420" w:firstLineChars="200"/>
        <w:rPr>
          <w:color w:val="auto"/>
          <w:highlight w:val="none"/>
        </w:rPr>
      </w:pPr>
      <w:r>
        <w:rPr>
          <w:rFonts w:hint="eastAsia" w:ascii="宋体" w:hAnsi="宋体" w:cs="宋体"/>
          <w:color w:val="auto"/>
          <w:szCs w:val="21"/>
          <w:highlight w:val="none"/>
        </w:rPr>
        <w:t>评标委员会根据全体评标成员签字的原始评标记录和评标结果编写评标报告。</w:t>
      </w:r>
    </w:p>
    <w:p w14:paraId="1FA5BA67">
      <w:pPr>
        <w:widowControl/>
        <w:jc w:val="left"/>
        <w:rPr>
          <w:rFonts w:asciiTheme="minorEastAsia" w:hAnsiTheme="minorEastAsia" w:eastAsiaTheme="minorEastAsia"/>
          <w:b/>
          <w:color w:val="auto"/>
          <w:sz w:val="36"/>
          <w:szCs w:val="36"/>
          <w:highlight w:val="none"/>
        </w:rPr>
      </w:pPr>
      <w:bookmarkStart w:id="126" w:name="_Toc27944_WPSOffice_Level1"/>
      <w:r>
        <w:rPr>
          <w:rFonts w:asciiTheme="minorEastAsia" w:hAnsiTheme="minorEastAsia" w:eastAsiaTheme="minorEastAsia"/>
          <w:b/>
          <w:color w:val="auto"/>
          <w:sz w:val="36"/>
          <w:szCs w:val="36"/>
          <w:highlight w:val="none"/>
        </w:rPr>
        <w:br w:type="page"/>
      </w:r>
    </w:p>
    <w:p w14:paraId="130F70F4">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 xml:space="preserve">第五章 </w:t>
      </w:r>
      <w:bookmarkEnd w:id="126"/>
      <w:r>
        <w:rPr>
          <w:rFonts w:hint="eastAsia" w:asciiTheme="minorEastAsia" w:hAnsiTheme="minorEastAsia" w:eastAsiaTheme="minorEastAsia"/>
          <w:b/>
          <w:color w:val="auto"/>
          <w:sz w:val="36"/>
          <w:szCs w:val="36"/>
          <w:highlight w:val="none"/>
        </w:rPr>
        <w:t>拟签订的合同文本</w:t>
      </w:r>
    </w:p>
    <w:p w14:paraId="18B416E8">
      <w:pPr>
        <w:widowControl/>
        <w:spacing w:line="360" w:lineRule="auto"/>
        <w:ind w:firstLine="480" w:firstLineChars="200"/>
        <w:rPr>
          <w:rFonts w:ascii="宋体" w:hAnsi="宋体"/>
          <w:color w:val="auto"/>
          <w:sz w:val="24"/>
          <w:highlight w:val="none"/>
        </w:rPr>
      </w:pPr>
      <w:bookmarkStart w:id="127" w:name="_Toc5481_WPSOffice_Level1"/>
      <w:r>
        <w:rPr>
          <w:rFonts w:ascii="宋体" w:hAnsi="宋体"/>
          <w:color w:val="auto"/>
          <w:sz w:val="24"/>
          <w:highlight w:val="none"/>
        </w:rPr>
        <w:t>以下为成交后签</w:t>
      </w:r>
      <w:r>
        <w:rPr>
          <w:rFonts w:hint="eastAsia" w:ascii="宋体" w:hAnsi="宋体"/>
          <w:color w:val="auto"/>
          <w:sz w:val="24"/>
          <w:highlight w:val="none"/>
        </w:rPr>
        <w:t>订</w:t>
      </w:r>
      <w:r>
        <w:rPr>
          <w:rFonts w:ascii="宋体" w:hAnsi="宋体"/>
          <w:color w:val="auto"/>
          <w:sz w:val="24"/>
          <w:highlight w:val="none"/>
        </w:rPr>
        <w:t>本项目合同的通用条款，</w:t>
      </w:r>
      <w:r>
        <w:rPr>
          <w:rFonts w:hint="eastAsia" w:ascii="宋体" w:hAnsi="宋体"/>
          <w:color w:val="auto"/>
          <w:sz w:val="24"/>
          <w:highlight w:val="none"/>
        </w:rPr>
        <w:t>中标人</w:t>
      </w:r>
      <w:r>
        <w:rPr>
          <w:rFonts w:ascii="宋体" w:hAnsi="宋体"/>
          <w:color w:val="auto"/>
          <w:sz w:val="24"/>
          <w:highlight w:val="none"/>
        </w:rPr>
        <w:t>不得提出实质性的修改，关于专用条款将由采购人与</w:t>
      </w:r>
      <w:r>
        <w:rPr>
          <w:rFonts w:hint="eastAsia" w:ascii="宋体" w:hAnsi="宋体"/>
          <w:color w:val="auto"/>
          <w:sz w:val="24"/>
          <w:highlight w:val="none"/>
        </w:rPr>
        <w:t>中标人</w:t>
      </w:r>
      <w:r>
        <w:rPr>
          <w:rFonts w:ascii="宋体" w:hAnsi="宋体"/>
          <w:color w:val="auto"/>
          <w:sz w:val="24"/>
          <w:highlight w:val="none"/>
        </w:rPr>
        <w:t>结合本项目具体情况协商后签订。</w:t>
      </w:r>
    </w:p>
    <w:p w14:paraId="2D376E57">
      <w:pPr>
        <w:pStyle w:val="26"/>
        <w:snapToGrid w:val="0"/>
        <w:spacing w:line="360" w:lineRule="auto"/>
        <w:rPr>
          <w:rFonts w:hAnsi="宋体"/>
          <w:color w:val="auto"/>
          <w:sz w:val="24"/>
          <w:highlight w:val="none"/>
        </w:rPr>
      </w:pPr>
      <w:r>
        <w:rPr>
          <w:rFonts w:hAnsi="宋体"/>
          <w:color w:val="auto"/>
          <w:sz w:val="24"/>
          <w:highlight w:val="none"/>
        </w:rPr>
        <w:t>项目名称：                                项目编号：</w:t>
      </w:r>
    </w:p>
    <w:p w14:paraId="243F2A8F">
      <w:pPr>
        <w:pStyle w:val="26"/>
        <w:snapToGrid w:val="0"/>
        <w:spacing w:line="360" w:lineRule="auto"/>
        <w:rPr>
          <w:rFonts w:hAnsi="宋体"/>
          <w:color w:val="auto"/>
          <w:sz w:val="24"/>
          <w:highlight w:val="none"/>
        </w:rPr>
      </w:pPr>
      <w:r>
        <w:rPr>
          <w:rFonts w:hAnsi="宋体"/>
          <w:color w:val="auto"/>
          <w:sz w:val="24"/>
          <w:highlight w:val="none"/>
        </w:rPr>
        <w:t>甲方：（</w:t>
      </w:r>
      <w:r>
        <w:rPr>
          <w:rFonts w:hint="eastAsia" w:hAnsi="宋体"/>
          <w:color w:val="auto"/>
          <w:sz w:val="24"/>
          <w:highlight w:val="none"/>
        </w:rPr>
        <w:t>采购单位</w:t>
      </w:r>
      <w:r>
        <w:rPr>
          <w:rFonts w:hAnsi="宋体"/>
          <w:color w:val="auto"/>
          <w:sz w:val="24"/>
          <w:highlight w:val="none"/>
        </w:rPr>
        <w:t>）</w:t>
      </w:r>
      <w:r>
        <w:rPr>
          <w:rFonts w:hint="eastAsia" w:hAnsi="宋体"/>
          <w:color w:val="auto"/>
          <w:sz w:val="24"/>
          <w:highlight w:val="none"/>
        </w:rPr>
        <w:t xml:space="preserve">                        所在地：   </w:t>
      </w:r>
    </w:p>
    <w:p w14:paraId="7ECC7214">
      <w:pPr>
        <w:pStyle w:val="26"/>
        <w:snapToGrid w:val="0"/>
        <w:spacing w:line="360" w:lineRule="auto"/>
        <w:rPr>
          <w:rFonts w:hAnsi="宋体"/>
          <w:color w:val="auto"/>
          <w:sz w:val="24"/>
          <w:highlight w:val="none"/>
        </w:rPr>
      </w:pPr>
      <w:r>
        <w:rPr>
          <w:rFonts w:hAnsi="宋体"/>
          <w:color w:val="auto"/>
          <w:sz w:val="24"/>
          <w:highlight w:val="none"/>
        </w:rPr>
        <w:t>乙方：（</w:t>
      </w:r>
      <w:r>
        <w:rPr>
          <w:rFonts w:hint="eastAsia" w:hAnsi="宋体"/>
          <w:color w:val="auto"/>
          <w:sz w:val="24"/>
          <w:highlight w:val="none"/>
        </w:rPr>
        <w:t>中标人</w:t>
      </w:r>
      <w:r>
        <w:rPr>
          <w:rFonts w:hAnsi="宋体"/>
          <w:color w:val="auto"/>
          <w:sz w:val="24"/>
          <w:highlight w:val="none"/>
        </w:rPr>
        <w:t>）</w:t>
      </w:r>
      <w:r>
        <w:rPr>
          <w:rFonts w:hint="eastAsia" w:hAnsi="宋体"/>
          <w:color w:val="auto"/>
          <w:sz w:val="24"/>
          <w:highlight w:val="none"/>
        </w:rPr>
        <w:t xml:space="preserve">                          所在地：</w:t>
      </w:r>
    </w:p>
    <w:p w14:paraId="6F227526">
      <w:pPr>
        <w:widowControl/>
        <w:spacing w:line="360" w:lineRule="auto"/>
        <w:ind w:firstLine="480" w:firstLineChars="200"/>
        <w:rPr>
          <w:rFonts w:ascii="宋体" w:hAnsi="宋体"/>
          <w:color w:val="auto"/>
          <w:sz w:val="24"/>
          <w:highlight w:val="none"/>
        </w:rPr>
      </w:pPr>
      <w:r>
        <w:rPr>
          <w:rFonts w:ascii="宋体" w:hAnsi="宋体"/>
          <w:color w:val="auto"/>
          <w:sz w:val="24"/>
          <w:highlight w:val="none"/>
        </w:rPr>
        <w:t>甲、乙双方根据</w:t>
      </w:r>
      <w:r>
        <w:rPr>
          <w:rFonts w:hint="eastAsia" w:cs="Arial"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(采购组织机构名称）</w:t>
      </w:r>
      <w:r>
        <w:rPr>
          <w:rFonts w:ascii="宋体" w:hAnsi="宋体"/>
          <w:color w:val="auto"/>
          <w:sz w:val="24"/>
          <w:highlight w:val="none"/>
        </w:rPr>
        <w:t>关于</w:t>
      </w:r>
      <w:r>
        <w:rPr>
          <w:rFonts w:hint="eastAsia" w:cs="Arial" w:asciiTheme="minorEastAsia" w:hAnsiTheme="minorEastAsia" w:eastAsiaTheme="minorEastAsia"/>
          <w:color w:val="auto"/>
          <w:sz w:val="24"/>
          <w:highlight w:val="none"/>
        </w:rPr>
        <w:t>××</w:t>
      </w:r>
      <w:r>
        <w:rPr>
          <w:rFonts w:ascii="宋体" w:hAnsi="宋体"/>
          <w:color w:val="auto"/>
          <w:sz w:val="24"/>
          <w:highlight w:val="none"/>
        </w:rPr>
        <w:t>项目</w:t>
      </w:r>
      <w:r>
        <w:rPr>
          <w:rFonts w:hint="eastAsia" w:ascii="宋体" w:hAnsi="宋体"/>
          <w:color w:val="auto"/>
          <w:sz w:val="24"/>
          <w:highlight w:val="none"/>
        </w:rPr>
        <w:t>公开招标</w:t>
      </w:r>
      <w:r>
        <w:rPr>
          <w:rFonts w:ascii="宋体" w:hAnsi="宋体"/>
          <w:color w:val="auto"/>
          <w:sz w:val="24"/>
          <w:highlight w:val="none"/>
        </w:rPr>
        <w:t>的结果，签署本合同。</w:t>
      </w:r>
    </w:p>
    <w:p w14:paraId="738A7F06">
      <w:pPr>
        <w:spacing w:line="360" w:lineRule="auto"/>
        <w:ind w:firstLine="482" w:firstLineChars="200"/>
        <w:rPr>
          <w:rFonts w:ascii="宋体"/>
          <w:color w:val="auto"/>
          <w:sz w:val="24"/>
          <w:highlight w:val="none"/>
          <w:lang w:val="zh-CN"/>
        </w:rPr>
      </w:pPr>
      <w:r>
        <w:rPr>
          <w:rFonts w:hint="eastAsia" w:ascii="宋体"/>
          <w:b/>
          <w:bCs/>
          <w:color w:val="auto"/>
          <w:sz w:val="24"/>
          <w:highlight w:val="none"/>
          <w:lang w:val="zh-CN"/>
        </w:rPr>
        <w:t>一、合同文件：</w:t>
      </w:r>
      <w:r>
        <w:rPr>
          <w:rFonts w:hint="eastAsia" w:ascii="宋体"/>
          <w:color w:val="auto"/>
          <w:sz w:val="24"/>
          <w:highlight w:val="none"/>
          <w:lang w:val="zh-CN"/>
        </w:rPr>
        <w:t xml:space="preserve"> </w:t>
      </w:r>
    </w:p>
    <w:p w14:paraId="79A59293">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一</w:t>
      </w:r>
      <w:r>
        <w:rPr>
          <w:rFonts w:hint="eastAsia" w:ascii="宋体"/>
          <w:color w:val="auto"/>
          <w:sz w:val="24"/>
          <w:highlight w:val="none"/>
          <w:lang w:val="zh-CN"/>
        </w:rPr>
        <w:t>）合同条款。</w:t>
      </w:r>
    </w:p>
    <w:p w14:paraId="73053F3A">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二</w:t>
      </w:r>
      <w:r>
        <w:rPr>
          <w:rFonts w:hint="eastAsia" w:ascii="宋体"/>
          <w:color w:val="auto"/>
          <w:sz w:val="24"/>
          <w:highlight w:val="none"/>
          <w:lang w:val="zh-CN"/>
        </w:rPr>
        <w:t>）中标通知书。</w:t>
      </w:r>
    </w:p>
    <w:p w14:paraId="03AAB24E">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三</w:t>
      </w:r>
      <w:r>
        <w:rPr>
          <w:rFonts w:hint="eastAsia" w:ascii="宋体"/>
          <w:color w:val="auto"/>
          <w:sz w:val="24"/>
          <w:highlight w:val="none"/>
          <w:lang w:val="zh-CN"/>
        </w:rPr>
        <w:t>）更正补充文件。</w:t>
      </w:r>
    </w:p>
    <w:p w14:paraId="088062A9">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四</w:t>
      </w:r>
      <w:r>
        <w:rPr>
          <w:rFonts w:hint="eastAsia" w:ascii="宋体"/>
          <w:color w:val="auto"/>
          <w:sz w:val="24"/>
          <w:highlight w:val="none"/>
          <w:lang w:val="zh-CN"/>
        </w:rPr>
        <w:t>）招标文件。</w:t>
      </w:r>
    </w:p>
    <w:p w14:paraId="1428CAA7">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五</w:t>
      </w:r>
      <w:r>
        <w:rPr>
          <w:rFonts w:hint="eastAsia" w:ascii="宋体"/>
          <w:color w:val="auto"/>
          <w:sz w:val="24"/>
          <w:highlight w:val="none"/>
          <w:lang w:val="zh-CN"/>
        </w:rPr>
        <w:t>）中标</w:t>
      </w:r>
      <w:r>
        <w:rPr>
          <w:rFonts w:hint="eastAsia" w:ascii="宋体"/>
          <w:color w:val="auto"/>
          <w:sz w:val="24"/>
          <w:highlight w:val="none"/>
        </w:rPr>
        <w:t>人</w:t>
      </w:r>
      <w:r>
        <w:rPr>
          <w:rFonts w:hint="eastAsia" w:ascii="宋体"/>
          <w:color w:val="auto"/>
          <w:sz w:val="24"/>
          <w:highlight w:val="none"/>
          <w:lang w:val="zh-CN"/>
        </w:rPr>
        <w:t>投标文件。</w:t>
      </w:r>
    </w:p>
    <w:p w14:paraId="44E33611">
      <w:pPr>
        <w:spacing w:line="360" w:lineRule="auto"/>
        <w:ind w:firstLine="480" w:firstLineChars="200"/>
        <w:rPr>
          <w:rFonts w:ascii="宋体"/>
          <w:color w:val="auto"/>
          <w:sz w:val="24"/>
          <w:highlight w:val="none"/>
          <w:lang w:val="zh-CN"/>
        </w:rPr>
      </w:pPr>
      <w:r>
        <w:rPr>
          <w:rFonts w:hint="eastAsia" w:ascii="宋体"/>
          <w:color w:val="auto"/>
          <w:sz w:val="24"/>
          <w:highlight w:val="none"/>
          <w:lang w:val="zh-CN"/>
        </w:rPr>
        <w:t>（</w:t>
      </w:r>
      <w:r>
        <w:rPr>
          <w:rFonts w:hint="eastAsia" w:ascii="宋体"/>
          <w:color w:val="auto"/>
          <w:sz w:val="24"/>
          <w:highlight w:val="none"/>
        </w:rPr>
        <w:t>六</w:t>
      </w:r>
      <w:r>
        <w:rPr>
          <w:rFonts w:hint="eastAsia" w:ascii="宋体"/>
          <w:color w:val="auto"/>
          <w:sz w:val="24"/>
          <w:highlight w:val="none"/>
          <w:lang w:val="zh-CN"/>
        </w:rPr>
        <w:t>）其他。</w:t>
      </w:r>
    </w:p>
    <w:p w14:paraId="5E501301">
      <w:pPr>
        <w:pStyle w:val="26"/>
        <w:snapToGrid w:val="0"/>
        <w:spacing w:line="360" w:lineRule="auto"/>
        <w:ind w:firstLine="480" w:firstLineChars="200"/>
        <w:rPr>
          <w:rFonts w:hAnsi="宋体"/>
          <w:b/>
          <w:color w:val="auto"/>
          <w:sz w:val="24"/>
          <w:highlight w:val="none"/>
        </w:rPr>
      </w:pPr>
      <w:r>
        <w:rPr>
          <w:rFonts w:hint="eastAsia"/>
          <w:color w:val="auto"/>
          <w:sz w:val="24"/>
          <w:highlight w:val="none"/>
          <w:lang w:val="zh-CN"/>
        </w:rPr>
        <w:t>上述所指合同文件应认为是互相补充和解释的，但是有模棱两可或互相矛盾之处，以其所列内容顺序为准。</w:t>
      </w:r>
    </w:p>
    <w:p w14:paraId="38214B78">
      <w:pPr>
        <w:widowControl/>
        <w:spacing w:line="360" w:lineRule="auto"/>
        <w:ind w:firstLine="482" w:firstLineChars="200"/>
        <w:rPr>
          <w:rFonts w:ascii="宋体" w:hAnsi="宋体" w:cs="Arial"/>
          <w:b/>
          <w:color w:val="auto"/>
          <w:kern w:val="0"/>
          <w:sz w:val="24"/>
          <w:highlight w:val="none"/>
        </w:rPr>
      </w:pPr>
      <w:r>
        <w:rPr>
          <w:rFonts w:hint="eastAsia" w:ascii="宋体" w:hAnsi="宋体"/>
          <w:b/>
          <w:color w:val="auto"/>
          <w:sz w:val="24"/>
          <w:highlight w:val="none"/>
        </w:rPr>
        <w:t>二</w:t>
      </w:r>
      <w:r>
        <w:rPr>
          <w:rFonts w:ascii="宋体" w:hAnsi="宋体"/>
          <w:b/>
          <w:color w:val="auto"/>
          <w:sz w:val="24"/>
          <w:highlight w:val="none"/>
        </w:rPr>
        <w:t>、</w:t>
      </w:r>
      <w:r>
        <w:rPr>
          <w:rFonts w:ascii="宋体" w:hAnsi="宋体" w:cs="Arial"/>
          <w:b/>
          <w:color w:val="auto"/>
          <w:kern w:val="0"/>
          <w:sz w:val="24"/>
          <w:highlight w:val="none"/>
        </w:rPr>
        <w:t>合同内容及</w:t>
      </w:r>
      <w:r>
        <w:rPr>
          <w:rFonts w:hint="eastAsia" w:ascii="宋体" w:hAnsi="宋体" w:cs="Arial"/>
          <w:b/>
          <w:color w:val="auto"/>
          <w:kern w:val="0"/>
          <w:sz w:val="24"/>
          <w:highlight w:val="none"/>
          <w:lang w:val="en-US" w:eastAsia="zh-CN"/>
        </w:rPr>
        <w:t>技术</w:t>
      </w:r>
      <w:r>
        <w:rPr>
          <w:rFonts w:ascii="宋体" w:hAnsi="宋体" w:cs="Arial"/>
          <w:b/>
          <w:color w:val="auto"/>
          <w:kern w:val="0"/>
          <w:sz w:val="24"/>
          <w:highlight w:val="none"/>
        </w:rPr>
        <w:t>标准</w:t>
      </w:r>
    </w:p>
    <w:p w14:paraId="43F5E7DD">
      <w:pPr>
        <w:widowControl/>
        <w:spacing w:line="360" w:lineRule="auto"/>
        <w:ind w:firstLine="480" w:firstLineChars="200"/>
        <w:rPr>
          <w:rFonts w:ascii="宋体" w:hAnsi="宋体" w:cs="Arial"/>
          <w:color w:val="auto"/>
          <w:kern w:val="0"/>
          <w:sz w:val="24"/>
          <w:highlight w:val="none"/>
        </w:rPr>
      </w:pPr>
      <w:r>
        <w:rPr>
          <w:rFonts w:ascii="宋体" w:hAnsi="宋体" w:cs="Arial"/>
          <w:color w:val="auto"/>
          <w:kern w:val="0"/>
          <w:sz w:val="24"/>
          <w:highlight w:val="none"/>
        </w:rPr>
        <w:t>（具体见项目需求）</w:t>
      </w:r>
    </w:p>
    <w:p w14:paraId="75C8753B">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三</w:t>
      </w:r>
      <w:r>
        <w:rPr>
          <w:rFonts w:hAnsi="宋体"/>
          <w:b/>
          <w:color w:val="auto"/>
          <w:sz w:val="24"/>
          <w:highlight w:val="none"/>
        </w:rPr>
        <w:t>、合同金额</w:t>
      </w:r>
    </w:p>
    <w:p w14:paraId="71376836">
      <w:pPr>
        <w:pStyle w:val="26"/>
        <w:snapToGrid w:val="0"/>
        <w:spacing w:line="360" w:lineRule="auto"/>
        <w:ind w:firstLine="480" w:firstLineChars="200"/>
        <w:rPr>
          <w:rFonts w:hAnsi="宋体"/>
          <w:color w:val="auto"/>
          <w:sz w:val="24"/>
          <w:highlight w:val="none"/>
        </w:rPr>
      </w:pPr>
      <w:r>
        <w:rPr>
          <w:rFonts w:hAnsi="宋体"/>
          <w:color w:val="auto"/>
          <w:sz w:val="24"/>
          <w:highlight w:val="none"/>
        </w:rPr>
        <w:t>本合同金额为（大写）：___________________元（￥_______________元）人民币。</w:t>
      </w:r>
    </w:p>
    <w:p w14:paraId="0B4CDFB3">
      <w:pPr>
        <w:widowControl/>
        <w:spacing w:line="360" w:lineRule="auto"/>
        <w:ind w:firstLine="482" w:firstLineChars="200"/>
        <w:rPr>
          <w:rFonts w:ascii="宋体" w:hAnsi="宋体" w:cs="Arial"/>
          <w:b/>
          <w:color w:val="auto"/>
          <w:kern w:val="0"/>
          <w:sz w:val="24"/>
          <w:highlight w:val="none"/>
        </w:rPr>
      </w:pPr>
      <w:r>
        <w:rPr>
          <w:rFonts w:hint="eastAsia" w:ascii="宋体" w:hAnsi="宋体" w:cs="Arial"/>
          <w:b/>
          <w:color w:val="auto"/>
          <w:kern w:val="0"/>
          <w:sz w:val="24"/>
          <w:highlight w:val="none"/>
        </w:rPr>
        <w:t>四</w:t>
      </w:r>
      <w:r>
        <w:rPr>
          <w:rFonts w:ascii="宋体" w:hAnsi="宋体" w:cs="Arial"/>
          <w:b/>
          <w:color w:val="auto"/>
          <w:kern w:val="0"/>
          <w:sz w:val="24"/>
          <w:highlight w:val="none"/>
        </w:rPr>
        <w:t>、甲乙双方责任</w:t>
      </w:r>
    </w:p>
    <w:p w14:paraId="5E5FDDE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(一)甲方的责任:</w:t>
      </w:r>
    </w:p>
    <w:p w14:paraId="0D6EB3E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1、向乙方提供符合实施标准的工作场地和必要的工作便利；</w:t>
      </w:r>
    </w:p>
    <w:p w14:paraId="36371C7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2、甲方负责</w:t>
      </w:r>
      <w:r>
        <w:rPr>
          <w:rFonts w:hint="eastAsia" w:asciiTheme="minorEastAsia" w:hAnsiTheme="minorEastAsia" w:eastAsiaTheme="minorEastAsia" w:cstheme="minorEastAsia"/>
          <w:color w:val="auto"/>
          <w:sz w:val="24"/>
          <w:highlight w:val="none"/>
          <w:lang w:val="en-US" w:eastAsia="zh-CN"/>
        </w:rPr>
        <w:t>施工</w:t>
      </w:r>
      <w:r>
        <w:rPr>
          <w:rFonts w:hint="eastAsia" w:asciiTheme="minorEastAsia" w:hAnsiTheme="minorEastAsia" w:eastAsiaTheme="minorEastAsia" w:cstheme="minorEastAsia"/>
          <w:color w:val="auto"/>
          <w:sz w:val="24"/>
          <w:highlight w:val="none"/>
        </w:rPr>
        <w:t>期间必要的协调工作；</w:t>
      </w:r>
    </w:p>
    <w:p w14:paraId="3C49471A">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3、甲方安排相关监理人员参与项目的实施工作，以确保项目实施的进度与质量4、甲方在使用过程中发现设备出现异常，应及时与乙方取得联系，并记录当前故障现象，便于乙方做出诊断；</w:t>
      </w:r>
    </w:p>
    <w:p w14:paraId="43FBDF73">
      <w:pPr>
        <w:pStyle w:val="45"/>
        <w:ind w:left="0" w:leftChars="0" w:firstLine="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5、审查施工技术方案及项目进度计划。</w:t>
      </w:r>
    </w:p>
    <w:p w14:paraId="5D95575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(二)乙方的责任:</w:t>
      </w:r>
    </w:p>
    <w:p w14:paraId="3B2D0EFB">
      <w:pPr>
        <w:pStyle w:val="4"/>
        <w:tabs>
          <w:tab w:val="left" w:pos="720"/>
          <w:tab w:val="clear" w:pos="8280"/>
        </w:tabs>
        <w:spacing w:before="0" w:after="0" w:line="500" w:lineRule="exact"/>
        <w:rPr>
          <w:rFonts w:hAnsi="宋体"/>
          <w:color w:val="auto"/>
          <w:sz w:val="24"/>
          <w:szCs w:val="24"/>
          <w:highlight w:val="none"/>
        </w:rPr>
      </w:pPr>
      <w:r>
        <w:rPr>
          <w:rFonts w:hint="eastAsia" w:hAnsi="宋体"/>
          <w:color w:val="auto"/>
          <w:szCs w:val="21"/>
          <w:highlight w:val="none"/>
        </w:rPr>
        <w:t>（一）</w:t>
      </w:r>
      <w:r>
        <w:rPr>
          <w:rFonts w:hint="eastAsia" w:hAnsi="宋体"/>
          <w:color w:val="auto"/>
          <w:sz w:val="24"/>
          <w:szCs w:val="24"/>
          <w:highlight w:val="none"/>
        </w:rPr>
        <w:t>乙方职责、权限</w:t>
      </w:r>
    </w:p>
    <w:p w14:paraId="0EC07C59">
      <w:pPr>
        <w:spacing w:line="500" w:lineRule="exact"/>
        <w:ind w:firstLine="435"/>
        <w:jc w:val="left"/>
        <w:rPr>
          <w:rFonts w:ascii="宋体" w:hAnsi="宋体"/>
          <w:color w:val="auto"/>
          <w:sz w:val="24"/>
          <w:highlight w:val="none"/>
        </w:rPr>
      </w:pPr>
      <w:r>
        <w:rPr>
          <w:rFonts w:hint="eastAsia" w:ascii="宋体" w:hAnsi="宋体"/>
          <w:color w:val="auto"/>
          <w:szCs w:val="21"/>
          <w:highlight w:val="none"/>
        </w:rPr>
        <w:t>（</w:t>
      </w:r>
      <w:r>
        <w:rPr>
          <w:rFonts w:hint="eastAsia" w:ascii="宋体" w:hAnsi="宋体"/>
          <w:color w:val="auto"/>
          <w:sz w:val="24"/>
          <w:highlight w:val="none"/>
        </w:rPr>
        <w:t>1）按有关技术规范进行施工，确保项目质量。</w:t>
      </w:r>
    </w:p>
    <w:p w14:paraId="0D26BDA2">
      <w:pPr>
        <w:spacing w:line="500" w:lineRule="exact"/>
        <w:ind w:firstLine="435"/>
        <w:jc w:val="left"/>
        <w:rPr>
          <w:rFonts w:ascii="宋体" w:hAnsi="宋体"/>
          <w:color w:val="auto"/>
          <w:sz w:val="24"/>
          <w:highlight w:val="none"/>
        </w:rPr>
      </w:pPr>
      <w:r>
        <w:rPr>
          <w:rFonts w:hint="eastAsia" w:ascii="宋体" w:hAnsi="宋体"/>
          <w:color w:val="auto"/>
          <w:sz w:val="24"/>
          <w:highlight w:val="none"/>
        </w:rPr>
        <w:t>（2）服从交通警察局、监理单位工作的进程安排，及时进场并保证工期。</w:t>
      </w:r>
    </w:p>
    <w:p w14:paraId="4BF8C434">
      <w:pPr>
        <w:spacing w:line="500" w:lineRule="exact"/>
        <w:ind w:firstLine="435"/>
        <w:jc w:val="left"/>
        <w:rPr>
          <w:rFonts w:ascii="宋体" w:hAnsi="宋体"/>
          <w:color w:val="auto"/>
          <w:sz w:val="24"/>
          <w:highlight w:val="none"/>
        </w:rPr>
      </w:pPr>
      <w:r>
        <w:rPr>
          <w:rFonts w:hint="eastAsia" w:ascii="宋体" w:hAnsi="宋体"/>
          <w:color w:val="auto"/>
          <w:sz w:val="24"/>
          <w:highlight w:val="none"/>
        </w:rPr>
        <w:t>(3)接到交通警察局书面通知后，按要求进行工程项目建设，并及时向监理单位报备（书面通知格式和方式另行规定）。</w:t>
      </w:r>
    </w:p>
    <w:p w14:paraId="3B498EF2">
      <w:pPr>
        <w:spacing w:line="500" w:lineRule="exact"/>
        <w:ind w:firstLine="435"/>
        <w:jc w:val="left"/>
        <w:rPr>
          <w:rFonts w:ascii="宋体" w:hAnsi="宋体"/>
          <w:color w:val="auto"/>
          <w:sz w:val="24"/>
          <w:highlight w:val="none"/>
        </w:rPr>
      </w:pPr>
      <w:r>
        <w:rPr>
          <w:rFonts w:hint="eastAsia" w:ascii="宋体" w:hAnsi="宋体"/>
          <w:color w:val="auto"/>
          <w:sz w:val="24"/>
          <w:highlight w:val="none"/>
        </w:rPr>
        <w:t>(4)应严格按本次招投标的规定要求履行并承担自己的职责。</w:t>
      </w:r>
    </w:p>
    <w:p w14:paraId="5041D99D">
      <w:pPr>
        <w:spacing w:line="500" w:lineRule="exact"/>
        <w:ind w:firstLine="435"/>
        <w:jc w:val="left"/>
        <w:rPr>
          <w:rFonts w:ascii="宋体" w:hAnsi="宋体"/>
          <w:color w:val="auto"/>
          <w:sz w:val="24"/>
          <w:highlight w:val="none"/>
        </w:rPr>
      </w:pPr>
      <w:r>
        <w:rPr>
          <w:rFonts w:hint="eastAsia" w:ascii="宋体" w:hAnsi="宋体"/>
          <w:color w:val="auto"/>
          <w:sz w:val="24"/>
          <w:highlight w:val="none"/>
        </w:rPr>
        <w:t>(5)按合同条款、技术规范或图纸等要求，承担项目的建设、改造和维护等工作。</w:t>
      </w:r>
    </w:p>
    <w:p w14:paraId="0AD15B89">
      <w:pPr>
        <w:spacing w:line="500" w:lineRule="exact"/>
        <w:ind w:firstLine="435"/>
        <w:jc w:val="left"/>
        <w:rPr>
          <w:rFonts w:ascii="宋体" w:hAnsi="宋体"/>
          <w:color w:val="auto"/>
          <w:sz w:val="24"/>
          <w:highlight w:val="none"/>
        </w:rPr>
      </w:pPr>
      <w:r>
        <w:rPr>
          <w:rFonts w:hint="eastAsia" w:ascii="宋体" w:hAnsi="宋体"/>
          <w:color w:val="auto"/>
          <w:sz w:val="24"/>
          <w:highlight w:val="none"/>
        </w:rPr>
        <w:t>(6)所使用的主要原材料均需要提供检测报告或质量保证单。</w:t>
      </w:r>
    </w:p>
    <w:p w14:paraId="67188ACE">
      <w:pPr>
        <w:spacing w:line="500" w:lineRule="exact"/>
        <w:ind w:firstLine="435"/>
        <w:jc w:val="left"/>
        <w:rPr>
          <w:rFonts w:ascii="宋体" w:hAnsi="宋体"/>
          <w:color w:val="auto"/>
          <w:sz w:val="24"/>
          <w:highlight w:val="none"/>
        </w:rPr>
      </w:pPr>
      <w:r>
        <w:rPr>
          <w:rFonts w:hint="eastAsia" w:ascii="宋体" w:hAnsi="宋体"/>
          <w:color w:val="auto"/>
          <w:sz w:val="24"/>
          <w:highlight w:val="none"/>
        </w:rPr>
        <w:t>(7)接受交通警察局的各项工作业务指导。</w:t>
      </w:r>
    </w:p>
    <w:p w14:paraId="1F57B99F">
      <w:pPr>
        <w:spacing w:line="500" w:lineRule="exact"/>
        <w:ind w:firstLine="435"/>
        <w:jc w:val="left"/>
        <w:rPr>
          <w:rFonts w:ascii="宋体" w:hAnsi="宋体"/>
          <w:color w:val="auto"/>
          <w:sz w:val="24"/>
          <w:highlight w:val="none"/>
        </w:rPr>
      </w:pPr>
      <w:r>
        <w:rPr>
          <w:rFonts w:hint="eastAsia" w:ascii="宋体" w:hAnsi="宋体"/>
          <w:color w:val="auto"/>
          <w:sz w:val="24"/>
          <w:highlight w:val="none"/>
        </w:rPr>
        <w:t>(8)负责施工场地的安全文明生产。</w:t>
      </w:r>
    </w:p>
    <w:p w14:paraId="0BF962F6">
      <w:pPr>
        <w:spacing w:line="500" w:lineRule="exact"/>
        <w:ind w:firstLine="435"/>
        <w:jc w:val="left"/>
        <w:rPr>
          <w:rFonts w:ascii="宋体" w:hAnsi="宋体"/>
          <w:color w:val="auto"/>
          <w:sz w:val="24"/>
          <w:highlight w:val="none"/>
        </w:rPr>
      </w:pPr>
      <w:r>
        <w:rPr>
          <w:rFonts w:hint="eastAsia" w:ascii="宋体" w:hAnsi="宋体"/>
          <w:color w:val="auto"/>
          <w:sz w:val="24"/>
          <w:highlight w:val="none"/>
        </w:rPr>
        <w:t>(9)建立项目施工的质量保证体系。</w:t>
      </w:r>
    </w:p>
    <w:p w14:paraId="4686DF79">
      <w:pPr>
        <w:spacing w:line="500" w:lineRule="exact"/>
        <w:ind w:firstLine="435"/>
        <w:jc w:val="left"/>
        <w:rPr>
          <w:rFonts w:ascii="宋体" w:hAnsi="宋体"/>
          <w:color w:val="auto"/>
          <w:sz w:val="24"/>
          <w:highlight w:val="none"/>
        </w:rPr>
      </w:pPr>
      <w:r>
        <w:rPr>
          <w:rFonts w:hint="eastAsia" w:ascii="宋体" w:hAnsi="宋体"/>
          <w:color w:val="auto"/>
          <w:sz w:val="24"/>
          <w:highlight w:val="none"/>
        </w:rPr>
        <w:t>(10)接受交通警察局、监理单位对文明施工、安全施工、质量、施工时效等的监管。</w:t>
      </w:r>
    </w:p>
    <w:p w14:paraId="48F53635">
      <w:pPr>
        <w:spacing w:line="500" w:lineRule="exact"/>
        <w:ind w:firstLine="480" w:firstLineChars="200"/>
        <w:jc w:val="left"/>
        <w:rPr>
          <w:rFonts w:ascii="宋体" w:hAnsi="宋体"/>
          <w:color w:val="auto"/>
          <w:sz w:val="24"/>
          <w:highlight w:val="none"/>
        </w:rPr>
      </w:pPr>
      <w:r>
        <w:rPr>
          <w:rFonts w:hint="eastAsia" w:ascii="宋体" w:hAnsi="宋体"/>
          <w:color w:val="auto"/>
          <w:sz w:val="24"/>
          <w:highlight w:val="none"/>
        </w:rPr>
        <w:t>（11）监理单位在巡查过程中发现乙方在施工中不按国家有关标准设置，乙方无条件返工；</w:t>
      </w:r>
    </w:p>
    <w:p w14:paraId="19CA5DF1">
      <w:pPr>
        <w:spacing w:line="500" w:lineRule="exact"/>
        <w:ind w:firstLine="480"/>
        <w:rPr>
          <w:rFonts w:ascii="宋体" w:hAnsi="宋体"/>
          <w:color w:val="auto"/>
          <w:sz w:val="24"/>
          <w:highlight w:val="none"/>
        </w:rPr>
      </w:pPr>
      <w:r>
        <w:rPr>
          <w:rFonts w:hint="eastAsia" w:ascii="宋体" w:hAnsi="宋体"/>
          <w:color w:val="auto"/>
          <w:sz w:val="24"/>
          <w:highlight w:val="none"/>
        </w:rPr>
        <w:t>（12）乙方应完全配合本项目监理单位工作，对经甲方授权监理单位签发的通知单等，乙方都应按要求予以回复及执行，否则按1000元/次处罚。</w:t>
      </w:r>
    </w:p>
    <w:p w14:paraId="3B9164EE">
      <w:pPr>
        <w:spacing w:line="500" w:lineRule="exact"/>
        <w:ind w:firstLine="480"/>
        <w:rPr>
          <w:rFonts w:hAnsi="宋体"/>
          <w:b/>
          <w:color w:val="auto"/>
          <w:sz w:val="24"/>
          <w:highlight w:val="none"/>
        </w:rPr>
      </w:pPr>
      <w:r>
        <w:rPr>
          <w:rFonts w:hint="eastAsia" w:ascii="宋体" w:hAnsi="宋体"/>
          <w:color w:val="auto"/>
          <w:sz w:val="24"/>
          <w:highlight w:val="none"/>
        </w:rPr>
        <w:t>（13）若乙方员工在作业过程中发生意外事故，必须按有关规定处理，一切经济损失和各项费用由乙方承担，与甲方无关。</w:t>
      </w:r>
    </w:p>
    <w:p w14:paraId="08A432C0">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五</w:t>
      </w:r>
      <w:r>
        <w:rPr>
          <w:rFonts w:hAnsi="宋体"/>
          <w:b/>
          <w:color w:val="auto"/>
          <w:sz w:val="24"/>
          <w:highlight w:val="none"/>
        </w:rPr>
        <w:t>、技术资料</w:t>
      </w:r>
    </w:p>
    <w:p w14:paraId="33FA0EC5">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乙方应按招标文件规定的时间向甲方提供有关技术资料。</w:t>
      </w:r>
    </w:p>
    <w:p w14:paraId="6289CEB3">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796A7A5">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六</w:t>
      </w:r>
      <w:r>
        <w:rPr>
          <w:rFonts w:hAnsi="宋体"/>
          <w:b/>
          <w:color w:val="auto"/>
          <w:sz w:val="24"/>
          <w:highlight w:val="none"/>
        </w:rPr>
        <w:t>、知识产权</w:t>
      </w:r>
    </w:p>
    <w:p w14:paraId="5B268FF4">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乙方应保证提供服务过程中不会侵犯任何第三方的知识产权。</w:t>
      </w:r>
    </w:p>
    <w:p w14:paraId="464DBAD4">
      <w:pPr>
        <w:pStyle w:val="27"/>
        <w:ind w:left="0" w:leftChars="0" w:firstLine="480" w:firstLineChars="200"/>
        <w:rPr>
          <w:color w:val="auto"/>
          <w:highlight w:val="none"/>
        </w:rPr>
      </w:pPr>
      <w:r>
        <w:rPr>
          <w:rFonts w:hint="eastAsia" w:asciiTheme="minorEastAsia" w:hAnsiTheme="minorEastAsia" w:eastAsiaTheme="minorEastAsia"/>
          <w:color w:val="auto"/>
          <w:sz w:val="24"/>
          <w:highlight w:val="none"/>
        </w:rPr>
        <w:t>（二）若侵犯,由乙方赔偿甲方因此遭受的损失（包括但不限于应对及追偿过程中所支付的律师费、差旅费、诉讼费、保全费、鉴定费、评估费等）。</w:t>
      </w:r>
    </w:p>
    <w:p w14:paraId="68787AA4">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七</w:t>
      </w:r>
      <w:r>
        <w:rPr>
          <w:rFonts w:hAnsi="宋体"/>
          <w:b/>
          <w:color w:val="auto"/>
          <w:sz w:val="24"/>
          <w:highlight w:val="none"/>
        </w:rPr>
        <w:t>、履约保证金</w:t>
      </w:r>
    </w:p>
    <w:p w14:paraId="515BF1C2">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履约保证金为</w:t>
      </w:r>
      <w:r>
        <w:rPr>
          <w:rFonts w:hint="eastAsia" w:ascii="宋体" w:hAnsi="宋体"/>
          <w:color w:val="auto"/>
          <w:sz w:val="24"/>
          <w:highlight w:val="none"/>
          <w:lang w:val="en-US" w:eastAsia="zh-CN"/>
        </w:rPr>
        <w:t>15000</w:t>
      </w:r>
      <w:r>
        <w:rPr>
          <w:rFonts w:hint="eastAsia" w:ascii="宋体" w:hAnsi="宋体"/>
          <w:color w:val="auto"/>
          <w:sz w:val="24"/>
          <w:highlight w:val="none"/>
        </w:rPr>
        <w:t>元，签订合同后 3 个工作日内向采购人提交（履约保证金可采用支票、汇票、保函、担保等形式），验收合格后5个工作日无息退还。</w:t>
      </w:r>
    </w:p>
    <w:p w14:paraId="74D66525">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八、转包或分包</w:t>
      </w:r>
    </w:p>
    <w:p w14:paraId="1B59026F">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（一）</w:t>
      </w:r>
      <w:r>
        <w:rPr>
          <w:rFonts w:hint="eastAsia" w:ascii="宋体" w:hAnsi="宋体"/>
          <w:color w:val="auto"/>
          <w:sz w:val="24"/>
          <w:highlight w:val="none"/>
        </w:rPr>
        <w:t>本合同范围的服务，应由</w:t>
      </w:r>
      <w:r>
        <w:rPr>
          <w:rFonts w:ascii="宋体" w:hAnsi="宋体"/>
          <w:color w:val="auto"/>
          <w:sz w:val="24"/>
          <w:highlight w:val="none"/>
        </w:rPr>
        <w:t>乙</w:t>
      </w:r>
      <w:r>
        <w:rPr>
          <w:rFonts w:hint="eastAsia" w:ascii="宋体" w:hAnsi="宋体"/>
          <w:color w:val="auto"/>
          <w:sz w:val="24"/>
          <w:highlight w:val="none"/>
        </w:rPr>
        <w:t>方直接供应，不得转让他人供应。</w:t>
      </w:r>
    </w:p>
    <w:p w14:paraId="3AF91707">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（二）</w:t>
      </w:r>
      <w:r>
        <w:rPr>
          <w:rFonts w:hint="eastAsia" w:ascii="宋体" w:hAnsi="宋体"/>
          <w:color w:val="auto"/>
          <w:sz w:val="24"/>
          <w:highlight w:val="none"/>
        </w:rPr>
        <w:t>除非得到甲方的书面同意，</w:t>
      </w:r>
      <w:r>
        <w:rPr>
          <w:rFonts w:ascii="宋体" w:hAnsi="宋体"/>
          <w:color w:val="auto"/>
          <w:sz w:val="24"/>
          <w:highlight w:val="none"/>
        </w:rPr>
        <w:t>乙</w:t>
      </w:r>
      <w:r>
        <w:rPr>
          <w:rFonts w:hint="eastAsia" w:ascii="宋体" w:hAnsi="宋体"/>
          <w:color w:val="auto"/>
          <w:sz w:val="24"/>
          <w:highlight w:val="none"/>
        </w:rPr>
        <w:t>方不得将本合同范围的服务全部或部分分包给他人供应。</w:t>
      </w:r>
    </w:p>
    <w:p w14:paraId="0DA6008D">
      <w:pPr>
        <w:snapToGrid w:val="0"/>
        <w:spacing w:line="360" w:lineRule="auto"/>
        <w:ind w:firstLine="480" w:firstLineChars="200"/>
        <w:rPr>
          <w:rFonts w:ascii="宋体" w:hAnsi="宋体"/>
          <w:color w:val="auto"/>
          <w:sz w:val="24"/>
          <w:highlight w:val="none"/>
        </w:rPr>
      </w:pPr>
      <w:r>
        <w:rPr>
          <w:rFonts w:hint="eastAsia" w:hAnsi="宋体"/>
          <w:color w:val="auto"/>
          <w:sz w:val="24"/>
          <w:highlight w:val="none"/>
        </w:rPr>
        <w:t>（三）</w:t>
      </w:r>
      <w:r>
        <w:rPr>
          <w:rFonts w:hint="eastAsia" w:ascii="宋体" w:hAnsi="宋体"/>
          <w:color w:val="auto"/>
          <w:sz w:val="24"/>
          <w:highlight w:val="none"/>
        </w:rPr>
        <w:t>如有转让和未经甲方同意的分包行为，甲方有权解除合同，没收履约保证金并追究乙方的违约责任。</w:t>
      </w:r>
    </w:p>
    <w:p w14:paraId="573E12FB">
      <w:pPr>
        <w:pStyle w:val="26"/>
        <w:snapToGrid w:val="0"/>
        <w:spacing w:line="360" w:lineRule="auto"/>
        <w:ind w:firstLine="482" w:firstLineChars="200"/>
        <w:rPr>
          <w:rFonts w:hAnsi="宋体"/>
          <w:color w:val="auto"/>
          <w:sz w:val="24"/>
          <w:highlight w:val="none"/>
        </w:rPr>
      </w:pPr>
      <w:r>
        <w:rPr>
          <w:rFonts w:hint="eastAsia" w:hAnsi="宋体"/>
          <w:b/>
          <w:color w:val="auto"/>
          <w:sz w:val="24"/>
          <w:highlight w:val="none"/>
        </w:rPr>
        <w:t>九</w:t>
      </w:r>
      <w:r>
        <w:rPr>
          <w:rFonts w:hAnsi="宋体"/>
          <w:b/>
          <w:color w:val="auto"/>
          <w:sz w:val="24"/>
          <w:highlight w:val="none"/>
        </w:rPr>
        <w:t>、</w:t>
      </w:r>
      <w:r>
        <w:rPr>
          <w:rFonts w:hint="eastAsia" w:hAnsi="宋体"/>
          <w:b/>
          <w:color w:val="auto"/>
          <w:sz w:val="24"/>
          <w:highlight w:val="none"/>
        </w:rPr>
        <w:t>质保期</w:t>
      </w:r>
      <w:r>
        <w:rPr>
          <w:rFonts w:hAnsi="宋体"/>
          <w:b/>
          <w:color w:val="auto"/>
          <w:sz w:val="24"/>
          <w:highlight w:val="none"/>
        </w:rPr>
        <w:t xml:space="preserve"> </w:t>
      </w:r>
    </w:p>
    <w:p w14:paraId="2DD96ECB">
      <w:pPr>
        <w:pStyle w:val="14"/>
        <w:ind w:left="0" w:leftChars="0" w:firstLine="720" w:firstLineChars="300"/>
        <w:jc w:val="left"/>
        <w:rPr>
          <w:rFonts w:hAnsi="宋体"/>
          <w:color w:val="auto"/>
          <w:sz w:val="24"/>
          <w:highlight w:val="none"/>
        </w:rPr>
      </w:pPr>
      <w:r>
        <w:rPr>
          <w:rFonts w:hint="eastAsia" w:hAnsi="宋体"/>
          <w:color w:val="auto"/>
          <w:sz w:val="24"/>
          <w:highlight w:val="none"/>
        </w:rPr>
        <w:t>（一）质保期</w:t>
      </w:r>
      <w:r>
        <w:rPr>
          <w:rFonts w:hint="eastAsia" w:hAnsi="宋体"/>
          <w:color w:val="auto"/>
          <w:sz w:val="24"/>
          <w:highlight w:val="none"/>
          <w:u w:val="single"/>
        </w:rPr>
        <w:t>3</w:t>
      </w:r>
      <w:r>
        <w:rPr>
          <w:rFonts w:hAnsi="宋体"/>
          <w:color w:val="auto"/>
          <w:sz w:val="24"/>
          <w:highlight w:val="none"/>
        </w:rPr>
        <w:t>年。（</w:t>
      </w:r>
      <w:r>
        <w:rPr>
          <w:rFonts w:hint="eastAsia" w:asciiTheme="minorEastAsia" w:hAnsiTheme="minorEastAsia" w:eastAsiaTheme="minorEastAsia" w:cstheme="minorEastAsia"/>
          <w:color w:val="auto"/>
          <w:sz w:val="24"/>
          <w:highlight w:val="none"/>
          <w:lang w:eastAsia="zh-CN"/>
        </w:rPr>
        <w:t>要求从</w:t>
      </w:r>
      <w:r>
        <w:rPr>
          <w:rFonts w:hint="eastAsia" w:asciiTheme="minorEastAsia" w:hAnsiTheme="minorEastAsia" w:eastAsiaTheme="minorEastAsia" w:cstheme="minorEastAsia"/>
          <w:color w:val="auto"/>
          <w:sz w:val="24"/>
          <w:highlight w:val="none"/>
        </w:rPr>
        <w:t>验收合格后开始</w:t>
      </w:r>
      <w:r>
        <w:rPr>
          <w:rFonts w:hint="eastAsia" w:asciiTheme="minorEastAsia" w:hAnsiTheme="minorEastAsia" w:eastAsiaTheme="minorEastAsia" w:cstheme="minorEastAsia"/>
          <w:color w:val="auto"/>
          <w:sz w:val="24"/>
          <w:highlight w:val="none"/>
          <w:lang w:eastAsia="zh-CN"/>
        </w:rPr>
        <w:t>质保硬件三年</w:t>
      </w:r>
      <w:r>
        <w:rPr>
          <w:rFonts w:hint="eastAsia" w:asciiTheme="minorEastAsia" w:hAnsiTheme="minorEastAsia" w:eastAsiaTheme="minorEastAsia" w:cstheme="minorEastAsia"/>
          <w:color w:val="auto"/>
          <w:sz w:val="24"/>
          <w:highlight w:val="none"/>
          <w:lang w:val="en-US" w:eastAsia="zh-CN"/>
        </w:rPr>
        <w:t>、具体需质保设备见清单备注)</w:t>
      </w:r>
    </w:p>
    <w:p w14:paraId="62184CCC">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十</w:t>
      </w:r>
      <w:r>
        <w:rPr>
          <w:rFonts w:hAnsi="宋体"/>
          <w:b/>
          <w:color w:val="auto"/>
          <w:sz w:val="24"/>
          <w:highlight w:val="none"/>
        </w:rPr>
        <w:t>、合同履行时间、履行方式及履行地点</w:t>
      </w:r>
    </w:p>
    <w:p w14:paraId="1F5A18B4">
      <w:pPr>
        <w:pStyle w:val="26"/>
        <w:snapToGrid w:val="0"/>
        <w:spacing w:line="360" w:lineRule="auto"/>
        <w:ind w:firstLine="480" w:firstLineChars="200"/>
        <w:rPr>
          <w:rFonts w:hAnsi="宋体"/>
          <w:bCs/>
          <w:color w:val="auto"/>
          <w:sz w:val="24"/>
          <w:highlight w:val="none"/>
        </w:rPr>
      </w:pPr>
      <w:r>
        <w:rPr>
          <w:rFonts w:hint="eastAsia" w:hAnsi="宋体"/>
          <w:color w:val="auto"/>
          <w:sz w:val="24"/>
          <w:highlight w:val="none"/>
        </w:rPr>
        <w:t>（一）</w:t>
      </w:r>
      <w:r>
        <w:rPr>
          <w:rFonts w:hAnsi="宋体"/>
          <w:color w:val="auto"/>
          <w:sz w:val="24"/>
          <w:highlight w:val="none"/>
        </w:rPr>
        <w:t>履行时间</w:t>
      </w:r>
      <w:r>
        <w:rPr>
          <w:rFonts w:hAnsi="宋体"/>
          <w:bCs/>
          <w:color w:val="auto"/>
          <w:sz w:val="24"/>
          <w:highlight w:val="none"/>
        </w:rPr>
        <w:t>：</w:t>
      </w:r>
    </w:p>
    <w:p w14:paraId="6B432C61">
      <w:pPr>
        <w:pStyle w:val="26"/>
        <w:snapToGrid w:val="0"/>
        <w:spacing w:line="360" w:lineRule="auto"/>
        <w:ind w:firstLine="480" w:firstLineChars="200"/>
        <w:rPr>
          <w:rFonts w:hAnsi="宋体"/>
          <w:bCs/>
          <w:color w:val="auto"/>
          <w:sz w:val="24"/>
          <w:highlight w:val="none"/>
        </w:rPr>
      </w:pPr>
      <w:r>
        <w:rPr>
          <w:rFonts w:hint="eastAsia" w:hAnsi="宋体"/>
          <w:color w:val="auto"/>
          <w:sz w:val="24"/>
          <w:highlight w:val="none"/>
        </w:rPr>
        <w:t>（二）</w:t>
      </w:r>
      <w:r>
        <w:rPr>
          <w:rFonts w:hAnsi="宋体"/>
          <w:bCs/>
          <w:color w:val="auto"/>
          <w:sz w:val="24"/>
          <w:highlight w:val="none"/>
        </w:rPr>
        <w:t xml:space="preserve"> </w:t>
      </w:r>
      <w:r>
        <w:rPr>
          <w:rFonts w:hAnsi="宋体"/>
          <w:color w:val="auto"/>
          <w:sz w:val="24"/>
          <w:highlight w:val="none"/>
        </w:rPr>
        <w:t>履行方式</w:t>
      </w:r>
      <w:r>
        <w:rPr>
          <w:rFonts w:hAnsi="宋体"/>
          <w:bCs/>
          <w:color w:val="auto"/>
          <w:sz w:val="24"/>
          <w:highlight w:val="none"/>
        </w:rPr>
        <w:t>：</w:t>
      </w:r>
    </w:p>
    <w:p w14:paraId="0601885B">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履行地点</w:t>
      </w:r>
      <w:r>
        <w:rPr>
          <w:rFonts w:hAnsi="宋体"/>
          <w:bCs/>
          <w:color w:val="auto"/>
          <w:sz w:val="24"/>
          <w:highlight w:val="none"/>
        </w:rPr>
        <w:t>：</w:t>
      </w:r>
    </w:p>
    <w:p w14:paraId="3C1B25C9">
      <w:pPr>
        <w:pStyle w:val="26"/>
        <w:snapToGrid w:val="0"/>
        <w:spacing w:line="360" w:lineRule="auto"/>
        <w:ind w:firstLine="482" w:firstLineChars="200"/>
        <w:rPr>
          <w:rFonts w:hAnsi="宋体"/>
          <w:b/>
          <w:color w:val="auto"/>
          <w:sz w:val="24"/>
          <w:highlight w:val="none"/>
        </w:rPr>
      </w:pPr>
      <w:r>
        <w:rPr>
          <w:rFonts w:hint="eastAsia" w:hAnsi="宋体"/>
          <w:b/>
          <w:color w:val="auto"/>
          <w:sz w:val="24"/>
          <w:highlight w:val="none"/>
        </w:rPr>
        <w:t>十一</w:t>
      </w:r>
      <w:r>
        <w:rPr>
          <w:rFonts w:hAnsi="宋体"/>
          <w:b/>
          <w:color w:val="auto"/>
          <w:sz w:val="24"/>
          <w:highlight w:val="none"/>
        </w:rPr>
        <w:t>、款项支付</w:t>
      </w:r>
    </w:p>
    <w:p w14:paraId="520FD944">
      <w:pPr>
        <w:pStyle w:val="26"/>
        <w:snapToGrid w:val="0"/>
        <w:spacing w:line="360" w:lineRule="auto"/>
        <w:ind w:firstLine="480" w:firstLineChars="200"/>
        <w:rPr>
          <w:rFonts w:hAnsi="宋体"/>
          <w:bCs/>
          <w:color w:val="auto"/>
          <w:sz w:val="24"/>
          <w:highlight w:val="none"/>
        </w:rPr>
      </w:pPr>
      <w:r>
        <w:rPr>
          <w:rFonts w:hAnsi="宋体"/>
          <w:bCs/>
          <w:color w:val="auto"/>
          <w:sz w:val="24"/>
          <w:highlight w:val="none"/>
        </w:rPr>
        <w:t xml:space="preserve"> 付款方式：</w:t>
      </w:r>
    </w:p>
    <w:p w14:paraId="654388FF">
      <w:pPr>
        <w:snapToGrid w:val="0"/>
        <w:spacing w:line="360" w:lineRule="auto"/>
        <w:ind w:firstLine="482" w:firstLineChars="200"/>
        <w:rPr>
          <w:rFonts w:ascii="宋体" w:hAnsi="宋体"/>
          <w:b/>
          <w:color w:val="auto"/>
          <w:sz w:val="24"/>
          <w:highlight w:val="none"/>
        </w:rPr>
      </w:pPr>
      <w:r>
        <w:rPr>
          <w:rFonts w:hint="eastAsia" w:ascii="宋体" w:hAnsi="宋体"/>
          <w:b/>
          <w:color w:val="auto"/>
          <w:sz w:val="24"/>
          <w:highlight w:val="none"/>
        </w:rPr>
        <w:t>十二、税费</w:t>
      </w:r>
    </w:p>
    <w:p w14:paraId="654385A3">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本合同执行中相关的一切税费均由</w:t>
      </w:r>
      <w:r>
        <w:rPr>
          <w:rFonts w:ascii="宋体" w:hAnsi="宋体"/>
          <w:color w:val="auto"/>
          <w:sz w:val="24"/>
          <w:highlight w:val="none"/>
        </w:rPr>
        <w:t>乙</w:t>
      </w:r>
      <w:r>
        <w:rPr>
          <w:rFonts w:hint="eastAsia" w:ascii="宋体" w:hAnsi="宋体"/>
          <w:color w:val="auto"/>
          <w:sz w:val="24"/>
          <w:highlight w:val="none"/>
        </w:rPr>
        <w:t>方负担。</w:t>
      </w:r>
    </w:p>
    <w:p w14:paraId="0036F329">
      <w:pPr>
        <w:pStyle w:val="26"/>
        <w:snapToGrid w:val="0"/>
        <w:spacing w:line="360" w:lineRule="auto"/>
        <w:ind w:firstLine="482" w:firstLineChars="200"/>
        <w:rPr>
          <w:rFonts w:hAnsi="宋体"/>
          <w:color w:val="auto"/>
          <w:sz w:val="24"/>
          <w:highlight w:val="none"/>
        </w:rPr>
      </w:pPr>
      <w:r>
        <w:rPr>
          <w:rFonts w:hAnsi="宋体"/>
          <w:b/>
          <w:color w:val="auto"/>
          <w:sz w:val="24"/>
          <w:highlight w:val="none"/>
        </w:rPr>
        <w:t>十</w:t>
      </w:r>
      <w:r>
        <w:rPr>
          <w:rFonts w:hint="eastAsia" w:hAnsi="宋体"/>
          <w:b/>
          <w:color w:val="auto"/>
          <w:sz w:val="24"/>
          <w:highlight w:val="none"/>
        </w:rPr>
        <w:t>三</w:t>
      </w:r>
      <w:r>
        <w:rPr>
          <w:rFonts w:hAnsi="宋体"/>
          <w:b/>
          <w:color w:val="auto"/>
          <w:sz w:val="24"/>
          <w:highlight w:val="none"/>
        </w:rPr>
        <w:t>、质量保证及后续服务</w:t>
      </w:r>
    </w:p>
    <w:p w14:paraId="7D3E9401">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乙方应按招标文件规定向甲方提供服务。</w:t>
      </w:r>
    </w:p>
    <w:p w14:paraId="3FDEEAB5">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乙方提供的服务成果在</w:t>
      </w:r>
      <w:r>
        <w:rPr>
          <w:rFonts w:hint="eastAsia" w:hAnsi="宋体"/>
          <w:color w:val="auto"/>
          <w:sz w:val="24"/>
          <w:highlight w:val="none"/>
        </w:rPr>
        <w:t>质保期</w:t>
      </w:r>
      <w:r>
        <w:rPr>
          <w:rFonts w:hAnsi="宋体"/>
          <w:color w:val="auto"/>
          <w:sz w:val="24"/>
          <w:highlight w:val="none"/>
        </w:rPr>
        <w:t>内发生故障，乙方应负责免费提供后续服务。对达不到要求者，根据实际情况，经双方协商，可按以下办法处理：</w:t>
      </w:r>
    </w:p>
    <w:p w14:paraId="26A8C37E">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1.</w:t>
      </w:r>
      <w:r>
        <w:rPr>
          <w:rFonts w:hAnsi="宋体"/>
          <w:color w:val="auto"/>
          <w:sz w:val="24"/>
          <w:highlight w:val="none"/>
        </w:rPr>
        <w:t>重做：由乙方承担所发生的全部费用。</w:t>
      </w:r>
    </w:p>
    <w:p w14:paraId="1C83FEF0">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2.</w:t>
      </w:r>
      <w:r>
        <w:rPr>
          <w:rFonts w:hAnsi="宋体"/>
          <w:color w:val="auto"/>
          <w:sz w:val="24"/>
          <w:highlight w:val="none"/>
        </w:rPr>
        <w:t>贬值处理：由甲乙双方合议定价。</w:t>
      </w:r>
    </w:p>
    <w:p w14:paraId="7122A1E5">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3.</w:t>
      </w:r>
      <w:r>
        <w:rPr>
          <w:rFonts w:hAnsi="宋体"/>
          <w:color w:val="auto"/>
          <w:sz w:val="24"/>
          <w:highlight w:val="none"/>
        </w:rPr>
        <w:t>解除合同。</w:t>
      </w:r>
    </w:p>
    <w:p w14:paraId="3ADAF0AC">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如在使用过程中发生问题，乙方在接到甲方通知后在</w:t>
      </w:r>
      <w:r>
        <w:rPr>
          <w:rFonts w:hint="eastAsia" w:hAnsi="宋体"/>
          <w:color w:val="auto"/>
          <w:sz w:val="24"/>
          <w:highlight w:val="none"/>
          <w:u w:val="single"/>
        </w:rPr>
        <w:t xml:space="preserve">   </w:t>
      </w:r>
      <w:r>
        <w:rPr>
          <w:rFonts w:hAnsi="宋体"/>
          <w:color w:val="auto"/>
          <w:sz w:val="24"/>
          <w:highlight w:val="none"/>
        </w:rPr>
        <w:t>小时内到达甲方现场。</w:t>
      </w:r>
    </w:p>
    <w:p w14:paraId="063E9EE5">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（四）</w:t>
      </w:r>
      <w:r>
        <w:rPr>
          <w:rFonts w:hAnsi="宋体"/>
          <w:color w:val="auto"/>
          <w:sz w:val="24"/>
          <w:highlight w:val="none"/>
        </w:rPr>
        <w:t>在</w:t>
      </w:r>
      <w:r>
        <w:rPr>
          <w:rFonts w:hint="eastAsia" w:hAnsi="宋体"/>
          <w:b/>
          <w:color w:val="auto"/>
          <w:sz w:val="24"/>
          <w:highlight w:val="none"/>
        </w:rPr>
        <w:t>质保期</w:t>
      </w:r>
      <w:r>
        <w:rPr>
          <w:rFonts w:hAnsi="宋体"/>
          <w:color w:val="auto"/>
          <w:sz w:val="24"/>
          <w:highlight w:val="none"/>
        </w:rPr>
        <w:t>内，乙方应对出现的质量及安全问题负责处理解决并承担一切费用。</w:t>
      </w:r>
    </w:p>
    <w:p w14:paraId="1CE12E66">
      <w:pPr>
        <w:pStyle w:val="26"/>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四</w:t>
      </w:r>
      <w:r>
        <w:rPr>
          <w:rFonts w:hAnsi="宋体"/>
          <w:b/>
          <w:color w:val="auto"/>
          <w:sz w:val="24"/>
          <w:highlight w:val="none"/>
        </w:rPr>
        <w:t>、违约责任</w:t>
      </w:r>
    </w:p>
    <w:p w14:paraId="73A79572">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甲方无正当理由拒收接受服务的，甲方向乙方偿付合同款项</w:t>
      </w:r>
      <w:r>
        <w:rPr>
          <w:rFonts w:hAnsi="宋体"/>
          <w:color w:val="auto"/>
          <w:sz w:val="24"/>
          <w:highlight w:val="none"/>
          <w:u w:val="single"/>
        </w:rPr>
        <w:t>百分之五</w:t>
      </w:r>
      <w:r>
        <w:rPr>
          <w:rFonts w:hAnsi="宋体"/>
          <w:color w:val="auto"/>
          <w:sz w:val="24"/>
          <w:highlight w:val="none"/>
        </w:rPr>
        <w:t>作为违约金。</w:t>
      </w:r>
    </w:p>
    <w:p w14:paraId="39928FEA">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甲方无故逾期验收和办理款项支付手续的,甲方应按逾期付款总额</w:t>
      </w:r>
      <w:r>
        <w:rPr>
          <w:rFonts w:hAnsi="宋体"/>
          <w:color w:val="auto"/>
          <w:sz w:val="24"/>
          <w:highlight w:val="none"/>
          <w:u w:val="single"/>
        </w:rPr>
        <w:t>每日万分之五</w:t>
      </w:r>
      <w:r>
        <w:rPr>
          <w:rFonts w:hAnsi="宋体"/>
          <w:color w:val="auto"/>
          <w:sz w:val="24"/>
          <w:highlight w:val="none"/>
        </w:rPr>
        <w:t>向乙方支付违约金。</w:t>
      </w:r>
    </w:p>
    <w:p w14:paraId="5647A259">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乙方</w:t>
      </w:r>
      <w:r>
        <w:rPr>
          <w:rFonts w:hint="eastAsia" w:hAnsi="宋体"/>
          <w:color w:val="auto"/>
          <w:sz w:val="24"/>
          <w:highlight w:val="none"/>
        </w:rPr>
        <w:t>未能如</w:t>
      </w:r>
      <w:r>
        <w:rPr>
          <w:rFonts w:hAnsi="宋体"/>
          <w:color w:val="auto"/>
          <w:sz w:val="24"/>
          <w:highlight w:val="none"/>
        </w:rPr>
        <w:t>期提供服务的，每日向甲方支付</w:t>
      </w:r>
      <w:r>
        <w:rPr>
          <w:rFonts w:hint="eastAsia" w:hAnsi="宋体"/>
          <w:color w:val="auto"/>
          <w:sz w:val="24"/>
          <w:highlight w:val="none"/>
        </w:rPr>
        <w:t>合同款项的</w:t>
      </w:r>
      <w:r>
        <w:rPr>
          <w:rFonts w:hAnsi="宋体"/>
          <w:color w:val="auto"/>
          <w:sz w:val="24"/>
          <w:highlight w:val="none"/>
          <w:u w:val="single"/>
        </w:rPr>
        <w:t>千分之六</w:t>
      </w:r>
      <w:r>
        <w:rPr>
          <w:rFonts w:hint="eastAsia" w:hAnsi="宋体"/>
          <w:color w:val="auto"/>
          <w:sz w:val="24"/>
          <w:highlight w:val="none"/>
        </w:rPr>
        <w:t>作为</w:t>
      </w:r>
      <w:r>
        <w:rPr>
          <w:rFonts w:hAnsi="宋体"/>
          <w:color w:val="auto"/>
          <w:sz w:val="24"/>
          <w:highlight w:val="none"/>
        </w:rPr>
        <w:t>违约金。乙方超过约定日期10个工作日</w:t>
      </w:r>
      <w:r>
        <w:rPr>
          <w:rFonts w:hint="eastAsia" w:hAnsi="宋体"/>
          <w:color w:val="auto"/>
          <w:sz w:val="24"/>
          <w:highlight w:val="none"/>
        </w:rPr>
        <w:t>仍</w:t>
      </w:r>
      <w:r>
        <w:rPr>
          <w:rFonts w:hAnsi="宋体"/>
          <w:color w:val="auto"/>
          <w:sz w:val="24"/>
          <w:highlight w:val="none"/>
        </w:rPr>
        <w:t>不能</w:t>
      </w:r>
      <w:r>
        <w:rPr>
          <w:rFonts w:hint="eastAsia" w:hAnsi="宋体"/>
          <w:color w:val="auto"/>
          <w:sz w:val="24"/>
          <w:highlight w:val="none"/>
        </w:rPr>
        <w:t>提供服务</w:t>
      </w:r>
      <w:r>
        <w:rPr>
          <w:rFonts w:hAnsi="宋体"/>
          <w:color w:val="auto"/>
          <w:sz w:val="24"/>
          <w:highlight w:val="none"/>
        </w:rPr>
        <w:t>的，甲方可解除本合同。乙方因</w:t>
      </w:r>
      <w:r>
        <w:rPr>
          <w:rFonts w:hint="eastAsia" w:hAnsi="宋体"/>
          <w:color w:val="auto"/>
          <w:sz w:val="24"/>
          <w:highlight w:val="none"/>
        </w:rPr>
        <w:t>未能如</w:t>
      </w:r>
      <w:r>
        <w:rPr>
          <w:rFonts w:hAnsi="宋体"/>
          <w:color w:val="auto"/>
          <w:sz w:val="24"/>
          <w:highlight w:val="none"/>
        </w:rPr>
        <w:t>期提供服务或因其他违约行为导致甲方解除合同的，乙方应向甲方支付合同总值</w:t>
      </w:r>
      <w:r>
        <w:rPr>
          <w:rFonts w:hAnsi="宋体"/>
          <w:color w:val="auto"/>
          <w:sz w:val="24"/>
          <w:highlight w:val="none"/>
          <w:u w:val="single"/>
        </w:rPr>
        <w:t>5%</w:t>
      </w:r>
      <w:r>
        <w:rPr>
          <w:rFonts w:hAnsi="宋体"/>
          <w:color w:val="auto"/>
          <w:sz w:val="24"/>
          <w:highlight w:val="none"/>
        </w:rPr>
        <w:t xml:space="preserve">的违约金，如造成甲方损失超过违约金的，超出部分由乙方继续承担赔偿责任。 </w:t>
      </w:r>
    </w:p>
    <w:p w14:paraId="627243FE">
      <w:pPr>
        <w:spacing w:line="500" w:lineRule="exact"/>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（四）乙方未达到招标文件的技术要求标准，按每一项扣减合同款1000元，并无条件进行返工。</w:t>
      </w:r>
    </w:p>
    <w:p w14:paraId="2117C9EF">
      <w:pPr>
        <w:spacing w:line="500" w:lineRule="exact"/>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 xml:space="preserve">（五）乙方未按要求或工期进行施工的，发现一次，每次扣合同款1000元。 </w:t>
      </w:r>
    </w:p>
    <w:p w14:paraId="11B368E4">
      <w:pPr>
        <w:spacing w:line="500" w:lineRule="exact"/>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（六）乙方未按要求回复及执行监理通知单，每次扣合同款1000元。</w:t>
      </w:r>
    </w:p>
    <w:p w14:paraId="6AF24B60">
      <w:pPr>
        <w:spacing w:line="500" w:lineRule="exact"/>
        <w:ind w:firstLine="480" w:firstLineChars="200"/>
        <w:rPr>
          <w:rFonts w:ascii="宋体" w:hAnsi="宋体" w:cstheme="minorBidi"/>
          <w:color w:val="auto"/>
          <w:sz w:val="24"/>
          <w:highlight w:val="none"/>
        </w:rPr>
      </w:pPr>
      <w:r>
        <w:rPr>
          <w:rFonts w:hint="eastAsia" w:ascii="宋体" w:hAnsi="宋体" w:cstheme="minorBidi"/>
          <w:color w:val="auto"/>
          <w:sz w:val="24"/>
          <w:highlight w:val="none"/>
        </w:rPr>
        <w:t xml:space="preserve">（七）发现乙方用不符合要求的设备、材料和偷工减料的情况，除按要求返工外,第一次从最近支付的合同款中扣减1000元；第二次从最近支付的合同款中扣减2000元；第三次从最近支付的合同款中扣减3000元，甲方有权中止合同，并追究乙方责任。 </w:t>
      </w:r>
    </w:p>
    <w:p w14:paraId="61E4B1D9">
      <w:pPr>
        <w:spacing w:line="500" w:lineRule="exact"/>
        <w:ind w:firstLine="480" w:firstLineChars="200"/>
        <w:rPr>
          <w:color w:val="auto"/>
          <w:highlight w:val="none"/>
        </w:rPr>
      </w:pPr>
      <w:r>
        <w:rPr>
          <w:rFonts w:hint="eastAsia" w:ascii="宋体" w:hAnsi="宋体" w:cstheme="minorBidi"/>
          <w:color w:val="auto"/>
          <w:sz w:val="24"/>
          <w:highlight w:val="none"/>
        </w:rPr>
        <w:t>（八）乙方未按采购文件要求或投标承诺提供登高车的，甲方有权按每辆登高车3000元违约金罚没，并从最近支付的合同款中扣减。</w:t>
      </w:r>
    </w:p>
    <w:p w14:paraId="4C03AA26">
      <w:pPr>
        <w:pStyle w:val="26"/>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五</w:t>
      </w:r>
      <w:r>
        <w:rPr>
          <w:rFonts w:hAnsi="宋体"/>
          <w:b/>
          <w:color w:val="auto"/>
          <w:sz w:val="24"/>
          <w:highlight w:val="none"/>
        </w:rPr>
        <w:t>、不可抗力事件处理</w:t>
      </w:r>
    </w:p>
    <w:p w14:paraId="0865FACA">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（一）</w:t>
      </w:r>
      <w:r>
        <w:rPr>
          <w:rFonts w:hAnsi="宋体"/>
          <w:color w:val="auto"/>
          <w:sz w:val="24"/>
          <w:highlight w:val="none"/>
        </w:rPr>
        <w:t>在合同有效期内，任何一方因不可抗力事件导致不能履行合同，则合同履行期可延长，其延长期与不可抗力影响期相同。</w:t>
      </w:r>
    </w:p>
    <w:p w14:paraId="21702D18">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（二）</w:t>
      </w:r>
      <w:r>
        <w:rPr>
          <w:rFonts w:hAnsi="宋体"/>
          <w:color w:val="auto"/>
          <w:sz w:val="24"/>
          <w:highlight w:val="none"/>
        </w:rPr>
        <w:t>不可抗力事件发生后，应立即通知对方，并寄送有关权威机构出具的证明。</w:t>
      </w:r>
    </w:p>
    <w:p w14:paraId="3E0B7D62">
      <w:pPr>
        <w:pStyle w:val="26"/>
        <w:snapToGrid w:val="0"/>
        <w:spacing w:line="360" w:lineRule="auto"/>
        <w:ind w:firstLine="480" w:firstLineChars="200"/>
        <w:rPr>
          <w:rFonts w:hAnsi="宋体"/>
          <w:color w:val="auto"/>
          <w:sz w:val="24"/>
          <w:highlight w:val="none"/>
        </w:rPr>
      </w:pPr>
      <w:r>
        <w:rPr>
          <w:rFonts w:hint="eastAsia" w:hAnsi="宋体"/>
          <w:color w:val="auto"/>
          <w:sz w:val="24"/>
          <w:highlight w:val="none"/>
        </w:rPr>
        <w:t>（三）</w:t>
      </w:r>
      <w:r>
        <w:rPr>
          <w:rFonts w:hAnsi="宋体"/>
          <w:color w:val="auto"/>
          <w:sz w:val="24"/>
          <w:highlight w:val="none"/>
        </w:rPr>
        <w:t>不可抗力事件延续120天以上，双方应通过友好协商，确定是否继续履行合同。</w:t>
      </w:r>
    </w:p>
    <w:p w14:paraId="43B9CF67">
      <w:pPr>
        <w:pStyle w:val="26"/>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六</w:t>
      </w:r>
      <w:r>
        <w:rPr>
          <w:rFonts w:hAnsi="宋体"/>
          <w:b/>
          <w:color w:val="auto"/>
          <w:sz w:val="24"/>
          <w:highlight w:val="none"/>
        </w:rPr>
        <w:t>、</w:t>
      </w:r>
      <w:r>
        <w:rPr>
          <w:rFonts w:hint="eastAsia" w:asciiTheme="minorEastAsia" w:hAnsiTheme="minorEastAsia" w:eastAsiaTheme="minorEastAsia"/>
          <w:b/>
          <w:color w:val="auto"/>
          <w:sz w:val="24"/>
          <w:highlight w:val="none"/>
        </w:rPr>
        <w:t>解决争议的方法</w:t>
      </w:r>
    </w:p>
    <w:p w14:paraId="7CE65FF9">
      <w:pPr>
        <w:pStyle w:val="26"/>
        <w:snapToGrid w:val="0"/>
        <w:spacing w:line="360" w:lineRule="auto"/>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如双方在履行合同时发生纠纷，应协商解决；协商不成时，可提请政府采购管理部门调解；调解不成的通过</w:t>
      </w:r>
      <w:r>
        <w:rPr>
          <w:rFonts w:hint="eastAsia" w:asciiTheme="minorEastAsia" w:hAnsiTheme="minorEastAsia" w:eastAsiaTheme="minorEastAsia"/>
          <w:color w:val="auto"/>
          <w:sz w:val="24"/>
          <w:highlight w:val="none"/>
        </w:rPr>
        <w:t>通过以下第（一）方式解决</w:t>
      </w:r>
      <w:r>
        <w:rPr>
          <w:rFonts w:asciiTheme="minorEastAsia" w:hAnsiTheme="minorEastAsia" w:eastAsiaTheme="minorEastAsia"/>
          <w:color w:val="auto"/>
          <w:sz w:val="24"/>
          <w:highlight w:val="none"/>
        </w:rPr>
        <w:t>：</w:t>
      </w:r>
    </w:p>
    <w:p w14:paraId="06C4F6D0">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w:t>
      </w:r>
      <w:r>
        <w:rPr>
          <w:rFonts w:ascii="宋体" w:hAnsi="宋体" w:cs="宋体"/>
          <w:color w:val="auto"/>
          <w:kern w:val="0"/>
          <w:sz w:val="24"/>
          <w:highlight w:val="none"/>
        </w:rPr>
        <w:t>提交</w:t>
      </w:r>
      <w:r>
        <w:rPr>
          <w:rFonts w:hAnsi="宋体"/>
          <w:color w:val="auto"/>
          <w:sz w:val="24"/>
          <w:highlight w:val="none"/>
          <w:u w:val="single"/>
        </w:rPr>
        <w:t>台州</w:t>
      </w:r>
      <w:r>
        <w:rPr>
          <w:rFonts w:ascii="宋体" w:hAnsi="宋体" w:cs="宋体"/>
          <w:color w:val="auto"/>
          <w:kern w:val="0"/>
          <w:sz w:val="24"/>
          <w:highlight w:val="none"/>
        </w:rPr>
        <w:t>仲裁委员会仲裁。</w:t>
      </w:r>
    </w:p>
    <w:p w14:paraId="045C1BD2">
      <w:pPr>
        <w:widowControl/>
        <w:spacing w:line="360" w:lineRule="auto"/>
        <w:ind w:firstLine="480" w:firstLineChars="200"/>
        <w:rPr>
          <w:rFonts w:hAnsi="宋体" w:cs="宋体"/>
          <w:color w:val="auto"/>
          <w:kern w:val="0"/>
          <w:sz w:val="24"/>
          <w:highlight w:val="none"/>
        </w:rPr>
      </w:pPr>
      <w:r>
        <w:rPr>
          <w:rFonts w:hint="eastAsia" w:ascii="宋体" w:hAnsi="宋体" w:cs="宋体"/>
          <w:color w:val="auto"/>
          <w:kern w:val="0"/>
          <w:sz w:val="24"/>
          <w:highlight w:val="none"/>
        </w:rPr>
        <w:t>（二）</w:t>
      </w:r>
      <w:r>
        <w:rPr>
          <w:rFonts w:ascii="宋体" w:hAnsi="宋体" w:cs="宋体"/>
          <w:color w:val="auto"/>
          <w:kern w:val="0"/>
          <w:sz w:val="24"/>
          <w:highlight w:val="none"/>
        </w:rPr>
        <w:t xml:space="preserve">依法向人民法院提起诉讼。 </w:t>
      </w:r>
    </w:p>
    <w:p w14:paraId="5AAF9C81">
      <w:pPr>
        <w:pStyle w:val="26"/>
        <w:snapToGrid w:val="0"/>
        <w:spacing w:line="360" w:lineRule="auto"/>
        <w:ind w:firstLine="482" w:firstLineChars="200"/>
        <w:rPr>
          <w:rFonts w:hAnsi="宋体"/>
          <w:b/>
          <w:color w:val="auto"/>
          <w:sz w:val="24"/>
          <w:highlight w:val="none"/>
        </w:rPr>
      </w:pPr>
      <w:r>
        <w:rPr>
          <w:rFonts w:hAnsi="宋体"/>
          <w:b/>
          <w:color w:val="auto"/>
          <w:sz w:val="24"/>
          <w:highlight w:val="none"/>
        </w:rPr>
        <w:t>十</w:t>
      </w:r>
      <w:r>
        <w:rPr>
          <w:rFonts w:hint="eastAsia" w:hAnsi="宋体"/>
          <w:b/>
          <w:color w:val="auto"/>
          <w:sz w:val="24"/>
          <w:highlight w:val="none"/>
        </w:rPr>
        <w:t>七</w:t>
      </w:r>
      <w:r>
        <w:rPr>
          <w:rFonts w:hAnsi="宋体"/>
          <w:b/>
          <w:color w:val="auto"/>
          <w:sz w:val="24"/>
          <w:highlight w:val="none"/>
        </w:rPr>
        <w:t>、合同生效及其它</w:t>
      </w:r>
    </w:p>
    <w:p w14:paraId="5D4330E3">
      <w:pPr>
        <w:pStyle w:val="26"/>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一</w:t>
      </w:r>
      <w:r>
        <w:rPr>
          <w:rFonts w:hAnsi="宋体" w:cs="宋体"/>
          <w:color w:val="auto"/>
          <w:kern w:val="0"/>
          <w:sz w:val="24"/>
          <w:highlight w:val="none"/>
        </w:rPr>
        <w:t>）</w:t>
      </w:r>
      <w:r>
        <w:rPr>
          <w:rFonts w:hAnsi="宋体"/>
          <w:color w:val="auto"/>
          <w:sz w:val="24"/>
          <w:highlight w:val="none"/>
        </w:rPr>
        <w:t>合同经双方法定代表人或授权代表</w:t>
      </w:r>
      <w:r>
        <w:rPr>
          <w:rFonts w:hint="eastAsia" w:hAnsi="宋体"/>
          <w:color w:val="auto"/>
          <w:sz w:val="24"/>
          <w:highlight w:val="none"/>
        </w:rPr>
        <w:t>签字</w:t>
      </w:r>
      <w:r>
        <w:rPr>
          <w:rFonts w:hAnsi="宋体"/>
          <w:color w:val="auto"/>
          <w:sz w:val="24"/>
          <w:highlight w:val="none"/>
        </w:rPr>
        <w:t>并加盖单位公章后生效。</w:t>
      </w:r>
    </w:p>
    <w:p w14:paraId="736C73C2">
      <w:pPr>
        <w:pStyle w:val="26"/>
        <w:snapToGrid w:val="0"/>
        <w:spacing w:line="360" w:lineRule="auto"/>
        <w:ind w:firstLine="480" w:firstLineChars="200"/>
        <w:rPr>
          <w:rFonts w:hAnsi="宋体"/>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二</w:t>
      </w:r>
      <w:r>
        <w:rPr>
          <w:rFonts w:hAnsi="宋体" w:cs="宋体"/>
          <w:color w:val="auto"/>
          <w:kern w:val="0"/>
          <w:sz w:val="24"/>
          <w:highlight w:val="none"/>
        </w:rPr>
        <w:t>）</w:t>
      </w:r>
      <w:r>
        <w:rPr>
          <w:rFonts w:hAnsi="宋体"/>
          <w:color w:val="auto"/>
          <w:sz w:val="24"/>
          <w:highlight w:val="none"/>
        </w:rPr>
        <w:t>本合同未尽事宜，遵照《</w:t>
      </w:r>
      <w:r>
        <w:rPr>
          <w:rFonts w:hint="eastAsia" w:hAnsi="宋体"/>
          <w:color w:val="auto"/>
          <w:sz w:val="24"/>
          <w:highlight w:val="none"/>
        </w:rPr>
        <w:t>中华人民共和国民法典</w:t>
      </w:r>
      <w:r>
        <w:rPr>
          <w:rFonts w:hAnsi="宋体"/>
          <w:color w:val="auto"/>
          <w:sz w:val="24"/>
          <w:highlight w:val="none"/>
        </w:rPr>
        <w:t>》有关条文执行。</w:t>
      </w:r>
    </w:p>
    <w:p w14:paraId="7D3AF448">
      <w:pPr>
        <w:widowControl/>
        <w:spacing w:line="360" w:lineRule="auto"/>
        <w:ind w:firstLine="480" w:firstLineChars="200"/>
        <w:rPr>
          <w:rFonts w:ascii="宋体" w:hAnsi="宋体" w:cstheme="minorBidi"/>
          <w:color w:val="auto"/>
          <w:sz w:val="24"/>
          <w:highlight w:val="none"/>
        </w:rPr>
      </w:pPr>
      <w:r>
        <w:rPr>
          <w:rFonts w:hAnsi="宋体" w:cs="宋体"/>
          <w:color w:val="auto"/>
          <w:kern w:val="0"/>
          <w:sz w:val="24"/>
          <w:highlight w:val="none"/>
        </w:rPr>
        <w:t>（</w:t>
      </w:r>
      <w:r>
        <w:rPr>
          <w:rFonts w:hint="eastAsia" w:hAnsi="宋体" w:cs="宋体"/>
          <w:color w:val="auto"/>
          <w:kern w:val="0"/>
          <w:sz w:val="24"/>
          <w:highlight w:val="none"/>
        </w:rPr>
        <w:t>三</w:t>
      </w:r>
      <w:r>
        <w:rPr>
          <w:rFonts w:hAnsi="宋体" w:cs="宋体"/>
          <w:color w:val="auto"/>
          <w:kern w:val="0"/>
          <w:sz w:val="24"/>
          <w:highlight w:val="none"/>
        </w:rPr>
        <w:t>）</w:t>
      </w:r>
      <w:r>
        <w:rPr>
          <w:rFonts w:hint="eastAsia" w:ascii="宋体" w:hAnsi="宋体" w:cstheme="minorBidi"/>
          <w:color w:val="auto"/>
          <w:sz w:val="24"/>
          <w:highlight w:val="none"/>
        </w:rPr>
        <w:t>本合同一式六份。甲、乙双方各执三份。本项目未尽事宜以招标文件、投标文件及澄清文件等为准。</w:t>
      </w:r>
    </w:p>
    <w:p w14:paraId="6EA9306E">
      <w:pPr>
        <w:widowControl/>
        <w:spacing w:line="360" w:lineRule="auto"/>
        <w:rPr>
          <w:rFonts w:ascii="宋体" w:hAnsi="宋体"/>
          <w:color w:val="auto"/>
          <w:kern w:val="0"/>
          <w:sz w:val="24"/>
          <w:highlight w:val="none"/>
        </w:rPr>
      </w:pPr>
    </w:p>
    <w:p w14:paraId="5DB8AD3C">
      <w:pPr>
        <w:widowControl/>
        <w:spacing w:line="360" w:lineRule="auto"/>
        <w:rPr>
          <w:rFonts w:ascii="宋体" w:hAnsi="宋体"/>
          <w:b/>
          <w:color w:val="auto"/>
          <w:sz w:val="24"/>
          <w:highlight w:val="none"/>
        </w:rPr>
      </w:pPr>
    </w:p>
    <w:p w14:paraId="6985EE1B">
      <w:pPr>
        <w:spacing w:line="360" w:lineRule="auto"/>
        <w:rPr>
          <w:rFonts w:ascii="宋体" w:hAnsi="宋体"/>
          <w:color w:val="auto"/>
          <w:sz w:val="24"/>
          <w:highlight w:val="none"/>
        </w:rPr>
      </w:pPr>
      <w:r>
        <w:rPr>
          <w:rFonts w:hint="eastAsia" w:ascii="宋体" w:hAnsi="宋体"/>
          <w:color w:val="auto"/>
          <w:sz w:val="24"/>
          <w:highlight w:val="none"/>
        </w:rPr>
        <w:t>甲方（公章）                                     乙方（公章）</w:t>
      </w:r>
    </w:p>
    <w:p w14:paraId="07701CBE">
      <w:pPr>
        <w:spacing w:line="360" w:lineRule="auto"/>
        <w:rPr>
          <w:rFonts w:ascii="宋体" w:hAnsi="宋体"/>
          <w:color w:val="auto"/>
          <w:sz w:val="24"/>
          <w:highlight w:val="none"/>
        </w:rPr>
      </w:pPr>
      <w:r>
        <w:rPr>
          <w:rFonts w:hint="eastAsia" w:ascii="宋体" w:hAnsi="宋体"/>
          <w:color w:val="auto"/>
          <w:sz w:val="24"/>
          <w:highlight w:val="none"/>
        </w:rPr>
        <w:t>法定代表人：                                     法定代表人：</w:t>
      </w:r>
    </w:p>
    <w:p w14:paraId="14F0FC2E">
      <w:pPr>
        <w:spacing w:line="360" w:lineRule="auto"/>
        <w:rPr>
          <w:rFonts w:ascii="宋体" w:hAnsi="宋体"/>
          <w:color w:val="auto"/>
          <w:sz w:val="24"/>
          <w:highlight w:val="none"/>
        </w:rPr>
      </w:pPr>
      <w:r>
        <w:rPr>
          <w:rFonts w:hint="eastAsia" w:ascii="宋体" w:hAnsi="宋体"/>
          <w:color w:val="auto"/>
          <w:sz w:val="24"/>
          <w:highlight w:val="none"/>
        </w:rPr>
        <w:t>委托代理人：                                     委托代理人：</w:t>
      </w:r>
    </w:p>
    <w:p w14:paraId="378453B4">
      <w:pPr>
        <w:spacing w:line="360" w:lineRule="auto"/>
        <w:rPr>
          <w:rFonts w:ascii="宋体" w:hAnsi="宋体"/>
          <w:color w:val="auto"/>
          <w:sz w:val="24"/>
          <w:highlight w:val="none"/>
        </w:rPr>
      </w:pPr>
      <w:r>
        <w:rPr>
          <w:rFonts w:hint="eastAsia" w:ascii="宋体" w:hAnsi="宋体"/>
          <w:color w:val="auto"/>
          <w:sz w:val="24"/>
          <w:highlight w:val="none"/>
        </w:rPr>
        <w:t>联系电话：                                       联系电话：</w:t>
      </w:r>
    </w:p>
    <w:p w14:paraId="48CE452E">
      <w:pPr>
        <w:spacing w:line="360" w:lineRule="auto"/>
        <w:rPr>
          <w:rFonts w:ascii="宋体" w:hAnsi="宋体"/>
          <w:color w:val="auto"/>
          <w:sz w:val="24"/>
          <w:highlight w:val="none"/>
        </w:rPr>
      </w:pPr>
      <w:r>
        <w:rPr>
          <w:rFonts w:hint="eastAsia" w:ascii="宋体" w:hAnsi="宋体"/>
          <w:color w:val="auto"/>
          <w:sz w:val="24"/>
          <w:highlight w:val="none"/>
        </w:rPr>
        <w:t>开户银行：                                       开户银行：</w:t>
      </w:r>
    </w:p>
    <w:p w14:paraId="77C8BFF7">
      <w:pPr>
        <w:spacing w:line="360" w:lineRule="auto"/>
        <w:rPr>
          <w:rFonts w:ascii="宋体" w:hAnsi="宋体"/>
          <w:color w:val="auto"/>
          <w:sz w:val="24"/>
          <w:highlight w:val="none"/>
        </w:rPr>
      </w:pPr>
      <w:r>
        <w:rPr>
          <w:rFonts w:hint="eastAsia" w:ascii="宋体" w:hAnsi="宋体"/>
          <w:color w:val="auto"/>
          <w:sz w:val="24"/>
          <w:highlight w:val="none"/>
        </w:rPr>
        <w:t>账号：                                           账号：</w:t>
      </w:r>
    </w:p>
    <w:p w14:paraId="4B93B683">
      <w:pPr>
        <w:spacing w:line="360" w:lineRule="auto"/>
        <w:rPr>
          <w:rFonts w:ascii="宋体" w:hAnsi="宋体"/>
          <w:color w:val="auto"/>
          <w:sz w:val="24"/>
          <w:highlight w:val="none"/>
        </w:rPr>
      </w:pPr>
      <w:r>
        <w:rPr>
          <w:rFonts w:hint="eastAsia" w:ascii="宋体" w:hAnsi="宋体"/>
          <w:color w:val="auto"/>
          <w:sz w:val="24"/>
          <w:highlight w:val="none"/>
        </w:rPr>
        <w:t>地址及邮编：                                     地址及邮编：</w:t>
      </w:r>
    </w:p>
    <w:p w14:paraId="190C2B05">
      <w:pPr>
        <w:spacing w:line="360" w:lineRule="auto"/>
        <w:rPr>
          <w:rFonts w:ascii="宋体" w:hAnsi="宋体"/>
          <w:color w:val="auto"/>
          <w:sz w:val="24"/>
          <w:highlight w:val="none"/>
        </w:rPr>
      </w:pPr>
    </w:p>
    <w:p w14:paraId="6C15193B">
      <w:pPr>
        <w:spacing w:line="360" w:lineRule="auto"/>
        <w:ind w:firstLine="4920" w:firstLineChars="2050"/>
        <w:rPr>
          <w:rFonts w:ascii="宋体" w:hAnsi="宋体"/>
          <w:color w:val="auto"/>
          <w:sz w:val="24"/>
          <w:highlight w:val="none"/>
        </w:rPr>
      </w:pPr>
      <w:r>
        <w:rPr>
          <w:rFonts w:hint="eastAsia" w:ascii="宋体" w:hAnsi="宋体"/>
          <w:color w:val="auto"/>
          <w:sz w:val="24"/>
          <w:highlight w:val="none"/>
        </w:rPr>
        <w:t>签订时间：    年   月    日</w:t>
      </w:r>
    </w:p>
    <w:p w14:paraId="26B8ACE7">
      <w:pPr>
        <w:widowControl/>
        <w:jc w:val="left"/>
        <w:rPr>
          <w:b/>
          <w:color w:val="auto"/>
          <w:szCs w:val="21"/>
          <w:highlight w:val="none"/>
        </w:rPr>
      </w:pPr>
      <w:r>
        <w:rPr>
          <w:b/>
          <w:color w:val="auto"/>
          <w:szCs w:val="21"/>
          <w:highlight w:val="none"/>
        </w:rPr>
        <w:br w:type="page"/>
      </w:r>
    </w:p>
    <w:p w14:paraId="10BB5EBB">
      <w:pPr>
        <w:spacing w:line="360" w:lineRule="auto"/>
        <w:jc w:val="center"/>
        <w:rPr>
          <w:rFonts w:asciiTheme="minorEastAsia" w:hAnsiTheme="minorEastAsia" w:eastAsiaTheme="minorEastAsia"/>
          <w:b/>
          <w:color w:val="auto"/>
          <w:sz w:val="36"/>
          <w:szCs w:val="36"/>
          <w:highlight w:val="none"/>
        </w:rPr>
      </w:pPr>
      <w:r>
        <w:rPr>
          <w:rFonts w:hint="eastAsia" w:asciiTheme="minorEastAsia" w:hAnsiTheme="minorEastAsia" w:eastAsiaTheme="minorEastAsia"/>
          <w:b/>
          <w:color w:val="auto"/>
          <w:sz w:val="36"/>
          <w:szCs w:val="36"/>
          <w:highlight w:val="none"/>
        </w:rPr>
        <w:t>第六章 投标文件格式</w:t>
      </w:r>
      <w:bookmarkEnd w:id="127"/>
    </w:p>
    <w:p w14:paraId="7F9F2DFA">
      <w:pPr>
        <w:rPr>
          <w:rFonts w:ascii="宋体" w:hAnsi="宋体"/>
          <w:b/>
          <w:color w:val="auto"/>
          <w:kern w:val="0"/>
          <w:sz w:val="28"/>
          <w:szCs w:val="28"/>
          <w:highlight w:val="none"/>
        </w:rPr>
      </w:pPr>
      <w:r>
        <w:rPr>
          <w:rFonts w:hint="eastAsia" w:ascii="宋体" w:hAnsi="宋体"/>
          <w:b/>
          <w:color w:val="auto"/>
          <w:kern w:val="0"/>
          <w:sz w:val="28"/>
          <w:szCs w:val="28"/>
          <w:highlight w:val="none"/>
        </w:rPr>
        <w:t>附件1</w:t>
      </w:r>
      <w:r>
        <w:rPr>
          <w:rFonts w:hint="eastAsia" w:ascii="宋体" w:hAnsi="宋体"/>
          <w:color w:val="auto"/>
          <w:sz w:val="30"/>
          <w:szCs w:val="30"/>
          <w:highlight w:val="none"/>
        </w:rPr>
        <w:t xml:space="preserve"> 　　　</w:t>
      </w:r>
    </w:p>
    <w:p w14:paraId="0F1DCB0B">
      <w:pPr>
        <w:spacing w:line="360" w:lineRule="auto"/>
        <w:rPr>
          <w:rFonts w:asciiTheme="minorEastAsia" w:hAnsiTheme="minorEastAsia" w:eastAsiaTheme="minorEastAsia"/>
          <w:b/>
          <w:color w:val="auto"/>
          <w:sz w:val="30"/>
          <w:szCs w:val="30"/>
          <w:highlight w:val="none"/>
        </w:rPr>
      </w:pPr>
    </w:p>
    <w:p w14:paraId="1037972C">
      <w:pPr>
        <w:jc w:val="center"/>
        <w:rPr>
          <w:rFonts w:hint="eastAsia" w:eastAsia="宋体"/>
          <w:color w:val="auto"/>
          <w:sz w:val="52"/>
          <w:szCs w:val="52"/>
          <w:highlight w:val="none"/>
          <w:lang w:eastAsia="zh-CN"/>
        </w:rPr>
      </w:pPr>
      <w:bookmarkStart w:id="128" w:name="_Toc19093_WPSOffice_Level1"/>
      <w:bookmarkStart w:id="129" w:name="_Toc4956_WPSOffice_Level1"/>
      <w:bookmarkStart w:id="130" w:name="_Toc32372_WPSOffice_Level1"/>
      <w:r>
        <w:rPr>
          <w:rFonts w:hint="eastAsia"/>
          <w:color w:val="auto"/>
          <w:sz w:val="52"/>
          <w:szCs w:val="52"/>
          <w:highlight w:val="none"/>
        </w:rPr>
        <w:t>项目名称</w:t>
      </w:r>
      <w:bookmarkEnd w:id="128"/>
      <w:bookmarkEnd w:id="129"/>
      <w:bookmarkEnd w:id="130"/>
      <w:r>
        <w:rPr>
          <w:rFonts w:hint="eastAsia"/>
          <w:color w:val="auto"/>
          <w:sz w:val="52"/>
          <w:szCs w:val="52"/>
          <w:highlight w:val="none"/>
        </w:rPr>
        <w:t>：</w:t>
      </w:r>
      <w:r>
        <w:rPr>
          <w:rFonts w:hint="eastAsia"/>
          <w:color w:val="auto"/>
          <w:sz w:val="52"/>
          <w:szCs w:val="52"/>
          <w:highlight w:val="none"/>
          <w:lang w:eastAsia="zh-CN"/>
        </w:rPr>
        <w:t>2024年电子监控、基础及管路项目（第二次重新招标）</w:t>
      </w:r>
    </w:p>
    <w:p w14:paraId="18919987">
      <w:pPr>
        <w:spacing w:before="319"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台财采确临[2024]2935号-2</w:t>
      </w:r>
      <w:r>
        <w:rPr>
          <w:rFonts w:hint="eastAsia" w:ascii="宋体" w:hAnsi="宋体"/>
          <w:color w:val="auto"/>
          <w:sz w:val="36"/>
          <w:szCs w:val="36"/>
          <w:highlight w:val="none"/>
        </w:rPr>
        <w:t>（标项</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rPr>
        <w:t>）</w:t>
      </w:r>
    </w:p>
    <w:p w14:paraId="7A82D0AE">
      <w:pPr>
        <w:pStyle w:val="45"/>
        <w:rPr>
          <w:color w:val="auto"/>
          <w:highlight w:val="none"/>
        </w:rPr>
      </w:pPr>
    </w:p>
    <w:p w14:paraId="1A302D57">
      <w:pPr>
        <w:jc w:val="center"/>
        <w:rPr>
          <w:color w:val="auto"/>
          <w:sz w:val="84"/>
          <w:szCs w:val="84"/>
          <w:highlight w:val="none"/>
          <w:lang w:val="zh-CN"/>
        </w:rPr>
      </w:pPr>
      <w:r>
        <w:rPr>
          <w:rFonts w:hint="eastAsia"/>
          <w:color w:val="auto"/>
          <w:sz w:val="84"/>
          <w:szCs w:val="84"/>
          <w:highlight w:val="none"/>
          <w:lang w:val="zh-CN"/>
        </w:rPr>
        <w:t>投</w:t>
      </w:r>
    </w:p>
    <w:p w14:paraId="77ABB5FC">
      <w:pPr>
        <w:jc w:val="center"/>
        <w:rPr>
          <w:color w:val="auto"/>
          <w:sz w:val="84"/>
          <w:szCs w:val="84"/>
          <w:highlight w:val="none"/>
          <w:lang w:val="zh-CN"/>
        </w:rPr>
      </w:pPr>
      <w:r>
        <w:rPr>
          <w:rFonts w:hint="eastAsia"/>
          <w:color w:val="auto"/>
          <w:sz w:val="84"/>
          <w:szCs w:val="84"/>
          <w:highlight w:val="none"/>
          <w:lang w:val="zh-CN"/>
        </w:rPr>
        <w:t>标</w:t>
      </w:r>
    </w:p>
    <w:p w14:paraId="342044D3">
      <w:pPr>
        <w:jc w:val="center"/>
        <w:rPr>
          <w:color w:val="auto"/>
          <w:sz w:val="84"/>
          <w:szCs w:val="84"/>
          <w:highlight w:val="none"/>
        </w:rPr>
      </w:pPr>
      <w:r>
        <w:rPr>
          <w:rFonts w:hint="eastAsia"/>
          <w:color w:val="auto"/>
          <w:sz w:val="84"/>
          <w:szCs w:val="84"/>
          <w:highlight w:val="none"/>
          <w:lang w:val="zh-CN"/>
        </w:rPr>
        <w:t>文</w:t>
      </w:r>
    </w:p>
    <w:p w14:paraId="10A77B7B">
      <w:pPr>
        <w:jc w:val="center"/>
        <w:rPr>
          <w:color w:val="auto"/>
          <w:sz w:val="84"/>
          <w:szCs w:val="84"/>
          <w:highlight w:val="none"/>
          <w:lang w:val="zh-CN"/>
        </w:rPr>
      </w:pPr>
      <w:r>
        <w:rPr>
          <w:rFonts w:hint="eastAsia"/>
          <w:color w:val="auto"/>
          <w:sz w:val="84"/>
          <w:szCs w:val="84"/>
          <w:highlight w:val="none"/>
          <w:lang w:val="zh-CN"/>
        </w:rPr>
        <w:t>件</w:t>
      </w:r>
    </w:p>
    <w:p w14:paraId="0B4223CA">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
          <w:color w:val="auto"/>
          <w:sz w:val="28"/>
          <w:szCs w:val="28"/>
          <w:highlight w:val="none"/>
        </w:rPr>
        <w:t>资格证明文件）</w:t>
      </w:r>
    </w:p>
    <w:p w14:paraId="5AC2E2DD">
      <w:pPr>
        <w:pStyle w:val="45"/>
        <w:rPr>
          <w:color w:val="auto"/>
          <w:highlight w:val="none"/>
        </w:rPr>
      </w:pPr>
    </w:p>
    <w:p w14:paraId="79F00BD1">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投标供应商全称（电子印章）：</w:t>
      </w:r>
    </w:p>
    <w:p w14:paraId="78585308">
      <w:pPr>
        <w:spacing w:line="360" w:lineRule="auto"/>
        <w:ind w:right="532" w:firstLine="640" w:firstLineChars="200"/>
        <w:rPr>
          <w:rFonts w:ascii="宋体" w:hAnsi="宋体"/>
          <w:color w:val="auto"/>
          <w:sz w:val="32"/>
          <w:szCs w:val="32"/>
          <w:highlight w:val="none"/>
        </w:rPr>
      </w:pPr>
      <w:r>
        <w:rPr>
          <w:rFonts w:hint="eastAsia" w:ascii="宋体" w:hAnsi="宋体"/>
          <w:color w:val="auto"/>
          <w:sz w:val="32"/>
          <w:szCs w:val="32"/>
          <w:highlight w:val="none"/>
        </w:rPr>
        <w:t>地    址：</w:t>
      </w:r>
    </w:p>
    <w:p w14:paraId="028F6DF7">
      <w:pPr>
        <w:spacing w:line="360" w:lineRule="auto"/>
        <w:ind w:right="532" w:firstLine="640" w:firstLineChars="200"/>
        <w:rPr>
          <w:rFonts w:ascii="仿宋_GB2312" w:hAnsi="宋体" w:eastAsia="仿宋_GB2312"/>
          <w:b/>
          <w:color w:val="auto"/>
          <w:sz w:val="36"/>
          <w:szCs w:val="36"/>
          <w:highlight w:val="none"/>
        </w:rPr>
      </w:pPr>
      <w:r>
        <w:rPr>
          <w:rFonts w:hint="eastAsia" w:ascii="宋体" w:hAnsi="宋体"/>
          <w:color w:val="auto"/>
          <w:sz w:val="32"/>
          <w:szCs w:val="32"/>
          <w:highlight w:val="none"/>
        </w:rPr>
        <w:t>时    间：</w:t>
      </w:r>
    </w:p>
    <w:p w14:paraId="14BEEC2A">
      <w:pPr>
        <w:pStyle w:val="13"/>
        <w:rPr>
          <w:rFonts w:ascii="仿宋_GB2312" w:hAnsi="宋体" w:eastAsia="仿宋_GB2312"/>
          <w:b/>
          <w:color w:val="auto"/>
          <w:sz w:val="36"/>
          <w:szCs w:val="36"/>
          <w:highlight w:val="none"/>
        </w:rPr>
      </w:pPr>
    </w:p>
    <w:p w14:paraId="19278221">
      <w:pPr>
        <w:spacing w:line="360" w:lineRule="auto"/>
        <w:jc w:val="center"/>
        <w:rPr>
          <w:b/>
          <w:bCs/>
          <w:color w:val="auto"/>
          <w:sz w:val="32"/>
          <w:szCs w:val="40"/>
          <w:highlight w:val="none"/>
        </w:rPr>
      </w:pPr>
    </w:p>
    <w:p w14:paraId="2F8B0F24">
      <w:pPr>
        <w:spacing w:line="360" w:lineRule="auto"/>
        <w:jc w:val="center"/>
        <w:rPr>
          <w:b/>
          <w:bCs/>
          <w:color w:val="auto"/>
          <w:sz w:val="32"/>
          <w:szCs w:val="40"/>
          <w:highlight w:val="none"/>
        </w:rPr>
      </w:pPr>
      <w:r>
        <w:rPr>
          <w:rFonts w:hint="eastAsia"/>
          <w:b/>
          <w:bCs/>
          <w:color w:val="auto"/>
          <w:sz w:val="32"/>
          <w:szCs w:val="40"/>
          <w:highlight w:val="none"/>
        </w:rPr>
        <w:t>资格证明文件目录</w:t>
      </w:r>
    </w:p>
    <w:p w14:paraId="0E68422E">
      <w:pPr>
        <w:spacing w:line="360" w:lineRule="auto"/>
        <w:ind w:firstLine="420" w:firstLineChars="200"/>
        <w:rPr>
          <w:color w:val="auto"/>
          <w:highlight w:val="none"/>
        </w:rPr>
      </w:pPr>
    </w:p>
    <w:p w14:paraId="2C64BA74">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投标声明书（</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48A6F68A">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授权委托书（</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，法定代表人亲自办理投标事宜的，则仅需提供身份证扫描件或影印件，无需提交本授权书)；</w:t>
      </w:r>
    </w:p>
    <w:p w14:paraId="406A320A">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法人或者其他组织的营业执照等证明文件；</w:t>
      </w:r>
    </w:p>
    <w:p w14:paraId="034E4843">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提供关于供应商财务状况和依法缴纳税收及社会保障资金的书面承诺（</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2F9DD088">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具备履行合同所必需的设备和专业技术能力的承诺函(</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434291F2">
      <w:pPr>
        <w:widowControl/>
        <w:numPr>
          <w:ilvl w:val="0"/>
          <w:numId w:val="31"/>
        </w:numPr>
        <w:spacing w:line="360" w:lineRule="auto"/>
        <w:ind w:right="60" w:firstLine="413" w:firstLineChars="197"/>
        <w:jc w:val="left"/>
        <w:outlineLvl w:val="0"/>
        <w:rPr>
          <w:rFonts w:ascii="宋体" w:hAnsi="宋体" w:cs="宋体"/>
          <w:color w:val="auto"/>
          <w:szCs w:val="21"/>
          <w:highlight w:val="none"/>
        </w:rPr>
      </w:pPr>
      <w:r>
        <w:rPr>
          <w:rFonts w:hint="eastAsia" w:ascii="宋体" w:hAnsi="宋体" w:cs="宋体"/>
          <w:color w:val="auto"/>
          <w:szCs w:val="21"/>
          <w:highlight w:val="none"/>
        </w:rPr>
        <w:t>需要说明的其他资料（如有）。</w:t>
      </w:r>
    </w:p>
    <w:p w14:paraId="4223D742">
      <w:pPr>
        <w:spacing w:line="360" w:lineRule="auto"/>
        <w:ind w:left="420"/>
        <w:rPr>
          <w:rFonts w:ascii="宋体" w:hAnsi="宋体"/>
          <w:b/>
          <w:color w:val="auto"/>
          <w:sz w:val="28"/>
          <w:highlight w:val="none"/>
        </w:rPr>
      </w:pPr>
    </w:p>
    <w:p w14:paraId="3EA421C6">
      <w:pPr>
        <w:widowControl/>
        <w:jc w:val="left"/>
        <w:rPr>
          <w:rFonts w:ascii="宋体" w:hAnsi="宋体"/>
          <w:b/>
          <w:color w:val="auto"/>
          <w:sz w:val="28"/>
          <w:highlight w:val="none"/>
        </w:rPr>
      </w:pPr>
      <w:r>
        <w:rPr>
          <w:rFonts w:ascii="宋体" w:hAnsi="宋体"/>
          <w:b/>
          <w:color w:val="auto"/>
          <w:sz w:val="28"/>
          <w:highlight w:val="none"/>
        </w:rPr>
        <w:br w:type="page"/>
      </w:r>
    </w:p>
    <w:p w14:paraId="5215E661">
      <w:pPr>
        <w:spacing w:line="312" w:lineRule="auto"/>
        <w:rPr>
          <w:rFonts w:ascii="宋体" w:hAnsi="宋体"/>
          <w:b/>
          <w:color w:val="auto"/>
          <w:sz w:val="28"/>
          <w:highlight w:val="none"/>
        </w:rPr>
      </w:pPr>
      <w:r>
        <w:rPr>
          <w:rFonts w:hint="eastAsia" w:ascii="宋体" w:hAnsi="宋体"/>
          <w:b/>
          <w:color w:val="auto"/>
          <w:sz w:val="28"/>
          <w:highlight w:val="none"/>
        </w:rPr>
        <w:t>附件2</w:t>
      </w:r>
    </w:p>
    <w:p w14:paraId="2C1BC4E8">
      <w:pPr>
        <w:adjustRightInd w:val="0"/>
        <w:snapToGrid w:val="0"/>
        <w:spacing w:line="312" w:lineRule="auto"/>
        <w:ind w:right="480"/>
        <w:jc w:val="center"/>
        <w:rPr>
          <w:rFonts w:ascii="宋体" w:hAnsi="宋体"/>
          <w:b/>
          <w:color w:val="auto"/>
          <w:kern w:val="0"/>
          <w:sz w:val="32"/>
          <w:szCs w:val="32"/>
          <w:highlight w:val="none"/>
          <w:lang w:val="zh-CN"/>
        </w:rPr>
      </w:pPr>
      <w:bookmarkStart w:id="131" w:name="_Toc31708_WPSOffice_Level1"/>
      <w:bookmarkStart w:id="132" w:name="_Toc30723_WPSOffice_Level1"/>
      <w:r>
        <w:rPr>
          <w:rFonts w:hint="eastAsia" w:ascii="宋体" w:hAnsi="宋体"/>
          <w:b/>
          <w:color w:val="auto"/>
          <w:kern w:val="0"/>
          <w:sz w:val="32"/>
          <w:szCs w:val="32"/>
          <w:highlight w:val="none"/>
          <w:lang w:val="zh-CN"/>
        </w:rPr>
        <w:t>投标声明书</w:t>
      </w:r>
      <w:bookmarkEnd w:id="131"/>
      <w:bookmarkEnd w:id="132"/>
    </w:p>
    <w:p w14:paraId="5E372CAE">
      <w:pPr>
        <w:snapToGrid w:val="0"/>
        <w:spacing w:before="159" w:beforeLines="50" w:after="50" w:line="312" w:lineRule="auto"/>
        <w:rPr>
          <w:rFonts w:ascii="宋体" w:hAnsi="宋体" w:cs="宋体"/>
          <w:color w:val="auto"/>
          <w:kern w:val="0"/>
          <w:sz w:val="24"/>
          <w:highlight w:val="none"/>
        </w:rPr>
      </w:pPr>
      <w:r>
        <w:rPr>
          <w:rFonts w:hint="eastAsia" w:ascii="宋体" w:hAnsi="宋体" w:cstheme="minorBidi"/>
          <w:color w:val="auto"/>
          <w:sz w:val="24"/>
          <w:highlight w:val="none"/>
          <w:u w:val="single"/>
        </w:rPr>
        <w:t>台州市建设咨询有限公司</w:t>
      </w:r>
      <w:r>
        <w:rPr>
          <w:rFonts w:hint="eastAsia" w:ascii="宋体" w:hAnsi="宋体" w:cs="宋体"/>
          <w:color w:val="auto"/>
          <w:kern w:val="0"/>
          <w:sz w:val="24"/>
          <w:highlight w:val="none"/>
        </w:rPr>
        <w:t>（</w:t>
      </w:r>
      <w:r>
        <w:rPr>
          <w:rFonts w:hint="eastAsia" w:asciiTheme="minorEastAsia" w:hAnsiTheme="minorEastAsia" w:eastAsiaTheme="minorEastAsia"/>
          <w:color w:val="auto"/>
          <w:sz w:val="24"/>
          <w:highlight w:val="none"/>
        </w:rPr>
        <w:t>采购组织机构名称</w:t>
      </w:r>
      <w:r>
        <w:rPr>
          <w:rFonts w:hint="eastAsia" w:ascii="宋体" w:hAnsi="宋体" w:cs="宋体"/>
          <w:color w:val="auto"/>
          <w:kern w:val="0"/>
          <w:sz w:val="24"/>
          <w:highlight w:val="none"/>
        </w:rPr>
        <w:t>）：</w:t>
      </w:r>
    </w:p>
    <w:p w14:paraId="3A86FC98">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（投标供应商名称）系中华人民共和国合法企业，经营地址。</w:t>
      </w:r>
    </w:p>
    <w:p w14:paraId="0F6EDE6C">
      <w:p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u w:val="single"/>
        </w:rPr>
        <w:t xml:space="preserve"> 姓名 </w:t>
      </w:r>
      <w:r>
        <w:rPr>
          <w:rFonts w:hint="eastAsia" w:ascii="宋体" w:hAnsi="宋体" w:cs="宋体"/>
          <w:color w:val="auto"/>
          <w:kern w:val="0"/>
          <w:sz w:val="24"/>
          <w:highlight w:val="none"/>
        </w:rPr>
        <w:t>）系（</w:t>
      </w:r>
      <w:r>
        <w:rPr>
          <w:rFonts w:hint="eastAsia" w:ascii="宋体" w:hAnsi="宋体" w:cs="宋体"/>
          <w:color w:val="auto"/>
          <w:kern w:val="0"/>
          <w:sz w:val="24"/>
          <w:highlight w:val="none"/>
          <w:u w:val="single"/>
        </w:rPr>
        <w:t xml:space="preserve"> 投标供应商名称 </w:t>
      </w:r>
      <w:r>
        <w:rPr>
          <w:rFonts w:hint="eastAsia" w:ascii="宋体" w:hAnsi="宋体" w:cs="宋体"/>
          <w:color w:val="auto"/>
          <w:kern w:val="0"/>
          <w:sz w:val="24"/>
          <w:highlight w:val="none"/>
        </w:rPr>
        <w:t>）的法定代表人，我公司自愿参加贵方组织的（</w:t>
      </w:r>
      <w:r>
        <w:rPr>
          <w:rFonts w:hint="eastAsia" w:ascii="宋体" w:hAnsi="宋体" w:cs="宋体"/>
          <w:color w:val="auto"/>
          <w:kern w:val="0"/>
          <w:sz w:val="24"/>
          <w:highlight w:val="none"/>
          <w:u w:val="single"/>
        </w:rPr>
        <w:t>招标项目名称</w:t>
      </w:r>
      <w:r>
        <w:rPr>
          <w:rFonts w:hint="eastAsia" w:ascii="宋体" w:hAnsi="宋体" w:cs="宋体"/>
          <w:color w:val="auto"/>
          <w:kern w:val="0"/>
          <w:sz w:val="24"/>
          <w:highlight w:val="none"/>
        </w:rPr>
        <w:t>）（编号为）的投标，为此，我公司就本次投标有关事项郑重声明如下：</w:t>
      </w:r>
    </w:p>
    <w:p w14:paraId="04B94542">
      <w:pPr>
        <w:numPr>
          <w:ilvl w:val="0"/>
          <w:numId w:val="32"/>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声明截止投标时间近三年以来：未被列入失信被执行人、重大税收违法失信主体、政府采购严重违法失信行为记录名单，以及不存在其他不符合《中华人民共和国政府采购法》第二十二条规定的条件。【说明：投标供应商在截止投标时间近三年以来，如有上述所列情形，但限制期届满的，可按实陈述，并提供相应证明文件。】</w:t>
      </w:r>
    </w:p>
    <w:p w14:paraId="2076DBC5">
      <w:pPr>
        <w:numPr>
          <w:ilvl w:val="0"/>
          <w:numId w:val="32"/>
        </w:numPr>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我公司在参与投标前已详细审查了招标文件和所有相关资料，我方完全知悉并认为此招标文件没有倾向性，也没有存在排斥潜在投标供应商的内容，我方对招标文件的所有内容没有任何异议，不申请澄清和质疑。</w:t>
      </w:r>
    </w:p>
    <w:p w14:paraId="50056848">
      <w:pPr>
        <w:numPr>
          <w:ilvl w:val="0"/>
          <w:numId w:val="32"/>
        </w:numPr>
        <w:snapToGrid w:val="0"/>
        <w:spacing w:line="360" w:lineRule="auto"/>
        <w:ind w:firstLine="480" w:firstLineChars="200"/>
        <w:rPr>
          <w:rFonts w:ascii="宋体" w:hAnsi="宋体"/>
          <w:color w:val="auto"/>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rPr>
        <w:t>不是采购人的附属机构；</w:t>
      </w:r>
      <w:r>
        <w:rPr>
          <w:rFonts w:hint="eastAsia" w:ascii="宋体" w:hAnsi="宋体"/>
          <w:color w:val="auto"/>
          <w:sz w:val="24"/>
          <w:highlight w:val="none"/>
        </w:rPr>
        <w:t>在获知本项目采购信息后，与采购人聘请的为此项目提供咨询服务的公司及其附属机构没有任何联系。</w:t>
      </w:r>
    </w:p>
    <w:p w14:paraId="415CFAC0">
      <w:pPr>
        <w:snapToGrid w:val="0"/>
        <w:spacing w:line="360" w:lineRule="auto"/>
        <w:ind w:firstLine="480" w:firstLineChars="200"/>
        <w:rPr>
          <w:rFonts w:ascii="宋体" w:hAnsi="宋体"/>
          <w:color w:val="auto"/>
          <w:kern w:val="0"/>
          <w:sz w:val="24"/>
          <w:highlight w:val="none"/>
          <w:lang w:val="af-ZA"/>
        </w:rPr>
      </w:pPr>
      <w:r>
        <w:rPr>
          <w:rFonts w:hint="eastAsia" w:ascii="宋体" w:hAnsi="宋体"/>
          <w:color w:val="auto"/>
          <w:sz w:val="24"/>
          <w:highlight w:val="none"/>
        </w:rPr>
        <w:t>4、</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s="宋体"/>
          <w:color w:val="auto"/>
          <w:kern w:val="0"/>
          <w:sz w:val="24"/>
          <w:highlight w:val="none"/>
        </w:rPr>
        <w:t>保证，</w:t>
      </w:r>
      <w:r>
        <w:rPr>
          <w:rFonts w:hint="eastAsia" w:ascii="宋体" w:hAnsi="宋体"/>
          <w:color w:val="auto"/>
          <w:kern w:val="0"/>
          <w:sz w:val="24"/>
          <w:highlight w:val="none"/>
          <w:lang w:val="af-ZA"/>
        </w:rPr>
        <w:t>采购人在中华人民共和国境内使用</w:t>
      </w:r>
      <w:r>
        <w:rPr>
          <w:rFonts w:hint="eastAsia" w:ascii="宋体" w:hAnsi="宋体" w:cs="宋体"/>
          <w:color w:val="auto"/>
          <w:kern w:val="0"/>
          <w:sz w:val="24"/>
          <w:highlight w:val="none"/>
        </w:rPr>
        <w:t>我</w:t>
      </w:r>
      <w:r>
        <w:rPr>
          <w:rFonts w:hint="eastAsia" w:ascii="宋体" w:hAnsi="宋体" w:cs="仿宋_GB2312"/>
          <w:color w:val="auto"/>
          <w:kern w:val="0"/>
          <w:sz w:val="24"/>
          <w:highlight w:val="none"/>
          <w:lang w:val="zh-CN"/>
        </w:rPr>
        <w:t>公司</w:t>
      </w:r>
      <w:r>
        <w:rPr>
          <w:rFonts w:hint="eastAsia"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color w:val="auto"/>
          <w:kern w:val="0"/>
          <w:sz w:val="24"/>
          <w:highlight w:val="none"/>
          <w:lang w:val="af-ZA"/>
        </w:rPr>
        <w:t>我方</w:t>
      </w:r>
      <w:r>
        <w:rPr>
          <w:rFonts w:hint="eastAsia" w:ascii="宋体" w:hAnsi="宋体"/>
          <w:color w:val="auto"/>
          <w:kern w:val="0"/>
          <w:sz w:val="24"/>
          <w:highlight w:val="none"/>
          <w:lang w:val="af-ZA"/>
        </w:rPr>
        <w:t>承担。</w:t>
      </w:r>
      <w:r>
        <w:rPr>
          <w:rFonts w:hint="eastAsia" w:ascii="宋体" w:hAnsi="宋体" w:cs="宋体"/>
          <w:color w:val="auto"/>
          <w:kern w:val="0"/>
          <w:sz w:val="24"/>
          <w:highlight w:val="none"/>
          <w:lang w:val="af-ZA"/>
        </w:rPr>
        <w:t>我方的</w:t>
      </w:r>
      <w:r>
        <w:rPr>
          <w:rFonts w:hint="eastAsia" w:ascii="宋体" w:hAnsi="宋体"/>
          <w:color w:val="auto"/>
          <w:kern w:val="0"/>
          <w:sz w:val="24"/>
          <w:highlight w:val="none"/>
          <w:lang w:val="af-ZA"/>
        </w:rPr>
        <w:t>投标报价</w:t>
      </w:r>
      <w:r>
        <w:rPr>
          <w:rFonts w:hint="eastAsia" w:ascii="宋体" w:hAnsi="宋体" w:cs="宋体"/>
          <w:color w:val="auto"/>
          <w:kern w:val="0"/>
          <w:sz w:val="24"/>
          <w:highlight w:val="none"/>
          <w:lang w:val="af-ZA"/>
        </w:rPr>
        <w:t>已</w:t>
      </w:r>
      <w:r>
        <w:rPr>
          <w:rFonts w:hint="eastAsia" w:ascii="宋体" w:hAnsi="宋体"/>
          <w:color w:val="auto"/>
          <w:kern w:val="0"/>
          <w:sz w:val="24"/>
          <w:highlight w:val="none"/>
          <w:lang w:val="af-ZA"/>
        </w:rPr>
        <w:t>包含所有应向所有权人支付的专利权、商标权或其它知识产权的一切相关费用。</w:t>
      </w:r>
    </w:p>
    <w:p w14:paraId="7BFB79C3">
      <w:pPr>
        <w:snapToGrid w:val="0"/>
        <w:spacing w:line="360" w:lineRule="auto"/>
        <w:ind w:firstLine="480" w:firstLineChars="200"/>
        <w:rPr>
          <w:rFonts w:ascii="仿宋_GB2312" w:hAnsi="仿宋_GB2312" w:eastAsia="仿宋_GB2312" w:cs="仿宋_GB2312"/>
          <w:color w:val="auto"/>
          <w:sz w:val="24"/>
          <w:highlight w:val="none"/>
        </w:rPr>
      </w:pPr>
      <w:r>
        <w:rPr>
          <w:rFonts w:hint="eastAsia" w:ascii="宋体" w:hAnsi="宋体" w:cs="宋体"/>
          <w:color w:val="auto"/>
          <w:kern w:val="0"/>
          <w:sz w:val="24"/>
          <w:highlight w:val="none"/>
          <w:lang w:val="af-ZA"/>
        </w:rPr>
        <w:t>5、我</w:t>
      </w:r>
      <w:r>
        <w:rPr>
          <w:rFonts w:hint="eastAsia" w:ascii="宋体" w:hAnsi="宋体" w:cs="宋体"/>
          <w:color w:val="auto"/>
          <w:kern w:val="0"/>
          <w:sz w:val="24"/>
          <w:highlight w:val="none"/>
          <w:lang w:val="zh-CN"/>
        </w:rPr>
        <w:t>公司</w:t>
      </w:r>
      <w:r>
        <w:rPr>
          <w:rFonts w:hint="eastAsia" w:ascii="宋体" w:hAnsi="宋体" w:cs="宋体"/>
          <w:color w:val="auto"/>
          <w:kern w:val="0"/>
          <w:sz w:val="24"/>
          <w:highlight w:val="none"/>
          <w:lang w:val="af-ZA"/>
        </w:rPr>
        <w:t>严格履行政府采购合同，除在投标文件中明确拒绝的之外，均接受招标文件中的全部条件不降低合同约定的产品质量和服务，不擅自变更、中止、终止合同，或拒绝履行合同义务；</w:t>
      </w:r>
    </w:p>
    <w:p w14:paraId="6D0BF339">
      <w:pPr>
        <w:snapToGrid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6、以上事项如有虚假或隐瞒，我</w:t>
      </w:r>
      <w:r>
        <w:rPr>
          <w:rFonts w:hint="eastAsia" w:ascii="宋体" w:hAnsi="宋体" w:cs="仿宋_GB2312"/>
          <w:color w:val="auto"/>
          <w:kern w:val="0"/>
          <w:sz w:val="24"/>
          <w:highlight w:val="none"/>
          <w:lang w:val="zh-CN"/>
        </w:rPr>
        <w:t>公司</w:t>
      </w:r>
      <w:r>
        <w:rPr>
          <w:rFonts w:hint="eastAsia" w:ascii="宋体" w:hAnsi="宋体"/>
          <w:color w:val="auto"/>
          <w:sz w:val="24"/>
          <w:highlight w:val="none"/>
        </w:rPr>
        <w:t>愿意承担一切后果，并不再寻求任何旨在减轻或免除法律责任的辩解。</w:t>
      </w:r>
    </w:p>
    <w:p w14:paraId="09C3CEEA">
      <w:pPr>
        <w:adjustRightInd w:val="0"/>
        <w:snapToGrid w:val="0"/>
        <w:spacing w:line="360" w:lineRule="auto"/>
        <w:ind w:firstLine="200"/>
        <w:rPr>
          <w:rFonts w:ascii="宋体" w:hAnsi="宋体" w:cs="仿宋_GB2312"/>
          <w:color w:val="auto"/>
          <w:kern w:val="0"/>
          <w:sz w:val="24"/>
          <w:highlight w:val="none"/>
        </w:rPr>
      </w:pPr>
    </w:p>
    <w:p w14:paraId="2B35C30F">
      <w:pPr>
        <w:adjustRightInd w:val="0"/>
        <w:snapToGrid w:val="0"/>
        <w:spacing w:line="360" w:lineRule="auto"/>
        <w:ind w:firstLine="4680" w:firstLineChars="195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投标供应商名称(电子印章)：</w:t>
      </w:r>
    </w:p>
    <w:p w14:paraId="1DD174C9">
      <w:pPr>
        <w:adjustRightInd w:val="0"/>
        <w:snapToGrid w:val="0"/>
        <w:spacing w:line="360" w:lineRule="auto"/>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法定代表人或授权委托人签字或电子印章：</w:t>
      </w:r>
    </w:p>
    <w:p w14:paraId="25CDBC6A">
      <w:pPr>
        <w:adjustRightInd w:val="0"/>
        <w:snapToGrid w:val="0"/>
        <w:spacing w:line="360" w:lineRule="auto"/>
        <w:ind w:firstLine="200"/>
        <w:rPr>
          <w:rFonts w:ascii="宋体" w:hAnsi="宋体" w:cs="仿宋_GB2312"/>
          <w:color w:val="auto"/>
          <w:kern w:val="0"/>
          <w:sz w:val="24"/>
          <w:highlight w:val="none"/>
          <w:lang w:val="zh-CN"/>
        </w:rPr>
      </w:pPr>
      <w:r>
        <w:rPr>
          <w:rFonts w:hint="eastAsia" w:ascii="宋体" w:hAnsi="宋体" w:cs="仿宋_GB2312"/>
          <w:color w:val="auto"/>
          <w:kern w:val="0"/>
          <w:sz w:val="24"/>
          <w:highlight w:val="none"/>
          <w:lang w:val="zh-CN"/>
        </w:rPr>
        <w:t xml:space="preserve">                                       日期：</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年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月 </w:t>
      </w:r>
      <w:r>
        <w:rPr>
          <w:rFonts w:hint="eastAsia" w:ascii="宋体" w:hAnsi="宋体" w:cstheme="minorBidi"/>
          <w:color w:val="auto"/>
          <w:sz w:val="24"/>
          <w:highlight w:val="none"/>
        </w:rPr>
        <w:t>××</w:t>
      </w:r>
      <w:r>
        <w:rPr>
          <w:rFonts w:hint="eastAsia" w:ascii="宋体" w:hAnsi="宋体" w:cs="仿宋_GB2312"/>
          <w:color w:val="auto"/>
          <w:kern w:val="0"/>
          <w:sz w:val="24"/>
          <w:highlight w:val="none"/>
          <w:lang w:val="zh-CN"/>
        </w:rPr>
        <w:t xml:space="preserve"> 日</w:t>
      </w:r>
    </w:p>
    <w:p w14:paraId="27596E5B">
      <w:pPr>
        <w:adjustRightInd w:val="0"/>
        <w:snapToGrid w:val="0"/>
        <w:spacing w:line="360" w:lineRule="auto"/>
        <w:ind w:firstLine="200"/>
        <w:rPr>
          <w:rFonts w:ascii="宋体" w:hAnsi="宋体"/>
          <w:b/>
          <w:color w:val="auto"/>
          <w:sz w:val="28"/>
          <w:highlight w:val="none"/>
        </w:rPr>
      </w:pPr>
    </w:p>
    <w:p w14:paraId="7EE0FD03">
      <w:pPr>
        <w:widowControl/>
        <w:jc w:val="left"/>
        <w:rPr>
          <w:rFonts w:ascii="宋体"/>
          <w:b/>
          <w:color w:val="auto"/>
          <w:sz w:val="30"/>
          <w:szCs w:val="30"/>
          <w:highlight w:val="none"/>
        </w:rPr>
      </w:pPr>
      <w:r>
        <w:rPr>
          <w:rFonts w:ascii="宋体" w:hAnsi="宋体"/>
          <w:b/>
          <w:color w:val="auto"/>
          <w:sz w:val="28"/>
          <w:highlight w:val="none"/>
        </w:rPr>
        <w:br w:type="page"/>
      </w:r>
      <w:r>
        <w:rPr>
          <w:rFonts w:hint="eastAsia" w:ascii="宋体" w:hAnsi="宋体"/>
          <w:b/>
          <w:color w:val="auto"/>
          <w:sz w:val="28"/>
          <w:highlight w:val="none"/>
        </w:rPr>
        <w:t>附件3</w:t>
      </w:r>
    </w:p>
    <w:p w14:paraId="37444987">
      <w:pPr>
        <w:spacing w:line="360" w:lineRule="auto"/>
        <w:ind w:firstLine="321" w:firstLineChars="100"/>
        <w:jc w:val="center"/>
        <w:rPr>
          <w:rFonts w:hAnsi="宋体"/>
          <w:b/>
          <w:color w:val="auto"/>
          <w:sz w:val="32"/>
          <w:szCs w:val="32"/>
          <w:highlight w:val="none"/>
          <w:u w:val="single"/>
        </w:rPr>
      </w:pPr>
      <w:bookmarkStart w:id="133" w:name="_Toc6870_WPSOffice_Level1"/>
      <w:bookmarkStart w:id="134" w:name="_Toc24373_WPSOffice_Level1"/>
      <w:r>
        <w:rPr>
          <w:b/>
          <w:color w:val="auto"/>
          <w:sz w:val="32"/>
          <w:szCs w:val="32"/>
          <w:highlight w:val="none"/>
        </w:rPr>
        <w:t>授权</w:t>
      </w:r>
      <w:r>
        <w:rPr>
          <w:rFonts w:hint="eastAsia"/>
          <w:b/>
          <w:color w:val="auto"/>
          <w:sz w:val="32"/>
          <w:szCs w:val="32"/>
          <w:highlight w:val="none"/>
        </w:rPr>
        <w:t>委托</w:t>
      </w:r>
      <w:r>
        <w:rPr>
          <w:b/>
          <w:color w:val="auto"/>
          <w:sz w:val="32"/>
          <w:szCs w:val="32"/>
          <w:highlight w:val="none"/>
        </w:rPr>
        <w:t>书</w:t>
      </w:r>
      <w:bookmarkEnd w:id="133"/>
      <w:bookmarkEnd w:id="134"/>
    </w:p>
    <w:p w14:paraId="0ADFF176">
      <w:pPr>
        <w:snapToGrid w:val="0"/>
        <w:spacing w:before="159" w:beforeLines="50" w:after="50" w:line="360" w:lineRule="auto"/>
        <w:rPr>
          <w:rFonts w:ascii="宋体" w:hAnsi="宋体" w:cs="宋体"/>
          <w:color w:val="auto"/>
          <w:kern w:val="0"/>
          <w:sz w:val="24"/>
          <w:highlight w:val="none"/>
        </w:rPr>
      </w:pPr>
      <w:r>
        <w:rPr>
          <w:rFonts w:hint="eastAsia" w:ascii="宋体" w:hAnsi="宋体" w:cstheme="minorBidi"/>
          <w:color w:val="auto"/>
          <w:sz w:val="24"/>
          <w:highlight w:val="none"/>
          <w:u w:val="single"/>
        </w:rPr>
        <w:t>台州市建设咨询有限公司</w:t>
      </w:r>
      <w:r>
        <w:rPr>
          <w:rFonts w:hint="eastAsia" w:ascii="宋体" w:hAnsi="宋体" w:cs="宋体"/>
          <w:color w:val="auto"/>
          <w:kern w:val="0"/>
          <w:sz w:val="24"/>
          <w:highlight w:val="none"/>
        </w:rPr>
        <w:t>（采购代理机构名称）：</w:t>
      </w:r>
    </w:p>
    <w:p w14:paraId="60D02088">
      <w:pPr>
        <w:pStyle w:val="26"/>
        <w:spacing w:line="360" w:lineRule="auto"/>
        <w:ind w:firstLine="480" w:firstLineChars="200"/>
        <w:rPr>
          <w:rFonts w:hAnsi="宋体"/>
          <w:color w:val="auto"/>
          <w:sz w:val="24"/>
          <w:highlight w:val="none"/>
        </w:rPr>
      </w:pPr>
      <w:r>
        <w:rPr>
          <w:rFonts w:hAnsi="宋体"/>
          <w:color w:val="auto"/>
          <w:sz w:val="24"/>
          <w:highlight w:val="none"/>
          <w:u w:val="single"/>
        </w:rPr>
        <w:t xml:space="preserve">  （投标供应商全称）  </w:t>
      </w:r>
      <w:r>
        <w:rPr>
          <w:rFonts w:hAnsi="宋体"/>
          <w:color w:val="auto"/>
          <w:sz w:val="24"/>
          <w:highlight w:val="none"/>
        </w:rPr>
        <w:t>法定代表人</w:t>
      </w:r>
      <w:r>
        <w:rPr>
          <w:rFonts w:hint="eastAsia" w:ascii="Arial" w:hAnsi="Arial" w:cs="Arial"/>
          <w:color w:val="auto"/>
          <w:sz w:val="24"/>
          <w:highlight w:val="none"/>
        </w:rPr>
        <w:t>（或营业执照中单位负责人）</w:t>
      </w:r>
      <w:r>
        <w:rPr>
          <w:rFonts w:hAnsi="宋体"/>
          <w:color w:val="auto"/>
          <w:sz w:val="24"/>
          <w:highlight w:val="none"/>
          <w:u w:val="single"/>
        </w:rPr>
        <w:tab/>
      </w:r>
      <w:r>
        <w:rPr>
          <w:rFonts w:hAnsi="宋体"/>
          <w:color w:val="auto"/>
          <w:sz w:val="24"/>
          <w:highlight w:val="none"/>
          <w:u w:val="single"/>
        </w:rPr>
        <w:t>（法定代表</w:t>
      </w:r>
      <w:r>
        <w:rPr>
          <w:rFonts w:hint="eastAsia" w:hAnsi="宋体"/>
          <w:color w:val="auto"/>
          <w:sz w:val="24"/>
          <w:highlight w:val="none"/>
          <w:u w:val="single"/>
        </w:rPr>
        <w:t>人</w:t>
      </w:r>
      <w:r>
        <w:rPr>
          <w:rFonts w:hint="eastAsia" w:ascii="Arial" w:hAnsi="Arial" w:cs="Arial"/>
          <w:color w:val="auto"/>
          <w:sz w:val="24"/>
          <w:highlight w:val="none"/>
          <w:u w:val="single"/>
        </w:rPr>
        <w:t>或营业执照中单位负责人</w:t>
      </w:r>
      <w:r>
        <w:rPr>
          <w:rFonts w:hAnsi="宋体"/>
          <w:color w:val="auto"/>
          <w:sz w:val="24"/>
          <w:highlight w:val="none"/>
          <w:u w:val="single"/>
        </w:rPr>
        <w:t xml:space="preserve">姓名） </w:t>
      </w:r>
      <w:r>
        <w:rPr>
          <w:rFonts w:hAnsi="宋体"/>
          <w:color w:val="auto"/>
          <w:sz w:val="24"/>
          <w:highlight w:val="none"/>
        </w:rPr>
        <w:t>授权</w:t>
      </w:r>
      <w:r>
        <w:rPr>
          <w:rFonts w:hint="eastAsia" w:hAnsi="宋体"/>
          <w:color w:val="auto"/>
          <w:sz w:val="24"/>
          <w:highlight w:val="none"/>
          <w:u w:val="single"/>
        </w:rPr>
        <w:t xml:space="preserve">   （全权代表</w:t>
      </w:r>
      <w:r>
        <w:rPr>
          <w:rFonts w:hAnsi="宋体"/>
          <w:color w:val="auto"/>
          <w:sz w:val="24"/>
          <w:highlight w:val="none"/>
          <w:u w:val="single"/>
        </w:rPr>
        <w:t>姓名</w:t>
      </w:r>
      <w:r>
        <w:rPr>
          <w:rFonts w:hint="eastAsia" w:hAnsi="宋体"/>
          <w:color w:val="auto"/>
          <w:sz w:val="24"/>
          <w:highlight w:val="none"/>
          <w:u w:val="single"/>
        </w:rPr>
        <w:t xml:space="preserve">） </w:t>
      </w:r>
      <w:r>
        <w:rPr>
          <w:rFonts w:hAnsi="宋体"/>
          <w:color w:val="auto"/>
          <w:sz w:val="24"/>
          <w:highlight w:val="none"/>
        </w:rPr>
        <w:t>为</w:t>
      </w:r>
      <w:r>
        <w:rPr>
          <w:rFonts w:hint="eastAsia" w:hAnsi="宋体"/>
          <w:color w:val="auto"/>
          <w:sz w:val="24"/>
          <w:highlight w:val="none"/>
        </w:rPr>
        <w:t>全权代表</w:t>
      </w:r>
      <w:r>
        <w:rPr>
          <w:rFonts w:hAnsi="宋体"/>
          <w:color w:val="auto"/>
          <w:sz w:val="24"/>
          <w:highlight w:val="none"/>
        </w:rPr>
        <w:t>，参加贵单位组织的</w:t>
      </w:r>
      <w:r>
        <w:rPr>
          <w:rFonts w:hAnsi="宋体"/>
          <w:color w:val="auto"/>
          <w:sz w:val="24"/>
          <w:highlight w:val="none"/>
          <w:u w:val="single"/>
        </w:rPr>
        <w:tab/>
      </w:r>
      <w:r>
        <w:rPr>
          <w:rFonts w:hAnsi="宋体"/>
          <w:color w:val="auto"/>
          <w:sz w:val="24"/>
          <w:highlight w:val="none"/>
        </w:rPr>
        <w:t>项目的采购活动，并代表我方全权办理针对上述项目的投标、开标、评标、签约等具体事务和签署相关文件。</w:t>
      </w:r>
      <w:r>
        <w:rPr>
          <w:rFonts w:hint="eastAsia" w:hAnsi="宋体"/>
          <w:color w:val="auto"/>
          <w:sz w:val="24"/>
          <w:highlight w:val="none"/>
        </w:rPr>
        <w:t>我方对全权代表的签字事项负全部责任。</w:t>
      </w:r>
    </w:p>
    <w:p w14:paraId="18F75A85">
      <w:pPr>
        <w:pStyle w:val="26"/>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在撤销授权的书面通知以前，本授权书一直有效。全权代表在授权委托书有效期内签署的所有文件不因授权的撤销而失效。</w:t>
      </w:r>
    </w:p>
    <w:p w14:paraId="632D90CD">
      <w:pPr>
        <w:pStyle w:val="26"/>
        <w:spacing w:line="360" w:lineRule="auto"/>
        <w:ind w:firstLine="480" w:firstLineChars="200"/>
        <w:rPr>
          <w:rFonts w:hAnsi="宋体"/>
          <w:color w:val="auto"/>
          <w:sz w:val="24"/>
          <w:highlight w:val="none"/>
        </w:rPr>
      </w:pPr>
      <w:r>
        <w:rPr>
          <w:rFonts w:hint="eastAsia" w:hAnsi="宋体"/>
          <w:color w:val="auto"/>
          <w:sz w:val="24"/>
          <w:highlight w:val="none"/>
        </w:rPr>
        <w:t>全权代表无转委托权，特此委托。</w:t>
      </w:r>
    </w:p>
    <w:p w14:paraId="771F68E7">
      <w:pPr>
        <w:spacing w:line="360" w:lineRule="auto"/>
        <w:rPr>
          <w:color w:val="auto"/>
          <w:sz w:val="24"/>
          <w:highlight w:val="none"/>
        </w:rPr>
      </w:pPr>
    </w:p>
    <w:p w14:paraId="7CCC2AA2">
      <w:pPr>
        <w:spacing w:line="360" w:lineRule="auto"/>
        <w:rPr>
          <w:color w:val="auto"/>
          <w:sz w:val="24"/>
          <w:highlight w:val="none"/>
        </w:rPr>
      </w:pPr>
      <w:r>
        <w:rPr>
          <w:rFonts w:hint="eastAsia" w:ascii="宋体"/>
          <w:color w:val="auto"/>
          <w:sz w:val="24"/>
          <w:highlight w:val="none"/>
        </w:rPr>
        <w:t>法定代表人签字或盖章：</w:t>
      </w:r>
    </w:p>
    <w:p w14:paraId="675A612F">
      <w:pPr>
        <w:spacing w:line="360" w:lineRule="auto"/>
        <w:rPr>
          <w:color w:val="auto"/>
          <w:sz w:val="24"/>
          <w:highlight w:val="none"/>
        </w:rPr>
      </w:pPr>
      <w:r>
        <w:rPr>
          <w:rFonts w:hint="eastAsia" w:ascii="宋体"/>
          <w:color w:val="auto"/>
          <w:sz w:val="24"/>
          <w:highlight w:val="none"/>
        </w:rPr>
        <w:t>投标供应商全称（电子印章）：                              日期：</w:t>
      </w:r>
    </w:p>
    <w:p w14:paraId="3AF38415">
      <w:pPr>
        <w:spacing w:line="360" w:lineRule="auto"/>
        <w:rPr>
          <w:b/>
          <w:color w:val="auto"/>
          <w:sz w:val="24"/>
          <w:highlight w:val="none"/>
        </w:rPr>
      </w:pPr>
      <w:r>
        <w:rPr>
          <w:rFonts w:hint="eastAsia" w:ascii="宋体"/>
          <w:b/>
          <w:color w:val="auto"/>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CE14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BFAC93D">
            <w:pPr>
              <w:spacing w:line="360" w:lineRule="auto"/>
              <w:rPr>
                <w:rFonts w:ascii="宋体"/>
                <w:b/>
                <w:color w:val="auto"/>
                <w:sz w:val="24"/>
                <w:highlight w:val="none"/>
              </w:rPr>
            </w:pPr>
          </w:p>
          <w:p w14:paraId="3DC9B625">
            <w:pPr>
              <w:spacing w:line="360" w:lineRule="auto"/>
              <w:ind w:firstLine="361" w:firstLineChars="150"/>
              <w:rPr>
                <w:rFonts w:ascii="宋体"/>
                <w:b/>
                <w:color w:val="auto"/>
                <w:sz w:val="24"/>
                <w:highlight w:val="none"/>
              </w:rPr>
            </w:pPr>
            <w:r>
              <w:rPr>
                <w:rFonts w:hint="eastAsia" w:ascii="宋体"/>
                <w:b/>
                <w:color w:val="auto"/>
                <w:sz w:val="24"/>
                <w:highlight w:val="none"/>
              </w:rPr>
              <w:t>法定代表身份证扫描件或影印件粘贴处</w:t>
            </w:r>
          </w:p>
        </w:tc>
      </w:tr>
    </w:tbl>
    <w:p w14:paraId="55C9B71D">
      <w:pPr>
        <w:spacing w:line="360" w:lineRule="auto"/>
        <w:rPr>
          <w:color w:val="auto"/>
          <w:sz w:val="24"/>
          <w:highlight w:val="none"/>
        </w:rPr>
      </w:pPr>
      <w:r>
        <w:rPr>
          <w:rFonts w:hint="eastAsia" w:ascii="宋体"/>
          <w:color w:val="auto"/>
          <w:sz w:val="24"/>
          <w:highlight w:val="none"/>
        </w:rPr>
        <w:t xml:space="preserve">法定代表人姓名：                                 </w:t>
      </w:r>
    </w:p>
    <w:p w14:paraId="52CDEF11">
      <w:pPr>
        <w:spacing w:line="360" w:lineRule="auto"/>
        <w:rPr>
          <w:color w:val="auto"/>
          <w:sz w:val="24"/>
          <w:highlight w:val="none"/>
        </w:rPr>
      </w:pPr>
      <w:r>
        <w:rPr>
          <w:rFonts w:hint="eastAsia" w:ascii="宋体"/>
          <w:color w:val="auto"/>
          <w:sz w:val="24"/>
          <w:highlight w:val="none"/>
        </w:rPr>
        <w:t>传真：</w:t>
      </w:r>
    </w:p>
    <w:p w14:paraId="4CD53616">
      <w:pPr>
        <w:spacing w:line="360" w:lineRule="auto"/>
        <w:rPr>
          <w:rFonts w:ascii="宋体"/>
          <w:color w:val="auto"/>
          <w:sz w:val="24"/>
          <w:highlight w:val="none"/>
        </w:rPr>
      </w:pPr>
      <w:r>
        <w:rPr>
          <w:rFonts w:hint="eastAsia" w:ascii="宋体"/>
          <w:color w:val="auto"/>
          <w:sz w:val="24"/>
          <w:highlight w:val="none"/>
        </w:rPr>
        <w:t>电话：</w:t>
      </w:r>
    </w:p>
    <w:p w14:paraId="0579E6E3">
      <w:pPr>
        <w:spacing w:line="360" w:lineRule="auto"/>
        <w:rPr>
          <w:color w:val="auto"/>
          <w:sz w:val="24"/>
          <w:highlight w:val="none"/>
        </w:rPr>
      </w:pPr>
      <w:r>
        <w:rPr>
          <w:rFonts w:hint="eastAsia" w:ascii="宋体"/>
          <w:color w:val="auto"/>
          <w:sz w:val="24"/>
          <w:highlight w:val="none"/>
        </w:rPr>
        <w:t>详细通讯地址：</w:t>
      </w:r>
    </w:p>
    <w:p w14:paraId="0CC6146C">
      <w:pPr>
        <w:spacing w:line="360" w:lineRule="auto"/>
        <w:rPr>
          <w:rFonts w:ascii="宋体"/>
          <w:color w:val="auto"/>
          <w:sz w:val="24"/>
          <w:highlight w:val="none"/>
        </w:rPr>
      </w:pPr>
      <w:r>
        <w:rPr>
          <w:rFonts w:hint="eastAsia" w:ascii="宋体"/>
          <w:color w:val="auto"/>
          <w:sz w:val="24"/>
          <w:highlight w:val="none"/>
        </w:rPr>
        <w:t>邮政编码：</w:t>
      </w:r>
    </w:p>
    <w:p w14:paraId="23552B92">
      <w:pPr>
        <w:spacing w:line="360" w:lineRule="auto"/>
        <w:rPr>
          <w:b/>
          <w:color w:val="auto"/>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638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5528827">
            <w:pPr>
              <w:spacing w:line="360" w:lineRule="auto"/>
              <w:rPr>
                <w:rFonts w:ascii="宋体"/>
                <w:b/>
                <w:color w:val="auto"/>
                <w:sz w:val="24"/>
                <w:highlight w:val="none"/>
              </w:rPr>
            </w:pPr>
          </w:p>
          <w:p w14:paraId="05866B1E">
            <w:pPr>
              <w:spacing w:line="360" w:lineRule="auto"/>
              <w:ind w:firstLine="361" w:firstLineChars="150"/>
              <w:rPr>
                <w:rFonts w:ascii="宋体"/>
                <w:b/>
                <w:color w:val="auto"/>
                <w:sz w:val="24"/>
                <w:highlight w:val="none"/>
              </w:rPr>
            </w:pPr>
            <w:r>
              <w:rPr>
                <w:rFonts w:hint="eastAsia" w:ascii="宋体"/>
                <w:b/>
                <w:color w:val="auto"/>
                <w:sz w:val="24"/>
                <w:highlight w:val="none"/>
              </w:rPr>
              <w:t>全权代表身份证扫描件或影印件粘贴处</w:t>
            </w:r>
          </w:p>
        </w:tc>
      </w:tr>
    </w:tbl>
    <w:p w14:paraId="040EC59E">
      <w:pPr>
        <w:spacing w:line="360" w:lineRule="auto"/>
        <w:rPr>
          <w:rFonts w:ascii="宋体"/>
          <w:color w:val="auto"/>
          <w:sz w:val="24"/>
          <w:highlight w:val="none"/>
        </w:rPr>
      </w:pPr>
      <w:r>
        <w:rPr>
          <w:rFonts w:hint="eastAsia" w:ascii="宋体"/>
          <w:color w:val="auto"/>
          <w:sz w:val="24"/>
          <w:highlight w:val="none"/>
        </w:rPr>
        <w:t xml:space="preserve">全权代表姓名：       </w:t>
      </w:r>
    </w:p>
    <w:p w14:paraId="38506CD5">
      <w:pPr>
        <w:spacing w:line="360" w:lineRule="auto"/>
        <w:rPr>
          <w:color w:val="auto"/>
          <w:sz w:val="24"/>
          <w:highlight w:val="none"/>
        </w:rPr>
      </w:pPr>
      <w:r>
        <w:rPr>
          <w:rFonts w:hint="eastAsia" w:ascii="宋体"/>
          <w:color w:val="auto"/>
          <w:sz w:val="24"/>
          <w:highlight w:val="none"/>
        </w:rPr>
        <w:t xml:space="preserve">职务：                           </w:t>
      </w:r>
    </w:p>
    <w:p w14:paraId="5EEC61BC">
      <w:pPr>
        <w:spacing w:line="360" w:lineRule="auto"/>
        <w:rPr>
          <w:color w:val="auto"/>
          <w:sz w:val="24"/>
          <w:highlight w:val="none"/>
        </w:rPr>
      </w:pPr>
      <w:r>
        <w:rPr>
          <w:rFonts w:hint="eastAsia" w:ascii="宋体"/>
          <w:color w:val="auto"/>
          <w:sz w:val="24"/>
          <w:highlight w:val="none"/>
        </w:rPr>
        <w:t>传真：</w:t>
      </w:r>
    </w:p>
    <w:p w14:paraId="1E22D772">
      <w:pPr>
        <w:spacing w:line="360" w:lineRule="auto"/>
        <w:rPr>
          <w:rFonts w:ascii="宋体"/>
          <w:color w:val="auto"/>
          <w:sz w:val="24"/>
          <w:highlight w:val="none"/>
        </w:rPr>
      </w:pPr>
      <w:r>
        <w:rPr>
          <w:rFonts w:hint="eastAsia" w:ascii="宋体"/>
          <w:color w:val="auto"/>
          <w:sz w:val="24"/>
          <w:highlight w:val="none"/>
        </w:rPr>
        <w:t>电话：</w:t>
      </w:r>
    </w:p>
    <w:p w14:paraId="3FC2E95A">
      <w:pPr>
        <w:spacing w:line="360" w:lineRule="auto"/>
        <w:rPr>
          <w:color w:val="auto"/>
          <w:sz w:val="24"/>
          <w:highlight w:val="none"/>
        </w:rPr>
      </w:pPr>
      <w:r>
        <w:rPr>
          <w:rFonts w:hint="eastAsia" w:ascii="宋体"/>
          <w:color w:val="auto"/>
          <w:sz w:val="24"/>
          <w:highlight w:val="none"/>
        </w:rPr>
        <w:t>详细通讯地址：</w:t>
      </w:r>
    </w:p>
    <w:p w14:paraId="4DB037CE">
      <w:pPr>
        <w:spacing w:line="360" w:lineRule="auto"/>
        <w:rPr>
          <w:rFonts w:ascii="宋体"/>
          <w:color w:val="auto"/>
          <w:sz w:val="24"/>
          <w:highlight w:val="none"/>
        </w:rPr>
      </w:pPr>
      <w:r>
        <w:rPr>
          <w:rFonts w:hint="eastAsia" w:ascii="宋体"/>
          <w:color w:val="auto"/>
          <w:sz w:val="24"/>
          <w:highlight w:val="none"/>
        </w:rPr>
        <w:t>邮政编码：</w:t>
      </w:r>
    </w:p>
    <w:p w14:paraId="4F940D80">
      <w:pPr>
        <w:widowControl/>
        <w:jc w:val="left"/>
        <w:rPr>
          <w:rFonts w:ascii="宋体" w:hAnsi="宋体"/>
          <w:b/>
          <w:color w:val="auto"/>
          <w:sz w:val="28"/>
          <w:highlight w:val="none"/>
        </w:rPr>
      </w:pPr>
      <w:bookmarkStart w:id="135" w:name="_Toc351_WPSOffice_Level1"/>
      <w:bookmarkStart w:id="136" w:name="_Toc20519_WPSOffice_Level1"/>
      <w:r>
        <w:rPr>
          <w:rFonts w:ascii="宋体" w:hAnsi="宋体"/>
          <w:b/>
          <w:color w:val="auto"/>
          <w:sz w:val="28"/>
          <w:highlight w:val="none"/>
        </w:rPr>
        <w:br w:type="page"/>
      </w:r>
    </w:p>
    <w:p w14:paraId="1CC24B60">
      <w:pPr>
        <w:spacing w:line="360" w:lineRule="auto"/>
        <w:rPr>
          <w:rFonts w:ascii="宋体" w:hAnsi="宋体"/>
          <w:b/>
          <w:color w:val="auto"/>
          <w:sz w:val="28"/>
          <w:highlight w:val="none"/>
        </w:rPr>
      </w:pPr>
      <w:r>
        <w:rPr>
          <w:rFonts w:hint="eastAsia" w:ascii="宋体" w:hAnsi="宋体"/>
          <w:b/>
          <w:color w:val="auto"/>
          <w:sz w:val="28"/>
          <w:highlight w:val="none"/>
        </w:rPr>
        <w:t>附件4</w:t>
      </w:r>
    </w:p>
    <w:p w14:paraId="3416854A">
      <w:pPr>
        <w:spacing w:after="319" w:afterLines="100"/>
        <w:jc w:val="center"/>
        <w:rPr>
          <w:rFonts w:ascii="宋体" w:hAnsi="宋体" w:cs="仿宋_GB2312"/>
          <w:b/>
          <w:bCs/>
          <w:color w:val="auto"/>
          <w:kern w:val="0"/>
          <w:sz w:val="24"/>
          <w:highlight w:val="none"/>
          <w:lang w:val="zh-CN"/>
        </w:rPr>
      </w:pPr>
      <w:bookmarkStart w:id="137" w:name="_Toc51489575"/>
    </w:p>
    <w:p w14:paraId="0AF86F32">
      <w:pPr>
        <w:spacing w:after="319"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供应商财务状况和依法缴纳税收及社会保障资金的书面承诺</w:t>
      </w:r>
      <w:bookmarkEnd w:id="137"/>
    </w:p>
    <w:p w14:paraId="6A85258B">
      <w:pPr>
        <w:spacing w:after="319" w:afterLines="100" w:line="360" w:lineRule="auto"/>
        <w:jc w:val="left"/>
        <w:rPr>
          <w:rFonts w:ascii="宋体" w:hAnsi="宋体" w:cs="仿宋_GB2312"/>
          <w:bCs/>
          <w:color w:val="auto"/>
          <w:kern w:val="0"/>
          <w:sz w:val="24"/>
          <w:highlight w:val="none"/>
          <w:lang w:val="zh-CN"/>
        </w:rPr>
      </w:pPr>
    </w:p>
    <w:p w14:paraId="52D7F8EC">
      <w:pPr>
        <w:spacing w:after="319"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（采购人）</w:t>
      </w:r>
    </w:p>
    <w:p w14:paraId="5CB2BB03">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我公司作为本次采购项目的供应商，参加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（项目名称）采购活动，根据采购文件要求，现郑重承诺：</w:t>
      </w:r>
    </w:p>
    <w:p w14:paraId="45A35A8B">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我公司符合参与政府采购活动的资格条件，不存在税收缴纳、社会保障等方面的失信记录。</w:t>
      </w:r>
    </w:p>
    <w:p w14:paraId="5236F61A">
      <w:pPr>
        <w:snapToGrid w:val="0"/>
        <w:spacing w:line="48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如本公司对以上条款提供虚假承诺，采购组织机构可取消我方任何资格（投标/中标/签订合同），我方对此无任何异议。</w:t>
      </w:r>
    </w:p>
    <w:p w14:paraId="49700288">
      <w:pPr>
        <w:snapToGrid w:val="0"/>
        <w:spacing w:line="480" w:lineRule="auto"/>
        <w:jc w:val="left"/>
        <w:rPr>
          <w:rFonts w:ascii="宋体" w:hAnsi="宋体" w:cs="宋体"/>
          <w:color w:val="auto"/>
          <w:sz w:val="24"/>
          <w:highlight w:val="none"/>
        </w:rPr>
      </w:pPr>
    </w:p>
    <w:p w14:paraId="71BB2B70">
      <w:pPr>
        <w:spacing w:line="360" w:lineRule="auto"/>
        <w:ind w:firstLine="424" w:firstLineChars="177"/>
        <w:rPr>
          <w:rFonts w:ascii="宋体" w:hAnsi="宋体"/>
          <w:color w:val="auto"/>
          <w:sz w:val="24"/>
          <w:highlight w:val="none"/>
        </w:rPr>
      </w:pPr>
    </w:p>
    <w:p w14:paraId="6CA0B50E">
      <w:pPr>
        <w:spacing w:line="360" w:lineRule="auto"/>
        <w:ind w:firstLine="424" w:firstLineChars="177"/>
        <w:rPr>
          <w:rFonts w:ascii="宋体" w:hAnsi="宋体"/>
          <w:color w:val="auto"/>
          <w:sz w:val="24"/>
          <w:highlight w:val="none"/>
        </w:rPr>
      </w:pPr>
    </w:p>
    <w:p w14:paraId="062CE820">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4CF171B0">
      <w:pPr>
        <w:spacing w:line="360" w:lineRule="auto"/>
        <w:ind w:left="420"/>
        <w:rPr>
          <w:rFonts w:ascii="宋体" w:hAnsi="宋体"/>
          <w:color w:val="auto"/>
          <w:sz w:val="24"/>
          <w:highlight w:val="none"/>
        </w:rPr>
      </w:pPr>
    </w:p>
    <w:p w14:paraId="268930A6">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2A5C1CFC">
      <w:pPr>
        <w:spacing w:line="360" w:lineRule="auto"/>
        <w:rPr>
          <w:rFonts w:ascii="宋体" w:hAnsi="宋体"/>
          <w:color w:val="auto"/>
          <w:sz w:val="24"/>
          <w:highlight w:val="none"/>
        </w:rPr>
      </w:pPr>
    </w:p>
    <w:p w14:paraId="67CC8641">
      <w:pPr>
        <w:pStyle w:val="9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3C3FD240">
      <w:pPr>
        <w:widowControl/>
        <w:jc w:val="left"/>
        <w:rPr>
          <w:b/>
          <w:bCs/>
          <w:color w:val="auto"/>
          <w:sz w:val="32"/>
          <w:szCs w:val="32"/>
          <w:highlight w:val="none"/>
          <w:lang w:val="zh-CN"/>
        </w:rPr>
      </w:pPr>
    </w:p>
    <w:p w14:paraId="195481A5">
      <w:pPr>
        <w:adjustRightInd w:val="0"/>
        <w:snapToGrid w:val="0"/>
        <w:spacing w:line="360" w:lineRule="auto"/>
        <w:ind w:right="480"/>
        <w:outlineLvl w:val="0"/>
        <w:rPr>
          <w:rFonts w:ascii="宋体" w:hAnsi="宋体"/>
          <w:b/>
          <w:color w:val="auto"/>
          <w:sz w:val="28"/>
          <w:highlight w:val="none"/>
        </w:rPr>
      </w:pPr>
    </w:p>
    <w:p w14:paraId="7D8319C3">
      <w:pPr>
        <w:widowControl/>
        <w:jc w:val="left"/>
        <w:rPr>
          <w:rFonts w:ascii="宋体" w:hAnsi="宋体"/>
          <w:b/>
          <w:color w:val="auto"/>
          <w:sz w:val="28"/>
          <w:highlight w:val="none"/>
        </w:rPr>
      </w:pPr>
      <w:r>
        <w:rPr>
          <w:color w:val="auto"/>
          <w:highlight w:val="none"/>
        </w:rPr>
        <w:br w:type="page"/>
      </w:r>
    </w:p>
    <w:p w14:paraId="79C93F32">
      <w:pPr>
        <w:spacing w:line="360" w:lineRule="auto"/>
        <w:rPr>
          <w:rFonts w:ascii="宋体" w:hAnsi="宋体"/>
          <w:color w:val="auto"/>
          <w:highlight w:val="none"/>
        </w:rPr>
      </w:pPr>
      <w:r>
        <w:rPr>
          <w:rFonts w:hint="eastAsia" w:ascii="宋体" w:hAnsi="宋体"/>
          <w:b/>
          <w:color w:val="auto"/>
          <w:sz w:val="28"/>
          <w:highlight w:val="none"/>
        </w:rPr>
        <w:t>附件5</w:t>
      </w:r>
    </w:p>
    <w:p w14:paraId="2156233A">
      <w:pPr>
        <w:spacing w:after="319" w:afterLines="100"/>
        <w:jc w:val="center"/>
        <w:rPr>
          <w:rFonts w:ascii="宋体" w:hAnsi="宋体" w:cs="仿宋_GB2312"/>
          <w:b/>
          <w:bCs/>
          <w:color w:val="auto"/>
          <w:kern w:val="0"/>
          <w:sz w:val="24"/>
          <w:highlight w:val="none"/>
          <w:lang w:val="zh-CN"/>
        </w:rPr>
      </w:pPr>
      <w:r>
        <w:rPr>
          <w:rFonts w:hint="eastAsia" w:ascii="宋体" w:hAnsi="宋体" w:cs="仿宋_GB2312"/>
          <w:b/>
          <w:bCs/>
          <w:color w:val="auto"/>
          <w:kern w:val="0"/>
          <w:sz w:val="24"/>
          <w:highlight w:val="none"/>
          <w:lang w:val="zh-CN"/>
        </w:rPr>
        <w:t>具有履行合同所必须的设备和专业技术能力的承诺函</w:t>
      </w:r>
    </w:p>
    <w:p w14:paraId="2008293C">
      <w:pPr>
        <w:spacing w:after="319" w:afterLines="100" w:line="360" w:lineRule="auto"/>
        <w:jc w:val="left"/>
        <w:rPr>
          <w:rFonts w:ascii="宋体" w:hAnsi="宋体" w:cs="仿宋_GB2312"/>
          <w:bCs/>
          <w:color w:val="auto"/>
          <w:kern w:val="0"/>
          <w:sz w:val="24"/>
          <w:highlight w:val="none"/>
          <w:lang w:val="zh-CN"/>
        </w:rPr>
      </w:pPr>
      <w:r>
        <w:rPr>
          <w:rFonts w:hint="eastAsia" w:ascii="宋体" w:hAnsi="宋体" w:cs="仿宋_GB2312"/>
          <w:bCs/>
          <w:color w:val="auto"/>
          <w:kern w:val="0"/>
          <w:sz w:val="24"/>
          <w:highlight w:val="none"/>
          <w:lang w:val="zh-CN"/>
        </w:rPr>
        <w:t>致：</w:t>
      </w:r>
      <w:r>
        <w:rPr>
          <w:rFonts w:hint="eastAsia" w:ascii="宋体" w:hAnsi="宋体" w:cs="宋体"/>
          <w:color w:val="auto"/>
          <w:sz w:val="24"/>
          <w:highlight w:val="none"/>
          <w:u w:val="single"/>
        </w:rPr>
        <w:t xml:space="preserve">                         </w:t>
      </w:r>
      <w:r>
        <w:rPr>
          <w:rFonts w:hint="eastAsia" w:ascii="宋体" w:hAnsi="宋体" w:cs="仿宋_GB2312"/>
          <w:bCs/>
          <w:color w:val="auto"/>
          <w:kern w:val="0"/>
          <w:sz w:val="24"/>
          <w:highlight w:val="none"/>
          <w:lang w:val="zh-CN"/>
        </w:rPr>
        <w:t>（采购人）</w:t>
      </w:r>
    </w:p>
    <w:p w14:paraId="0DE18679">
      <w:pPr>
        <w:spacing w:line="360" w:lineRule="auto"/>
        <w:ind w:firstLine="424" w:firstLineChars="177"/>
        <w:rPr>
          <w:rFonts w:ascii="宋体" w:hAnsi="宋体"/>
          <w:color w:val="auto"/>
          <w:sz w:val="24"/>
          <w:highlight w:val="none"/>
        </w:rPr>
      </w:pPr>
      <w:r>
        <w:rPr>
          <w:rFonts w:hint="eastAsia" w:ascii="宋体" w:hAnsi="宋体" w:cs="仿宋_GB2312"/>
          <w:bCs/>
          <w:color w:val="auto"/>
          <w:kern w:val="0"/>
          <w:sz w:val="24"/>
          <w:highlight w:val="none"/>
          <w:lang w:val="zh-CN"/>
        </w:rPr>
        <w:t>在贵方组织的</w:t>
      </w:r>
      <w:r>
        <w:rPr>
          <w:rFonts w:hint="eastAsia" w:ascii="宋体" w:hAnsi="宋体" w:cs="仿宋_GB2312"/>
          <w:bCs/>
          <w:color w:val="auto"/>
          <w:kern w:val="0"/>
          <w:sz w:val="24"/>
          <w:highlight w:val="none"/>
          <w:u w:val="single"/>
          <w:lang w:val="zh-CN"/>
        </w:rPr>
        <w:t>2024年电子监控、基础及管路项目（第二次重新招标）</w:t>
      </w:r>
      <w:r>
        <w:rPr>
          <w:rFonts w:hint="eastAsia" w:ascii="宋体" w:hAnsi="宋体" w:cs="仿宋_GB2312"/>
          <w:bCs/>
          <w:color w:val="auto"/>
          <w:kern w:val="0"/>
          <w:sz w:val="24"/>
          <w:highlight w:val="none"/>
          <w:lang w:val="zh-CN"/>
        </w:rPr>
        <w:t>（项目编号：</w:t>
      </w:r>
      <w:r>
        <w:rPr>
          <w:rFonts w:ascii="宋体" w:hAnsi="宋体" w:cs="仿宋_GB2312"/>
          <w:bCs/>
          <w:color w:val="auto"/>
          <w:kern w:val="0"/>
          <w:sz w:val="24"/>
          <w:highlight w:val="none"/>
          <w:u w:val="single"/>
        </w:rPr>
        <w:tab/>
      </w:r>
      <w:r>
        <w:rPr>
          <w:rFonts w:ascii="宋体" w:hAnsi="宋体" w:cs="仿宋_GB2312"/>
          <w:bCs/>
          <w:color w:val="auto"/>
          <w:kern w:val="0"/>
          <w:sz w:val="24"/>
          <w:highlight w:val="none"/>
          <w:u w:val="single"/>
        </w:rPr>
        <w:tab/>
      </w:r>
      <w:r>
        <w:rPr>
          <w:rFonts w:ascii="宋体" w:hAnsi="宋体" w:cs="仿宋_GB2312"/>
          <w:bCs/>
          <w:color w:val="auto"/>
          <w:kern w:val="0"/>
          <w:sz w:val="24"/>
          <w:highlight w:val="none"/>
          <w:u w:val="single"/>
        </w:rPr>
        <w:tab/>
      </w:r>
      <w:r>
        <w:rPr>
          <w:rFonts w:hint="eastAsia" w:ascii="宋体" w:hAnsi="宋体" w:cs="仿宋_GB2312"/>
          <w:bCs/>
          <w:color w:val="auto"/>
          <w:kern w:val="0"/>
          <w:sz w:val="24"/>
          <w:highlight w:val="none"/>
          <w:lang w:val="zh-CN"/>
        </w:rPr>
        <w:t>）公开招标，我方在完全理解本项目采购的技术要求、商务条款及其他内容后，决定参与该项目</w:t>
      </w:r>
      <w:r>
        <w:rPr>
          <w:rFonts w:hint="eastAsia" w:ascii="宋体" w:hAnsi="宋体"/>
          <w:color w:val="auto"/>
          <w:sz w:val="24"/>
          <w:highlight w:val="none"/>
        </w:rPr>
        <w:t>的投标活动。并承诺，如中标，我方将提供足够的设备和专业技术能力保证本合同履行。</w:t>
      </w:r>
    </w:p>
    <w:p w14:paraId="221C6BCC">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我方对上述承诺的真实性负责。如有虚假，我方同意按我方合同违约处理，并依法承担相应法律责任。</w:t>
      </w:r>
    </w:p>
    <w:p w14:paraId="156E9595">
      <w:pPr>
        <w:spacing w:line="360" w:lineRule="auto"/>
        <w:ind w:firstLine="424" w:firstLineChars="177"/>
        <w:rPr>
          <w:rFonts w:ascii="宋体" w:hAnsi="宋体"/>
          <w:color w:val="auto"/>
          <w:sz w:val="24"/>
          <w:highlight w:val="none"/>
        </w:rPr>
      </w:pPr>
    </w:p>
    <w:p w14:paraId="6CFFC6F5">
      <w:pPr>
        <w:spacing w:line="360" w:lineRule="auto"/>
        <w:ind w:firstLine="424" w:firstLineChars="177"/>
        <w:rPr>
          <w:rFonts w:ascii="宋体" w:hAnsi="宋体"/>
          <w:color w:val="auto"/>
          <w:sz w:val="24"/>
          <w:highlight w:val="none"/>
        </w:rPr>
      </w:pPr>
    </w:p>
    <w:p w14:paraId="2A731794">
      <w:pPr>
        <w:spacing w:line="360" w:lineRule="auto"/>
        <w:ind w:firstLine="424" w:firstLineChars="177"/>
        <w:rPr>
          <w:rFonts w:ascii="宋体" w:hAnsi="宋体"/>
          <w:color w:val="auto"/>
          <w:sz w:val="24"/>
          <w:highlight w:val="none"/>
        </w:rPr>
      </w:pPr>
    </w:p>
    <w:p w14:paraId="72E13E93">
      <w:pPr>
        <w:spacing w:line="360" w:lineRule="auto"/>
        <w:ind w:firstLine="424" w:firstLineChars="177"/>
        <w:rPr>
          <w:rFonts w:ascii="宋体" w:hAnsi="宋体"/>
          <w:color w:val="auto"/>
          <w:sz w:val="24"/>
          <w:highlight w:val="none"/>
        </w:rPr>
      </w:pPr>
    </w:p>
    <w:p w14:paraId="6DC97AA5">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C749B66">
      <w:pPr>
        <w:spacing w:line="360" w:lineRule="auto"/>
        <w:ind w:left="420"/>
        <w:rPr>
          <w:rFonts w:ascii="宋体" w:hAnsi="宋体"/>
          <w:color w:val="auto"/>
          <w:sz w:val="24"/>
          <w:highlight w:val="none"/>
        </w:rPr>
      </w:pPr>
    </w:p>
    <w:p w14:paraId="0EF13A31">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029B7736">
      <w:pPr>
        <w:spacing w:line="360" w:lineRule="auto"/>
        <w:rPr>
          <w:rFonts w:ascii="宋体" w:hAnsi="宋体"/>
          <w:color w:val="auto"/>
          <w:sz w:val="24"/>
          <w:highlight w:val="none"/>
        </w:rPr>
      </w:pPr>
    </w:p>
    <w:p w14:paraId="30999EE7">
      <w:pPr>
        <w:pStyle w:val="9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332FACE1">
      <w:pPr>
        <w:widowControl/>
        <w:jc w:val="left"/>
        <w:rPr>
          <w:b/>
          <w:bCs/>
          <w:color w:val="auto"/>
          <w:sz w:val="32"/>
          <w:szCs w:val="32"/>
          <w:highlight w:val="none"/>
          <w:lang w:val="zh-CN"/>
        </w:rPr>
      </w:pPr>
    </w:p>
    <w:p w14:paraId="10E47948">
      <w:pPr>
        <w:pStyle w:val="45"/>
        <w:rPr>
          <w:color w:val="auto"/>
          <w:highlight w:val="none"/>
          <w:lang w:val="zh-CN"/>
        </w:rPr>
      </w:pPr>
      <w:r>
        <w:rPr>
          <w:color w:val="auto"/>
          <w:highlight w:val="none"/>
          <w:lang w:val="zh-CN"/>
        </w:rPr>
        <w:br w:type="page"/>
      </w:r>
    </w:p>
    <w:p w14:paraId="1F37478B">
      <w:pPr>
        <w:snapToGrid w:val="0"/>
        <w:spacing w:before="159" w:beforeLines="50" w:after="50" w:line="360" w:lineRule="auto"/>
        <w:rPr>
          <w:color w:val="auto"/>
          <w:sz w:val="52"/>
          <w:szCs w:val="52"/>
          <w:highlight w:val="none"/>
        </w:rPr>
      </w:pPr>
      <w:r>
        <w:rPr>
          <w:rFonts w:hint="eastAsia" w:ascii="宋体" w:hAnsi="宋体"/>
          <w:b/>
          <w:color w:val="auto"/>
          <w:sz w:val="28"/>
          <w:highlight w:val="none"/>
        </w:rPr>
        <w:t>附件6</w:t>
      </w:r>
      <w:bookmarkEnd w:id="135"/>
      <w:bookmarkEnd w:id="136"/>
      <w:bookmarkStart w:id="138" w:name="_Toc26389_WPSOffice_Level1"/>
      <w:bookmarkStart w:id="139" w:name="_Toc16825_WPSOffice_Level1"/>
      <w:bookmarkStart w:id="140" w:name="_Toc12331_WPSOffice_Level1"/>
    </w:p>
    <w:p w14:paraId="08AF377E">
      <w:pPr>
        <w:jc w:val="center"/>
        <w:rPr>
          <w:color w:val="auto"/>
          <w:sz w:val="52"/>
          <w:szCs w:val="52"/>
          <w:highlight w:val="none"/>
        </w:rPr>
      </w:pPr>
    </w:p>
    <w:p w14:paraId="24ED4E5C">
      <w:pPr>
        <w:jc w:val="center"/>
        <w:rPr>
          <w:rFonts w:hint="eastAsia" w:eastAsia="宋体"/>
          <w:color w:val="auto"/>
          <w:sz w:val="52"/>
          <w:szCs w:val="52"/>
          <w:highlight w:val="none"/>
          <w:lang w:eastAsia="zh-CN"/>
        </w:rPr>
      </w:pPr>
      <w:r>
        <w:rPr>
          <w:rFonts w:hint="eastAsia"/>
          <w:color w:val="auto"/>
          <w:sz w:val="52"/>
          <w:szCs w:val="52"/>
          <w:highlight w:val="none"/>
        </w:rPr>
        <w:t>项目名称</w:t>
      </w:r>
      <w:bookmarkEnd w:id="138"/>
      <w:bookmarkEnd w:id="139"/>
      <w:bookmarkEnd w:id="140"/>
      <w:r>
        <w:rPr>
          <w:rFonts w:hint="eastAsia"/>
          <w:color w:val="auto"/>
          <w:sz w:val="52"/>
          <w:szCs w:val="52"/>
          <w:highlight w:val="none"/>
        </w:rPr>
        <w:t>：</w:t>
      </w:r>
      <w:r>
        <w:rPr>
          <w:rFonts w:hint="eastAsia"/>
          <w:color w:val="auto"/>
          <w:sz w:val="52"/>
          <w:szCs w:val="52"/>
          <w:highlight w:val="none"/>
          <w:lang w:eastAsia="zh-CN"/>
        </w:rPr>
        <w:t>2024年电子监控、基础及管路项目（第二次重新招标）</w:t>
      </w:r>
    </w:p>
    <w:p w14:paraId="6920DC7B">
      <w:pPr>
        <w:spacing w:before="319"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台财采确临[2024]2935号-2</w:t>
      </w:r>
      <w:r>
        <w:rPr>
          <w:rFonts w:hint="eastAsia" w:ascii="宋体" w:hAnsi="宋体"/>
          <w:color w:val="auto"/>
          <w:sz w:val="36"/>
          <w:szCs w:val="36"/>
          <w:highlight w:val="none"/>
        </w:rPr>
        <w:t>（标项</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rPr>
        <w:t>）</w:t>
      </w:r>
    </w:p>
    <w:p w14:paraId="0359564F">
      <w:pPr>
        <w:autoSpaceDE w:val="0"/>
        <w:autoSpaceDN w:val="0"/>
        <w:adjustRightInd w:val="0"/>
        <w:spacing w:line="360" w:lineRule="auto"/>
        <w:jc w:val="center"/>
        <w:rPr>
          <w:rFonts w:ascii="宋体" w:hAnsi="宋体" w:cs="宋体"/>
          <w:color w:val="auto"/>
          <w:sz w:val="24"/>
          <w:highlight w:val="none"/>
          <w:lang w:val="zh-CN"/>
        </w:rPr>
      </w:pPr>
    </w:p>
    <w:p w14:paraId="08B8D39E">
      <w:pPr>
        <w:jc w:val="center"/>
        <w:rPr>
          <w:color w:val="auto"/>
          <w:sz w:val="84"/>
          <w:szCs w:val="84"/>
          <w:highlight w:val="none"/>
          <w:lang w:val="zh-CN"/>
        </w:rPr>
      </w:pPr>
      <w:r>
        <w:rPr>
          <w:rFonts w:hint="eastAsia"/>
          <w:color w:val="auto"/>
          <w:sz w:val="84"/>
          <w:szCs w:val="84"/>
          <w:highlight w:val="none"/>
          <w:lang w:val="zh-CN"/>
        </w:rPr>
        <w:t>投</w:t>
      </w:r>
    </w:p>
    <w:p w14:paraId="05E195C8">
      <w:pPr>
        <w:jc w:val="center"/>
        <w:rPr>
          <w:color w:val="auto"/>
          <w:sz w:val="84"/>
          <w:szCs w:val="84"/>
          <w:highlight w:val="none"/>
          <w:lang w:val="zh-CN"/>
        </w:rPr>
      </w:pPr>
      <w:r>
        <w:rPr>
          <w:rFonts w:hint="eastAsia"/>
          <w:color w:val="auto"/>
          <w:sz w:val="84"/>
          <w:szCs w:val="84"/>
          <w:highlight w:val="none"/>
          <w:lang w:val="zh-CN"/>
        </w:rPr>
        <w:t>标</w:t>
      </w:r>
    </w:p>
    <w:p w14:paraId="5311194B">
      <w:pPr>
        <w:jc w:val="center"/>
        <w:rPr>
          <w:color w:val="auto"/>
          <w:sz w:val="84"/>
          <w:szCs w:val="84"/>
          <w:highlight w:val="none"/>
        </w:rPr>
      </w:pPr>
      <w:r>
        <w:rPr>
          <w:rFonts w:hint="eastAsia"/>
          <w:color w:val="auto"/>
          <w:sz w:val="84"/>
          <w:szCs w:val="84"/>
          <w:highlight w:val="none"/>
          <w:lang w:val="zh-CN"/>
        </w:rPr>
        <w:t>文</w:t>
      </w:r>
    </w:p>
    <w:p w14:paraId="0ED2E540">
      <w:pPr>
        <w:jc w:val="center"/>
        <w:rPr>
          <w:color w:val="auto"/>
          <w:sz w:val="84"/>
          <w:szCs w:val="84"/>
          <w:highlight w:val="none"/>
          <w:lang w:val="zh-CN"/>
        </w:rPr>
      </w:pPr>
      <w:r>
        <w:rPr>
          <w:rFonts w:hint="eastAsia"/>
          <w:color w:val="auto"/>
          <w:sz w:val="84"/>
          <w:szCs w:val="84"/>
          <w:highlight w:val="none"/>
          <w:lang w:val="zh-CN"/>
        </w:rPr>
        <w:t>件</w:t>
      </w:r>
    </w:p>
    <w:p w14:paraId="2CBAC297">
      <w:pPr>
        <w:spacing w:after="100" w:afterAutospacing="1" w:line="360" w:lineRule="auto"/>
        <w:ind w:right="-108"/>
        <w:jc w:val="center"/>
        <w:rPr>
          <w:rFonts w:ascii="宋体" w:hAnsi="宋体"/>
          <w:b/>
          <w:color w:val="auto"/>
          <w:sz w:val="28"/>
          <w:szCs w:val="28"/>
          <w:highlight w:val="none"/>
        </w:rPr>
      </w:pPr>
      <w:r>
        <w:rPr>
          <w:rFonts w:hint="eastAsia" w:ascii="宋体" w:hAnsi="宋体" w:cs="宋体"/>
          <w:color w:val="auto"/>
          <w:sz w:val="28"/>
          <w:szCs w:val="28"/>
          <w:highlight w:val="none"/>
          <w:lang w:val="zh-CN"/>
        </w:rPr>
        <w:t>（</w:t>
      </w:r>
      <w:r>
        <w:rPr>
          <w:rFonts w:hint="eastAsia" w:ascii="宋体" w:hAnsi="宋体"/>
          <w:bCs/>
          <w:color w:val="auto"/>
          <w:sz w:val="24"/>
          <w:highlight w:val="none"/>
          <w:lang w:val="zh-CN"/>
        </w:rPr>
        <w:t>商务与技术文件</w:t>
      </w:r>
      <w:r>
        <w:rPr>
          <w:rFonts w:hint="eastAsia" w:ascii="宋体" w:hAnsi="宋体"/>
          <w:b/>
          <w:color w:val="auto"/>
          <w:sz w:val="28"/>
          <w:szCs w:val="28"/>
          <w:highlight w:val="none"/>
        </w:rPr>
        <w:t>）</w:t>
      </w:r>
    </w:p>
    <w:p w14:paraId="356419B6">
      <w:pPr>
        <w:pStyle w:val="45"/>
        <w:rPr>
          <w:color w:val="auto"/>
          <w:highlight w:val="none"/>
        </w:rPr>
      </w:pPr>
    </w:p>
    <w:p w14:paraId="1917348D">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投标供应商全称（电子印章）：</w:t>
      </w:r>
    </w:p>
    <w:p w14:paraId="27C17A2B">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地    址：</w:t>
      </w:r>
    </w:p>
    <w:p w14:paraId="46EC1CB6">
      <w:pPr>
        <w:spacing w:line="360" w:lineRule="auto"/>
        <w:ind w:right="532" w:firstLine="720" w:firstLineChars="200"/>
        <w:rPr>
          <w:rFonts w:ascii="宋体" w:hAnsi="宋体"/>
          <w:color w:val="auto"/>
          <w:sz w:val="36"/>
          <w:szCs w:val="36"/>
          <w:highlight w:val="none"/>
        </w:rPr>
      </w:pPr>
      <w:r>
        <w:rPr>
          <w:rFonts w:hint="eastAsia" w:ascii="宋体" w:hAnsi="宋体"/>
          <w:color w:val="auto"/>
          <w:sz w:val="36"/>
          <w:szCs w:val="36"/>
          <w:highlight w:val="none"/>
        </w:rPr>
        <w:t>时    间：</w:t>
      </w:r>
    </w:p>
    <w:p w14:paraId="056D5B30">
      <w:pPr>
        <w:rPr>
          <w:b/>
          <w:bCs/>
          <w:color w:val="auto"/>
          <w:sz w:val="32"/>
          <w:szCs w:val="32"/>
          <w:highlight w:val="none"/>
          <w:lang w:val="zh-CN"/>
        </w:rPr>
      </w:pPr>
      <w:bookmarkStart w:id="141" w:name="_Toc11308_WPSOffice_Level1"/>
      <w:bookmarkStart w:id="142" w:name="_Toc5889_WPSOffice_Level1"/>
    </w:p>
    <w:p w14:paraId="38863650">
      <w:pPr>
        <w:rPr>
          <w:b/>
          <w:bCs/>
          <w:color w:val="auto"/>
          <w:sz w:val="32"/>
          <w:szCs w:val="32"/>
          <w:highlight w:val="none"/>
          <w:lang w:val="zh-CN"/>
        </w:rPr>
      </w:pPr>
      <w:r>
        <w:rPr>
          <w:rFonts w:hint="eastAsia"/>
          <w:b/>
          <w:bCs/>
          <w:color w:val="auto"/>
          <w:sz w:val="32"/>
          <w:szCs w:val="32"/>
          <w:highlight w:val="none"/>
          <w:lang w:val="zh-CN"/>
        </w:rPr>
        <w:br w:type="page"/>
      </w:r>
    </w:p>
    <w:p w14:paraId="7AFD517B">
      <w:pPr>
        <w:jc w:val="center"/>
        <w:rPr>
          <w:b/>
          <w:bCs/>
          <w:color w:val="auto"/>
          <w:sz w:val="32"/>
          <w:szCs w:val="32"/>
          <w:highlight w:val="none"/>
        </w:rPr>
      </w:pPr>
      <w:r>
        <w:rPr>
          <w:rFonts w:hint="eastAsia"/>
          <w:b/>
          <w:bCs/>
          <w:color w:val="auto"/>
          <w:sz w:val="32"/>
          <w:szCs w:val="32"/>
          <w:highlight w:val="none"/>
          <w:lang w:val="zh-CN"/>
        </w:rPr>
        <w:t>商务与技术文件</w:t>
      </w:r>
      <w:r>
        <w:rPr>
          <w:rFonts w:hint="eastAsia"/>
          <w:b/>
          <w:bCs/>
          <w:color w:val="auto"/>
          <w:sz w:val="32"/>
          <w:szCs w:val="32"/>
          <w:highlight w:val="none"/>
        </w:rPr>
        <w:t>目录</w:t>
      </w:r>
      <w:bookmarkEnd w:id="141"/>
      <w:bookmarkEnd w:id="142"/>
    </w:p>
    <w:p w14:paraId="375D6F9D">
      <w:pPr>
        <w:pStyle w:val="13"/>
        <w:widowControl/>
        <w:adjustRightInd w:val="0"/>
        <w:snapToGrid w:val="0"/>
        <w:spacing w:line="360" w:lineRule="auto"/>
        <w:ind w:firstLineChars="200"/>
        <w:rPr>
          <w:rFonts w:hint="eastAsia" w:ascii="宋体" w:hAnsi="宋体" w:cs="宋体"/>
          <w:color w:val="auto"/>
          <w:szCs w:val="21"/>
          <w:highlight w:val="none"/>
        </w:rPr>
      </w:pPr>
    </w:p>
    <w:p w14:paraId="39F72DC2">
      <w:pPr>
        <w:pStyle w:val="13"/>
        <w:widowControl/>
        <w:adjustRightInd w:val="0"/>
        <w:snapToGrid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（1）投标函（</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61A23FDF">
      <w:pPr>
        <w:pStyle w:val="13"/>
        <w:widowControl/>
        <w:adjustRightInd w:val="0"/>
        <w:snapToGrid w:val="0"/>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（2）技术方案描述部分</w:t>
      </w:r>
    </w:p>
    <w:p w14:paraId="600CCA78">
      <w:pPr>
        <w:pStyle w:val="13"/>
        <w:widowControl/>
        <w:numPr>
          <w:ilvl w:val="0"/>
          <w:numId w:val="18"/>
        </w:numPr>
        <w:adjustRightInd w:val="0"/>
        <w:snapToGrid w:val="0"/>
        <w:spacing w:line="360" w:lineRule="auto"/>
        <w:ind w:firstLine="640"/>
        <w:rPr>
          <w:rFonts w:ascii="宋体" w:hAnsi="宋体" w:cs="宋体"/>
          <w:color w:val="auto"/>
          <w:szCs w:val="21"/>
          <w:highlight w:val="none"/>
        </w:rPr>
      </w:pPr>
      <w:r>
        <w:rPr>
          <w:rFonts w:hint="eastAsia" w:ascii="宋体" w:hAnsi="宋体"/>
          <w:color w:val="auto"/>
          <w:szCs w:val="21"/>
          <w:highlight w:val="none"/>
        </w:rPr>
        <w:t>技术方案及服务承诺（对应“第四章评标”相关评分细则内容分章节编写，格式自拟）</w:t>
      </w:r>
      <w:r>
        <w:rPr>
          <w:rFonts w:ascii="宋体" w:hAnsi="宋体" w:cs="宋体"/>
          <w:color w:val="auto"/>
          <w:szCs w:val="21"/>
          <w:highlight w:val="none"/>
        </w:rPr>
        <w:t>；</w:t>
      </w:r>
    </w:p>
    <w:p w14:paraId="79FC7712">
      <w:pPr>
        <w:pStyle w:val="13"/>
        <w:widowControl/>
        <w:numPr>
          <w:ilvl w:val="0"/>
          <w:numId w:val="18"/>
        </w:numPr>
        <w:adjustRightInd w:val="0"/>
        <w:snapToGrid w:val="0"/>
        <w:spacing w:line="360" w:lineRule="auto"/>
        <w:ind w:firstLine="640"/>
        <w:rPr>
          <w:color w:val="auto"/>
          <w:szCs w:val="21"/>
          <w:highlight w:val="none"/>
        </w:rPr>
      </w:pPr>
      <w:r>
        <w:rPr>
          <w:color w:val="auto"/>
          <w:szCs w:val="21"/>
          <w:highlight w:val="none"/>
        </w:rPr>
        <w:t>项目实施人员一览表</w:t>
      </w:r>
      <w:r>
        <w:rPr>
          <w:rFonts w:hint="eastAsia"/>
          <w:color w:val="auto"/>
          <w:szCs w:val="21"/>
          <w:highlight w:val="none"/>
        </w:rPr>
        <w:t>（</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r>
        <w:rPr>
          <w:color w:val="auto"/>
          <w:szCs w:val="21"/>
          <w:highlight w:val="none"/>
        </w:rPr>
        <w:t>及相关证明材料</w:t>
      </w:r>
      <w:r>
        <w:rPr>
          <w:rFonts w:hint="eastAsia"/>
          <w:color w:val="auto"/>
          <w:szCs w:val="21"/>
          <w:highlight w:val="none"/>
        </w:rPr>
        <w:t>;</w:t>
      </w:r>
    </w:p>
    <w:p w14:paraId="4B6C7DFF">
      <w:pPr>
        <w:pStyle w:val="13"/>
        <w:widowControl/>
        <w:numPr>
          <w:ilvl w:val="0"/>
          <w:numId w:val="18"/>
        </w:numPr>
        <w:adjustRightInd w:val="0"/>
        <w:snapToGrid w:val="0"/>
        <w:spacing w:line="360" w:lineRule="auto"/>
        <w:ind w:firstLine="640"/>
        <w:rPr>
          <w:color w:val="auto"/>
          <w:szCs w:val="21"/>
          <w:highlight w:val="none"/>
        </w:rPr>
      </w:pPr>
      <w:r>
        <w:rPr>
          <w:rFonts w:hint="eastAsia"/>
          <w:color w:val="auto"/>
          <w:szCs w:val="21"/>
          <w:highlight w:val="none"/>
        </w:rPr>
        <w:t>技术需求响应表（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3FE6B71F">
      <w:pPr>
        <w:pStyle w:val="13"/>
        <w:widowControl/>
        <w:numPr>
          <w:ilvl w:val="0"/>
          <w:numId w:val="18"/>
        </w:numPr>
        <w:adjustRightInd w:val="0"/>
        <w:snapToGrid w:val="0"/>
        <w:spacing w:line="360" w:lineRule="auto"/>
        <w:ind w:firstLine="640"/>
        <w:rPr>
          <w:rFonts w:ascii="宋体" w:hAnsi="宋体" w:cs="宋体"/>
          <w:color w:val="auto"/>
          <w:szCs w:val="21"/>
          <w:highlight w:val="none"/>
        </w:rPr>
      </w:pPr>
      <w:r>
        <w:rPr>
          <w:rFonts w:hint="eastAsia" w:ascii="宋体" w:hAnsi="宋体" w:cs="宋体"/>
          <w:color w:val="auto"/>
          <w:szCs w:val="21"/>
          <w:highlight w:val="none"/>
        </w:rPr>
        <w:t>供应商认为需要提供的其他资料（包括可能影响供应商技术内容评分的各类证明材料）。</w:t>
      </w:r>
    </w:p>
    <w:p w14:paraId="1B2DEF33">
      <w:pPr>
        <w:pStyle w:val="13"/>
        <w:widowControl/>
        <w:adjustRightInd w:val="0"/>
        <w:snapToGrid w:val="0"/>
        <w:spacing w:line="360" w:lineRule="auto"/>
        <w:ind w:firstLineChars="200"/>
        <w:rPr>
          <w:rFonts w:ascii="宋体" w:hAnsi="宋体"/>
          <w:color w:val="auto"/>
          <w:kern w:val="0"/>
          <w:szCs w:val="21"/>
          <w:highlight w:val="none"/>
        </w:rPr>
      </w:pPr>
      <w:r>
        <w:rPr>
          <w:rFonts w:hint="eastAsia" w:ascii="宋体" w:hAnsi="宋体"/>
          <w:color w:val="auto"/>
          <w:kern w:val="0"/>
          <w:szCs w:val="21"/>
          <w:highlight w:val="none"/>
        </w:rPr>
        <w:t>（3）</w:t>
      </w:r>
      <w:r>
        <w:rPr>
          <w:rFonts w:hint="eastAsia" w:ascii="宋体" w:hAnsi="宋体" w:cs="宋体"/>
          <w:color w:val="auto"/>
          <w:szCs w:val="21"/>
          <w:highlight w:val="none"/>
        </w:rPr>
        <w:t>商务</w:t>
      </w:r>
      <w:r>
        <w:rPr>
          <w:rFonts w:hint="eastAsia" w:ascii="宋体" w:hAnsi="宋体"/>
          <w:color w:val="auto"/>
          <w:kern w:val="0"/>
          <w:szCs w:val="21"/>
          <w:highlight w:val="none"/>
        </w:rPr>
        <w:t>响应及其他部分</w:t>
      </w:r>
    </w:p>
    <w:p w14:paraId="6DFF96F7">
      <w:pPr>
        <w:numPr>
          <w:ilvl w:val="0"/>
          <w:numId w:val="19"/>
        </w:numPr>
        <w:autoSpaceDE w:val="0"/>
        <w:autoSpaceDN w:val="0"/>
        <w:adjustRightInd w:val="0"/>
        <w:spacing w:line="360" w:lineRule="auto"/>
        <w:ind w:firstLine="640"/>
        <w:rPr>
          <w:rFonts w:ascii="宋体" w:hAnsi="宋体" w:cs="宋体"/>
          <w:color w:val="auto"/>
          <w:szCs w:val="21"/>
          <w:highlight w:val="none"/>
        </w:rPr>
      </w:pPr>
      <w:r>
        <w:rPr>
          <w:rFonts w:hint="eastAsia" w:ascii="Calibri" w:hAnsi="Calibri" w:cs="Calibri"/>
          <w:color w:val="auto"/>
          <w:szCs w:val="21"/>
          <w:highlight w:val="none"/>
        </w:rPr>
        <w:t>供应</w:t>
      </w:r>
      <w:r>
        <w:rPr>
          <w:rFonts w:hint="eastAsia" w:ascii="宋体" w:hAnsi="宋体" w:cs="宋体"/>
          <w:color w:val="auto"/>
          <w:szCs w:val="21"/>
          <w:highlight w:val="none"/>
        </w:rPr>
        <w:t>商基本情况表（</w:t>
      </w:r>
      <w:r>
        <w:rPr>
          <w:rFonts w:hint="eastAsia" w:asciiTheme="minorEastAsia" w:hAnsiTheme="minorEastAsia" w:eastAsiaTheme="minorEastAsia"/>
          <w:color w:val="auto"/>
          <w:kern w:val="0"/>
          <w:szCs w:val="21"/>
          <w:highlight w:val="none"/>
        </w:rPr>
        <w:t>格式详见附件</w:t>
      </w:r>
      <w:r>
        <w:rPr>
          <w:rFonts w:hint="eastAsia" w:ascii="宋体" w:hAnsi="宋体" w:cs="宋体"/>
          <w:color w:val="auto"/>
          <w:szCs w:val="21"/>
          <w:highlight w:val="none"/>
        </w:rPr>
        <w:t>）；</w:t>
      </w:r>
    </w:p>
    <w:p w14:paraId="67DE8473">
      <w:pPr>
        <w:numPr>
          <w:ilvl w:val="0"/>
          <w:numId w:val="19"/>
        </w:numPr>
        <w:autoSpaceDE w:val="0"/>
        <w:autoSpaceDN w:val="0"/>
        <w:adjustRightInd w:val="0"/>
        <w:spacing w:line="360" w:lineRule="auto"/>
        <w:ind w:firstLine="640"/>
        <w:rPr>
          <w:rFonts w:ascii="Calibri" w:hAnsi="Calibri" w:cs="Calibri"/>
          <w:color w:val="auto"/>
          <w:szCs w:val="21"/>
          <w:highlight w:val="none"/>
        </w:rPr>
      </w:pPr>
      <w:r>
        <w:rPr>
          <w:rFonts w:hint="eastAsia" w:ascii="Calibri" w:hAnsi="Calibri" w:cs="Calibri"/>
          <w:color w:val="auto"/>
          <w:szCs w:val="21"/>
          <w:highlight w:val="none"/>
        </w:rPr>
        <w:t>证书一览表（</w:t>
      </w:r>
      <w:r>
        <w:rPr>
          <w:rFonts w:hint="eastAsia" w:asciiTheme="minorEastAsia" w:hAnsiTheme="minorEastAsia" w:eastAsiaTheme="minorEastAsia"/>
          <w:color w:val="auto"/>
          <w:kern w:val="0"/>
          <w:szCs w:val="21"/>
          <w:highlight w:val="none"/>
        </w:rPr>
        <w:t>格式详见附件</w:t>
      </w:r>
      <w:r>
        <w:rPr>
          <w:rFonts w:hint="eastAsia" w:ascii="Calibri" w:hAnsi="Calibri" w:cs="Calibri"/>
          <w:color w:val="auto"/>
          <w:szCs w:val="21"/>
          <w:highlight w:val="none"/>
        </w:rPr>
        <w:t>）及相关证明材料；</w:t>
      </w:r>
    </w:p>
    <w:p w14:paraId="4D44826A">
      <w:pPr>
        <w:numPr>
          <w:ilvl w:val="0"/>
          <w:numId w:val="19"/>
        </w:numPr>
        <w:autoSpaceDE w:val="0"/>
        <w:autoSpaceDN w:val="0"/>
        <w:adjustRightInd w:val="0"/>
        <w:spacing w:line="360" w:lineRule="auto"/>
        <w:ind w:firstLine="640"/>
        <w:rPr>
          <w:color w:val="auto"/>
          <w:szCs w:val="21"/>
          <w:highlight w:val="none"/>
        </w:rPr>
      </w:pPr>
      <w:r>
        <w:rPr>
          <w:rFonts w:hint="eastAsia"/>
          <w:color w:val="auto"/>
          <w:szCs w:val="21"/>
          <w:highlight w:val="none"/>
        </w:rPr>
        <w:t>商务需求响应表（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1F276653">
      <w:pPr>
        <w:numPr>
          <w:ilvl w:val="0"/>
          <w:numId w:val="19"/>
        </w:numPr>
        <w:autoSpaceDE w:val="0"/>
        <w:autoSpaceDN w:val="0"/>
        <w:adjustRightInd w:val="0"/>
        <w:spacing w:line="360" w:lineRule="auto"/>
        <w:ind w:firstLine="640"/>
        <w:rPr>
          <w:color w:val="auto"/>
          <w:szCs w:val="21"/>
          <w:highlight w:val="none"/>
        </w:rPr>
      </w:pPr>
      <w:r>
        <w:rPr>
          <w:rFonts w:hint="eastAsia" w:ascii="Calibri" w:hAnsi="Calibri" w:cs="Calibri"/>
          <w:color w:val="auto"/>
          <w:szCs w:val="21"/>
          <w:highlight w:val="none"/>
        </w:rPr>
        <w:t>供应</w:t>
      </w:r>
      <w:r>
        <w:rPr>
          <w:rFonts w:hint="eastAsia" w:ascii="宋体" w:hAnsi="宋体" w:cs="宋体"/>
          <w:color w:val="auto"/>
          <w:szCs w:val="21"/>
          <w:highlight w:val="none"/>
        </w:rPr>
        <w:t>商</w:t>
      </w:r>
      <w:r>
        <w:rPr>
          <w:rFonts w:hint="eastAsia"/>
          <w:color w:val="auto"/>
          <w:szCs w:val="21"/>
          <w:highlight w:val="none"/>
        </w:rPr>
        <w:t>类似项目实施情况一览表（</w:t>
      </w:r>
      <w:r>
        <w:rPr>
          <w:rFonts w:hint="eastAsia" w:asciiTheme="minorEastAsia" w:hAnsiTheme="minorEastAsia" w:eastAsiaTheme="minorEastAsia"/>
          <w:color w:val="auto"/>
          <w:kern w:val="0"/>
          <w:szCs w:val="21"/>
          <w:highlight w:val="none"/>
        </w:rPr>
        <w:t>格式详见附件</w:t>
      </w:r>
      <w:r>
        <w:rPr>
          <w:rFonts w:hint="eastAsia"/>
          <w:color w:val="auto"/>
          <w:szCs w:val="21"/>
          <w:highlight w:val="none"/>
        </w:rPr>
        <w:t>）；</w:t>
      </w:r>
    </w:p>
    <w:p w14:paraId="0D2DA942">
      <w:pPr>
        <w:numPr>
          <w:ilvl w:val="0"/>
          <w:numId w:val="19"/>
        </w:numPr>
        <w:autoSpaceDE w:val="0"/>
        <w:autoSpaceDN w:val="0"/>
        <w:adjustRightInd w:val="0"/>
        <w:spacing w:line="360" w:lineRule="auto"/>
        <w:ind w:firstLine="640"/>
        <w:rPr>
          <w:color w:val="auto"/>
          <w:szCs w:val="21"/>
          <w:highlight w:val="none"/>
        </w:rPr>
      </w:pPr>
      <w:r>
        <w:rPr>
          <w:rFonts w:hint="eastAsia"/>
          <w:color w:val="auto"/>
          <w:szCs w:val="21"/>
          <w:highlight w:val="none"/>
        </w:rPr>
        <w:t>供应商认为需要提供的其他资料（包括可能影响供应商商务内容评分的各类证明材料）（如有）。</w:t>
      </w:r>
    </w:p>
    <w:p w14:paraId="15EE6A73">
      <w:pPr>
        <w:widowControl/>
        <w:jc w:val="left"/>
        <w:rPr>
          <w:rFonts w:ascii="宋体" w:hAnsi="宋体" w:cs="宋体"/>
          <w:b/>
          <w:color w:val="auto"/>
          <w:kern w:val="0"/>
          <w:sz w:val="28"/>
          <w:highlight w:val="none"/>
        </w:rPr>
      </w:pPr>
      <w:r>
        <w:rPr>
          <w:b/>
          <w:color w:val="auto"/>
          <w:sz w:val="28"/>
          <w:highlight w:val="none"/>
        </w:rPr>
        <w:br w:type="page"/>
      </w:r>
    </w:p>
    <w:p w14:paraId="2E1F99BE">
      <w:pPr>
        <w:spacing w:line="360" w:lineRule="auto"/>
        <w:rPr>
          <w:rFonts w:ascii="宋体" w:hAnsi="宋体"/>
          <w:b/>
          <w:color w:val="auto"/>
          <w:sz w:val="28"/>
          <w:highlight w:val="none"/>
        </w:rPr>
      </w:pPr>
      <w:r>
        <w:rPr>
          <w:rFonts w:hint="eastAsia" w:ascii="宋体" w:hAnsi="宋体"/>
          <w:b/>
          <w:color w:val="auto"/>
          <w:sz w:val="28"/>
          <w:highlight w:val="none"/>
        </w:rPr>
        <w:t>附件7</w:t>
      </w:r>
    </w:p>
    <w:p w14:paraId="0A650EE6">
      <w:pPr>
        <w:adjustRightInd w:val="0"/>
        <w:snapToGrid w:val="0"/>
        <w:spacing w:line="312" w:lineRule="auto"/>
        <w:ind w:right="480"/>
        <w:jc w:val="center"/>
        <w:rPr>
          <w:rFonts w:ascii="宋体" w:hAnsi="宋体"/>
          <w:b/>
          <w:color w:val="auto"/>
          <w:kern w:val="0"/>
          <w:sz w:val="32"/>
          <w:szCs w:val="32"/>
          <w:highlight w:val="none"/>
        </w:rPr>
      </w:pPr>
      <w:bookmarkStart w:id="143" w:name="_Toc20653"/>
      <w:r>
        <w:rPr>
          <w:rFonts w:hint="eastAsia" w:ascii="宋体" w:hAnsi="宋体"/>
          <w:b/>
          <w:color w:val="auto"/>
          <w:kern w:val="0"/>
          <w:sz w:val="32"/>
          <w:szCs w:val="32"/>
          <w:highlight w:val="none"/>
        </w:rPr>
        <w:t>投 标 函</w:t>
      </w:r>
      <w:bookmarkEnd w:id="143"/>
    </w:p>
    <w:p w14:paraId="123E8228">
      <w:pPr>
        <w:snapToGrid w:val="0"/>
        <w:spacing w:line="380" w:lineRule="exact"/>
        <w:rPr>
          <w:rFonts w:ascii="宋体" w:hAnsi="宋体"/>
          <w:color w:val="auto"/>
          <w:sz w:val="24"/>
          <w:szCs w:val="20"/>
          <w:highlight w:val="none"/>
        </w:rPr>
      </w:pPr>
      <w:r>
        <w:rPr>
          <w:rFonts w:hint="eastAsia" w:ascii="宋体" w:hAnsi="宋体"/>
          <w:color w:val="auto"/>
          <w:sz w:val="24"/>
          <w:highlight w:val="none"/>
        </w:rPr>
        <w:t>致：</w:t>
      </w:r>
      <w:r>
        <w:rPr>
          <w:rFonts w:hint="eastAsia" w:ascii="宋体" w:hAnsi="宋体"/>
          <w:color w:val="auto"/>
          <w:sz w:val="24"/>
          <w:highlight w:val="none"/>
          <w:u w:val="single"/>
        </w:rPr>
        <w:t xml:space="preserve">      </w:t>
      </w:r>
      <w:r>
        <w:rPr>
          <w:rFonts w:hint="eastAsia" w:ascii="宋体" w:hAnsi="宋体" w:cs="宋体"/>
          <w:color w:val="auto"/>
          <w:kern w:val="0"/>
          <w:sz w:val="24"/>
          <w:highlight w:val="none"/>
        </w:rPr>
        <w:t>（采购代理机构名称）：</w:t>
      </w:r>
    </w:p>
    <w:p w14:paraId="032F8339">
      <w:pPr>
        <w:snapToGrid w:val="0"/>
        <w:spacing w:line="380" w:lineRule="exact"/>
        <w:ind w:firstLine="480" w:firstLineChars="200"/>
        <w:rPr>
          <w:rFonts w:ascii="宋体" w:hAnsi="宋体"/>
          <w:color w:val="auto"/>
          <w:sz w:val="24"/>
          <w:highlight w:val="none"/>
        </w:rPr>
      </w:pPr>
      <w:r>
        <w:rPr>
          <w:rFonts w:hint="eastAsia" w:ascii="宋体" w:hAnsi="宋体"/>
          <w:color w:val="auto"/>
          <w:sz w:val="24"/>
          <w:highlight w:val="none"/>
        </w:rPr>
        <w:t>1.我方自愿参加贵方组织的</w:t>
      </w:r>
      <w:r>
        <w:rPr>
          <w:rFonts w:hint="eastAsia" w:ascii="宋体" w:hAnsi="宋体"/>
          <w:color w:val="auto"/>
          <w:sz w:val="24"/>
          <w:highlight w:val="none"/>
          <w:u w:val="single"/>
        </w:rPr>
        <w:t xml:space="preserve">         </w:t>
      </w:r>
      <w:r>
        <w:rPr>
          <w:rFonts w:hint="eastAsia" w:ascii="宋体" w:hAnsi="宋体"/>
          <w:color w:val="auto"/>
          <w:sz w:val="24"/>
          <w:highlight w:val="none"/>
        </w:rPr>
        <w:t>项目（项目编号：</w:t>
      </w:r>
      <w:r>
        <w:rPr>
          <w:rFonts w:hint="eastAsia" w:ascii="宋体" w:hAnsi="宋体"/>
          <w:color w:val="auto"/>
          <w:sz w:val="24"/>
          <w:highlight w:val="none"/>
          <w:u w:val="single"/>
        </w:rPr>
        <w:t xml:space="preserve">      </w:t>
      </w:r>
      <w:r>
        <w:rPr>
          <w:rFonts w:hint="eastAsia" w:ascii="宋体" w:hAnsi="宋体"/>
          <w:color w:val="auto"/>
          <w:sz w:val="24"/>
          <w:highlight w:val="none"/>
        </w:rPr>
        <w:t>）的投标，并</w:t>
      </w:r>
      <w:r>
        <w:rPr>
          <w:rFonts w:ascii="宋体" w:hAnsi="宋体"/>
          <w:color w:val="auto"/>
          <w:sz w:val="24"/>
          <w:highlight w:val="none"/>
        </w:rPr>
        <w:t>按</w:t>
      </w:r>
      <w:r>
        <w:rPr>
          <w:rFonts w:hint="eastAsia" w:ascii="宋体" w:hAnsi="宋体"/>
          <w:color w:val="auto"/>
          <w:sz w:val="24"/>
          <w:highlight w:val="none"/>
        </w:rPr>
        <w:t>招标文件</w:t>
      </w:r>
      <w:r>
        <w:rPr>
          <w:rFonts w:ascii="宋体" w:hAnsi="宋体"/>
          <w:color w:val="auto"/>
          <w:sz w:val="24"/>
          <w:highlight w:val="none"/>
        </w:rPr>
        <w:t>的要求</w:t>
      </w:r>
      <w:r>
        <w:rPr>
          <w:rFonts w:hint="eastAsia" w:ascii="宋体" w:hAnsi="宋体"/>
          <w:color w:val="auto"/>
          <w:sz w:val="24"/>
          <w:highlight w:val="none"/>
        </w:rPr>
        <w:t>提交投标文件。</w:t>
      </w:r>
    </w:p>
    <w:p w14:paraId="69861CCB">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.我方完全理解并接受招标文件（包括更正文件）的各项规定和要求</w:t>
      </w:r>
      <w:r>
        <w:rPr>
          <w:rFonts w:ascii="宋体" w:hAnsi="宋体"/>
          <w:color w:val="auto"/>
          <w:sz w:val="24"/>
          <w:highlight w:val="none"/>
        </w:rPr>
        <w:t>，</w:t>
      </w:r>
      <w:r>
        <w:rPr>
          <w:rFonts w:hint="eastAsia" w:ascii="宋体" w:hAnsi="宋体"/>
          <w:color w:val="auto"/>
          <w:sz w:val="24"/>
          <w:highlight w:val="none"/>
        </w:rPr>
        <w:t>不</w:t>
      </w:r>
      <w:r>
        <w:rPr>
          <w:rFonts w:ascii="宋体" w:hAnsi="宋体"/>
          <w:color w:val="auto"/>
          <w:sz w:val="24"/>
          <w:highlight w:val="none"/>
        </w:rPr>
        <w:t>再对招标文件</w:t>
      </w:r>
      <w:r>
        <w:rPr>
          <w:rFonts w:hint="eastAsia" w:ascii="宋体" w:hAnsi="宋体"/>
          <w:color w:val="auto"/>
          <w:sz w:val="24"/>
          <w:highlight w:val="none"/>
        </w:rPr>
        <w:t>的合理性、合法性等</w:t>
      </w:r>
      <w:r>
        <w:rPr>
          <w:rFonts w:ascii="宋体" w:hAnsi="宋体"/>
          <w:color w:val="auto"/>
          <w:sz w:val="24"/>
          <w:highlight w:val="none"/>
        </w:rPr>
        <w:t>相关内容提出质疑或投诉。</w:t>
      </w:r>
    </w:p>
    <w:p w14:paraId="3CF0A60F">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.我方不是采购单位的附属机构以及</w:t>
      </w:r>
      <w:r>
        <w:rPr>
          <w:rFonts w:ascii="宋体" w:hAnsi="宋体"/>
          <w:color w:val="auto"/>
          <w:sz w:val="24"/>
          <w:highlight w:val="none"/>
        </w:rPr>
        <w:t>其它法律法规</w:t>
      </w:r>
      <w:r>
        <w:rPr>
          <w:rFonts w:hint="eastAsia" w:ascii="宋体" w:hAnsi="宋体"/>
          <w:color w:val="auto"/>
          <w:sz w:val="24"/>
          <w:highlight w:val="none"/>
        </w:rPr>
        <w:t>所</w:t>
      </w:r>
      <w:r>
        <w:rPr>
          <w:rFonts w:ascii="宋体" w:hAnsi="宋体"/>
          <w:color w:val="auto"/>
          <w:sz w:val="24"/>
          <w:highlight w:val="none"/>
        </w:rPr>
        <w:t>规定的限制投标供应商</w:t>
      </w:r>
      <w:r>
        <w:rPr>
          <w:rFonts w:hint="eastAsia" w:ascii="宋体" w:hAnsi="宋体"/>
          <w:color w:val="auto"/>
          <w:sz w:val="24"/>
          <w:highlight w:val="none"/>
        </w:rPr>
        <w:t>。</w:t>
      </w:r>
    </w:p>
    <w:p w14:paraId="02F8DE3C">
      <w:pPr>
        <w:snapToGrid w:val="0"/>
        <w:spacing w:line="380" w:lineRule="exact"/>
        <w:ind w:firstLine="482" w:firstLineChars="200"/>
        <w:rPr>
          <w:rFonts w:ascii="宋体" w:hAnsi="宋体"/>
          <w:b/>
          <w:bCs/>
          <w:color w:val="auto"/>
          <w:sz w:val="24"/>
          <w:highlight w:val="none"/>
        </w:rPr>
      </w:pPr>
      <w:r>
        <w:rPr>
          <w:rFonts w:hint="eastAsia" w:ascii="宋体" w:hAnsi="宋体"/>
          <w:b/>
          <w:bCs/>
          <w:color w:val="auto"/>
          <w:sz w:val="24"/>
          <w:highlight w:val="none"/>
        </w:rPr>
        <w:t>4.我方向贵方提交的所有投标文件、资料（包括所有证明材料等）都是准确、真实、合规的，如有虚假或隐瞒，我方愿意承担一切后果。</w:t>
      </w:r>
    </w:p>
    <w:p w14:paraId="2295BD21">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5</w:t>
      </w:r>
      <w:r>
        <w:rPr>
          <w:rFonts w:hint="eastAsia" w:ascii="宋体" w:hAnsi="宋体"/>
          <w:color w:val="auto"/>
          <w:sz w:val="24"/>
          <w:highlight w:val="none"/>
        </w:rPr>
        <w:t>.本次投标有效期自投标截止之日起 90天</w:t>
      </w:r>
      <w:r>
        <w:rPr>
          <w:rFonts w:ascii="宋体" w:hAnsi="宋体"/>
          <w:color w:val="auto"/>
          <w:sz w:val="24"/>
          <w:highlight w:val="none"/>
        </w:rPr>
        <w:t>内</w:t>
      </w:r>
      <w:r>
        <w:rPr>
          <w:rFonts w:hint="eastAsia" w:ascii="宋体" w:hAnsi="宋体"/>
          <w:color w:val="auto"/>
          <w:sz w:val="24"/>
          <w:highlight w:val="none"/>
        </w:rPr>
        <w:t>有效。</w:t>
      </w:r>
    </w:p>
    <w:p w14:paraId="7F09491C">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6</w:t>
      </w:r>
      <w:r>
        <w:rPr>
          <w:rFonts w:hint="eastAsia" w:ascii="宋体" w:hAnsi="宋体"/>
          <w:color w:val="auto"/>
          <w:sz w:val="24"/>
          <w:highlight w:val="none"/>
        </w:rPr>
        <w:t>.如中标，本投标文件至本项目合同履行完毕均保持有效，同意按照贵方要求提供与投标有关的一切数据或资料，并按招标文件及政府采购法律、法规的规定履行合同责任和义务。</w:t>
      </w:r>
    </w:p>
    <w:p w14:paraId="1947B839">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7</w:t>
      </w:r>
      <w:r>
        <w:rPr>
          <w:rFonts w:hint="eastAsia" w:ascii="宋体" w:hAnsi="宋体"/>
          <w:color w:val="auto"/>
          <w:sz w:val="24"/>
          <w:highlight w:val="none"/>
        </w:rPr>
        <w:t>.以上事项如有虚假或隐瞒，我方愿意承担一切后果，并不再寻求任何旨在减轻或免除法律责任的辩解，</w:t>
      </w:r>
      <w:r>
        <w:rPr>
          <w:rFonts w:ascii="宋体" w:hAnsi="宋体"/>
          <w:color w:val="auto"/>
          <w:sz w:val="24"/>
          <w:highlight w:val="none"/>
        </w:rPr>
        <w:t>同意我方的履约保证金（如有）不予</w:t>
      </w:r>
      <w:r>
        <w:rPr>
          <w:rFonts w:hint="eastAsia" w:ascii="宋体" w:hAnsi="宋体"/>
          <w:color w:val="auto"/>
          <w:sz w:val="24"/>
          <w:highlight w:val="none"/>
        </w:rPr>
        <w:t>退</w:t>
      </w:r>
      <w:r>
        <w:rPr>
          <w:rFonts w:ascii="宋体" w:hAnsi="宋体"/>
          <w:color w:val="auto"/>
          <w:sz w:val="24"/>
          <w:highlight w:val="none"/>
        </w:rPr>
        <w:t>回</w:t>
      </w:r>
      <w:r>
        <w:rPr>
          <w:rFonts w:hint="eastAsia" w:ascii="宋体" w:hAnsi="宋体"/>
          <w:color w:val="auto"/>
          <w:sz w:val="24"/>
          <w:highlight w:val="none"/>
        </w:rPr>
        <w:t>，</w:t>
      </w:r>
      <w:r>
        <w:rPr>
          <w:rFonts w:ascii="宋体" w:hAnsi="宋体"/>
          <w:color w:val="auto"/>
          <w:sz w:val="24"/>
          <w:highlight w:val="none"/>
        </w:rPr>
        <w:t>并对采购单位</w:t>
      </w:r>
      <w:r>
        <w:rPr>
          <w:rFonts w:hint="eastAsia" w:ascii="宋体" w:hAnsi="宋体"/>
          <w:color w:val="auto"/>
          <w:sz w:val="24"/>
          <w:highlight w:val="none"/>
        </w:rPr>
        <w:t>因</w:t>
      </w:r>
      <w:r>
        <w:rPr>
          <w:rFonts w:ascii="宋体" w:hAnsi="宋体"/>
          <w:color w:val="auto"/>
          <w:sz w:val="24"/>
          <w:highlight w:val="none"/>
        </w:rPr>
        <w:t>此引起的损失予以赔偿</w:t>
      </w:r>
      <w:r>
        <w:rPr>
          <w:rFonts w:hint="eastAsia" w:ascii="宋体" w:hAnsi="宋体"/>
          <w:color w:val="auto"/>
          <w:sz w:val="24"/>
          <w:highlight w:val="none"/>
        </w:rPr>
        <w:t>。</w:t>
      </w:r>
    </w:p>
    <w:p w14:paraId="490F61A3">
      <w:pPr>
        <w:snapToGrid w:val="0"/>
        <w:spacing w:line="380" w:lineRule="exact"/>
        <w:ind w:firstLine="480" w:firstLineChars="200"/>
        <w:rPr>
          <w:rFonts w:ascii="宋体" w:hAnsi="宋体"/>
          <w:color w:val="auto"/>
          <w:sz w:val="24"/>
          <w:highlight w:val="none"/>
        </w:rPr>
      </w:pPr>
      <w:r>
        <w:rPr>
          <w:rFonts w:ascii="宋体" w:hAnsi="宋体"/>
          <w:color w:val="auto"/>
          <w:sz w:val="24"/>
          <w:highlight w:val="none"/>
        </w:rPr>
        <w:t>8</w:t>
      </w:r>
      <w:r>
        <w:rPr>
          <w:rFonts w:hint="eastAsia" w:ascii="宋体" w:hAnsi="宋体"/>
          <w:color w:val="auto"/>
          <w:sz w:val="24"/>
          <w:highlight w:val="none"/>
        </w:rPr>
        <w:t>.我方全权授</w:t>
      </w:r>
      <w:r>
        <w:rPr>
          <w:rFonts w:ascii="宋体" w:hAnsi="宋体"/>
          <w:color w:val="auto"/>
          <w:sz w:val="24"/>
          <w:highlight w:val="none"/>
        </w:rPr>
        <w:t>权被授权人</w:t>
      </w:r>
      <w:r>
        <w:rPr>
          <w:rFonts w:hint="eastAsia" w:ascii="宋体" w:hAnsi="宋体"/>
          <w:color w:val="auto"/>
          <w:sz w:val="24"/>
          <w:highlight w:val="none"/>
        </w:rPr>
        <w:t>办理针对上述项目的投标、开标、评标、签约等具体事务和签署相关文件，</w:t>
      </w:r>
      <w:r>
        <w:rPr>
          <w:rFonts w:ascii="宋体" w:hAnsi="宋体"/>
          <w:color w:val="auto"/>
          <w:sz w:val="24"/>
          <w:highlight w:val="none"/>
        </w:rPr>
        <w:t>对被授权的</w:t>
      </w:r>
      <w:r>
        <w:rPr>
          <w:rFonts w:hint="eastAsia" w:ascii="宋体" w:hAnsi="宋体"/>
          <w:color w:val="auto"/>
          <w:sz w:val="24"/>
          <w:highlight w:val="none"/>
        </w:rPr>
        <w:t>各</w:t>
      </w:r>
      <w:r>
        <w:rPr>
          <w:rFonts w:ascii="宋体" w:hAnsi="宋体"/>
          <w:color w:val="auto"/>
          <w:sz w:val="24"/>
          <w:highlight w:val="none"/>
        </w:rPr>
        <w:t>项行为负全部责任</w:t>
      </w:r>
      <w:r>
        <w:rPr>
          <w:rFonts w:hint="eastAsia" w:ascii="宋体" w:hAnsi="宋体"/>
          <w:color w:val="auto"/>
          <w:sz w:val="24"/>
          <w:highlight w:val="none"/>
        </w:rPr>
        <w:t>，在撤销授权的书面通知以前，本授权书一直有效，被授权人无转委托权。</w:t>
      </w:r>
    </w:p>
    <w:p w14:paraId="1B5B71A9">
      <w:pPr>
        <w:snapToGrid w:val="0"/>
        <w:spacing w:line="380" w:lineRule="exact"/>
        <w:ind w:firstLine="361" w:firstLineChars="150"/>
        <w:rPr>
          <w:rFonts w:ascii="宋体" w:hAnsi="宋体"/>
          <w:b/>
          <w:bCs/>
          <w:color w:val="auto"/>
          <w:sz w:val="24"/>
          <w:highlight w:val="none"/>
          <w:u w:val="single"/>
          <w:shd w:val="pct10" w:color="auto" w:fill="FFFFFF"/>
        </w:rPr>
      </w:pPr>
      <w:r>
        <w:rPr>
          <w:rFonts w:hint="eastAsia" w:ascii="宋体" w:hAnsi="宋体"/>
          <w:b/>
          <w:bCs/>
          <w:color w:val="auto"/>
          <w:sz w:val="24"/>
          <w:highlight w:val="none"/>
        </w:rPr>
        <w:t>与本投标有关的一切正式往来信函、传真或邮件（例如质疑回复函、中标（成交）通知书、合同等）请采用如下联系方式送达，我方确保能够及时、准确收悉。</w:t>
      </w:r>
    </w:p>
    <w:p w14:paraId="17637158">
      <w:pPr>
        <w:snapToGrid w:val="0"/>
        <w:spacing w:line="380" w:lineRule="exact"/>
        <w:ind w:firstLine="360" w:firstLineChars="150"/>
        <w:rPr>
          <w:rFonts w:ascii="宋体" w:hAnsi="宋体"/>
          <w:color w:val="auto"/>
          <w:sz w:val="24"/>
          <w:highlight w:val="none"/>
        </w:rPr>
      </w:pPr>
      <w:r>
        <w:rPr>
          <w:rFonts w:hint="eastAsia" w:ascii="宋体" w:hAnsi="宋体"/>
          <w:color w:val="auto"/>
          <w:sz w:val="24"/>
          <w:highlight w:val="none"/>
        </w:rPr>
        <w:t>邮寄详细地址：</w:t>
      </w:r>
      <w:r>
        <w:rPr>
          <w:rFonts w:hint="eastAsia" w:ascii="宋体" w:hAnsi="宋体"/>
          <w:color w:val="auto"/>
          <w:sz w:val="24"/>
          <w:highlight w:val="none"/>
          <w:u w:val="single"/>
        </w:rPr>
        <w:t xml:space="preserve">                </w:t>
      </w:r>
      <w:r>
        <w:rPr>
          <w:rFonts w:ascii="宋体" w:hAnsi="宋体"/>
          <w:color w:val="auto"/>
          <w:sz w:val="24"/>
          <w:highlight w:val="none"/>
        </w:rPr>
        <w:t xml:space="preserve">  </w:t>
      </w:r>
      <w:r>
        <w:rPr>
          <w:rFonts w:hint="eastAsia" w:ascii="宋体" w:hAnsi="宋体"/>
          <w:color w:val="auto"/>
          <w:sz w:val="24"/>
          <w:highlight w:val="none"/>
        </w:rPr>
        <w:t>邮编：</w:t>
      </w:r>
      <w:r>
        <w:rPr>
          <w:rFonts w:hint="eastAsia" w:ascii="宋体" w:hAnsi="宋体"/>
          <w:color w:val="auto"/>
          <w:sz w:val="24"/>
          <w:highlight w:val="none"/>
          <w:u w:val="single"/>
        </w:rPr>
        <w:t xml:space="preserve">             </w:t>
      </w:r>
    </w:p>
    <w:p w14:paraId="0A6F67A5">
      <w:pPr>
        <w:snapToGrid w:val="0"/>
        <w:spacing w:line="380" w:lineRule="exact"/>
        <w:ind w:firstLine="360" w:firstLineChars="150"/>
        <w:rPr>
          <w:rFonts w:ascii="宋体" w:hAnsi="宋体"/>
          <w:color w:val="auto"/>
          <w:sz w:val="24"/>
          <w:highlight w:val="none"/>
        </w:rPr>
      </w:pPr>
      <w:r>
        <w:rPr>
          <w:rFonts w:hint="eastAsia" w:ascii="宋体" w:hAnsi="宋体"/>
          <w:color w:val="auto"/>
          <w:sz w:val="24"/>
          <w:highlight w:val="none"/>
        </w:rPr>
        <w:t>收件人姓名：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联系手机：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631C4D89">
      <w:pPr>
        <w:snapToGrid w:val="0"/>
        <w:spacing w:line="380" w:lineRule="exact"/>
        <w:ind w:firstLine="360" w:firstLineChars="150"/>
        <w:rPr>
          <w:rFonts w:ascii="宋体" w:hAnsi="宋体"/>
          <w:color w:val="auto"/>
          <w:sz w:val="24"/>
          <w:highlight w:val="none"/>
        </w:rPr>
      </w:pPr>
      <w:r>
        <w:rPr>
          <w:rFonts w:hint="eastAsia" w:ascii="宋体" w:hAnsi="宋体"/>
          <w:color w:val="auto"/>
          <w:sz w:val="24"/>
          <w:highlight w:val="none"/>
        </w:rPr>
        <w:t>公司电子邮箱</w:t>
      </w:r>
      <w:r>
        <w:rPr>
          <w:rFonts w:hint="eastAsia" w:ascii="宋体" w:hAnsi="宋体"/>
          <w:b/>
          <w:bCs/>
          <w:color w:val="auto"/>
          <w:sz w:val="24"/>
          <w:highlight w:val="none"/>
        </w:rPr>
        <w:t>：</w:t>
      </w:r>
      <w:r>
        <w:rPr>
          <w:rFonts w:hint="eastAsia" w:ascii="宋体" w:hAnsi="宋体"/>
          <w:color w:val="auto"/>
          <w:sz w:val="24"/>
          <w:highlight w:val="none"/>
          <w:u w:val="single"/>
        </w:rPr>
        <w:t xml:space="preserve">                      </w:t>
      </w:r>
    </w:p>
    <w:p w14:paraId="1015EA4C">
      <w:pPr>
        <w:snapToGrid w:val="0"/>
        <w:spacing w:line="380" w:lineRule="exact"/>
        <w:ind w:firstLine="361" w:firstLineChars="150"/>
        <w:rPr>
          <w:rFonts w:ascii="宋体" w:hAnsi="宋体"/>
          <w:b/>
          <w:bCs/>
          <w:color w:val="auto"/>
          <w:sz w:val="24"/>
          <w:highlight w:val="none"/>
        </w:rPr>
      </w:pPr>
      <w:r>
        <w:rPr>
          <w:rFonts w:hint="eastAsia" w:ascii="宋体" w:hAnsi="宋体"/>
          <w:b/>
          <w:bCs/>
          <w:color w:val="auto"/>
          <w:sz w:val="24"/>
          <w:highlight w:val="none"/>
        </w:rPr>
        <w:t>为了方便评标委员会在必要时对供应商进行询标，请供应商填写以下投标文件编制人信息，以便及时、准确进行询标，投标文件编制人信息可不限于1人。</w:t>
      </w:r>
    </w:p>
    <w:p w14:paraId="4D432E3D">
      <w:pPr>
        <w:snapToGrid w:val="0"/>
        <w:spacing w:line="38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投标文件编制人姓名：</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ascii="宋体" w:hAnsi="宋体"/>
          <w:b/>
          <w:bCs/>
          <w:color w:val="auto"/>
          <w:sz w:val="24"/>
          <w:highlight w:val="none"/>
        </w:rPr>
        <w:t xml:space="preserve">  </w:t>
      </w:r>
      <w:r>
        <w:rPr>
          <w:rFonts w:hint="eastAsia" w:ascii="宋体" w:hAnsi="宋体"/>
          <w:b/>
          <w:bCs/>
          <w:color w:val="auto"/>
          <w:sz w:val="24"/>
          <w:highlight w:val="none"/>
        </w:rPr>
        <w:t>手机号码：</w:t>
      </w:r>
      <w:r>
        <w:rPr>
          <w:rFonts w:hint="eastAsia" w:ascii="宋体" w:hAnsi="宋体"/>
          <w:b/>
          <w:bCs/>
          <w:color w:val="auto"/>
          <w:sz w:val="24"/>
          <w:highlight w:val="none"/>
          <w:u w:val="single"/>
        </w:rPr>
        <w:t xml:space="preserve">       </w:t>
      </w:r>
    </w:p>
    <w:p w14:paraId="437A574A">
      <w:pPr>
        <w:snapToGrid w:val="0"/>
        <w:spacing w:line="380" w:lineRule="exact"/>
        <w:ind w:firstLine="361" w:firstLineChars="150"/>
        <w:jc w:val="left"/>
        <w:rPr>
          <w:rFonts w:ascii="宋体" w:hAnsi="宋体"/>
          <w:b/>
          <w:bCs/>
          <w:color w:val="auto"/>
          <w:sz w:val="24"/>
          <w:highlight w:val="none"/>
          <w:u w:val="single"/>
        </w:rPr>
      </w:pPr>
      <w:r>
        <w:rPr>
          <w:rFonts w:hint="eastAsia" w:ascii="宋体" w:hAnsi="宋体"/>
          <w:b/>
          <w:bCs/>
          <w:color w:val="auto"/>
          <w:sz w:val="24"/>
          <w:highlight w:val="none"/>
        </w:rPr>
        <w:t>法定代表人（签字或盖章）：</w:t>
      </w:r>
      <w:r>
        <w:rPr>
          <w:rFonts w:hint="eastAsia" w:ascii="宋体" w:hAnsi="宋体"/>
          <w:b/>
          <w:bCs/>
          <w:color w:val="auto"/>
          <w:sz w:val="24"/>
          <w:highlight w:val="none"/>
          <w:u w:val="single"/>
        </w:rPr>
        <w:t xml:space="preserve">                       </w:t>
      </w:r>
    </w:p>
    <w:p w14:paraId="24F09E5C">
      <w:pPr>
        <w:snapToGrid w:val="0"/>
        <w:spacing w:line="380" w:lineRule="exact"/>
        <w:ind w:firstLine="361" w:firstLineChars="150"/>
        <w:jc w:val="left"/>
        <w:rPr>
          <w:rFonts w:ascii="宋体" w:hAnsi="宋体"/>
          <w:b/>
          <w:bCs/>
          <w:color w:val="auto"/>
          <w:sz w:val="24"/>
          <w:highlight w:val="none"/>
        </w:rPr>
      </w:pPr>
      <w:r>
        <w:rPr>
          <w:rFonts w:hint="eastAsia" w:ascii="宋体" w:hAnsi="宋体"/>
          <w:b/>
          <w:bCs/>
          <w:color w:val="auto"/>
          <w:sz w:val="24"/>
          <w:highlight w:val="none"/>
        </w:rPr>
        <w:t>被授权人（签字）:</w:t>
      </w:r>
      <w:r>
        <w:rPr>
          <w:rFonts w:hint="eastAsia" w:ascii="宋体" w:hAnsi="宋体"/>
          <w:b/>
          <w:bCs/>
          <w:color w:val="auto"/>
          <w:sz w:val="24"/>
          <w:highlight w:val="none"/>
          <w:u w:val="single"/>
        </w:rPr>
        <w:t xml:space="preserve">             </w:t>
      </w:r>
      <w:r>
        <w:rPr>
          <w:rFonts w:hint="eastAsia" w:ascii="宋体" w:hAnsi="宋体"/>
          <w:b/>
          <w:bCs/>
          <w:color w:val="auto"/>
          <w:sz w:val="24"/>
          <w:highlight w:val="none"/>
        </w:rPr>
        <w:t xml:space="preserve"> </w:t>
      </w:r>
      <w:r>
        <w:rPr>
          <w:rFonts w:hint="eastAsia" w:ascii="宋体" w:hAnsi="宋体"/>
          <w:color w:val="auto"/>
          <w:sz w:val="24"/>
          <w:highlight w:val="none"/>
        </w:rPr>
        <w:t xml:space="preserve"> </w:t>
      </w:r>
      <w:r>
        <w:rPr>
          <w:rFonts w:hint="eastAsia" w:ascii="宋体" w:hAnsi="宋体"/>
          <w:b/>
          <w:bCs/>
          <w:color w:val="auto"/>
          <w:sz w:val="24"/>
          <w:highlight w:val="none"/>
        </w:rPr>
        <w:t>被授权人手机号码：</w:t>
      </w:r>
      <w:r>
        <w:rPr>
          <w:rFonts w:hint="eastAsia" w:ascii="宋体" w:hAnsi="宋体"/>
          <w:b/>
          <w:color w:val="auto"/>
          <w:sz w:val="24"/>
          <w:highlight w:val="none"/>
          <w:u w:val="single"/>
        </w:rPr>
        <w:t xml:space="preserve">     </w:t>
      </w:r>
    </w:p>
    <w:p w14:paraId="724EE12D">
      <w:pPr>
        <w:snapToGrid w:val="0"/>
        <w:spacing w:line="380" w:lineRule="exact"/>
        <w:jc w:val="left"/>
        <w:rPr>
          <w:rFonts w:ascii="宋体" w:hAnsi="宋体"/>
          <w:color w:val="auto"/>
          <w:sz w:val="24"/>
          <w:highlight w:val="none"/>
        </w:rPr>
      </w:pPr>
    </w:p>
    <w:p w14:paraId="149A4104">
      <w:pPr>
        <w:snapToGrid w:val="0"/>
        <w:spacing w:line="380" w:lineRule="exact"/>
        <w:ind w:firstLine="5301" w:firstLineChars="2200"/>
        <w:jc w:val="left"/>
        <w:rPr>
          <w:rFonts w:ascii="宋体" w:hAnsi="宋体"/>
          <w:color w:val="auto"/>
          <w:sz w:val="24"/>
          <w:highlight w:val="none"/>
        </w:rPr>
      </w:pPr>
      <w:r>
        <w:rPr>
          <w:rFonts w:hint="eastAsia" w:ascii="宋体" w:hAnsi="宋体"/>
          <w:b/>
          <w:bCs/>
          <w:color w:val="auto"/>
          <w:sz w:val="24"/>
          <w:highlight w:val="none"/>
        </w:rPr>
        <w:t xml:space="preserve">供应商（电子章）:   </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 xml:space="preserve">   </w:t>
      </w:r>
    </w:p>
    <w:p w14:paraId="6E6DC853">
      <w:pPr>
        <w:snapToGrid w:val="0"/>
        <w:spacing w:line="380" w:lineRule="exact"/>
        <w:ind w:firstLine="5640" w:firstLineChars="2350"/>
        <w:jc w:val="left"/>
        <w:rPr>
          <w:rFonts w:ascii="宋体" w:hAnsi="宋体"/>
          <w:color w:val="auto"/>
          <w:sz w:val="24"/>
          <w:highlight w:val="none"/>
        </w:rPr>
      </w:pPr>
      <w:r>
        <w:rPr>
          <w:rFonts w:hint="eastAsia" w:ascii="宋体" w:hAnsi="宋体"/>
          <w:color w:val="auto"/>
          <w:sz w:val="24"/>
          <w:highlight w:val="none"/>
        </w:rPr>
        <w:t>日期:     年   月   日</w:t>
      </w:r>
    </w:p>
    <w:p w14:paraId="33B38EDE">
      <w:pPr>
        <w:widowControl/>
        <w:jc w:val="left"/>
        <w:rPr>
          <w:rFonts w:ascii="宋体" w:hAnsi="宋体"/>
          <w:b/>
          <w:color w:val="auto"/>
          <w:sz w:val="28"/>
          <w:highlight w:val="none"/>
        </w:rPr>
      </w:pPr>
      <w:r>
        <w:rPr>
          <w:rFonts w:ascii="宋体" w:hAnsi="宋体"/>
          <w:b/>
          <w:color w:val="auto"/>
          <w:sz w:val="28"/>
          <w:highlight w:val="none"/>
        </w:rPr>
        <w:br w:type="page"/>
      </w:r>
    </w:p>
    <w:p w14:paraId="5F3EC3FD">
      <w:pPr>
        <w:spacing w:line="360" w:lineRule="auto"/>
        <w:rPr>
          <w:rFonts w:ascii="宋体" w:hAnsi="宋体"/>
          <w:b/>
          <w:color w:val="auto"/>
          <w:sz w:val="28"/>
          <w:highlight w:val="none"/>
        </w:rPr>
      </w:pPr>
      <w:r>
        <w:rPr>
          <w:rFonts w:hint="eastAsia" w:ascii="宋体" w:hAnsi="宋体"/>
          <w:b/>
          <w:color w:val="auto"/>
          <w:sz w:val="28"/>
          <w:highlight w:val="none"/>
        </w:rPr>
        <w:t>附件8</w:t>
      </w:r>
    </w:p>
    <w:p w14:paraId="1827102A">
      <w:pPr>
        <w:snapToGrid w:val="0"/>
        <w:spacing w:before="159" w:beforeLines="50" w:after="50" w:line="360" w:lineRule="auto"/>
        <w:jc w:val="center"/>
        <w:rPr>
          <w:rFonts w:ascii="宋体" w:hAnsi="宋体"/>
          <w:b/>
          <w:color w:val="auto"/>
          <w:sz w:val="36"/>
          <w:szCs w:val="36"/>
          <w:highlight w:val="none"/>
        </w:rPr>
      </w:pPr>
      <w:r>
        <w:rPr>
          <w:rFonts w:hint="eastAsia" w:ascii="宋体" w:hAnsi="宋体"/>
          <w:b/>
          <w:color w:val="auto"/>
          <w:sz w:val="32"/>
          <w:szCs w:val="32"/>
          <w:highlight w:val="none"/>
        </w:rPr>
        <w:t>项目实施人员一览表</w:t>
      </w:r>
    </w:p>
    <w:p w14:paraId="165607FB">
      <w:pPr>
        <w:snapToGrid w:val="0"/>
        <w:spacing w:before="159" w:beforeLines="50" w:after="50" w:line="360" w:lineRule="auto"/>
        <w:jc w:val="center"/>
        <w:rPr>
          <w:rFonts w:ascii="宋体" w:hAnsi="宋体"/>
          <w:color w:val="auto"/>
          <w:sz w:val="24"/>
          <w:highlight w:val="none"/>
        </w:rPr>
      </w:pPr>
      <w:r>
        <w:rPr>
          <w:rFonts w:hint="eastAsia" w:ascii="宋体" w:hAnsi="宋体"/>
          <w:color w:val="auto"/>
          <w:sz w:val="24"/>
          <w:highlight w:val="none"/>
        </w:rPr>
        <w:t>（主要从业人员及其技术资格）</w:t>
      </w:r>
    </w:p>
    <w:tbl>
      <w:tblPr>
        <w:tblStyle w:val="46"/>
        <w:tblW w:w="86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03"/>
        <w:gridCol w:w="591"/>
        <w:gridCol w:w="1097"/>
        <w:gridCol w:w="867"/>
        <w:gridCol w:w="1649"/>
        <w:gridCol w:w="1135"/>
        <w:gridCol w:w="1390"/>
        <w:gridCol w:w="1390"/>
      </w:tblGrid>
      <w:tr w14:paraId="04F91E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vAlign w:val="center"/>
          </w:tcPr>
          <w:p w14:paraId="34F87F60">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序号</w:t>
            </w:r>
          </w:p>
        </w:tc>
        <w:tc>
          <w:tcPr>
            <w:tcW w:w="591" w:type="dxa"/>
            <w:tcBorders>
              <w:top w:val="single" w:color="auto" w:sz="4" w:space="0"/>
              <w:left w:val="single" w:color="auto" w:sz="4" w:space="0"/>
              <w:bottom w:val="single" w:color="auto" w:sz="4" w:space="0"/>
              <w:right w:val="single" w:color="auto" w:sz="4" w:space="0"/>
            </w:tcBorders>
            <w:vAlign w:val="center"/>
          </w:tcPr>
          <w:p w14:paraId="4EA545C7">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姓名</w:t>
            </w:r>
          </w:p>
        </w:tc>
        <w:tc>
          <w:tcPr>
            <w:tcW w:w="1097" w:type="dxa"/>
            <w:tcBorders>
              <w:top w:val="single" w:color="auto" w:sz="4" w:space="0"/>
              <w:left w:val="single" w:color="auto" w:sz="4" w:space="0"/>
              <w:bottom w:val="single" w:color="auto" w:sz="4" w:space="0"/>
              <w:right w:val="single" w:color="auto" w:sz="4" w:space="0"/>
            </w:tcBorders>
            <w:vAlign w:val="center"/>
          </w:tcPr>
          <w:p w14:paraId="4D6E72DC">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职务</w:t>
            </w:r>
          </w:p>
        </w:tc>
        <w:tc>
          <w:tcPr>
            <w:tcW w:w="867" w:type="dxa"/>
            <w:tcBorders>
              <w:top w:val="single" w:color="auto" w:sz="4" w:space="0"/>
              <w:left w:val="single" w:color="auto" w:sz="4" w:space="0"/>
              <w:bottom w:val="single" w:color="auto" w:sz="4" w:space="0"/>
              <w:right w:val="single" w:color="auto" w:sz="4" w:space="0"/>
            </w:tcBorders>
            <w:vAlign w:val="center"/>
          </w:tcPr>
          <w:p w14:paraId="2296C62D">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职责</w:t>
            </w:r>
          </w:p>
        </w:tc>
        <w:tc>
          <w:tcPr>
            <w:tcW w:w="1649" w:type="dxa"/>
            <w:tcBorders>
              <w:top w:val="single" w:color="auto" w:sz="4" w:space="0"/>
              <w:left w:val="single" w:color="auto" w:sz="4" w:space="0"/>
              <w:bottom w:val="single" w:color="auto" w:sz="4" w:space="0"/>
              <w:right w:val="single" w:color="auto" w:sz="4" w:space="0"/>
            </w:tcBorders>
            <w:vAlign w:val="center"/>
          </w:tcPr>
          <w:p w14:paraId="5B0FAE23">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专业技术资格</w:t>
            </w:r>
          </w:p>
        </w:tc>
        <w:tc>
          <w:tcPr>
            <w:tcW w:w="1135" w:type="dxa"/>
            <w:tcBorders>
              <w:top w:val="single" w:color="auto" w:sz="4" w:space="0"/>
              <w:left w:val="single" w:color="auto" w:sz="4" w:space="0"/>
              <w:bottom w:val="single" w:color="auto" w:sz="4" w:space="0"/>
              <w:right w:val="single" w:color="auto" w:sz="4" w:space="0"/>
            </w:tcBorders>
            <w:vAlign w:val="center"/>
          </w:tcPr>
          <w:p w14:paraId="787AB02E">
            <w:pPr>
              <w:snapToGrid w:val="0"/>
              <w:spacing w:before="159" w:beforeLines="50" w:after="50" w:line="360" w:lineRule="auto"/>
              <w:ind w:left="-105" w:leftChars="-50" w:right="-105" w:rightChars="-50"/>
              <w:jc w:val="center"/>
              <w:rPr>
                <w:rFonts w:ascii="宋体" w:hAnsi="宋体"/>
                <w:b/>
                <w:color w:val="auto"/>
                <w:szCs w:val="21"/>
                <w:highlight w:val="none"/>
              </w:rPr>
            </w:pPr>
            <w:r>
              <w:rPr>
                <w:rFonts w:hint="eastAsia" w:ascii="宋体" w:hAnsi="宋体"/>
                <w:b/>
                <w:color w:val="auto"/>
                <w:szCs w:val="21"/>
                <w:highlight w:val="none"/>
              </w:rPr>
              <w:t>证书编号</w:t>
            </w:r>
          </w:p>
        </w:tc>
        <w:tc>
          <w:tcPr>
            <w:tcW w:w="1390" w:type="dxa"/>
            <w:tcBorders>
              <w:top w:val="single" w:color="auto" w:sz="4" w:space="0"/>
              <w:left w:val="single" w:color="auto" w:sz="4" w:space="0"/>
              <w:bottom w:val="single" w:color="auto" w:sz="4" w:space="0"/>
              <w:right w:val="single" w:color="auto" w:sz="4" w:space="0"/>
            </w:tcBorders>
            <w:vAlign w:val="center"/>
          </w:tcPr>
          <w:p w14:paraId="560A5034">
            <w:pPr>
              <w:snapToGrid w:val="0"/>
              <w:spacing w:before="159" w:beforeLines="50" w:after="50" w:line="360" w:lineRule="auto"/>
              <w:ind w:left="-105" w:leftChars="-50" w:right="-105" w:rightChars="-50"/>
              <w:jc w:val="center"/>
              <w:rPr>
                <w:rFonts w:ascii="宋体" w:hAnsi="宋体"/>
                <w:b/>
                <w:color w:val="auto"/>
                <w:szCs w:val="21"/>
                <w:highlight w:val="none"/>
              </w:rPr>
            </w:pPr>
            <w:r>
              <w:rPr>
                <w:rFonts w:ascii="宋体" w:hAnsi="宋体"/>
                <w:b/>
                <w:color w:val="auto"/>
                <w:szCs w:val="21"/>
                <w:highlight w:val="none"/>
              </w:rPr>
              <w:t>荣誉</w:t>
            </w:r>
          </w:p>
        </w:tc>
        <w:tc>
          <w:tcPr>
            <w:tcW w:w="1390" w:type="dxa"/>
            <w:tcBorders>
              <w:top w:val="single" w:color="auto" w:sz="4" w:space="0"/>
              <w:left w:val="single" w:color="auto" w:sz="4" w:space="0"/>
              <w:bottom w:val="single" w:color="auto" w:sz="4" w:space="0"/>
              <w:right w:val="single" w:color="auto" w:sz="4" w:space="0"/>
            </w:tcBorders>
            <w:vAlign w:val="center"/>
          </w:tcPr>
          <w:p w14:paraId="49727320">
            <w:pPr>
              <w:snapToGrid w:val="0"/>
              <w:spacing w:before="159" w:beforeLines="50" w:after="50" w:line="360" w:lineRule="auto"/>
              <w:ind w:left="-105" w:leftChars="-50" w:right="-105" w:rightChars="-50"/>
              <w:jc w:val="center"/>
              <w:rPr>
                <w:rFonts w:ascii="宋体" w:hAnsi="宋体"/>
                <w:b/>
                <w:color w:val="auto"/>
                <w:szCs w:val="21"/>
                <w:highlight w:val="none"/>
              </w:rPr>
            </w:pPr>
            <w:r>
              <w:rPr>
                <w:rFonts w:ascii="宋体" w:hAnsi="宋体"/>
                <w:b/>
                <w:color w:val="auto"/>
                <w:szCs w:val="21"/>
                <w:highlight w:val="none"/>
              </w:rPr>
              <w:t>本专业工作年限</w:t>
            </w:r>
          </w:p>
        </w:tc>
      </w:tr>
      <w:tr w14:paraId="15F443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4BA7913E">
            <w:pPr>
              <w:snapToGrid w:val="0"/>
              <w:spacing w:before="159"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744DBD5A">
            <w:pPr>
              <w:snapToGrid w:val="0"/>
              <w:spacing w:before="159"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7AED0A4D">
            <w:pPr>
              <w:snapToGrid w:val="0"/>
              <w:spacing w:before="159"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4A01BDBE">
            <w:pPr>
              <w:snapToGrid w:val="0"/>
              <w:spacing w:before="159"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7D1D371A">
            <w:pPr>
              <w:snapToGrid w:val="0"/>
              <w:spacing w:before="159"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A76D946">
            <w:pPr>
              <w:snapToGrid w:val="0"/>
              <w:spacing w:before="159"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62BB6993">
            <w:pPr>
              <w:snapToGrid w:val="0"/>
              <w:spacing w:before="159"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7A656F13">
            <w:pPr>
              <w:snapToGrid w:val="0"/>
              <w:spacing w:before="159" w:beforeLines="50" w:after="50" w:line="360" w:lineRule="auto"/>
              <w:jc w:val="center"/>
              <w:rPr>
                <w:rFonts w:ascii="宋体" w:hAnsi="宋体"/>
                <w:b/>
                <w:color w:val="auto"/>
                <w:kern w:val="44"/>
                <w:sz w:val="24"/>
                <w:szCs w:val="20"/>
                <w:highlight w:val="none"/>
              </w:rPr>
            </w:pPr>
          </w:p>
        </w:tc>
      </w:tr>
      <w:tr w14:paraId="6EECFC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0835ABE3">
            <w:pPr>
              <w:snapToGrid w:val="0"/>
              <w:spacing w:before="159"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65294F15">
            <w:pPr>
              <w:snapToGrid w:val="0"/>
              <w:spacing w:before="159"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4EDC778C">
            <w:pPr>
              <w:snapToGrid w:val="0"/>
              <w:spacing w:before="159"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08EA8F45">
            <w:pPr>
              <w:snapToGrid w:val="0"/>
              <w:spacing w:before="159"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3CF8ED5F">
            <w:pPr>
              <w:snapToGrid w:val="0"/>
              <w:spacing w:before="159"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1C8B9F1B">
            <w:pPr>
              <w:snapToGrid w:val="0"/>
              <w:spacing w:before="159"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0D756BAC">
            <w:pPr>
              <w:snapToGrid w:val="0"/>
              <w:spacing w:before="159"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3088585A">
            <w:pPr>
              <w:snapToGrid w:val="0"/>
              <w:spacing w:before="159" w:beforeLines="50" w:after="50" w:line="360" w:lineRule="auto"/>
              <w:jc w:val="center"/>
              <w:rPr>
                <w:rFonts w:ascii="宋体" w:hAnsi="宋体"/>
                <w:b/>
                <w:color w:val="auto"/>
                <w:kern w:val="44"/>
                <w:sz w:val="24"/>
                <w:szCs w:val="20"/>
                <w:highlight w:val="none"/>
              </w:rPr>
            </w:pPr>
          </w:p>
        </w:tc>
      </w:tr>
      <w:tr w14:paraId="310AB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298EEBED">
            <w:pPr>
              <w:snapToGrid w:val="0"/>
              <w:spacing w:before="159"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44BD457C">
            <w:pPr>
              <w:snapToGrid w:val="0"/>
              <w:spacing w:before="159"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1F20EDC5">
            <w:pPr>
              <w:snapToGrid w:val="0"/>
              <w:spacing w:before="159"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7A904C83">
            <w:pPr>
              <w:pStyle w:val="27"/>
              <w:snapToGrid w:val="0"/>
              <w:spacing w:before="159" w:beforeLines="50" w:after="50" w:line="360" w:lineRule="auto"/>
              <w:ind w:left="5250"/>
              <w:rPr>
                <w:rFonts w:ascii="宋体" w:hAnsi="宋体" w:eastAsia="宋体"/>
                <w:b/>
                <w:color w:val="auto"/>
                <w:kern w:val="44"/>
                <w:sz w:val="24"/>
                <w:szCs w:val="24"/>
                <w:highlight w:val="none"/>
              </w:rPr>
            </w:pPr>
          </w:p>
        </w:tc>
        <w:tc>
          <w:tcPr>
            <w:tcW w:w="1649" w:type="dxa"/>
            <w:tcBorders>
              <w:top w:val="single" w:color="auto" w:sz="4" w:space="0"/>
              <w:left w:val="single" w:color="auto" w:sz="4" w:space="0"/>
              <w:bottom w:val="single" w:color="auto" w:sz="4" w:space="0"/>
              <w:right w:val="single" w:color="auto" w:sz="4" w:space="0"/>
            </w:tcBorders>
          </w:tcPr>
          <w:p w14:paraId="609FB5A9">
            <w:pPr>
              <w:pStyle w:val="27"/>
              <w:snapToGrid w:val="0"/>
              <w:spacing w:before="159" w:beforeLines="50" w:after="50" w:line="360" w:lineRule="auto"/>
              <w:ind w:left="5250"/>
              <w:rPr>
                <w:rFonts w:ascii="宋体" w:hAnsi="宋体" w:eastAsia="宋体"/>
                <w:b/>
                <w:color w:val="auto"/>
                <w:kern w:val="44"/>
                <w:sz w:val="24"/>
                <w:szCs w:val="24"/>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4591B9D9">
            <w:pPr>
              <w:pStyle w:val="27"/>
              <w:spacing w:line="360" w:lineRule="auto"/>
              <w:ind w:left="5250"/>
              <w:jc w:val="center"/>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tcPr>
          <w:p w14:paraId="29F3248F">
            <w:pPr>
              <w:pStyle w:val="27"/>
              <w:spacing w:line="360" w:lineRule="auto"/>
              <w:ind w:left="5250"/>
              <w:rPr>
                <w:rFonts w:ascii="宋体" w:hAnsi="宋体"/>
                <w:color w:val="auto"/>
                <w:sz w:val="24"/>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5E6BE992">
            <w:pPr>
              <w:pStyle w:val="27"/>
              <w:spacing w:line="360" w:lineRule="auto"/>
              <w:ind w:left="5250"/>
              <w:jc w:val="center"/>
              <w:rPr>
                <w:rFonts w:ascii="宋体" w:hAnsi="宋体"/>
                <w:color w:val="auto"/>
                <w:sz w:val="24"/>
                <w:highlight w:val="none"/>
              </w:rPr>
            </w:pPr>
          </w:p>
        </w:tc>
      </w:tr>
      <w:tr w14:paraId="51C25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694C584">
            <w:pPr>
              <w:snapToGrid w:val="0"/>
              <w:spacing w:before="159"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78EE41D2">
            <w:pPr>
              <w:snapToGrid w:val="0"/>
              <w:spacing w:before="159"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39E46F36">
            <w:pPr>
              <w:snapToGrid w:val="0"/>
              <w:spacing w:before="159"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508334C">
            <w:pPr>
              <w:snapToGrid w:val="0"/>
              <w:spacing w:before="159"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6ADC0A64">
            <w:pPr>
              <w:snapToGrid w:val="0"/>
              <w:spacing w:before="159"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4271B26">
            <w:pPr>
              <w:snapToGrid w:val="0"/>
              <w:spacing w:before="159"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2524053F">
            <w:pPr>
              <w:snapToGrid w:val="0"/>
              <w:spacing w:before="159"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71E087B">
            <w:pPr>
              <w:snapToGrid w:val="0"/>
              <w:spacing w:before="159" w:beforeLines="50" w:after="50" w:line="360" w:lineRule="auto"/>
              <w:jc w:val="center"/>
              <w:rPr>
                <w:rFonts w:ascii="宋体" w:hAnsi="宋体"/>
                <w:b/>
                <w:color w:val="auto"/>
                <w:kern w:val="44"/>
                <w:sz w:val="24"/>
                <w:szCs w:val="20"/>
                <w:highlight w:val="none"/>
              </w:rPr>
            </w:pPr>
          </w:p>
        </w:tc>
      </w:tr>
      <w:tr w14:paraId="133527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03" w:type="dxa"/>
            <w:tcBorders>
              <w:top w:val="single" w:color="auto" w:sz="4" w:space="0"/>
              <w:left w:val="single" w:color="auto" w:sz="4" w:space="0"/>
              <w:bottom w:val="single" w:color="auto" w:sz="4" w:space="0"/>
              <w:right w:val="single" w:color="auto" w:sz="4" w:space="0"/>
            </w:tcBorders>
          </w:tcPr>
          <w:p w14:paraId="33FD5086">
            <w:pPr>
              <w:snapToGrid w:val="0"/>
              <w:spacing w:before="159" w:beforeLines="50" w:after="50" w:line="360" w:lineRule="auto"/>
              <w:rPr>
                <w:rFonts w:ascii="宋体" w:hAnsi="宋体"/>
                <w:color w:val="auto"/>
                <w:sz w:val="24"/>
                <w:szCs w:val="20"/>
                <w:highlight w:val="none"/>
              </w:rPr>
            </w:pPr>
          </w:p>
        </w:tc>
        <w:tc>
          <w:tcPr>
            <w:tcW w:w="591" w:type="dxa"/>
            <w:tcBorders>
              <w:top w:val="single" w:color="auto" w:sz="4" w:space="0"/>
              <w:left w:val="single" w:color="auto" w:sz="4" w:space="0"/>
              <w:bottom w:val="single" w:color="auto" w:sz="4" w:space="0"/>
              <w:right w:val="single" w:color="auto" w:sz="4" w:space="0"/>
            </w:tcBorders>
          </w:tcPr>
          <w:p w14:paraId="7600A819">
            <w:pPr>
              <w:snapToGrid w:val="0"/>
              <w:spacing w:before="159" w:beforeLines="50" w:after="50" w:line="360" w:lineRule="auto"/>
              <w:rPr>
                <w:rFonts w:ascii="宋体" w:hAnsi="宋体"/>
                <w:b/>
                <w:color w:val="auto"/>
                <w:kern w:val="44"/>
                <w:sz w:val="24"/>
                <w:szCs w:val="20"/>
                <w:highlight w:val="none"/>
              </w:rPr>
            </w:pPr>
          </w:p>
        </w:tc>
        <w:tc>
          <w:tcPr>
            <w:tcW w:w="1097" w:type="dxa"/>
            <w:tcBorders>
              <w:top w:val="single" w:color="auto" w:sz="4" w:space="0"/>
              <w:left w:val="single" w:color="auto" w:sz="4" w:space="0"/>
              <w:bottom w:val="single" w:color="auto" w:sz="4" w:space="0"/>
              <w:right w:val="single" w:color="auto" w:sz="4" w:space="0"/>
            </w:tcBorders>
          </w:tcPr>
          <w:p w14:paraId="13332654">
            <w:pPr>
              <w:snapToGrid w:val="0"/>
              <w:spacing w:before="159" w:beforeLines="50" w:after="50" w:line="360" w:lineRule="auto"/>
              <w:rPr>
                <w:rFonts w:ascii="宋体" w:hAnsi="宋体"/>
                <w:b/>
                <w:color w:val="auto"/>
                <w:kern w:val="44"/>
                <w:sz w:val="24"/>
                <w:szCs w:val="20"/>
                <w:highlight w:val="none"/>
              </w:rPr>
            </w:pPr>
          </w:p>
        </w:tc>
        <w:tc>
          <w:tcPr>
            <w:tcW w:w="867" w:type="dxa"/>
            <w:tcBorders>
              <w:top w:val="single" w:color="auto" w:sz="4" w:space="0"/>
              <w:left w:val="single" w:color="auto" w:sz="4" w:space="0"/>
              <w:bottom w:val="single" w:color="auto" w:sz="4" w:space="0"/>
              <w:right w:val="single" w:color="auto" w:sz="4" w:space="0"/>
            </w:tcBorders>
          </w:tcPr>
          <w:p w14:paraId="1C23BBC9">
            <w:pPr>
              <w:snapToGrid w:val="0"/>
              <w:spacing w:before="159" w:beforeLines="50" w:after="50" w:line="360" w:lineRule="auto"/>
              <w:rPr>
                <w:rFonts w:ascii="宋体" w:hAnsi="宋体"/>
                <w:b/>
                <w:color w:val="auto"/>
                <w:kern w:val="44"/>
                <w:sz w:val="24"/>
                <w:szCs w:val="20"/>
                <w:highlight w:val="none"/>
              </w:rPr>
            </w:pPr>
          </w:p>
        </w:tc>
        <w:tc>
          <w:tcPr>
            <w:tcW w:w="1649" w:type="dxa"/>
            <w:tcBorders>
              <w:top w:val="single" w:color="auto" w:sz="4" w:space="0"/>
              <w:left w:val="single" w:color="auto" w:sz="4" w:space="0"/>
              <w:bottom w:val="single" w:color="auto" w:sz="4" w:space="0"/>
              <w:right w:val="single" w:color="auto" w:sz="4" w:space="0"/>
            </w:tcBorders>
          </w:tcPr>
          <w:p w14:paraId="5AF6343F">
            <w:pPr>
              <w:snapToGrid w:val="0"/>
              <w:spacing w:before="159" w:beforeLines="50" w:after="50" w:line="360" w:lineRule="auto"/>
              <w:rPr>
                <w:rFonts w:ascii="宋体" w:hAnsi="宋体"/>
                <w:b/>
                <w:color w:val="auto"/>
                <w:kern w:val="44"/>
                <w:sz w:val="24"/>
                <w:szCs w:val="20"/>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14:paraId="05AB6C25">
            <w:pPr>
              <w:snapToGrid w:val="0"/>
              <w:spacing w:before="159" w:beforeLines="50" w:after="50" w:line="360" w:lineRule="auto"/>
              <w:jc w:val="center"/>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tcPr>
          <w:p w14:paraId="198D8C42">
            <w:pPr>
              <w:snapToGrid w:val="0"/>
              <w:spacing w:before="159" w:beforeLines="50" w:after="50" w:line="360" w:lineRule="auto"/>
              <w:rPr>
                <w:rFonts w:ascii="宋体" w:hAnsi="宋体"/>
                <w:b/>
                <w:color w:val="auto"/>
                <w:kern w:val="44"/>
                <w:sz w:val="24"/>
                <w:szCs w:val="20"/>
                <w:highlight w:val="none"/>
              </w:rPr>
            </w:pPr>
          </w:p>
        </w:tc>
        <w:tc>
          <w:tcPr>
            <w:tcW w:w="1390" w:type="dxa"/>
            <w:tcBorders>
              <w:top w:val="single" w:color="auto" w:sz="4" w:space="0"/>
              <w:left w:val="single" w:color="auto" w:sz="4" w:space="0"/>
              <w:bottom w:val="single" w:color="auto" w:sz="4" w:space="0"/>
              <w:right w:val="single" w:color="auto" w:sz="4" w:space="0"/>
            </w:tcBorders>
            <w:vAlign w:val="center"/>
          </w:tcPr>
          <w:p w14:paraId="4E013A3A">
            <w:pPr>
              <w:snapToGrid w:val="0"/>
              <w:spacing w:before="159" w:beforeLines="50" w:after="50" w:line="360" w:lineRule="auto"/>
              <w:jc w:val="center"/>
              <w:rPr>
                <w:rFonts w:ascii="宋体" w:hAnsi="宋体"/>
                <w:b/>
                <w:color w:val="auto"/>
                <w:kern w:val="44"/>
                <w:sz w:val="24"/>
                <w:szCs w:val="20"/>
                <w:highlight w:val="none"/>
              </w:rPr>
            </w:pPr>
          </w:p>
        </w:tc>
      </w:tr>
    </w:tbl>
    <w:p w14:paraId="16BD6AB0">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5208853E">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在填写时，如本表格不适合供应商的实际情况，可根据本表格式自行划表填写。</w:t>
      </w:r>
    </w:p>
    <w:p w14:paraId="66D4DD16">
      <w:pPr>
        <w:pStyle w:val="93"/>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2.附人员证书复印件、证明材料等；</w:t>
      </w:r>
    </w:p>
    <w:p w14:paraId="723F7E21">
      <w:pPr>
        <w:spacing w:line="320" w:lineRule="exact"/>
        <w:ind w:left="420"/>
        <w:rPr>
          <w:rFonts w:ascii="宋体" w:hAnsi="宋体"/>
          <w:color w:val="auto"/>
          <w:szCs w:val="21"/>
          <w:highlight w:val="none"/>
        </w:rPr>
      </w:pPr>
    </w:p>
    <w:p w14:paraId="333806A4">
      <w:pPr>
        <w:spacing w:line="480" w:lineRule="exact"/>
        <w:ind w:firstLine="435"/>
        <w:rPr>
          <w:rFonts w:ascii="宋体" w:hAnsi="宋体"/>
          <w:color w:val="auto"/>
          <w:sz w:val="24"/>
          <w:highlight w:val="none"/>
        </w:rPr>
      </w:pPr>
    </w:p>
    <w:p w14:paraId="317AC145">
      <w:pPr>
        <w:spacing w:line="360" w:lineRule="auto"/>
        <w:ind w:firstLine="424" w:firstLineChars="177"/>
        <w:rPr>
          <w:rFonts w:ascii="宋体" w:hAnsi="宋体"/>
          <w:color w:val="auto"/>
          <w:sz w:val="24"/>
          <w:highlight w:val="none"/>
        </w:rPr>
      </w:pPr>
    </w:p>
    <w:p w14:paraId="5FD05B69">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供应商名称（电子印章）：</w:t>
      </w:r>
    </w:p>
    <w:p w14:paraId="268E8F13">
      <w:pPr>
        <w:spacing w:line="360" w:lineRule="auto"/>
        <w:ind w:left="420"/>
        <w:rPr>
          <w:rFonts w:ascii="宋体" w:hAnsi="宋体"/>
          <w:color w:val="auto"/>
          <w:sz w:val="24"/>
          <w:highlight w:val="none"/>
        </w:rPr>
      </w:pPr>
    </w:p>
    <w:p w14:paraId="64A8798A">
      <w:pPr>
        <w:spacing w:line="360" w:lineRule="auto"/>
        <w:ind w:firstLine="424" w:firstLineChars="177"/>
        <w:rPr>
          <w:rFonts w:ascii="宋体" w:hAnsi="宋体"/>
          <w:color w:val="auto"/>
          <w:sz w:val="24"/>
          <w:highlight w:val="none"/>
        </w:rPr>
      </w:pPr>
      <w:r>
        <w:rPr>
          <w:rFonts w:hint="eastAsia" w:ascii="宋体" w:hAnsi="宋体" w:cs="仿宋_GB2312"/>
          <w:color w:val="auto"/>
          <w:kern w:val="0"/>
          <w:sz w:val="24"/>
          <w:highlight w:val="none"/>
          <w:lang w:val="zh-CN"/>
        </w:rPr>
        <w:t>法定代表人或授权委托人签字或电子印章</w:t>
      </w:r>
      <w:r>
        <w:rPr>
          <w:rFonts w:hint="eastAsia" w:ascii="宋体" w:hAnsi="宋体"/>
          <w:color w:val="auto"/>
          <w:sz w:val="24"/>
          <w:highlight w:val="none"/>
        </w:rPr>
        <w:t>：</w:t>
      </w:r>
    </w:p>
    <w:p w14:paraId="36A17FBD">
      <w:pPr>
        <w:spacing w:line="360" w:lineRule="auto"/>
        <w:rPr>
          <w:rFonts w:ascii="宋体" w:hAnsi="宋体"/>
          <w:color w:val="auto"/>
          <w:sz w:val="24"/>
          <w:highlight w:val="none"/>
        </w:rPr>
      </w:pPr>
    </w:p>
    <w:p w14:paraId="267B7BB8">
      <w:pPr>
        <w:pStyle w:val="9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450C617D">
      <w:pPr>
        <w:rPr>
          <w:rFonts w:ascii="宋体" w:hAnsi="宋体"/>
          <w:b/>
          <w:color w:val="auto"/>
          <w:sz w:val="28"/>
          <w:highlight w:val="none"/>
        </w:rPr>
      </w:pPr>
      <w:r>
        <w:rPr>
          <w:rFonts w:ascii="宋体" w:hAnsi="宋体"/>
          <w:b/>
          <w:color w:val="auto"/>
          <w:sz w:val="28"/>
          <w:highlight w:val="none"/>
        </w:rPr>
        <w:br w:type="page"/>
      </w:r>
    </w:p>
    <w:p w14:paraId="3088F6B7">
      <w:pPr>
        <w:spacing w:line="360" w:lineRule="auto"/>
        <w:rPr>
          <w:rFonts w:ascii="宋体" w:hAnsi="宋体"/>
          <w:b/>
          <w:color w:val="auto"/>
          <w:sz w:val="28"/>
          <w:highlight w:val="none"/>
        </w:rPr>
      </w:pPr>
      <w:r>
        <w:rPr>
          <w:rFonts w:hint="eastAsia" w:ascii="宋体" w:hAnsi="宋体"/>
          <w:b/>
          <w:color w:val="auto"/>
          <w:sz w:val="28"/>
          <w:highlight w:val="none"/>
        </w:rPr>
        <w:t>附件9</w:t>
      </w:r>
    </w:p>
    <w:p w14:paraId="02AF957C">
      <w:pPr>
        <w:spacing w:line="360" w:lineRule="auto"/>
        <w:ind w:left="480"/>
        <w:jc w:val="center"/>
        <w:rPr>
          <w:rFonts w:ascii="宋体" w:hAnsi="宋体"/>
          <w:b/>
          <w:color w:val="auto"/>
          <w:sz w:val="32"/>
          <w:szCs w:val="32"/>
          <w:highlight w:val="none"/>
        </w:rPr>
      </w:pPr>
      <w:bookmarkStart w:id="144" w:name="_Toc26601_WPSOffice_Level1"/>
      <w:bookmarkStart w:id="145" w:name="_Toc12856_WPSOffice_Level1"/>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bookmarkEnd w:id="144"/>
      <w:bookmarkEnd w:id="145"/>
    </w:p>
    <w:tbl>
      <w:tblPr>
        <w:tblStyle w:val="4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295"/>
        <w:gridCol w:w="2259"/>
        <w:gridCol w:w="1589"/>
        <w:gridCol w:w="1546"/>
      </w:tblGrid>
      <w:tr w14:paraId="25702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833" w:type="dxa"/>
            <w:vAlign w:val="center"/>
          </w:tcPr>
          <w:p w14:paraId="6AD3BAAE">
            <w:pPr>
              <w:jc w:val="center"/>
              <w:rPr>
                <w:rFonts w:ascii="宋体" w:hAnsi="宋体"/>
                <w:b/>
                <w:color w:val="auto"/>
                <w:sz w:val="24"/>
                <w:highlight w:val="none"/>
              </w:rPr>
            </w:pPr>
            <w:r>
              <w:rPr>
                <w:rFonts w:hint="eastAsia" w:ascii="宋体" w:hAnsi="宋体"/>
                <w:b/>
                <w:color w:val="auto"/>
                <w:sz w:val="24"/>
                <w:highlight w:val="none"/>
              </w:rPr>
              <w:t>序号</w:t>
            </w:r>
          </w:p>
        </w:tc>
        <w:tc>
          <w:tcPr>
            <w:tcW w:w="2295" w:type="dxa"/>
            <w:vAlign w:val="center"/>
          </w:tcPr>
          <w:p w14:paraId="2D78AE7B">
            <w:pPr>
              <w:jc w:val="center"/>
              <w:rPr>
                <w:rFonts w:ascii="宋体" w:hAnsi="宋体"/>
                <w:b/>
                <w:color w:val="auto"/>
                <w:sz w:val="24"/>
                <w:highlight w:val="none"/>
              </w:rPr>
            </w:pPr>
            <w:r>
              <w:rPr>
                <w:rFonts w:ascii="宋体" w:hAnsi="宋体"/>
                <w:b/>
                <w:color w:val="auto"/>
                <w:sz w:val="24"/>
                <w:highlight w:val="none"/>
              </w:rPr>
              <w:t>技术需求条目</w:t>
            </w:r>
          </w:p>
        </w:tc>
        <w:tc>
          <w:tcPr>
            <w:tcW w:w="2259" w:type="dxa"/>
            <w:vAlign w:val="center"/>
          </w:tcPr>
          <w:p w14:paraId="14C81ADB">
            <w:pPr>
              <w:ind w:left="152"/>
              <w:jc w:val="center"/>
              <w:rPr>
                <w:rFonts w:ascii="宋体" w:hAnsi="宋体"/>
                <w:b/>
                <w:color w:val="auto"/>
                <w:sz w:val="24"/>
                <w:highlight w:val="none"/>
              </w:rPr>
            </w:pPr>
            <w:r>
              <w:rPr>
                <w:rFonts w:hint="eastAsia" w:ascii="宋体" w:hAnsi="宋体"/>
                <w:b/>
                <w:color w:val="auto"/>
                <w:sz w:val="24"/>
                <w:highlight w:val="none"/>
              </w:rPr>
              <w:t>招标需求内容</w:t>
            </w:r>
          </w:p>
        </w:tc>
        <w:tc>
          <w:tcPr>
            <w:tcW w:w="1589" w:type="dxa"/>
            <w:vAlign w:val="center"/>
          </w:tcPr>
          <w:p w14:paraId="7D6A1065">
            <w:pPr>
              <w:jc w:val="center"/>
              <w:rPr>
                <w:rFonts w:ascii="宋体" w:hAnsi="宋体"/>
                <w:b/>
                <w:color w:val="auto"/>
                <w:sz w:val="24"/>
                <w:highlight w:val="none"/>
              </w:rPr>
            </w:pPr>
            <w:r>
              <w:rPr>
                <w:rFonts w:ascii="宋体" w:hAnsi="宋体"/>
                <w:b/>
                <w:color w:val="auto"/>
                <w:sz w:val="24"/>
                <w:highlight w:val="none"/>
              </w:rPr>
              <w:t>偏离情况</w:t>
            </w:r>
          </w:p>
        </w:tc>
        <w:tc>
          <w:tcPr>
            <w:tcW w:w="1546" w:type="dxa"/>
            <w:vAlign w:val="center"/>
          </w:tcPr>
          <w:p w14:paraId="2C0631DF">
            <w:pPr>
              <w:jc w:val="center"/>
              <w:rPr>
                <w:rFonts w:ascii="宋体" w:hAnsi="宋体"/>
                <w:b/>
                <w:color w:val="auto"/>
                <w:sz w:val="24"/>
                <w:highlight w:val="none"/>
              </w:rPr>
            </w:pPr>
            <w:r>
              <w:rPr>
                <w:rFonts w:hint="eastAsia" w:ascii="宋体" w:hAnsi="宋体"/>
                <w:b/>
                <w:color w:val="auto"/>
                <w:sz w:val="24"/>
                <w:highlight w:val="none"/>
              </w:rPr>
              <w:t>偏离说明</w:t>
            </w:r>
          </w:p>
        </w:tc>
      </w:tr>
      <w:tr w14:paraId="486B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833" w:type="dxa"/>
            <w:vAlign w:val="center"/>
          </w:tcPr>
          <w:p w14:paraId="66C5027D">
            <w:pPr>
              <w:jc w:val="center"/>
              <w:rPr>
                <w:rFonts w:ascii="宋体" w:hAnsi="宋体"/>
                <w:color w:val="auto"/>
                <w:sz w:val="24"/>
                <w:highlight w:val="none"/>
              </w:rPr>
            </w:pPr>
          </w:p>
        </w:tc>
        <w:tc>
          <w:tcPr>
            <w:tcW w:w="2295" w:type="dxa"/>
            <w:vAlign w:val="center"/>
          </w:tcPr>
          <w:p w14:paraId="74EA9D17">
            <w:pPr>
              <w:jc w:val="center"/>
              <w:rPr>
                <w:rFonts w:ascii="宋体" w:hAnsi="宋体" w:cs="宋体"/>
                <w:color w:val="auto"/>
                <w:sz w:val="24"/>
                <w:highlight w:val="none"/>
              </w:rPr>
            </w:pPr>
          </w:p>
        </w:tc>
        <w:tc>
          <w:tcPr>
            <w:tcW w:w="2259" w:type="dxa"/>
            <w:vAlign w:val="center"/>
          </w:tcPr>
          <w:p w14:paraId="3DA497FB">
            <w:pPr>
              <w:jc w:val="center"/>
              <w:rPr>
                <w:rFonts w:ascii="宋体" w:hAnsi="宋体"/>
                <w:color w:val="auto"/>
                <w:sz w:val="24"/>
                <w:highlight w:val="none"/>
              </w:rPr>
            </w:pPr>
          </w:p>
        </w:tc>
        <w:tc>
          <w:tcPr>
            <w:tcW w:w="1589" w:type="dxa"/>
            <w:vAlign w:val="center"/>
          </w:tcPr>
          <w:p w14:paraId="3B9604EE">
            <w:pPr>
              <w:jc w:val="center"/>
              <w:rPr>
                <w:rFonts w:ascii="宋体" w:hAnsi="宋体"/>
                <w:color w:val="auto"/>
                <w:sz w:val="24"/>
                <w:highlight w:val="none"/>
              </w:rPr>
            </w:pPr>
          </w:p>
        </w:tc>
        <w:tc>
          <w:tcPr>
            <w:tcW w:w="1546" w:type="dxa"/>
            <w:vAlign w:val="center"/>
          </w:tcPr>
          <w:p w14:paraId="6614E8B5">
            <w:pPr>
              <w:jc w:val="center"/>
              <w:rPr>
                <w:rFonts w:ascii="宋体" w:hAnsi="宋体"/>
                <w:color w:val="auto"/>
                <w:sz w:val="24"/>
                <w:highlight w:val="none"/>
              </w:rPr>
            </w:pPr>
          </w:p>
        </w:tc>
      </w:tr>
      <w:tr w14:paraId="70C8F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33" w:type="dxa"/>
            <w:vAlign w:val="center"/>
          </w:tcPr>
          <w:p w14:paraId="5B3C0B9C">
            <w:pPr>
              <w:jc w:val="center"/>
              <w:rPr>
                <w:rFonts w:ascii="宋体" w:hAnsi="宋体"/>
                <w:color w:val="auto"/>
                <w:sz w:val="24"/>
                <w:highlight w:val="none"/>
              </w:rPr>
            </w:pPr>
          </w:p>
        </w:tc>
        <w:tc>
          <w:tcPr>
            <w:tcW w:w="2295" w:type="dxa"/>
            <w:vAlign w:val="center"/>
          </w:tcPr>
          <w:p w14:paraId="67D7B197">
            <w:pPr>
              <w:jc w:val="center"/>
              <w:rPr>
                <w:rFonts w:ascii="宋体" w:hAnsi="宋体"/>
                <w:color w:val="auto"/>
                <w:sz w:val="24"/>
                <w:highlight w:val="none"/>
              </w:rPr>
            </w:pPr>
          </w:p>
        </w:tc>
        <w:tc>
          <w:tcPr>
            <w:tcW w:w="2259" w:type="dxa"/>
            <w:vAlign w:val="center"/>
          </w:tcPr>
          <w:p w14:paraId="1A8AED71">
            <w:pPr>
              <w:jc w:val="center"/>
              <w:rPr>
                <w:rFonts w:ascii="宋体" w:hAnsi="宋体"/>
                <w:color w:val="auto"/>
                <w:sz w:val="24"/>
                <w:highlight w:val="none"/>
              </w:rPr>
            </w:pPr>
          </w:p>
        </w:tc>
        <w:tc>
          <w:tcPr>
            <w:tcW w:w="1589" w:type="dxa"/>
            <w:vAlign w:val="center"/>
          </w:tcPr>
          <w:p w14:paraId="1E6E73F2">
            <w:pPr>
              <w:jc w:val="center"/>
              <w:rPr>
                <w:rFonts w:ascii="宋体" w:hAnsi="宋体"/>
                <w:color w:val="auto"/>
                <w:sz w:val="24"/>
                <w:highlight w:val="none"/>
              </w:rPr>
            </w:pPr>
          </w:p>
        </w:tc>
        <w:tc>
          <w:tcPr>
            <w:tcW w:w="1546" w:type="dxa"/>
            <w:vAlign w:val="center"/>
          </w:tcPr>
          <w:p w14:paraId="79DFEBEC">
            <w:pPr>
              <w:jc w:val="center"/>
              <w:rPr>
                <w:rFonts w:ascii="宋体" w:hAnsi="宋体"/>
                <w:color w:val="auto"/>
                <w:sz w:val="24"/>
                <w:highlight w:val="none"/>
              </w:rPr>
            </w:pPr>
          </w:p>
        </w:tc>
      </w:tr>
      <w:tr w14:paraId="4A33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3" w:type="dxa"/>
            <w:vAlign w:val="center"/>
          </w:tcPr>
          <w:p w14:paraId="40EE33D5">
            <w:pPr>
              <w:jc w:val="center"/>
              <w:rPr>
                <w:rFonts w:ascii="宋体" w:hAnsi="宋体"/>
                <w:color w:val="auto"/>
                <w:sz w:val="24"/>
                <w:highlight w:val="none"/>
              </w:rPr>
            </w:pPr>
          </w:p>
        </w:tc>
        <w:tc>
          <w:tcPr>
            <w:tcW w:w="2295" w:type="dxa"/>
            <w:vAlign w:val="center"/>
          </w:tcPr>
          <w:p w14:paraId="222C5167">
            <w:pPr>
              <w:jc w:val="center"/>
              <w:rPr>
                <w:rFonts w:ascii="宋体" w:hAnsi="宋体"/>
                <w:color w:val="auto"/>
                <w:sz w:val="24"/>
                <w:highlight w:val="none"/>
              </w:rPr>
            </w:pPr>
          </w:p>
        </w:tc>
        <w:tc>
          <w:tcPr>
            <w:tcW w:w="2259" w:type="dxa"/>
            <w:vAlign w:val="center"/>
          </w:tcPr>
          <w:p w14:paraId="09CB65F1">
            <w:pPr>
              <w:jc w:val="center"/>
              <w:rPr>
                <w:rFonts w:ascii="宋体" w:hAnsi="宋体"/>
                <w:color w:val="auto"/>
                <w:sz w:val="24"/>
                <w:highlight w:val="none"/>
              </w:rPr>
            </w:pPr>
          </w:p>
        </w:tc>
        <w:tc>
          <w:tcPr>
            <w:tcW w:w="1589" w:type="dxa"/>
            <w:vAlign w:val="center"/>
          </w:tcPr>
          <w:p w14:paraId="5EC3811E">
            <w:pPr>
              <w:jc w:val="center"/>
              <w:rPr>
                <w:rFonts w:ascii="宋体" w:hAnsi="宋体"/>
                <w:color w:val="auto"/>
                <w:sz w:val="24"/>
                <w:highlight w:val="none"/>
              </w:rPr>
            </w:pPr>
          </w:p>
        </w:tc>
        <w:tc>
          <w:tcPr>
            <w:tcW w:w="1546" w:type="dxa"/>
            <w:vAlign w:val="center"/>
          </w:tcPr>
          <w:p w14:paraId="39049DED">
            <w:pPr>
              <w:jc w:val="center"/>
              <w:rPr>
                <w:rFonts w:ascii="宋体" w:hAnsi="宋体"/>
                <w:color w:val="auto"/>
                <w:sz w:val="24"/>
                <w:highlight w:val="none"/>
              </w:rPr>
            </w:pPr>
          </w:p>
        </w:tc>
      </w:tr>
      <w:tr w14:paraId="03FBF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833" w:type="dxa"/>
            <w:vAlign w:val="center"/>
          </w:tcPr>
          <w:p w14:paraId="324C92C3">
            <w:pPr>
              <w:jc w:val="center"/>
              <w:rPr>
                <w:rFonts w:ascii="宋体" w:hAnsi="宋体"/>
                <w:color w:val="auto"/>
                <w:sz w:val="24"/>
                <w:highlight w:val="none"/>
              </w:rPr>
            </w:pPr>
          </w:p>
        </w:tc>
        <w:tc>
          <w:tcPr>
            <w:tcW w:w="2295" w:type="dxa"/>
            <w:vAlign w:val="center"/>
          </w:tcPr>
          <w:p w14:paraId="4874E069">
            <w:pPr>
              <w:jc w:val="center"/>
              <w:rPr>
                <w:rFonts w:ascii="宋体" w:hAnsi="宋体"/>
                <w:color w:val="auto"/>
                <w:sz w:val="24"/>
                <w:highlight w:val="none"/>
              </w:rPr>
            </w:pPr>
          </w:p>
        </w:tc>
        <w:tc>
          <w:tcPr>
            <w:tcW w:w="2259" w:type="dxa"/>
            <w:vAlign w:val="center"/>
          </w:tcPr>
          <w:p w14:paraId="169482C4">
            <w:pPr>
              <w:jc w:val="center"/>
              <w:rPr>
                <w:rFonts w:ascii="宋体" w:hAnsi="宋体"/>
                <w:color w:val="auto"/>
                <w:sz w:val="24"/>
                <w:highlight w:val="none"/>
              </w:rPr>
            </w:pPr>
          </w:p>
        </w:tc>
        <w:tc>
          <w:tcPr>
            <w:tcW w:w="1589" w:type="dxa"/>
            <w:vAlign w:val="center"/>
          </w:tcPr>
          <w:p w14:paraId="3D020DE9">
            <w:pPr>
              <w:jc w:val="center"/>
              <w:rPr>
                <w:rFonts w:ascii="宋体" w:hAnsi="宋体"/>
                <w:color w:val="auto"/>
                <w:sz w:val="24"/>
                <w:highlight w:val="none"/>
              </w:rPr>
            </w:pPr>
          </w:p>
        </w:tc>
        <w:tc>
          <w:tcPr>
            <w:tcW w:w="1546" w:type="dxa"/>
            <w:vAlign w:val="center"/>
          </w:tcPr>
          <w:p w14:paraId="0AAE6485">
            <w:pPr>
              <w:jc w:val="center"/>
              <w:rPr>
                <w:rFonts w:ascii="宋体" w:hAnsi="宋体"/>
                <w:color w:val="auto"/>
                <w:sz w:val="24"/>
                <w:highlight w:val="none"/>
              </w:rPr>
            </w:pPr>
          </w:p>
        </w:tc>
      </w:tr>
      <w:tr w14:paraId="7140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833" w:type="dxa"/>
            <w:vAlign w:val="center"/>
          </w:tcPr>
          <w:p w14:paraId="1EEBBCE7">
            <w:pPr>
              <w:jc w:val="center"/>
              <w:rPr>
                <w:rFonts w:ascii="宋体" w:hAnsi="宋体"/>
                <w:color w:val="auto"/>
                <w:sz w:val="24"/>
                <w:highlight w:val="none"/>
              </w:rPr>
            </w:pPr>
          </w:p>
        </w:tc>
        <w:tc>
          <w:tcPr>
            <w:tcW w:w="2295" w:type="dxa"/>
            <w:vAlign w:val="center"/>
          </w:tcPr>
          <w:p w14:paraId="6FFE4AAA">
            <w:pPr>
              <w:jc w:val="center"/>
              <w:rPr>
                <w:rFonts w:ascii="宋体" w:hAnsi="宋体"/>
                <w:color w:val="auto"/>
                <w:sz w:val="24"/>
                <w:highlight w:val="none"/>
              </w:rPr>
            </w:pPr>
          </w:p>
        </w:tc>
        <w:tc>
          <w:tcPr>
            <w:tcW w:w="2259" w:type="dxa"/>
            <w:vAlign w:val="center"/>
          </w:tcPr>
          <w:p w14:paraId="6D3F9012">
            <w:pPr>
              <w:jc w:val="center"/>
              <w:rPr>
                <w:rFonts w:ascii="宋体" w:hAnsi="宋体"/>
                <w:color w:val="auto"/>
                <w:sz w:val="24"/>
                <w:highlight w:val="none"/>
              </w:rPr>
            </w:pPr>
          </w:p>
        </w:tc>
        <w:tc>
          <w:tcPr>
            <w:tcW w:w="1589" w:type="dxa"/>
            <w:vAlign w:val="center"/>
          </w:tcPr>
          <w:p w14:paraId="39428757">
            <w:pPr>
              <w:jc w:val="center"/>
              <w:rPr>
                <w:rFonts w:ascii="宋体" w:hAnsi="宋体"/>
                <w:color w:val="auto"/>
                <w:sz w:val="24"/>
                <w:highlight w:val="none"/>
              </w:rPr>
            </w:pPr>
          </w:p>
        </w:tc>
        <w:tc>
          <w:tcPr>
            <w:tcW w:w="1546" w:type="dxa"/>
            <w:vAlign w:val="center"/>
          </w:tcPr>
          <w:p w14:paraId="21FC8890">
            <w:pPr>
              <w:jc w:val="center"/>
              <w:rPr>
                <w:rFonts w:ascii="宋体" w:hAnsi="宋体"/>
                <w:color w:val="auto"/>
                <w:sz w:val="24"/>
                <w:highlight w:val="none"/>
              </w:rPr>
            </w:pPr>
          </w:p>
        </w:tc>
      </w:tr>
      <w:tr w14:paraId="2712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33" w:type="dxa"/>
            <w:vAlign w:val="center"/>
          </w:tcPr>
          <w:p w14:paraId="439C85C5">
            <w:pPr>
              <w:jc w:val="center"/>
              <w:rPr>
                <w:rFonts w:ascii="宋体" w:hAnsi="宋体"/>
                <w:color w:val="auto"/>
                <w:sz w:val="24"/>
                <w:highlight w:val="none"/>
              </w:rPr>
            </w:pPr>
          </w:p>
        </w:tc>
        <w:tc>
          <w:tcPr>
            <w:tcW w:w="2295" w:type="dxa"/>
            <w:vAlign w:val="center"/>
          </w:tcPr>
          <w:p w14:paraId="5B7E9458">
            <w:pPr>
              <w:jc w:val="center"/>
              <w:rPr>
                <w:rFonts w:ascii="宋体" w:hAnsi="宋体"/>
                <w:color w:val="auto"/>
                <w:sz w:val="24"/>
                <w:highlight w:val="none"/>
              </w:rPr>
            </w:pPr>
          </w:p>
        </w:tc>
        <w:tc>
          <w:tcPr>
            <w:tcW w:w="2259" w:type="dxa"/>
            <w:vAlign w:val="center"/>
          </w:tcPr>
          <w:p w14:paraId="017C0468">
            <w:pPr>
              <w:jc w:val="center"/>
              <w:rPr>
                <w:rFonts w:ascii="宋体" w:hAnsi="宋体"/>
                <w:color w:val="auto"/>
                <w:sz w:val="24"/>
                <w:highlight w:val="none"/>
              </w:rPr>
            </w:pPr>
          </w:p>
        </w:tc>
        <w:tc>
          <w:tcPr>
            <w:tcW w:w="1589" w:type="dxa"/>
            <w:vAlign w:val="center"/>
          </w:tcPr>
          <w:p w14:paraId="7EBE482A">
            <w:pPr>
              <w:jc w:val="center"/>
              <w:rPr>
                <w:rFonts w:ascii="宋体" w:hAnsi="宋体"/>
                <w:color w:val="auto"/>
                <w:sz w:val="24"/>
                <w:highlight w:val="none"/>
              </w:rPr>
            </w:pPr>
          </w:p>
        </w:tc>
        <w:tc>
          <w:tcPr>
            <w:tcW w:w="1546" w:type="dxa"/>
            <w:vAlign w:val="center"/>
          </w:tcPr>
          <w:p w14:paraId="33EA5C4F">
            <w:pPr>
              <w:jc w:val="center"/>
              <w:rPr>
                <w:rFonts w:ascii="宋体" w:hAnsi="宋体"/>
                <w:color w:val="auto"/>
                <w:sz w:val="24"/>
                <w:highlight w:val="none"/>
              </w:rPr>
            </w:pPr>
          </w:p>
        </w:tc>
      </w:tr>
      <w:tr w14:paraId="3858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833" w:type="dxa"/>
            <w:vAlign w:val="center"/>
          </w:tcPr>
          <w:p w14:paraId="50901510">
            <w:pPr>
              <w:jc w:val="center"/>
              <w:rPr>
                <w:rFonts w:ascii="宋体" w:hAnsi="宋体"/>
                <w:color w:val="auto"/>
                <w:sz w:val="24"/>
                <w:highlight w:val="none"/>
              </w:rPr>
            </w:pPr>
          </w:p>
        </w:tc>
        <w:tc>
          <w:tcPr>
            <w:tcW w:w="2295" w:type="dxa"/>
            <w:vAlign w:val="center"/>
          </w:tcPr>
          <w:p w14:paraId="7765EB62">
            <w:pPr>
              <w:jc w:val="center"/>
              <w:rPr>
                <w:rFonts w:ascii="宋体" w:hAnsi="宋体"/>
                <w:color w:val="auto"/>
                <w:sz w:val="24"/>
                <w:highlight w:val="none"/>
              </w:rPr>
            </w:pPr>
          </w:p>
        </w:tc>
        <w:tc>
          <w:tcPr>
            <w:tcW w:w="2259" w:type="dxa"/>
            <w:vAlign w:val="center"/>
          </w:tcPr>
          <w:p w14:paraId="3D42FF87">
            <w:pPr>
              <w:jc w:val="center"/>
              <w:rPr>
                <w:rFonts w:ascii="宋体" w:hAnsi="宋体"/>
                <w:color w:val="auto"/>
                <w:sz w:val="24"/>
                <w:highlight w:val="none"/>
              </w:rPr>
            </w:pPr>
          </w:p>
        </w:tc>
        <w:tc>
          <w:tcPr>
            <w:tcW w:w="1589" w:type="dxa"/>
            <w:vAlign w:val="center"/>
          </w:tcPr>
          <w:p w14:paraId="07CD4D21">
            <w:pPr>
              <w:jc w:val="center"/>
              <w:rPr>
                <w:rFonts w:ascii="宋体" w:hAnsi="宋体"/>
                <w:color w:val="auto"/>
                <w:sz w:val="24"/>
                <w:highlight w:val="none"/>
              </w:rPr>
            </w:pPr>
          </w:p>
        </w:tc>
        <w:tc>
          <w:tcPr>
            <w:tcW w:w="1546" w:type="dxa"/>
            <w:vAlign w:val="center"/>
          </w:tcPr>
          <w:p w14:paraId="1C0FE0A7">
            <w:pPr>
              <w:jc w:val="center"/>
              <w:rPr>
                <w:rFonts w:ascii="宋体" w:hAnsi="宋体"/>
                <w:color w:val="auto"/>
                <w:sz w:val="24"/>
                <w:highlight w:val="none"/>
              </w:rPr>
            </w:pPr>
          </w:p>
        </w:tc>
      </w:tr>
    </w:tbl>
    <w:p w14:paraId="7033B365">
      <w:pPr>
        <w:pStyle w:val="94"/>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52BB89BA">
      <w:pPr>
        <w:pStyle w:val="94"/>
        <w:spacing w:line="360" w:lineRule="auto"/>
        <w:ind w:right="84" w:rightChars="40" w:firstLine="420" w:firstLineChars="200"/>
        <w:rPr>
          <w:rFonts w:ascii="宋体"/>
          <w:color w:val="auto"/>
          <w:szCs w:val="21"/>
          <w:highlight w:val="none"/>
        </w:rPr>
      </w:pPr>
      <w:r>
        <w:rPr>
          <w:rFonts w:hint="eastAsia" w:ascii="宋体"/>
          <w:color w:val="auto"/>
          <w:szCs w:val="21"/>
          <w:highlight w:val="none"/>
        </w:rPr>
        <w:t>1本表参照本招标文件第三章“招标需求”内第五条“</w:t>
      </w:r>
      <w:r>
        <w:rPr>
          <w:rFonts w:hint="eastAsia" w:ascii="宋体"/>
          <w:color w:val="auto"/>
          <w:szCs w:val="21"/>
          <w:highlight w:val="none"/>
          <w:lang w:eastAsia="zh-CN"/>
        </w:rPr>
        <w:t>2024年电子监控、基础及管路项目（第二次重新招标）</w:t>
      </w:r>
      <w:r>
        <w:rPr>
          <w:rFonts w:hint="eastAsia" w:ascii="宋体"/>
          <w:color w:val="auto"/>
          <w:szCs w:val="21"/>
          <w:highlight w:val="none"/>
        </w:rPr>
        <w:t>内容清单”填制，投标供应商应对照招标文件要求在“偏离情况”栏注明“正偏离”、“负偏离”或“无偏离”。</w:t>
      </w:r>
    </w:p>
    <w:p w14:paraId="0054F768">
      <w:pPr>
        <w:pStyle w:val="94"/>
        <w:numPr>
          <w:ilvl w:val="0"/>
          <w:numId w:val="33"/>
        </w:numPr>
        <w:spacing w:line="360" w:lineRule="auto"/>
        <w:ind w:right="84" w:rightChars="40" w:firstLine="420" w:firstLineChars="200"/>
        <w:rPr>
          <w:rFonts w:ascii="宋体"/>
          <w:color w:val="auto"/>
          <w:szCs w:val="21"/>
          <w:highlight w:val="none"/>
        </w:rPr>
      </w:pPr>
      <w:r>
        <w:rPr>
          <w:rFonts w:hint="eastAsia" w:ascii="宋体"/>
          <w:color w:val="auto"/>
          <w:szCs w:val="21"/>
          <w:highlight w:val="none"/>
        </w:rPr>
        <w:t>技术偏离情况需严格按照招标文件要求一一比对给出，未达到技术需求中规定应以负偏离标注。若因技术实现方式等其他问题而导致的理解不同未标注负偏离的，需在备注中具体说明；若未按要求标注负偏离又未予以说明的，评标委员会将视偏离程度给予扣分或认定为虚假应标。</w:t>
      </w:r>
    </w:p>
    <w:p w14:paraId="5BFFB703">
      <w:pPr>
        <w:pStyle w:val="94"/>
        <w:numPr>
          <w:ilvl w:val="0"/>
          <w:numId w:val="33"/>
        </w:numPr>
        <w:spacing w:line="360" w:lineRule="auto"/>
        <w:ind w:right="84" w:rightChars="40" w:firstLine="420" w:firstLineChars="200"/>
        <w:rPr>
          <w:rFonts w:ascii="宋体"/>
          <w:color w:val="auto"/>
          <w:szCs w:val="21"/>
          <w:highlight w:val="none"/>
        </w:rPr>
      </w:pPr>
      <w:r>
        <w:rPr>
          <w:rFonts w:hint="eastAsia" w:ascii="宋体"/>
          <w:color w:val="auto"/>
          <w:szCs w:val="21"/>
          <w:highlight w:val="none"/>
        </w:rPr>
        <w:t>如漏填或未填写均视为完全相应采购需求内容。</w:t>
      </w:r>
    </w:p>
    <w:p w14:paraId="716F799D">
      <w:pPr>
        <w:pStyle w:val="94"/>
        <w:spacing w:line="360" w:lineRule="auto"/>
        <w:ind w:right="84" w:rightChars="40" w:firstLine="420" w:firstLineChars="200"/>
        <w:rPr>
          <w:color w:val="auto"/>
          <w:highlight w:val="none"/>
        </w:rPr>
      </w:pPr>
    </w:p>
    <w:p w14:paraId="394C8373">
      <w:pPr>
        <w:spacing w:line="360" w:lineRule="auto"/>
        <w:rPr>
          <w:rFonts w:ascii="宋体" w:hAnsi="宋体"/>
          <w:color w:val="auto"/>
          <w:sz w:val="24"/>
          <w:highlight w:val="none"/>
        </w:rPr>
      </w:pPr>
    </w:p>
    <w:p w14:paraId="476A2ED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074E0CFD">
      <w:pPr>
        <w:spacing w:line="360" w:lineRule="auto"/>
        <w:ind w:firstLine="424" w:firstLineChars="177"/>
        <w:rPr>
          <w:rFonts w:ascii="宋体" w:hAnsi="宋体"/>
          <w:color w:val="auto"/>
          <w:sz w:val="24"/>
          <w:highlight w:val="none"/>
        </w:rPr>
      </w:pPr>
    </w:p>
    <w:p w14:paraId="6B043E58">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DF1335D">
      <w:pPr>
        <w:pStyle w:val="92"/>
        <w:spacing w:before="0" w:beforeAutospacing="0" w:after="0" w:afterAutospacing="0" w:line="360" w:lineRule="auto"/>
        <w:ind w:firstLine="424" w:firstLineChars="177"/>
        <w:rPr>
          <w:color w:val="auto"/>
          <w:highlight w:val="none"/>
        </w:rPr>
      </w:pPr>
    </w:p>
    <w:p w14:paraId="6E62D402">
      <w:pPr>
        <w:pStyle w:val="9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0E127DFF">
      <w:pPr>
        <w:spacing w:line="360" w:lineRule="auto"/>
        <w:rPr>
          <w:rFonts w:ascii="宋体" w:hAnsi="宋体"/>
          <w:b/>
          <w:color w:val="auto"/>
          <w:sz w:val="28"/>
          <w:highlight w:val="none"/>
        </w:rPr>
      </w:pPr>
    </w:p>
    <w:p w14:paraId="12CF9BA4">
      <w:pPr>
        <w:widowControl/>
        <w:jc w:val="left"/>
        <w:rPr>
          <w:rFonts w:ascii="宋体" w:hAnsi="宋体"/>
          <w:b/>
          <w:color w:val="auto"/>
          <w:sz w:val="28"/>
          <w:highlight w:val="none"/>
        </w:rPr>
      </w:pPr>
      <w:r>
        <w:rPr>
          <w:rFonts w:ascii="宋体" w:hAnsi="宋体"/>
          <w:b/>
          <w:color w:val="auto"/>
          <w:sz w:val="28"/>
          <w:highlight w:val="none"/>
        </w:rPr>
        <w:br w:type="page"/>
      </w:r>
    </w:p>
    <w:p w14:paraId="56218AF0">
      <w:pPr>
        <w:spacing w:line="360" w:lineRule="auto"/>
        <w:rPr>
          <w:rFonts w:ascii="宋体" w:hAnsi="宋体"/>
          <w:b/>
          <w:color w:val="auto"/>
          <w:sz w:val="28"/>
          <w:highlight w:val="none"/>
        </w:rPr>
      </w:pPr>
      <w:r>
        <w:rPr>
          <w:rFonts w:hint="eastAsia" w:ascii="宋体" w:hAnsi="宋体"/>
          <w:b/>
          <w:color w:val="auto"/>
          <w:sz w:val="28"/>
          <w:highlight w:val="none"/>
        </w:rPr>
        <w:t>附件10</w:t>
      </w:r>
    </w:p>
    <w:p w14:paraId="6D40ED9D">
      <w:pPr>
        <w:pStyle w:val="92"/>
        <w:spacing w:before="0" w:beforeAutospacing="0" w:after="0" w:afterAutospacing="0"/>
        <w:jc w:val="center"/>
        <w:rPr>
          <w:b/>
          <w:bCs/>
          <w:color w:val="auto"/>
          <w:spacing w:val="21"/>
          <w:sz w:val="32"/>
          <w:szCs w:val="32"/>
          <w:highlight w:val="none"/>
        </w:rPr>
      </w:pPr>
      <w:r>
        <w:rPr>
          <w:rFonts w:hint="eastAsia"/>
          <w:b/>
          <w:color w:val="auto"/>
          <w:sz w:val="32"/>
          <w:szCs w:val="32"/>
          <w:highlight w:val="none"/>
        </w:rPr>
        <w:t>供应商</w:t>
      </w:r>
      <w:r>
        <w:rPr>
          <w:rFonts w:hint="eastAsia"/>
          <w:b/>
          <w:bCs/>
          <w:color w:val="auto"/>
          <w:spacing w:val="21"/>
          <w:sz w:val="32"/>
          <w:szCs w:val="32"/>
          <w:highlight w:val="none"/>
        </w:rPr>
        <w:t>基本情况表</w:t>
      </w:r>
    </w:p>
    <w:tbl>
      <w:tblPr>
        <w:tblStyle w:val="46"/>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174"/>
        <w:gridCol w:w="1047"/>
        <w:gridCol w:w="112"/>
        <w:gridCol w:w="1093"/>
        <w:gridCol w:w="325"/>
        <w:gridCol w:w="1276"/>
        <w:gridCol w:w="400"/>
        <w:gridCol w:w="1218"/>
        <w:gridCol w:w="933"/>
      </w:tblGrid>
      <w:tr w14:paraId="1E23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682" w:type="dxa"/>
            <w:vAlign w:val="center"/>
          </w:tcPr>
          <w:p w14:paraId="4725B1A0">
            <w:pPr>
              <w:pStyle w:val="92"/>
              <w:adjustRightInd w:val="0"/>
              <w:snapToGrid w:val="0"/>
              <w:ind w:left="-105" w:leftChars="-50" w:right="-105" w:rightChars="-50"/>
              <w:jc w:val="center"/>
              <w:rPr>
                <w:bCs/>
                <w:color w:val="auto"/>
                <w:sz w:val="21"/>
                <w:szCs w:val="21"/>
                <w:highlight w:val="none"/>
              </w:rPr>
            </w:pPr>
            <w:r>
              <w:rPr>
                <w:rFonts w:hint="eastAsia"/>
                <w:bCs/>
                <w:color w:val="auto"/>
                <w:spacing w:val="27"/>
                <w:sz w:val="21"/>
                <w:szCs w:val="21"/>
                <w:highlight w:val="none"/>
              </w:rPr>
              <w:t>企业名称</w:t>
            </w:r>
          </w:p>
        </w:tc>
        <w:tc>
          <w:tcPr>
            <w:tcW w:w="3979" w:type="dxa"/>
            <w:gridSpan w:val="6"/>
            <w:vAlign w:val="center"/>
          </w:tcPr>
          <w:p w14:paraId="0DB44EB5">
            <w:pPr>
              <w:pStyle w:val="92"/>
              <w:adjustRightInd w:val="0"/>
              <w:snapToGrid w:val="0"/>
              <w:ind w:left="-105" w:leftChars="-50" w:right="-105" w:rightChars="-50"/>
              <w:jc w:val="center"/>
              <w:rPr>
                <w:bCs/>
                <w:color w:val="auto"/>
                <w:sz w:val="21"/>
                <w:szCs w:val="21"/>
                <w:highlight w:val="none"/>
              </w:rPr>
            </w:pPr>
          </w:p>
        </w:tc>
        <w:tc>
          <w:tcPr>
            <w:tcW w:w="2001" w:type="dxa"/>
            <w:gridSpan w:val="3"/>
            <w:vAlign w:val="center"/>
          </w:tcPr>
          <w:p w14:paraId="0581F40F">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法人代表</w:t>
            </w:r>
          </w:p>
        </w:tc>
        <w:tc>
          <w:tcPr>
            <w:tcW w:w="2151" w:type="dxa"/>
            <w:gridSpan w:val="2"/>
            <w:vAlign w:val="center"/>
          </w:tcPr>
          <w:p w14:paraId="43760BB0">
            <w:pPr>
              <w:pStyle w:val="92"/>
              <w:adjustRightInd w:val="0"/>
              <w:snapToGrid w:val="0"/>
              <w:ind w:left="-105" w:leftChars="-50" w:right="-105" w:rightChars="-50"/>
              <w:jc w:val="center"/>
              <w:rPr>
                <w:bCs/>
                <w:color w:val="auto"/>
                <w:sz w:val="21"/>
                <w:szCs w:val="21"/>
                <w:highlight w:val="none"/>
              </w:rPr>
            </w:pPr>
          </w:p>
        </w:tc>
      </w:tr>
      <w:tr w14:paraId="6314D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2" w:type="dxa"/>
            <w:vAlign w:val="center"/>
          </w:tcPr>
          <w:p w14:paraId="4B4F2FB6">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27"/>
                <w:sz w:val="21"/>
                <w:szCs w:val="21"/>
                <w:highlight w:val="none"/>
              </w:rPr>
              <w:t>地址</w:t>
            </w:r>
          </w:p>
        </w:tc>
        <w:tc>
          <w:tcPr>
            <w:tcW w:w="3979" w:type="dxa"/>
            <w:gridSpan w:val="6"/>
            <w:tcBorders>
              <w:bottom w:val="single" w:color="auto" w:sz="4" w:space="0"/>
            </w:tcBorders>
            <w:vAlign w:val="center"/>
          </w:tcPr>
          <w:p w14:paraId="32FC8DB9">
            <w:pPr>
              <w:pStyle w:val="92"/>
              <w:adjustRightInd w:val="0"/>
              <w:snapToGrid w:val="0"/>
              <w:ind w:left="-105" w:leftChars="-50" w:right="-105" w:rightChars="-50"/>
              <w:jc w:val="center"/>
              <w:rPr>
                <w:bCs/>
                <w:color w:val="auto"/>
                <w:spacing w:val="16"/>
                <w:sz w:val="21"/>
                <w:szCs w:val="21"/>
                <w:highlight w:val="none"/>
              </w:rPr>
            </w:pPr>
          </w:p>
        </w:tc>
        <w:tc>
          <w:tcPr>
            <w:tcW w:w="2001" w:type="dxa"/>
            <w:gridSpan w:val="3"/>
            <w:vAlign w:val="center"/>
          </w:tcPr>
          <w:p w14:paraId="07FDF566">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企业性质</w:t>
            </w:r>
          </w:p>
        </w:tc>
        <w:tc>
          <w:tcPr>
            <w:tcW w:w="2151" w:type="dxa"/>
            <w:gridSpan w:val="2"/>
            <w:vAlign w:val="center"/>
          </w:tcPr>
          <w:p w14:paraId="36AC2BB2">
            <w:pPr>
              <w:pStyle w:val="92"/>
              <w:adjustRightInd w:val="0"/>
              <w:snapToGrid w:val="0"/>
              <w:ind w:left="-105" w:leftChars="-50" w:right="-105" w:rightChars="-50"/>
              <w:jc w:val="center"/>
              <w:rPr>
                <w:bCs/>
                <w:color w:val="auto"/>
                <w:spacing w:val="16"/>
                <w:sz w:val="21"/>
                <w:szCs w:val="21"/>
                <w:highlight w:val="none"/>
              </w:rPr>
            </w:pPr>
          </w:p>
        </w:tc>
      </w:tr>
      <w:tr w14:paraId="4A6E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82" w:type="dxa"/>
            <w:tcBorders>
              <w:bottom w:val="single" w:color="auto" w:sz="4" w:space="0"/>
            </w:tcBorders>
            <w:vAlign w:val="center"/>
          </w:tcPr>
          <w:p w14:paraId="4DDB2C5D">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27"/>
                <w:sz w:val="21"/>
                <w:szCs w:val="21"/>
                <w:highlight w:val="none"/>
              </w:rPr>
              <w:t>股东姓名</w:t>
            </w:r>
          </w:p>
        </w:tc>
        <w:tc>
          <w:tcPr>
            <w:tcW w:w="701" w:type="dxa"/>
            <w:tcBorders>
              <w:bottom w:val="single" w:color="auto" w:sz="4" w:space="0"/>
            </w:tcBorders>
            <w:vAlign w:val="center"/>
          </w:tcPr>
          <w:p w14:paraId="4FCE967C">
            <w:pPr>
              <w:pStyle w:val="92"/>
              <w:adjustRightInd w:val="0"/>
              <w:snapToGrid w:val="0"/>
              <w:spacing w:before="0" w:beforeAutospacing="0" w:after="0" w:afterAutospacing="0"/>
              <w:ind w:left="-105" w:leftChars="-50" w:right="-105" w:rightChars="-50"/>
              <w:jc w:val="center"/>
              <w:rPr>
                <w:bCs/>
                <w:color w:val="auto"/>
                <w:spacing w:val="16"/>
                <w:sz w:val="21"/>
                <w:szCs w:val="21"/>
                <w:highlight w:val="none"/>
              </w:rPr>
            </w:pPr>
          </w:p>
        </w:tc>
        <w:tc>
          <w:tcPr>
            <w:tcW w:w="1026" w:type="dxa"/>
            <w:gridSpan w:val="2"/>
            <w:tcBorders>
              <w:bottom w:val="single" w:color="auto" w:sz="4" w:space="0"/>
            </w:tcBorders>
            <w:vAlign w:val="center"/>
          </w:tcPr>
          <w:p w14:paraId="35A5F726">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股权结构（%）</w:t>
            </w:r>
          </w:p>
        </w:tc>
        <w:tc>
          <w:tcPr>
            <w:tcW w:w="2252" w:type="dxa"/>
            <w:gridSpan w:val="3"/>
            <w:tcBorders>
              <w:bottom w:val="single" w:color="auto" w:sz="4" w:space="0"/>
            </w:tcBorders>
            <w:vAlign w:val="center"/>
          </w:tcPr>
          <w:p w14:paraId="39717807">
            <w:pPr>
              <w:widowControl/>
              <w:adjustRightInd w:val="0"/>
              <w:snapToGrid w:val="0"/>
              <w:ind w:left="-105" w:leftChars="-50" w:right="-105" w:rightChars="-50"/>
              <w:jc w:val="center"/>
              <w:rPr>
                <w:rFonts w:ascii="宋体" w:hAnsi="宋体" w:cs="宋体"/>
                <w:bCs/>
                <w:color w:val="auto"/>
                <w:spacing w:val="16"/>
                <w:kern w:val="0"/>
                <w:szCs w:val="21"/>
                <w:highlight w:val="none"/>
              </w:rPr>
            </w:pPr>
          </w:p>
          <w:p w14:paraId="48B4B9F9">
            <w:pPr>
              <w:pStyle w:val="92"/>
              <w:adjustRightInd w:val="0"/>
              <w:snapToGrid w:val="0"/>
              <w:ind w:left="-105" w:leftChars="-50" w:right="-105" w:rightChars="-50"/>
              <w:jc w:val="center"/>
              <w:rPr>
                <w:bCs/>
                <w:color w:val="auto"/>
                <w:spacing w:val="16"/>
                <w:sz w:val="21"/>
                <w:szCs w:val="21"/>
                <w:highlight w:val="none"/>
              </w:rPr>
            </w:pPr>
          </w:p>
        </w:tc>
        <w:tc>
          <w:tcPr>
            <w:tcW w:w="2001" w:type="dxa"/>
            <w:gridSpan w:val="3"/>
            <w:vAlign w:val="center"/>
          </w:tcPr>
          <w:p w14:paraId="7A95DA1F">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股东关系</w:t>
            </w:r>
          </w:p>
        </w:tc>
        <w:tc>
          <w:tcPr>
            <w:tcW w:w="2151" w:type="dxa"/>
            <w:gridSpan w:val="2"/>
            <w:vAlign w:val="center"/>
          </w:tcPr>
          <w:p w14:paraId="4D40B7DB">
            <w:pPr>
              <w:pStyle w:val="92"/>
              <w:adjustRightInd w:val="0"/>
              <w:snapToGrid w:val="0"/>
              <w:ind w:left="-105" w:leftChars="-50" w:right="-105" w:rightChars="-50"/>
              <w:jc w:val="center"/>
              <w:rPr>
                <w:bCs/>
                <w:color w:val="auto"/>
                <w:spacing w:val="16"/>
                <w:sz w:val="21"/>
                <w:szCs w:val="21"/>
                <w:highlight w:val="none"/>
              </w:rPr>
            </w:pPr>
          </w:p>
        </w:tc>
      </w:tr>
      <w:tr w14:paraId="1055E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82" w:type="dxa"/>
            <w:vMerge w:val="restart"/>
            <w:vAlign w:val="center"/>
          </w:tcPr>
          <w:p w14:paraId="6E287444">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2"/>
                <w:sz w:val="21"/>
                <w:szCs w:val="21"/>
                <w:highlight w:val="none"/>
              </w:rPr>
              <w:t>联系人</w:t>
            </w:r>
            <w:r>
              <w:rPr>
                <w:rFonts w:hint="eastAsia"/>
                <w:bCs/>
                <w:color w:val="auto"/>
                <w:spacing w:val="27"/>
                <w:sz w:val="21"/>
                <w:szCs w:val="21"/>
                <w:highlight w:val="none"/>
              </w:rPr>
              <w:t>姓名</w:t>
            </w:r>
          </w:p>
        </w:tc>
        <w:tc>
          <w:tcPr>
            <w:tcW w:w="701" w:type="dxa"/>
            <w:vMerge w:val="restart"/>
            <w:tcBorders>
              <w:top w:val="nil"/>
            </w:tcBorders>
            <w:vAlign w:val="center"/>
          </w:tcPr>
          <w:p w14:paraId="01FA7C66">
            <w:pPr>
              <w:pStyle w:val="92"/>
              <w:adjustRightInd w:val="0"/>
              <w:snapToGrid w:val="0"/>
              <w:ind w:left="-105" w:leftChars="-50" w:right="-105" w:rightChars="-50"/>
              <w:jc w:val="center"/>
              <w:rPr>
                <w:bCs/>
                <w:color w:val="auto"/>
                <w:spacing w:val="16"/>
                <w:sz w:val="21"/>
                <w:szCs w:val="21"/>
                <w:highlight w:val="none"/>
              </w:rPr>
            </w:pPr>
          </w:p>
        </w:tc>
        <w:tc>
          <w:tcPr>
            <w:tcW w:w="1026" w:type="dxa"/>
            <w:gridSpan w:val="2"/>
            <w:tcBorders>
              <w:top w:val="nil"/>
              <w:bottom w:val="single" w:color="auto" w:sz="4" w:space="0"/>
            </w:tcBorders>
            <w:vAlign w:val="center"/>
          </w:tcPr>
          <w:p w14:paraId="732E9A7A">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固定电话</w:t>
            </w:r>
          </w:p>
        </w:tc>
        <w:tc>
          <w:tcPr>
            <w:tcW w:w="2252" w:type="dxa"/>
            <w:gridSpan w:val="3"/>
            <w:tcBorders>
              <w:top w:val="nil"/>
              <w:bottom w:val="single" w:color="auto" w:sz="4" w:space="0"/>
            </w:tcBorders>
            <w:vAlign w:val="center"/>
          </w:tcPr>
          <w:p w14:paraId="2B0EFC45">
            <w:pPr>
              <w:pStyle w:val="92"/>
              <w:adjustRightInd w:val="0"/>
              <w:snapToGrid w:val="0"/>
              <w:ind w:right="-105" w:rightChars="-50"/>
              <w:rPr>
                <w:bCs/>
                <w:color w:val="auto"/>
                <w:spacing w:val="16"/>
                <w:sz w:val="21"/>
                <w:szCs w:val="21"/>
                <w:highlight w:val="none"/>
              </w:rPr>
            </w:pPr>
          </w:p>
        </w:tc>
        <w:tc>
          <w:tcPr>
            <w:tcW w:w="2001" w:type="dxa"/>
            <w:gridSpan w:val="3"/>
            <w:vMerge w:val="restart"/>
            <w:vAlign w:val="center"/>
          </w:tcPr>
          <w:p w14:paraId="0BFF1EFB">
            <w:pPr>
              <w:pStyle w:val="92"/>
              <w:adjustRightInd w:val="0"/>
              <w:snapToGrid w:val="0"/>
              <w:spacing w:before="0" w:beforeAutospacing="0" w:after="0" w:afterAutospacing="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传真</w:t>
            </w:r>
          </w:p>
        </w:tc>
        <w:tc>
          <w:tcPr>
            <w:tcW w:w="2151" w:type="dxa"/>
            <w:gridSpan w:val="2"/>
            <w:vMerge w:val="restart"/>
            <w:vAlign w:val="center"/>
          </w:tcPr>
          <w:p w14:paraId="0DCE6A3C">
            <w:pPr>
              <w:pStyle w:val="92"/>
              <w:adjustRightInd w:val="0"/>
              <w:snapToGrid w:val="0"/>
              <w:ind w:left="-105" w:leftChars="-50" w:right="-105" w:rightChars="-50"/>
              <w:jc w:val="center"/>
              <w:rPr>
                <w:bCs/>
                <w:color w:val="auto"/>
                <w:spacing w:val="16"/>
                <w:sz w:val="21"/>
                <w:szCs w:val="21"/>
                <w:highlight w:val="none"/>
              </w:rPr>
            </w:pPr>
          </w:p>
        </w:tc>
      </w:tr>
      <w:tr w14:paraId="4ED4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82" w:type="dxa"/>
            <w:vMerge w:val="continue"/>
            <w:tcBorders>
              <w:bottom w:val="single" w:color="auto" w:sz="4" w:space="0"/>
            </w:tcBorders>
            <w:vAlign w:val="center"/>
          </w:tcPr>
          <w:p w14:paraId="1CE7A975">
            <w:pPr>
              <w:pStyle w:val="92"/>
              <w:adjustRightInd w:val="0"/>
              <w:snapToGrid w:val="0"/>
              <w:ind w:left="-105" w:leftChars="-50" w:right="-105" w:rightChars="-50"/>
              <w:jc w:val="center"/>
              <w:rPr>
                <w:bCs/>
                <w:color w:val="auto"/>
                <w:sz w:val="21"/>
                <w:szCs w:val="21"/>
                <w:highlight w:val="none"/>
              </w:rPr>
            </w:pPr>
          </w:p>
        </w:tc>
        <w:tc>
          <w:tcPr>
            <w:tcW w:w="701" w:type="dxa"/>
            <w:vMerge w:val="continue"/>
            <w:tcBorders>
              <w:bottom w:val="single" w:color="auto" w:sz="4" w:space="0"/>
            </w:tcBorders>
            <w:vAlign w:val="center"/>
          </w:tcPr>
          <w:p w14:paraId="5F4045A7">
            <w:pPr>
              <w:pStyle w:val="92"/>
              <w:adjustRightInd w:val="0"/>
              <w:snapToGrid w:val="0"/>
              <w:ind w:left="-105" w:leftChars="-50" w:right="-105" w:rightChars="-50"/>
              <w:jc w:val="center"/>
              <w:rPr>
                <w:bCs/>
                <w:color w:val="auto"/>
                <w:spacing w:val="16"/>
                <w:sz w:val="21"/>
                <w:szCs w:val="21"/>
                <w:highlight w:val="none"/>
              </w:rPr>
            </w:pPr>
          </w:p>
        </w:tc>
        <w:tc>
          <w:tcPr>
            <w:tcW w:w="1026" w:type="dxa"/>
            <w:gridSpan w:val="2"/>
            <w:tcBorders>
              <w:bottom w:val="single" w:color="auto" w:sz="4" w:space="0"/>
            </w:tcBorders>
            <w:vAlign w:val="center"/>
          </w:tcPr>
          <w:p w14:paraId="77AF5232">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27"/>
                <w:sz w:val="21"/>
                <w:szCs w:val="21"/>
                <w:highlight w:val="none"/>
              </w:rPr>
              <w:t>手机</w:t>
            </w:r>
          </w:p>
        </w:tc>
        <w:tc>
          <w:tcPr>
            <w:tcW w:w="2252" w:type="dxa"/>
            <w:gridSpan w:val="3"/>
            <w:tcBorders>
              <w:bottom w:val="single" w:color="auto" w:sz="4" w:space="0"/>
            </w:tcBorders>
            <w:vAlign w:val="center"/>
          </w:tcPr>
          <w:p w14:paraId="2F1C4CFA">
            <w:pPr>
              <w:pStyle w:val="92"/>
              <w:adjustRightInd w:val="0"/>
              <w:snapToGrid w:val="0"/>
              <w:ind w:left="-105" w:leftChars="-50" w:right="-105" w:rightChars="-50"/>
              <w:jc w:val="center"/>
              <w:rPr>
                <w:bCs/>
                <w:color w:val="auto"/>
                <w:spacing w:val="16"/>
                <w:sz w:val="21"/>
                <w:szCs w:val="21"/>
                <w:highlight w:val="none"/>
              </w:rPr>
            </w:pPr>
          </w:p>
        </w:tc>
        <w:tc>
          <w:tcPr>
            <w:tcW w:w="2001" w:type="dxa"/>
            <w:gridSpan w:val="3"/>
            <w:vMerge w:val="continue"/>
            <w:vAlign w:val="center"/>
          </w:tcPr>
          <w:p w14:paraId="592CB765">
            <w:pPr>
              <w:pStyle w:val="92"/>
              <w:adjustRightInd w:val="0"/>
              <w:snapToGrid w:val="0"/>
              <w:ind w:left="-105" w:leftChars="-50" w:right="-105" w:rightChars="-50"/>
              <w:jc w:val="center"/>
              <w:rPr>
                <w:bCs/>
                <w:color w:val="auto"/>
                <w:spacing w:val="16"/>
                <w:sz w:val="21"/>
                <w:szCs w:val="21"/>
                <w:highlight w:val="none"/>
              </w:rPr>
            </w:pPr>
          </w:p>
        </w:tc>
        <w:tc>
          <w:tcPr>
            <w:tcW w:w="2151" w:type="dxa"/>
            <w:gridSpan w:val="2"/>
            <w:vMerge w:val="continue"/>
            <w:vAlign w:val="center"/>
          </w:tcPr>
          <w:p w14:paraId="56947F38">
            <w:pPr>
              <w:pStyle w:val="92"/>
              <w:adjustRightInd w:val="0"/>
              <w:snapToGrid w:val="0"/>
              <w:ind w:left="-105" w:leftChars="-50" w:right="-105" w:rightChars="-50"/>
              <w:jc w:val="center"/>
              <w:rPr>
                <w:bCs/>
                <w:color w:val="auto"/>
                <w:spacing w:val="16"/>
                <w:sz w:val="21"/>
                <w:szCs w:val="21"/>
                <w:highlight w:val="none"/>
              </w:rPr>
            </w:pPr>
          </w:p>
        </w:tc>
      </w:tr>
      <w:tr w14:paraId="1FB8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dxa"/>
            <w:vMerge w:val="restart"/>
            <w:vAlign w:val="center"/>
          </w:tcPr>
          <w:p w14:paraId="0CF0100A">
            <w:pPr>
              <w:pStyle w:val="92"/>
              <w:adjustRightInd w:val="0"/>
              <w:snapToGrid w:val="0"/>
              <w:ind w:left="-105" w:leftChars="-50" w:right="-105" w:rightChars="-50"/>
              <w:jc w:val="center"/>
              <w:rPr>
                <w:bCs/>
                <w:color w:val="auto"/>
                <w:sz w:val="21"/>
                <w:szCs w:val="21"/>
                <w:highlight w:val="none"/>
              </w:rPr>
            </w:pPr>
            <w:r>
              <w:rPr>
                <w:bCs/>
                <w:color w:val="auto"/>
                <w:sz w:val="21"/>
                <w:szCs w:val="21"/>
                <w:highlight w:val="none"/>
              </w:rPr>
              <w:t>1</w:t>
            </w:r>
            <w:r>
              <w:rPr>
                <w:rFonts w:hint="eastAsia"/>
                <w:bCs/>
                <w:color w:val="auto"/>
                <w:sz w:val="21"/>
                <w:szCs w:val="21"/>
                <w:highlight w:val="none"/>
              </w:rPr>
              <w:t>.</w:t>
            </w:r>
          </w:p>
          <w:p w14:paraId="2698B2D2">
            <w:pPr>
              <w:pStyle w:val="92"/>
              <w:adjustRightInd w:val="0"/>
              <w:snapToGrid w:val="0"/>
              <w:ind w:left="-105" w:leftChars="-50" w:right="-105" w:rightChars="-50"/>
              <w:jc w:val="center"/>
              <w:rPr>
                <w:bCs/>
                <w:color w:val="auto"/>
                <w:sz w:val="21"/>
                <w:szCs w:val="21"/>
                <w:highlight w:val="none"/>
              </w:rPr>
            </w:pPr>
            <w:r>
              <w:rPr>
                <w:rFonts w:hint="eastAsia"/>
                <w:bCs/>
                <w:color w:val="auto"/>
                <w:sz w:val="21"/>
                <w:szCs w:val="21"/>
                <w:highlight w:val="none"/>
              </w:rPr>
              <w:t>企</w:t>
            </w:r>
          </w:p>
          <w:p w14:paraId="77AD2F0F">
            <w:pPr>
              <w:pStyle w:val="92"/>
              <w:adjustRightInd w:val="0"/>
              <w:snapToGrid w:val="0"/>
              <w:ind w:left="-105" w:leftChars="-50" w:right="-105" w:rightChars="-50"/>
              <w:jc w:val="center"/>
              <w:rPr>
                <w:bCs/>
                <w:color w:val="auto"/>
                <w:sz w:val="21"/>
                <w:szCs w:val="21"/>
                <w:highlight w:val="none"/>
              </w:rPr>
            </w:pPr>
            <w:r>
              <w:rPr>
                <w:rFonts w:hint="eastAsia"/>
                <w:bCs/>
                <w:color w:val="auto"/>
                <w:sz w:val="21"/>
                <w:szCs w:val="21"/>
                <w:highlight w:val="none"/>
              </w:rPr>
              <w:t>业</w:t>
            </w:r>
          </w:p>
          <w:p w14:paraId="1F741AF9">
            <w:pPr>
              <w:pStyle w:val="92"/>
              <w:adjustRightInd w:val="0"/>
              <w:snapToGrid w:val="0"/>
              <w:ind w:left="-105" w:leftChars="-50" w:right="-105" w:rightChars="-50"/>
              <w:jc w:val="center"/>
              <w:rPr>
                <w:bCs/>
                <w:color w:val="auto"/>
                <w:spacing w:val="27"/>
                <w:sz w:val="21"/>
                <w:szCs w:val="21"/>
                <w:highlight w:val="none"/>
              </w:rPr>
            </w:pPr>
            <w:r>
              <w:rPr>
                <w:rFonts w:hint="eastAsia"/>
                <w:bCs/>
                <w:color w:val="auto"/>
                <w:spacing w:val="27"/>
                <w:sz w:val="21"/>
                <w:szCs w:val="21"/>
                <w:highlight w:val="none"/>
              </w:rPr>
              <w:t>概</w:t>
            </w:r>
          </w:p>
          <w:p w14:paraId="55F40ED3">
            <w:pPr>
              <w:pStyle w:val="92"/>
              <w:adjustRightInd w:val="0"/>
              <w:snapToGrid w:val="0"/>
              <w:ind w:left="-105" w:leftChars="-50" w:right="-105" w:rightChars="-50"/>
              <w:jc w:val="center"/>
              <w:rPr>
                <w:bCs/>
                <w:color w:val="auto"/>
                <w:sz w:val="21"/>
                <w:szCs w:val="21"/>
                <w:highlight w:val="none"/>
              </w:rPr>
            </w:pPr>
            <w:r>
              <w:rPr>
                <w:rFonts w:hint="eastAsia"/>
                <w:bCs/>
                <w:color w:val="auto"/>
                <w:spacing w:val="27"/>
                <w:sz w:val="21"/>
                <w:szCs w:val="21"/>
                <w:highlight w:val="none"/>
              </w:rPr>
              <w:t>况</w:t>
            </w:r>
          </w:p>
        </w:tc>
        <w:tc>
          <w:tcPr>
            <w:tcW w:w="701" w:type="dxa"/>
            <w:tcBorders>
              <w:top w:val="nil"/>
            </w:tcBorders>
            <w:vAlign w:val="center"/>
          </w:tcPr>
          <w:p w14:paraId="7BEE0EFA">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职工人数</w:t>
            </w:r>
          </w:p>
        </w:tc>
        <w:tc>
          <w:tcPr>
            <w:tcW w:w="1026" w:type="dxa"/>
            <w:gridSpan w:val="2"/>
            <w:tcBorders>
              <w:top w:val="nil"/>
            </w:tcBorders>
            <w:vAlign w:val="center"/>
          </w:tcPr>
          <w:p w14:paraId="4CEB2FB8">
            <w:pPr>
              <w:pStyle w:val="92"/>
              <w:adjustRightInd w:val="0"/>
              <w:snapToGrid w:val="0"/>
              <w:ind w:left="-105" w:leftChars="-50" w:right="-105" w:rightChars="-50"/>
              <w:jc w:val="center"/>
              <w:rPr>
                <w:bCs/>
                <w:color w:val="auto"/>
                <w:spacing w:val="16"/>
                <w:sz w:val="21"/>
                <w:szCs w:val="21"/>
                <w:highlight w:val="none"/>
              </w:rPr>
            </w:pPr>
          </w:p>
        </w:tc>
        <w:tc>
          <w:tcPr>
            <w:tcW w:w="1047" w:type="dxa"/>
            <w:tcBorders>
              <w:top w:val="nil"/>
            </w:tcBorders>
            <w:vAlign w:val="center"/>
          </w:tcPr>
          <w:p w14:paraId="52022DE4">
            <w:pPr>
              <w:pStyle w:val="92"/>
              <w:adjustRightInd w:val="0"/>
              <w:snapToGrid w:val="0"/>
              <w:spacing w:before="0" w:beforeAutospacing="0" w:after="0" w:afterAutospacing="0"/>
              <w:ind w:left="-105" w:leftChars="-50" w:right="-105" w:rightChars="-50"/>
              <w:jc w:val="center"/>
              <w:rPr>
                <w:bCs/>
                <w:color w:val="auto"/>
                <w:sz w:val="21"/>
                <w:szCs w:val="21"/>
                <w:highlight w:val="none"/>
              </w:rPr>
            </w:pPr>
            <w:r>
              <w:rPr>
                <w:rFonts w:hint="eastAsia"/>
                <w:bCs/>
                <w:color w:val="auto"/>
                <w:spacing w:val="18"/>
                <w:sz w:val="21"/>
                <w:szCs w:val="21"/>
                <w:highlight w:val="none"/>
              </w:rPr>
              <w:t>具备大专以</w:t>
            </w:r>
            <w:r>
              <w:rPr>
                <w:rFonts w:hint="eastAsia"/>
                <w:bCs/>
                <w:color w:val="auto"/>
                <w:spacing w:val="12"/>
                <w:sz w:val="21"/>
                <w:szCs w:val="21"/>
                <w:highlight w:val="none"/>
              </w:rPr>
              <w:t>上学历人数</w:t>
            </w:r>
          </w:p>
        </w:tc>
        <w:tc>
          <w:tcPr>
            <w:tcW w:w="1205" w:type="dxa"/>
            <w:gridSpan w:val="2"/>
            <w:tcBorders>
              <w:top w:val="nil"/>
            </w:tcBorders>
            <w:vAlign w:val="center"/>
          </w:tcPr>
          <w:p w14:paraId="2043EA06">
            <w:pPr>
              <w:widowControl/>
              <w:adjustRightInd w:val="0"/>
              <w:snapToGrid w:val="0"/>
              <w:ind w:left="-105" w:leftChars="-50" w:right="-105" w:rightChars="-50"/>
              <w:jc w:val="center"/>
              <w:rPr>
                <w:rFonts w:ascii="宋体" w:hAnsi="宋体" w:cs="宋体"/>
                <w:bCs/>
                <w:color w:val="auto"/>
                <w:spacing w:val="16"/>
                <w:kern w:val="0"/>
                <w:szCs w:val="21"/>
                <w:highlight w:val="none"/>
              </w:rPr>
            </w:pPr>
          </w:p>
          <w:p w14:paraId="388D8F9C">
            <w:pPr>
              <w:widowControl/>
              <w:adjustRightInd w:val="0"/>
              <w:snapToGrid w:val="0"/>
              <w:ind w:left="-105" w:leftChars="-50" w:right="-105" w:rightChars="-50"/>
              <w:jc w:val="center"/>
              <w:rPr>
                <w:rFonts w:ascii="宋体" w:hAnsi="宋体" w:cs="宋体"/>
                <w:bCs/>
                <w:color w:val="auto"/>
                <w:spacing w:val="16"/>
                <w:kern w:val="0"/>
                <w:szCs w:val="21"/>
                <w:highlight w:val="none"/>
              </w:rPr>
            </w:pPr>
          </w:p>
          <w:p w14:paraId="46591884">
            <w:pPr>
              <w:pStyle w:val="92"/>
              <w:adjustRightInd w:val="0"/>
              <w:snapToGrid w:val="0"/>
              <w:ind w:left="-105" w:leftChars="-50" w:right="-105" w:rightChars="-50"/>
              <w:jc w:val="center"/>
              <w:rPr>
                <w:bCs/>
                <w:color w:val="auto"/>
                <w:spacing w:val="16"/>
                <w:sz w:val="21"/>
                <w:szCs w:val="21"/>
                <w:highlight w:val="none"/>
              </w:rPr>
            </w:pPr>
          </w:p>
        </w:tc>
        <w:tc>
          <w:tcPr>
            <w:tcW w:w="2001" w:type="dxa"/>
            <w:gridSpan w:val="3"/>
            <w:vAlign w:val="center"/>
          </w:tcPr>
          <w:p w14:paraId="69D8F991">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65"/>
                <w:sz w:val="21"/>
                <w:szCs w:val="21"/>
                <w:highlight w:val="none"/>
              </w:rPr>
              <w:t>国家授予技</w:t>
            </w:r>
            <w:r>
              <w:rPr>
                <w:rFonts w:hint="eastAsia"/>
                <w:bCs/>
                <w:color w:val="auto"/>
                <w:spacing w:val="12"/>
                <w:sz w:val="21"/>
                <w:szCs w:val="21"/>
                <w:highlight w:val="none"/>
              </w:rPr>
              <w:t>术职称人数</w:t>
            </w:r>
          </w:p>
        </w:tc>
        <w:tc>
          <w:tcPr>
            <w:tcW w:w="2151" w:type="dxa"/>
            <w:gridSpan w:val="2"/>
            <w:vAlign w:val="center"/>
          </w:tcPr>
          <w:p w14:paraId="293E18E5">
            <w:pPr>
              <w:widowControl/>
              <w:adjustRightInd w:val="0"/>
              <w:snapToGrid w:val="0"/>
              <w:ind w:left="-105" w:leftChars="-50" w:right="-105" w:rightChars="-50"/>
              <w:jc w:val="center"/>
              <w:rPr>
                <w:rFonts w:ascii="宋体" w:hAnsi="宋体" w:cs="宋体"/>
                <w:bCs/>
                <w:color w:val="auto"/>
                <w:spacing w:val="16"/>
                <w:kern w:val="0"/>
                <w:szCs w:val="21"/>
                <w:highlight w:val="none"/>
              </w:rPr>
            </w:pPr>
          </w:p>
          <w:p w14:paraId="1512D4C2">
            <w:pPr>
              <w:pStyle w:val="92"/>
              <w:adjustRightInd w:val="0"/>
              <w:snapToGrid w:val="0"/>
              <w:ind w:left="-105" w:leftChars="-50" w:right="-105" w:rightChars="-50"/>
              <w:jc w:val="center"/>
              <w:rPr>
                <w:bCs/>
                <w:color w:val="auto"/>
                <w:spacing w:val="16"/>
                <w:sz w:val="21"/>
                <w:szCs w:val="21"/>
                <w:highlight w:val="none"/>
              </w:rPr>
            </w:pPr>
          </w:p>
        </w:tc>
      </w:tr>
      <w:tr w14:paraId="3520B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82" w:type="dxa"/>
            <w:vMerge w:val="continue"/>
            <w:vAlign w:val="center"/>
          </w:tcPr>
          <w:p w14:paraId="6DEF6B9F">
            <w:pPr>
              <w:pStyle w:val="92"/>
              <w:adjustRightInd w:val="0"/>
              <w:snapToGrid w:val="0"/>
              <w:ind w:left="-105" w:leftChars="-50" w:right="-105" w:rightChars="-50"/>
              <w:jc w:val="center"/>
              <w:rPr>
                <w:bCs/>
                <w:color w:val="auto"/>
                <w:sz w:val="21"/>
                <w:szCs w:val="21"/>
                <w:highlight w:val="none"/>
              </w:rPr>
            </w:pPr>
          </w:p>
        </w:tc>
        <w:tc>
          <w:tcPr>
            <w:tcW w:w="701" w:type="dxa"/>
            <w:vAlign w:val="center"/>
          </w:tcPr>
          <w:p w14:paraId="4557F1C7">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占地面积</w:t>
            </w:r>
          </w:p>
        </w:tc>
        <w:tc>
          <w:tcPr>
            <w:tcW w:w="1026" w:type="dxa"/>
            <w:gridSpan w:val="2"/>
            <w:vAlign w:val="center"/>
          </w:tcPr>
          <w:p w14:paraId="60248B4B">
            <w:pPr>
              <w:pStyle w:val="92"/>
              <w:adjustRightInd w:val="0"/>
              <w:snapToGrid w:val="0"/>
              <w:ind w:left="-105" w:leftChars="-50" w:right="-105" w:rightChars="-50"/>
              <w:jc w:val="center"/>
              <w:rPr>
                <w:bCs/>
                <w:color w:val="auto"/>
                <w:sz w:val="21"/>
                <w:szCs w:val="21"/>
                <w:highlight w:val="none"/>
              </w:rPr>
            </w:pPr>
          </w:p>
        </w:tc>
        <w:tc>
          <w:tcPr>
            <w:tcW w:w="1047" w:type="dxa"/>
            <w:vAlign w:val="center"/>
          </w:tcPr>
          <w:p w14:paraId="21E87525">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建筑面积</w:t>
            </w:r>
          </w:p>
        </w:tc>
        <w:tc>
          <w:tcPr>
            <w:tcW w:w="1205" w:type="dxa"/>
            <w:gridSpan w:val="2"/>
            <w:vAlign w:val="center"/>
          </w:tcPr>
          <w:p w14:paraId="607BFFC0">
            <w:pPr>
              <w:pStyle w:val="92"/>
              <w:adjustRightInd w:val="0"/>
              <w:snapToGrid w:val="0"/>
              <w:ind w:left="-105" w:leftChars="-50" w:right="-105" w:rightChars="-50" w:firstLine="420"/>
              <w:jc w:val="center"/>
              <w:rPr>
                <w:bCs/>
                <w:color w:val="auto"/>
                <w:sz w:val="21"/>
                <w:szCs w:val="21"/>
                <w:highlight w:val="none"/>
              </w:rPr>
            </w:pPr>
            <w:r>
              <w:rPr>
                <w:rFonts w:hint="eastAsia"/>
                <w:bCs/>
                <w:color w:val="auto"/>
                <w:sz w:val="21"/>
                <w:szCs w:val="21"/>
                <w:highlight w:val="none"/>
              </w:rPr>
              <w:t>平方米</w:t>
            </w:r>
          </w:p>
          <w:p w14:paraId="2D6E4435">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□自有□租賃</w:t>
            </w:r>
          </w:p>
        </w:tc>
        <w:tc>
          <w:tcPr>
            <w:tcW w:w="2001" w:type="dxa"/>
            <w:gridSpan w:val="3"/>
            <w:vAlign w:val="center"/>
          </w:tcPr>
          <w:p w14:paraId="1AF38BF1">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生产经营场所及场所的设施与设备</w:t>
            </w:r>
          </w:p>
        </w:tc>
        <w:tc>
          <w:tcPr>
            <w:tcW w:w="2151" w:type="dxa"/>
            <w:gridSpan w:val="2"/>
            <w:vAlign w:val="center"/>
          </w:tcPr>
          <w:p w14:paraId="2AC129D2">
            <w:pPr>
              <w:pStyle w:val="92"/>
              <w:adjustRightInd w:val="0"/>
              <w:snapToGrid w:val="0"/>
              <w:spacing w:before="0" w:beforeAutospacing="0" w:after="0" w:afterAutospacing="0"/>
              <w:ind w:left="-105" w:leftChars="-50" w:right="-105" w:rightChars="-50"/>
              <w:jc w:val="center"/>
              <w:rPr>
                <w:bCs/>
                <w:color w:val="auto"/>
                <w:spacing w:val="16"/>
                <w:sz w:val="21"/>
                <w:szCs w:val="21"/>
                <w:highlight w:val="none"/>
              </w:rPr>
            </w:pPr>
          </w:p>
        </w:tc>
      </w:tr>
      <w:tr w14:paraId="79C10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682" w:type="dxa"/>
            <w:vMerge w:val="continue"/>
            <w:vAlign w:val="center"/>
          </w:tcPr>
          <w:p w14:paraId="0A3A07FA">
            <w:pPr>
              <w:pStyle w:val="92"/>
              <w:adjustRightInd w:val="0"/>
              <w:snapToGrid w:val="0"/>
              <w:ind w:left="-105" w:leftChars="-50" w:right="-105" w:rightChars="-50"/>
              <w:jc w:val="center"/>
              <w:rPr>
                <w:bCs/>
                <w:color w:val="auto"/>
                <w:sz w:val="21"/>
                <w:szCs w:val="21"/>
                <w:highlight w:val="none"/>
              </w:rPr>
            </w:pPr>
          </w:p>
        </w:tc>
        <w:tc>
          <w:tcPr>
            <w:tcW w:w="701" w:type="dxa"/>
            <w:vAlign w:val="center"/>
          </w:tcPr>
          <w:p w14:paraId="6FF06320">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注册资金</w:t>
            </w:r>
          </w:p>
        </w:tc>
        <w:tc>
          <w:tcPr>
            <w:tcW w:w="1026" w:type="dxa"/>
            <w:gridSpan w:val="2"/>
            <w:vAlign w:val="center"/>
          </w:tcPr>
          <w:p w14:paraId="2BB4F978">
            <w:pPr>
              <w:pStyle w:val="92"/>
              <w:adjustRightInd w:val="0"/>
              <w:snapToGrid w:val="0"/>
              <w:ind w:left="-105" w:leftChars="-50" w:right="-105" w:rightChars="-50"/>
              <w:jc w:val="center"/>
              <w:rPr>
                <w:bCs/>
                <w:color w:val="auto"/>
                <w:sz w:val="21"/>
                <w:szCs w:val="21"/>
                <w:highlight w:val="none"/>
              </w:rPr>
            </w:pPr>
          </w:p>
        </w:tc>
        <w:tc>
          <w:tcPr>
            <w:tcW w:w="1047" w:type="dxa"/>
            <w:vAlign w:val="center"/>
          </w:tcPr>
          <w:p w14:paraId="5ED527E1">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注册发证</w:t>
            </w:r>
            <w:r>
              <w:rPr>
                <w:rFonts w:hint="eastAsia"/>
                <w:bCs/>
                <w:color w:val="auto"/>
                <w:spacing w:val="27"/>
                <w:sz w:val="21"/>
                <w:szCs w:val="21"/>
                <w:highlight w:val="none"/>
              </w:rPr>
              <w:t>机关</w:t>
            </w:r>
          </w:p>
        </w:tc>
        <w:tc>
          <w:tcPr>
            <w:tcW w:w="3206" w:type="dxa"/>
            <w:gridSpan w:val="5"/>
            <w:vAlign w:val="center"/>
          </w:tcPr>
          <w:p w14:paraId="0D82712D">
            <w:pPr>
              <w:widowControl/>
              <w:adjustRightInd w:val="0"/>
              <w:snapToGrid w:val="0"/>
              <w:ind w:left="-105" w:leftChars="-50" w:right="-105" w:rightChars="-50"/>
              <w:jc w:val="center"/>
              <w:rPr>
                <w:rFonts w:ascii="宋体" w:hAnsi="宋体" w:cs="宋体"/>
                <w:bCs/>
                <w:color w:val="auto"/>
                <w:kern w:val="0"/>
                <w:szCs w:val="21"/>
                <w:highlight w:val="none"/>
              </w:rPr>
            </w:pPr>
          </w:p>
          <w:p w14:paraId="35EBACF9">
            <w:pPr>
              <w:pStyle w:val="92"/>
              <w:adjustRightInd w:val="0"/>
              <w:snapToGrid w:val="0"/>
              <w:ind w:left="-105" w:leftChars="-50" w:right="-105" w:rightChars="-50"/>
              <w:jc w:val="center"/>
              <w:rPr>
                <w:bCs/>
                <w:color w:val="auto"/>
                <w:sz w:val="21"/>
                <w:szCs w:val="21"/>
                <w:highlight w:val="none"/>
              </w:rPr>
            </w:pPr>
          </w:p>
        </w:tc>
        <w:tc>
          <w:tcPr>
            <w:tcW w:w="1218" w:type="dxa"/>
            <w:vAlign w:val="center"/>
          </w:tcPr>
          <w:p w14:paraId="1701C1E2">
            <w:pPr>
              <w:pStyle w:val="92"/>
              <w:adjustRightInd w:val="0"/>
              <w:snapToGrid w:val="0"/>
              <w:ind w:left="-105" w:leftChars="-50" w:right="-105" w:rightChars="-50"/>
              <w:jc w:val="center"/>
              <w:rPr>
                <w:bCs/>
                <w:color w:val="auto"/>
                <w:sz w:val="21"/>
                <w:szCs w:val="21"/>
                <w:highlight w:val="none"/>
              </w:rPr>
            </w:pPr>
            <w:r>
              <w:rPr>
                <w:rFonts w:hint="eastAsia"/>
                <w:bCs/>
                <w:color w:val="auto"/>
                <w:sz w:val="21"/>
                <w:szCs w:val="21"/>
                <w:highlight w:val="none"/>
              </w:rPr>
              <w:t>公司成</w:t>
            </w:r>
            <w:r>
              <w:rPr>
                <w:rFonts w:hint="eastAsia"/>
                <w:bCs/>
                <w:color w:val="auto"/>
                <w:spacing w:val="12"/>
                <w:sz w:val="21"/>
                <w:szCs w:val="21"/>
                <w:highlight w:val="none"/>
              </w:rPr>
              <w:t>立时间</w:t>
            </w:r>
          </w:p>
        </w:tc>
        <w:tc>
          <w:tcPr>
            <w:tcW w:w="933" w:type="dxa"/>
            <w:vAlign w:val="center"/>
          </w:tcPr>
          <w:p w14:paraId="34D9A1AA">
            <w:pPr>
              <w:pStyle w:val="92"/>
              <w:adjustRightInd w:val="0"/>
              <w:snapToGrid w:val="0"/>
              <w:ind w:left="-105" w:leftChars="-50" w:right="-105" w:rightChars="-50"/>
              <w:jc w:val="center"/>
              <w:rPr>
                <w:bCs/>
                <w:color w:val="auto"/>
                <w:sz w:val="21"/>
                <w:szCs w:val="21"/>
                <w:highlight w:val="none"/>
              </w:rPr>
            </w:pPr>
          </w:p>
        </w:tc>
      </w:tr>
      <w:tr w14:paraId="7FF2D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682" w:type="dxa"/>
            <w:vMerge w:val="continue"/>
            <w:vAlign w:val="center"/>
          </w:tcPr>
          <w:p w14:paraId="0DD0BFC7">
            <w:pPr>
              <w:pStyle w:val="92"/>
              <w:adjustRightInd w:val="0"/>
              <w:snapToGrid w:val="0"/>
              <w:ind w:left="-105" w:leftChars="-50" w:right="-105" w:rightChars="-50"/>
              <w:jc w:val="center"/>
              <w:rPr>
                <w:bCs/>
                <w:color w:val="auto"/>
                <w:sz w:val="21"/>
                <w:szCs w:val="21"/>
                <w:highlight w:val="none"/>
              </w:rPr>
            </w:pPr>
          </w:p>
        </w:tc>
        <w:tc>
          <w:tcPr>
            <w:tcW w:w="701" w:type="dxa"/>
            <w:vAlign w:val="center"/>
          </w:tcPr>
          <w:p w14:paraId="1EEF21CD">
            <w:pPr>
              <w:pStyle w:val="92"/>
              <w:adjustRightInd w:val="0"/>
              <w:snapToGrid w:val="0"/>
              <w:ind w:left="-105" w:leftChars="-50" w:right="-105" w:rightChars="-50"/>
              <w:jc w:val="center"/>
              <w:rPr>
                <w:bCs/>
                <w:color w:val="auto"/>
                <w:sz w:val="21"/>
                <w:szCs w:val="21"/>
                <w:highlight w:val="none"/>
              </w:rPr>
            </w:pPr>
            <w:r>
              <w:rPr>
                <w:rFonts w:hint="eastAsia"/>
                <w:bCs/>
                <w:color w:val="auto"/>
                <w:sz w:val="21"/>
                <w:szCs w:val="21"/>
                <w:highlight w:val="none"/>
              </w:rPr>
              <w:t>核准经营范围</w:t>
            </w:r>
          </w:p>
        </w:tc>
        <w:tc>
          <w:tcPr>
            <w:tcW w:w="7430" w:type="dxa"/>
            <w:gridSpan w:val="10"/>
            <w:vAlign w:val="center"/>
          </w:tcPr>
          <w:p w14:paraId="0A88CD39">
            <w:pPr>
              <w:pStyle w:val="92"/>
              <w:adjustRightInd w:val="0"/>
              <w:snapToGrid w:val="0"/>
              <w:ind w:left="-105" w:leftChars="-50" w:right="-105" w:rightChars="-50"/>
              <w:jc w:val="center"/>
              <w:rPr>
                <w:bCs/>
                <w:color w:val="auto"/>
                <w:sz w:val="21"/>
                <w:szCs w:val="21"/>
                <w:highlight w:val="none"/>
              </w:rPr>
            </w:pPr>
          </w:p>
        </w:tc>
      </w:tr>
      <w:tr w14:paraId="232F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682" w:type="dxa"/>
            <w:vMerge w:val="continue"/>
            <w:vAlign w:val="center"/>
          </w:tcPr>
          <w:p w14:paraId="572F64C2">
            <w:pPr>
              <w:pStyle w:val="92"/>
              <w:adjustRightInd w:val="0"/>
              <w:snapToGrid w:val="0"/>
              <w:ind w:left="-105" w:leftChars="-50" w:right="-105" w:rightChars="-50"/>
              <w:jc w:val="center"/>
              <w:rPr>
                <w:bCs/>
                <w:color w:val="auto"/>
                <w:sz w:val="21"/>
                <w:szCs w:val="21"/>
                <w:highlight w:val="none"/>
              </w:rPr>
            </w:pPr>
          </w:p>
        </w:tc>
        <w:tc>
          <w:tcPr>
            <w:tcW w:w="8131" w:type="dxa"/>
            <w:gridSpan w:val="11"/>
            <w:vAlign w:val="center"/>
          </w:tcPr>
          <w:p w14:paraId="3CE2EFBC">
            <w:pPr>
              <w:pStyle w:val="92"/>
              <w:adjustRightInd w:val="0"/>
              <w:snapToGrid w:val="0"/>
              <w:ind w:left="-105" w:leftChars="-50" w:right="-105" w:rightChars="-50"/>
              <w:rPr>
                <w:bCs/>
                <w:color w:val="auto"/>
                <w:spacing w:val="13"/>
                <w:sz w:val="21"/>
                <w:szCs w:val="21"/>
                <w:highlight w:val="none"/>
              </w:rPr>
            </w:pPr>
            <w:r>
              <w:rPr>
                <w:rFonts w:hint="eastAsia"/>
                <w:bCs/>
                <w:color w:val="auto"/>
                <w:spacing w:val="13"/>
                <w:sz w:val="21"/>
                <w:szCs w:val="21"/>
                <w:highlight w:val="none"/>
              </w:rPr>
              <w:t>发展历程及主要荣誉：</w:t>
            </w:r>
          </w:p>
        </w:tc>
      </w:tr>
      <w:tr w14:paraId="31DF3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682" w:type="dxa"/>
            <w:vMerge w:val="restart"/>
            <w:vAlign w:val="center"/>
          </w:tcPr>
          <w:p w14:paraId="2FEAFE71">
            <w:pPr>
              <w:pStyle w:val="92"/>
              <w:adjustRightInd w:val="0"/>
              <w:snapToGrid w:val="0"/>
              <w:ind w:left="-105" w:leftChars="-50" w:right="-105" w:rightChars="-50"/>
              <w:jc w:val="center"/>
              <w:rPr>
                <w:bCs/>
                <w:color w:val="auto"/>
                <w:sz w:val="21"/>
                <w:szCs w:val="21"/>
                <w:highlight w:val="none"/>
              </w:rPr>
            </w:pPr>
            <w:r>
              <w:rPr>
                <w:bCs/>
                <w:color w:val="auto"/>
                <w:sz w:val="21"/>
                <w:szCs w:val="21"/>
                <w:highlight w:val="none"/>
              </w:rPr>
              <w:t>2</w:t>
            </w:r>
            <w:r>
              <w:rPr>
                <w:rFonts w:hint="eastAsia"/>
                <w:bCs/>
                <w:color w:val="auto"/>
                <w:sz w:val="21"/>
                <w:szCs w:val="21"/>
                <w:highlight w:val="none"/>
              </w:rPr>
              <w:t>．</w:t>
            </w:r>
          </w:p>
          <w:p w14:paraId="435F4337">
            <w:pPr>
              <w:pStyle w:val="92"/>
              <w:adjustRightInd w:val="0"/>
              <w:snapToGrid w:val="0"/>
              <w:ind w:left="-105" w:leftChars="-50" w:right="-105" w:rightChars="-50"/>
              <w:jc w:val="center"/>
              <w:rPr>
                <w:bCs/>
                <w:color w:val="auto"/>
                <w:spacing w:val="16"/>
                <w:sz w:val="21"/>
                <w:szCs w:val="21"/>
                <w:highlight w:val="none"/>
              </w:rPr>
            </w:pPr>
            <w:r>
              <w:rPr>
                <w:rFonts w:hint="eastAsia"/>
                <w:bCs/>
                <w:color w:val="auto"/>
                <w:sz w:val="21"/>
                <w:szCs w:val="21"/>
                <w:highlight w:val="none"/>
              </w:rPr>
              <w:t>企</w:t>
            </w:r>
            <w:r>
              <w:rPr>
                <w:rFonts w:hint="eastAsia"/>
                <w:bCs/>
                <w:color w:val="auto"/>
                <w:spacing w:val="12"/>
                <w:sz w:val="21"/>
                <w:szCs w:val="21"/>
                <w:highlight w:val="none"/>
              </w:rPr>
              <w:t>业有关资质获证情况</w:t>
            </w:r>
          </w:p>
        </w:tc>
        <w:tc>
          <w:tcPr>
            <w:tcW w:w="1553" w:type="dxa"/>
            <w:gridSpan w:val="2"/>
            <w:vMerge w:val="restart"/>
            <w:vAlign w:val="center"/>
          </w:tcPr>
          <w:p w14:paraId="1497680E">
            <w:pPr>
              <w:pStyle w:val="92"/>
              <w:adjustRightInd w:val="0"/>
              <w:snapToGrid w:val="0"/>
              <w:spacing w:before="0" w:beforeAutospacing="0" w:after="0" w:afterAutospacing="0"/>
              <w:ind w:left="-105" w:leftChars="-50" w:right="-105" w:rightChars="-50"/>
              <w:jc w:val="center"/>
              <w:rPr>
                <w:bCs/>
                <w:color w:val="auto"/>
                <w:spacing w:val="16"/>
                <w:sz w:val="21"/>
                <w:szCs w:val="21"/>
                <w:highlight w:val="none"/>
              </w:rPr>
            </w:pPr>
            <w:r>
              <w:rPr>
                <w:rFonts w:hint="eastAsia"/>
                <w:bCs/>
                <w:color w:val="auto"/>
                <w:spacing w:val="12"/>
                <w:sz w:val="21"/>
                <w:szCs w:val="21"/>
                <w:highlight w:val="none"/>
              </w:rPr>
              <w:t>产品生产许可证情况</w:t>
            </w:r>
            <w:r>
              <w:rPr>
                <w:rFonts w:hint="eastAsia"/>
                <w:bCs/>
                <w:color w:val="auto"/>
                <w:spacing w:val="41"/>
                <w:sz w:val="21"/>
                <w:szCs w:val="21"/>
                <w:highlight w:val="none"/>
              </w:rPr>
              <w:t>（对需获得生产许可证的</w:t>
            </w:r>
            <w:r>
              <w:rPr>
                <w:rFonts w:hint="eastAsia"/>
                <w:bCs/>
                <w:color w:val="auto"/>
                <w:spacing w:val="11"/>
                <w:sz w:val="21"/>
                <w:szCs w:val="21"/>
                <w:highlight w:val="none"/>
              </w:rPr>
              <w:t>产品要填写此栏）</w:t>
            </w:r>
          </w:p>
        </w:tc>
        <w:tc>
          <w:tcPr>
            <w:tcW w:w="1333" w:type="dxa"/>
            <w:gridSpan w:val="3"/>
            <w:vAlign w:val="center"/>
          </w:tcPr>
          <w:p w14:paraId="4DA7F557">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6"/>
                <w:sz w:val="21"/>
                <w:szCs w:val="21"/>
                <w:highlight w:val="none"/>
              </w:rPr>
              <w:t>产品名称</w:t>
            </w:r>
          </w:p>
        </w:tc>
        <w:tc>
          <w:tcPr>
            <w:tcW w:w="1418" w:type="dxa"/>
            <w:gridSpan w:val="2"/>
            <w:vAlign w:val="center"/>
          </w:tcPr>
          <w:p w14:paraId="79F42C0A">
            <w:pPr>
              <w:pStyle w:val="92"/>
              <w:adjustRightInd w:val="0"/>
              <w:snapToGrid w:val="0"/>
              <w:spacing w:before="0" w:beforeAutospacing="0" w:after="0" w:afterAutospacing="0"/>
              <w:ind w:left="-105" w:leftChars="-50" w:right="-105" w:rightChars="-50"/>
              <w:jc w:val="center"/>
              <w:rPr>
                <w:bCs/>
                <w:color w:val="auto"/>
                <w:sz w:val="21"/>
                <w:szCs w:val="21"/>
                <w:highlight w:val="none"/>
              </w:rPr>
            </w:pPr>
            <w:r>
              <w:rPr>
                <w:rFonts w:hint="eastAsia"/>
                <w:bCs/>
                <w:color w:val="auto"/>
                <w:spacing w:val="16"/>
                <w:sz w:val="21"/>
                <w:szCs w:val="21"/>
                <w:highlight w:val="none"/>
              </w:rPr>
              <w:t>发证机关</w:t>
            </w:r>
          </w:p>
        </w:tc>
        <w:tc>
          <w:tcPr>
            <w:tcW w:w="1276" w:type="dxa"/>
            <w:vAlign w:val="center"/>
          </w:tcPr>
          <w:p w14:paraId="3359D482">
            <w:pPr>
              <w:pStyle w:val="92"/>
              <w:adjustRightInd w:val="0"/>
              <w:snapToGrid w:val="0"/>
              <w:ind w:left="-105" w:leftChars="-50" w:right="-105" w:rightChars="-50"/>
              <w:jc w:val="center"/>
              <w:rPr>
                <w:bCs/>
                <w:color w:val="auto"/>
                <w:sz w:val="21"/>
                <w:szCs w:val="21"/>
                <w:highlight w:val="none"/>
              </w:rPr>
            </w:pPr>
            <w:r>
              <w:rPr>
                <w:rFonts w:hint="eastAsia"/>
                <w:bCs/>
                <w:color w:val="auto"/>
                <w:spacing w:val="27"/>
                <w:sz w:val="21"/>
                <w:szCs w:val="21"/>
                <w:highlight w:val="none"/>
              </w:rPr>
              <w:t>编号</w:t>
            </w:r>
          </w:p>
        </w:tc>
        <w:tc>
          <w:tcPr>
            <w:tcW w:w="1618" w:type="dxa"/>
            <w:gridSpan w:val="2"/>
            <w:vAlign w:val="center"/>
          </w:tcPr>
          <w:p w14:paraId="5D6D932D">
            <w:pPr>
              <w:pStyle w:val="92"/>
              <w:adjustRightInd w:val="0"/>
              <w:snapToGrid w:val="0"/>
              <w:ind w:left="-105" w:leftChars="-50" w:right="-105" w:rightChars="-50"/>
              <w:jc w:val="center"/>
              <w:rPr>
                <w:bCs/>
                <w:color w:val="auto"/>
                <w:sz w:val="21"/>
                <w:szCs w:val="21"/>
                <w:highlight w:val="none"/>
              </w:rPr>
            </w:pPr>
            <w:r>
              <w:rPr>
                <w:rFonts w:hint="eastAsia"/>
                <w:bCs/>
                <w:color w:val="auto"/>
                <w:spacing w:val="16"/>
                <w:sz w:val="21"/>
                <w:szCs w:val="21"/>
                <w:highlight w:val="none"/>
              </w:rPr>
              <w:t>发证时间</w:t>
            </w:r>
          </w:p>
        </w:tc>
        <w:tc>
          <w:tcPr>
            <w:tcW w:w="933" w:type="dxa"/>
            <w:vAlign w:val="center"/>
          </w:tcPr>
          <w:p w14:paraId="2DF924D0">
            <w:pPr>
              <w:pStyle w:val="92"/>
              <w:adjustRightInd w:val="0"/>
              <w:snapToGrid w:val="0"/>
              <w:spacing w:before="0" w:beforeAutospacing="0" w:after="0" w:afterAutospacing="0"/>
              <w:ind w:left="-105" w:leftChars="-50" w:right="-105" w:rightChars="-50"/>
              <w:jc w:val="center"/>
              <w:rPr>
                <w:bCs/>
                <w:color w:val="auto"/>
                <w:sz w:val="21"/>
                <w:szCs w:val="21"/>
                <w:highlight w:val="none"/>
              </w:rPr>
            </w:pPr>
            <w:r>
              <w:rPr>
                <w:rFonts w:hint="eastAsia"/>
                <w:bCs/>
                <w:color w:val="auto"/>
                <w:spacing w:val="27"/>
                <w:sz w:val="21"/>
                <w:szCs w:val="21"/>
                <w:highlight w:val="none"/>
              </w:rPr>
              <w:t>期限</w:t>
            </w:r>
          </w:p>
        </w:tc>
      </w:tr>
      <w:tr w14:paraId="2181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82" w:type="dxa"/>
            <w:vMerge w:val="continue"/>
            <w:vAlign w:val="center"/>
          </w:tcPr>
          <w:p w14:paraId="1812E949">
            <w:pPr>
              <w:pStyle w:val="92"/>
              <w:adjustRightInd w:val="0"/>
              <w:snapToGrid w:val="0"/>
              <w:ind w:left="-105" w:leftChars="-50" w:right="-105" w:rightChars="-50"/>
              <w:jc w:val="center"/>
              <w:rPr>
                <w:bCs/>
                <w:color w:val="auto"/>
                <w:sz w:val="21"/>
                <w:szCs w:val="21"/>
                <w:highlight w:val="none"/>
              </w:rPr>
            </w:pPr>
          </w:p>
        </w:tc>
        <w:tc>
          <w:tcPr>
            <w:tcW w:w="1553" w:type="dxa"/>
            <w:gridSpan w:val="2"/>
            <w:vMerge w:val="continue"/>
            <w:vAlign w:val="center"/>
          </w:tcPr>
          <w:p w14:paraId="02956E51">
            <w:pPr>
              <w:pStyle w:val="92"/>
              <w:adjustRightInd w:val="0"/>
              <w:snapToGrid w:val="0"/>
              <w:ind w:left="-105" w:leftChars="-50" w:right="-105" w:rightChars="-50"/>
              <w:jc w:val="center"/>
              <w:rPr>
                <w:bCs/>
                <w:color w:val="auto"/>
                <w:sz w:val="21"/>
                <w:szCs w:val="21"/>
                <w:highlight w:val="none"/>
              </w:rPr>
            </w:pPr>
          </w:p>
        </w:tc>
        <w:tc>
          <w:tcPr>
            <w:tcW w:w="1333" w:type="dxa"/>
            <w:gridSpan w:val="3"/>
            <w:vAlign w:val="center"/>
          </w:tcPr>
          <w:p w14:paraId="738D9D8C">
            <w:pPr>
              <w:pStyle w:val="92"/>
              <w:adjustRightInd w:val="0"/>
              <w:snapToGrid w:val="0"/>
              <w:ind w:left="-105" w:leftChars="-50" w:right="-105" w:rightChars="-50"/>
              <w:jc w:val="center"/>
              <w:rPr>
                <w:bCs/>
                <w:color w:val="auto"/>
                <w:sz w:val="21"/>
                <w:szCs w:val="21"/>
                <w:highlight w:val="none"/>
              </w:rPr>
            </w:pPr>
          </w:p>
        </w:tc>
        <w:tc>
          <w:tcPr>
            <w:tcW w:w="1418" w:type="dxa"/>
            <w:gridSpan w:val="2"/>
            <w:vAlign w:val="center"/>
          </w:tcPr>
          <w:p w14:paraId="5AE04AEA">
            <w:pPr>
              <w:pStyle w:val="92"/>
              <w:adjustRightInd w:val="0"/>
              <w:snapToGrid w:val="0"/>
              <w:ind w:left="-105" w:leftChars="-50" w:right="-105" w:rightChars="-50"/>
              <w:jc w:val="center"/>
              <w:rPr>
                <w:bCs/>
                <w:color w:val="auto"/>
                <w:sz w:val="21"/>
                <w:szCs w:val="21"/>
                <w:highlight w:val="none"/>
              </w:rPr>
            </w:pPr>
          </w:p>
        </w:tc>
        <w:tc>
          <w:tcPr>
            <w:tcW w:w="1276" w:type="dxa"/>
            <w:vAlign w:val="center"/>
          </w:tcPr>
          <w:p w14:paraId="4123C701">
            <w:pPr>
              <w:pStyle w:val="92"/>
              <w:adjustRightInd w:val="0"/>
              <w:snapToGrid w:val="0"/>
              <w:ind w:left="-105" w:leftChars="-50" w:right="-105" w:rightChars="-50"/>
              <w:jc w:val="center"/>
              <w:rPr>
                <w:bCs/>
                <w:color w:val="auto"/>
                <w:sz w:val="21"/>
                <w:szCs w:val="21"/>
                <w:highlight w:val="none"/>
              </w:rPr>
            </w:pPr>
          </w:p>
        </w:tc>
        <w:tc>
          <w:tcPr>
            <w:tcW w:w="2551" w:type="dxa"/>
            <w:gridSpan w:val="3"/>
            <w:vAlign w:val="center"/>
          </w:tcPr>
          <w:p w14:paraId="0368F370">
            <w:pPr>
              <w:pStyle w:val="92"/>
              <w:adjustRightInd w:val="0"/>
              <w:snapToGrid w:val="0"/>
              <w:ind w:left="-105" w:leftChars="-50" w:right="-105" w:rightChars="-50"/>
              <w:jc w:val="center"/>
              <w:rPr>
                <w:bCs/>
                <w:color w:val="auto"/>
                <w:sz w:val="21"/>
                <w:szCs w:val="21"/>
                <w:highlight w:val="none"/>
              </w:rPr>
            </w:pPr>
          </w:p>
        </w:tc>
      </w:tr>
      <w:tr w14:paraId="36A2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82" w:type="dxa"/>
            <w:vMerge w:val="continue"/>
            <w:vAlign w:val="center"/>
          </w:tcPr>
          <w:p w14:paraId="740B8EF2">
            <w:pPr>
              <w:pStyle w:val="92"/>
              <w:adjustRightInd w:val="0"/>
              <w:snapToGrid w:val="0"/>
              <w:ind w:left="-105" w:leftChars="-50" w:right="-105" w:rightChars="-50"/>
              <w:jc w:val="center"/>
              <w:rPr>
                <w:bCs/>
                <w:color w:val="auto"/>
                <w:spacing w:val="16"/>
                <w:sz w:val="21"/>
                <w:szCs w:val="21"/>
                <w:highlight w:val="none"/>
              </w:rPr>
            </w:pPr>
          </w:p>
        </w:tc>
        <w:tc>
          <w:tcPr>
            <w:tcW w:w="1553" w:type="dxa"/>
            <w:gridSpan w:val="2"/>
            <w:vAlign w:val="center"/>
          </w:tcPr>
          <w:p w14:paraId="08369F16">
            <w:pPr>
              <w:pStyle w:val="92"/>
              <w:adjustRightInd w:val="0"/>
              <w:snapToGrid w:val="0"/>
              <w:spacing w:before="0" w:beforeAutospacing="0" w:after="0" w:afterAutospacing="0"/>
              <w:ind w:left="-105" w:leftChars="-50" w:right="-105" w:rightChars="-50"/>
              <w:jc w:val="center"/>
              <w:rPr>
                <w:bCs/>
                <w:color w:val="auto"/>
                <w:spacing w:val="41"/>
                <w:sz w:val="21"/>
                <w:szCs w:val="21"/>
                <w:highlight w:val="none"/>
              </w:rPr>
            </w:pPr>
            <w:r>
              <w:rPr>
                <w:rFonts w:hint="eastAsia"/>
                <w:bCs/>
                <w:color w:val="auto"/>
                <w:spacing w:val="41"/>
                <w:sz w:val="21"/>
                <w:szCs w:val="21"/>
                <w:highlight w:val="none"/>
              </w:rPr>
              <w:t>企业通过质量体系、环保</w:t>
            </w:r>
            <w:r>
              <w:rPr>
                <w:rFonts w:hint="eastAsia"/>
                <w:bCs/>
                <w:color w:val="auto"/>
                <w:spacing w:val="11"/>
                <w:sz w:val="21"/>
                <w:szCs w:val="21"/>
                <w:highlight w:val="none"/>
              </w:rPr>
              <w:t>体系、计量等认证情况</w:t>
            </w:r>
          </w:p>
        </w:tc>
        <w:tc>
          <w:tcPr>
            <w:tcW w:w="6578" w:type="dxa"/>
            <w:gridSpan w:val="9"/>
            <w:vAlign w:val="center"/>
          </w:tcPr>
          <w:p w14:paraId="52445955">
            <w:pPr>
              <w:pStyle w:val="92"/>
              <w:adjustRightInd w:val="0"/>
              <w:snapToGrid w:val="0"/>
              <w:ind w:left="-105" w:leftChars="-50" w:right="-105" w:rightChars="-50"/>
              <w:jc w:val="center"/>
              <w:rPr>
                <w:bCs/>
                <w:color w:val="auto"/>
                <w:spacing w:val="16"/>
                <w:sz w:val="21"/>
                <w:szCs w:val="21"/>
                <w:highlight w:val="none"/>
              </w:rPr>
            </w:pPr>
          </w:p>
        </w:tc>
      </w:tr>
      <w:tr w14:paraId="2C959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82" w:type="dxa"/>
            <w:vMerge w:val="continue"/>
            <w:vAlign w:val="center"/>
          </w:tcPr>
          <w:p w14:paraId="43B692CC">
            <w:pPr>
              <w:pStyle w:val="92"/>
              <w:adjustRightInd w:val="0"/>
              <w:snapToGrid w:val="0"/>
              <w:ind w:left="-105" w:leftChars="-50" w:right="-105" w:rightChars="-50"/>
              <w:jc w:val="center"/>
              <w:rPr>
                <w:bCs/>
                <w:color w:val="auto"/>
                <w:spacing w:val="27"/>
                <w:sz w:val="21"/>
                <w:szCs w:val="21"/>
                <w:highlight w:val="none"/>
              </w:rPr>
            </w:pPr>
          </w:p>
        </w:tc>
        <w:tc>
          <w:tcPr>
            <w:tcW w:w="1553" w:type="dxa"/>
            <w:gridSpan w:val="2"/>
            <w:vAlign w:val="center"/>
          </w:tcPr>
          <w:p w14:paraId="554B8200">
            <w:pPr>
              <w:pStyle w:val="92"/>
              <w:adjustRightInd w:val="0"/>
              <w:snapToGrid w:val="0"/>
              <w:ind w:left="-105" w:leftChars="-50" w:right="-105" w:rightChars="-50"/>
              <w:jc w:val="center"/>
              <w:rPr>
                <w:bCs/>
                <w:color w:val="auto"/>
                <w:spacing w:val="16"/>
                <w:sz w:val="21"/>
                <w:szCs w:val="21"/>
                <w:highlight w:val="none"/>
              </w:rPr>
            </w:pPr>
            <w:r>
              <w:rPr>
                <w:rFonts w:hint="eastAsia"/>
                <w:bCs/>
                <w:color w:val="auto"/>
                <w:spacing w:val="10"/>
                <w:sz w:val="21"/>
                <w:szCs w:val="21"/>
                <w:highlight w:val="none"/>
              </w:rPr>
              <w:t>企业获得专利情况</w:t>
            </w:r>
          </w:p>
        </w:tc>
        <w:tc>
          <w:tcPr>
            <w:tcW w:w="6578" w:type="dxa"/>
            <w:gridSpan w:val="9"/>
            <w:vAlign w:val="center"/>
          </w:tcPr>
          <w:p w14:paraId="14BC3A7B">
            <w:pPr>
              <w:pStyle w:val="92"/>
              <w:adjustRightInd w:val="0"/>
              <w:snapToGrid w:val="0"/>
              <w:ind w:left="-105" w:leftChars="-50" w:right="-105" w:rightChars="-50"/>
              <w:jc w:val="center"/>
              <w:rPr>
                <w:bCs/>
                <w:color w:val="auto"/>
                <w:spacing w:val="16"/>
                <w:sz w:val="21"/>
                <w:szCs w:val="21"/>
                <w:highlight w:val="none"/>
              </w:rPr>
            </w:pPr>
          </w:p>
        </w:tc>
      </w:tr>
    </w:tbl>
    <w:p w14:paraId="0C320F5E">
      <w:pPr>
        <w:pStyle w:val="96"/>
        <w:tabs>
          <w:tab w:val="left" w:pos="1050"/>
        </w:tabs>
        <w:spacing w:line="360" w:lineRule="auto"/>
        <w:ind w:firstLine="422"/>
        <w:rPr>
          <w:rFonts w:ascii="宋体" w:hAnsi="宋体"/>
          <w:color w:val="auto"/>
          <w:sz w:val="24"/>
          <w:highlight w:val="none"/>
        </w:rPr>
      </w:pPr>
      <w:r>
        <w:rPr>
          <w:rFonts w:hint="eastAsia" w:ascii="宋体" w:hAnsi="宋体"/>
          <w:b/>
          <w:color w:val="auto"/>
          <w:szCs w:val="21"/>
          <w:highlight w:val="none"/>
        </w:rPr>
        <w:t>要求：</w:t>
      </w:r>
      <w:r>
        <w:rPr>
          <w:rFonts w:hint="eastAsia" w:ascii="宋体" w:hAnsi="宋体"/>
          <w:color w:val="auto"/>
          <w:szCs w:val="21"/>
          <w:highlight w:val="none"/>
        </w:rPr>
        <w:t>在填写时，如本表格不适合响应单位的实际情况，可根据本表格式自行划表填写。</w:t>
      </w:r>
    </w:p>
    <w:p w14:paraId="2B34F1D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3EB71B11">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0E9C9BA2">
      <w:pPr>
        <w:pStyle w:val="92"/>
        <w:spacing w:before="0" w:beforeAutospacing="0" w:after="0" w:afterAutospacing="0" w:line="360" w:lineRule="auto"/>
        <w:ind w:firstLine="424" w:firstLineChars="177"/>
        <w:rPr>
          <w:b/>
          <w:color w:val="auto"/>
          <w:sz w:val="28"/>
          <w:highlight w:val="none"/>
        </w:rPr>
      </w:pPr>
      <w:r>
        <w:rPr>
          <w:rFonts w:hint="eastAsia"/>
          <w:color w:val="auto"/>
          <w:highlight w:val="none"/>
        </w:rPr>
        <w:t>日        期：</w:t>
      </w:r>
      <w:r>
        <w:rPr>
          <w:b/>
          <w:color w:val="auto"/>
          <w:sz w:val="28"/>
          <w:highlight w:val="none"/>
        </w:rPr>
        <w:br w:type="page"/>
      </w:r>
    </w:p>
    <w:p w14:paraId="12508A8B">
      <w:pPr>
        <w:spacing w:line="360" w:lineRule="auto"/>
        <w:rPr>
          <w:rFonts w:ascii="宋体" w:hAnsi="宋体"/>
          <w:b/>
          <w:color w:val="auto"/>
          <w:sz w:val="28"/>
          <w:highlight w:val="none"/>
        </w:rPr>
      </w:pPr>
      <w:r>
        <w:rPr>
          <w:rFonts w:hint="eastAsia" w:ascii="宋体" w:hAnsi="宋体"/>
          <w:b/>
          <w:color w:val="auto"/>
          <w:sz w:val="28"/>
          <w:highlight w:val="none"/>
        </w:rPr>
        <w:t>附件11</w:t>
      </w:r>
    </w:p>
    <w:p w14:paraId="19345927">
      <w:pPr>
        <w:pStyle w:val="96"/>
        <w:spacing w:line="360" w:lineRule="auto"/>
        <w:jc w:val="center"/>
        <w:rPr>
          <w:rFonts w:ascii="宋体" w:hAnsi="宋体"/>
          <w:b/>
          <w:color w:val="auto"/>
          <w:sz w:val="32"/>
          <w:szCs w:val="32"/>
          <w:highlight w:val="none"/>
        </w:rPr>
      </w:pPr>
      <w:r>
        <w:rPr>
          <w:rFonts w:hint="eastAsia" w:ascii="宋体" w:hAnsi="宋体"/>
          <w:b/>
          <w:color w:val="auto"/>
          <w:sz w:val="32"/>
          <w:szCs w:val="32"/>
          <w:highlight w:val="none"/>
        </w:rPr>
        <w:t>证书一览表</w:t>
      </w:r>
    </w:p>
    <w:p w14:paraId="00959D6B">
      <w:pPr>
        <w:pStyle w:val="96"/>
        <w:spacing w:line="360" w:lineRule="auto"/>
        <w:jc w:val="center"/>
        <w:rPr>
          <w:rFonts w:ascii="宋体" w:hAnsi="宋体" w:cs="Arial"/>
          <w:color w:val="auto"/>
          <w:sz w:val="28"/>
          <w:szCs w:val="28"/>
          <w:highlight w:val="none"/>
        </w:rPr>
      </w:pPr>
    </w:p>
    <w:tbl>
      <w:tblPr>
        <w:tblStyle w:val="46"/>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CA249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70E6DED8">
            <w:pPr>
              <w:pStyle w:val="9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14:paraId="7C784207">
            <w:pPr>
              <w:pStyle w:val="9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14:paraId="19122BDA">
            <w:pPr>
              <w:pStyle w:val="9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267B0DCD">
            <w:pPr>
              <w:pStyle w:val="96"/>
              <w:spacing w:line="360" w:lineRule="auto"/>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4A6C72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3A54A1D3">
            <w:pPr>
              <w:pStyle w:val="96"/>
              <w:spacing w:line="360" w:lineRule="auto"/>
              <w:jc w:val="center"/>
              <w:rPr>
                <w:rFonts w:ascii="宋体" w:hAnsi="宋体" w:cs="Arial"/>
                <w:color w:val="auto"/>
                <w:szCs w:val="21"/>
                <w:highlight w:val="none"/>
              </w:rPr>
            </w:pPr>
          </w:p>
        </w:tc>
        <w:tc>
          <w:tcPr>
            <w:tcW w:w="2258" w:type="dxa"/>
            <w:tcBorders>
              <w:top w:val="single" w:color="auto" w:sz="4" w:space="0"/>
            </w:tcBorders>
          </w:tcPr>
          <w:p w14:paraId="510A7219">
            <w:pPr>
              <w:pStyle w:val="96"/>
              <w:spacing w:line="360" w:lineRule="auto"/>
              <w:jc w:val="center"/>
              <w:rPr>
                <w:rFonts w:ascii="宋体" w:hAnsi="宋体" w:cs="Arial"/>
                <w:color w:val="auto"/>
                <w:szCs w:val="21"/>
                <w:highlight w:val="none"/>
              </w:rPr>
            </w:pPr>
          </w:p>
        </w:tc>
        <w:tc>
          <w:tcPr>
            <w:tcW w:w="2260" w:type="dxa"/>
            <w:tcBorders>
              <w:top w:val="single" w:color="auto" w:sz="4" w:space="0"/>
            </w:tcBorders>
          </w:tcPr>
          <w:p w14:paraId="1C55342F">
            <w:pPr>
              <w:pStyle w:val="96"/>
              <w:spacing w:line="360" w:lineRule="auto"/>
              <w:jc w:val="center"/>
              <w:rPr>
                <w:rFonts w:ascii="宋体" w:hAnsi="宋体" w:cs="Arial"/>
                <w:color w:val="auto"/>
                <w:szCs w:val="21"/>
                <w:highlight w:val="none"/>
              </w:rPr>
            </w:pPr>
          </w:p>
        </w:tc>
        <w:tc>
          <w:tcPr>
            <w:tcW w:w="2047" w:type="dxa"/>
            <w:tcBorders>
              <w:top w:val="single" w:color="auto" w:sz="4" w:space="0"/>
              <w:right w:val="single" w:color="auto" w:sz="4" w:space="0"/>
            </w:tcBorders>
          </w:tcPr>
          <w:p w14:paraId="0A157A66">
            <w:pPr>
              <w:pStyle w:val="96"/>
              <w:spacing w:line="360" w:lineRule="auto"/>
              <w:jc w:val="center"/>
              <w:rPr>
                <w:rFonts w:ascii="宋体" w:hAnsi="宋体" w:cs="Arial"/>
                <w:color w:val="auto"/>
                <w:szCs w:val="21"/>
                <w:highlight w:val="none"/>
              </w:rPr>
            </w:pPr>
          </w:p>
        </w:tc>
      </w:tr>
      <w:tr w14:paraId="04813F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E0CE4B9">
            <w:pPr>
              <w:pStyle w:val="96"/>
              <w:spacing w:line="360" w:lineRule="auto"/>
              <w:jc w:val="center"/>
              <w:rPr>
                <w:rFonts w:ascii="宋体" w:hAnsi="宋体" w:cs="Arial"/>
                <w:color w:val="auto"/>
                <w:szCs w:val="21"/>
                <w:highlight w:val="none"/>
              </w:rPr>
            </w:pPr>
          </w:p>
        </w:tc>
        <w:tc>
          <w:tcPr>
            <w:tcW w:w="2258" w:type="dxa"/>
          </w:tcPr>
          <w:p w14:paraId="224F7A7D">
            <w:pPr>
              <w:pStyle w:val="96"/>
              <w:spacing w:line="360" w:lineRule="auto"/>
              <w:jc w:val="center"/>
              <w:rPr>
                <w:rFonts w:ascii="宋体" w:hAnsi="宋体" w:cs="Arial"/>
                <w:color w:val="auto"/>
                <w:szCs w:val="21"/>
                <w:highlight w:val="none"/>
              </w:rPr>
            </w:pPr>
          </w:p>
        </w:tc>
        <w:tc>
          <w:tcPr>
            <w:tcW w:w="2260" w:type="dxa"/>
          </w:tcPr>
          <w:p w14:paraId="3C9ED043">
            <w:pPr>
              <w:pStyle w:val="96"/>
              <w:spacing w:line="360" w:lineRule="auto"/>
              <w:jc w:val="center"/>
              <w:rPr>
                <w:rFonts w:ascii="宋体" w:hAnsi="宋体" w:cs="Arial"/>
                <w:color w:val="auto"/>
                <w:szCs w:val="21"/>
                <w:highlight w:val="none"/>
              </w:rPr>
            </w:pPr>
          </w:p>
        </w:tc>
        <w:tc>
          <w:tcPr>
            <w:tcW w:w="2047" w:type="dxa"/>
            <w:tcBorders>
              <w:right w:val="single" w:color="auto" w:sz="4" w:space="0"/>
            </w:tcBorders>
          </w:tcPr>
          <w:p w14:paraId="40B6E524">
            <w:pPr>
              <w:pStyle w:val="96"/>
              <w:spacing w:line="360" w:lineRule="auto"/>
              <w:jc w:val="center"/>
              <w:rPr>
                <w:rFonts w:ascii="宋体" w:hAnsi="宋体" w:cs="Arial"/>
                <w:color w:val="auto"/>
                <w:szCs w:val="21"/>
                <w:highlight w:val="none"/>
              </w:rPr>
            </w:pPr>
          </w:p>
        </w:tc>
      </w:tr>
      <w:tr w14:paraId="07D9BD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CAE3807">
            <w:pPr>
              <w:pStyle w:val="96"/>
              <w:spacing w:line="360" w:lineRule="auto"/>
              <w:jc w:val="center"/>
              <w:rPr>
                <w:rFonts w:ascii="宋体" w:hAnsi="宋体" w:cs="Arial"/>
                <w:color w:val="auto"/>
                <w:szCs w:val="21"/>
                <w:highlight w:val="none"/>
              </w:rPr>
            </w:pPr>
          </w:p>
        </w:tc>
        <w:tc>
          <w:tcPr>
            <w:tcW w:w="2258" w:type="dxa"/>
          </w:tcPr>
          <w:p w14:paraId="0A527DE1">
            <w:pPr>
              <w:pStyle w:val="96"/>
              <w:spacing w:line="360" w:lineRule="auto"/>
              <w:jc w:val="center"/>
              <w:rPr>
                <w:rFonts w:ascii="宋体" w:hAnsi="宋体" w:cs="Arial"/>
                <w:color w:val="auto"/>
                <w:szCs w:val="21"/>
                <w:highlight w:val="none"/>
              </w:rPr>
            </w:pPr>
          </w:p>
        </w:tc>
        <w:tc>
          <w:tcPr>
            <w:tcW w:w="2260" w:type="dxa"/>
          </w:tcPr>
          <w:p w14:paraId="1D8A17B3">
            <w:pPr>
              <w:pStyle w:val="96"/>
              <w:spacing w:line="360" w:lineRule="auto"/>
              <w:jc w:val="center"/>
              <w:rPr>
                <w:rFonts w:ascii="宋体" w:hAnsi="宋体" w:cs="Arial"/>
                <w:color w:val="auto"/>
                <w:szCs w:val="21"/>
                <w:highlight w:val="none"/>
              </w:rPr>
            </w:pPr>
          </w:p>
        </w:tc>
        <w:tc>
          <w:tcPr>
            <w:tcW w:w="2047" w:type="dxa"/>
            <w:tcBorders>
              <w:right w:val="single" w:color="auto" w:sz="4" w:space="0"/>
            </w:tcBorders>
          </w:tcPr>
          <w:p w14:paraId="3375B3DB">
            <w:pPr>
              <w:pStyle w:val="96"/>
              <w:spacing w:line="360" w:lineRule="auto"/>
              <w:jc w:val="center"/>
              <w:rPr>
                <w:rFonts w:ascii="宋体" w:hAnsi="宋体" w:cs="Arial"/>
                <w:color w:val="auto"/>
                <w:szCs w:val="21"/>
                <w:highlight w:val="none"/>
              </w:rPr>
            </w:pPr>
          </w:p>
        </w:tc>
      </w:tr>
      <w:tr w14:paraId="78FCB1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F87AA4">
            <w:pPr>
              <w:pStyle w:val="96"/>
              <w:spacing w:line="360" w:lineRule="auto"/>
              <w:jc w:val="center"/>
              <w:rPr>
                <w:rFonts w:ascii="宋体" w:hAnsi="宋体" w:cs="Arial"/>
                <w:color w:val="auto"/>
                <w:szCs w:val="21"/>
                <w:highlight w:val="none"/>
              </w:rPr>
            </w:pPr>
          </w:p>
        </w:tc>
        <w:tc>
          <w:tcPr>
            <w:tcW w:w="2258" w:type="dxa"/>
          </w:tcPr>
          <w:p w14:paraId="2E3327E0">
            <w:pPr>
              <w:pStyle w:val="96"/>
              <w:spacing w:line="360" w:lineRule="auto"/>
              <w:jc w:val="center"/>
              <w:rPr>
                <w:rFonts w:ascii="宋体" w:hAnsi="宋体" w:cs="Arial"/>
                <w:color w:val="auto"/>
                <w:szCs w:val="21"/>
                <w:highlight w:val="none"/>
              </w:rPr>
            </w:pPr>
          </w:p>
        </w:tc>
        <w:tc>
          <w:tcPr>
            <w:tcW w:w="2260" w:type="dxa"/>
          </w:tcPr>
          <w:p w14:paraId="2E7C3B2C">
            <w:pPr>
              <w:pStyle w:val="96"/>
              <w:spacing w:line="360" w:lineRule="auto"/>
              <w:jc w:val="center"/>
              <w:rPr>
                <w:rFonts w:ascii="宋体" w:hAnsi="宋体" w:cs="Arial"/>
                <w:color w:val="auto"/>
                <w:szCs w:val="21"/>
                <w:highlight w:val="none"/>
              </w:rPr>
            </w:pPr>
          </w:p>
        </w:tc>
        <w:tc>
          <w:tcPr>
            <w:tcW w:w="2047" w:type="dxa"/>
            <w:tcBorders>
              <w:right w:val="single" w:color="auto" w:sz="4" w:space="0"/>
            </w:tcBorders>
          </w:tcPr>
          <w:p w14:paraId="7633E058">
            <w:pPr>
              <w:pStyle w:val="96"/>
              <w:spacing w:line="360" w:lineRule="auto"/>
              <w:jc w:val="center"/>
              <w:rPr>
                <w:rFonts w:ascii="宋体" w:hAnsi="宋体" w:cs="Arial"/>
                <w:color w:val="auto"/>
                <w:szCs w:val="21"/>
                <w:highlight w:val="none"/>
              </w:rPr>
            </w:pPr>
          </w:p>
        </w:tc>
      </w:tr>
      <w:tr w14:paraId="40B1ED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F34CBE">
            <w:pPr>
              <w:pStyle w:val="96"/>
              <w:spacing w:line="360" w:lineRule="auto"/>
              <w:jc w:val="center"/>
              <w:rPr>
                <w:rFonts w:ascii="宋体" w:hAnsi="宋体" w:cs="Arial"/>
                <w:color w:val="auto"/>
                <w:szCs w:val="21"/>
                <w:highlight w:val="none"/>
              </w:rPr>
            </w:pPr>
          </w:p>
        </w:tc>
        <w:tc>
          <w:tcPr>
            <w:tcW w:w="2258" w:type="dxa"/>
          </w:tcPr>
          <w:p w14:paraId="09290D78">
            <w:pPr>
              <w:pStyle w:val="96"/>
              <w:spacing w:line="360" w:lineRule="auto"/>
              <w:jc w:val="center"/>
              <w:rPr>
                <w:rFonts w:ascii="宋体" w:hAnsi="宋体" w:cs="Arial"/>
                <w:color w:val="auto"/>
                <w:szCs w:val="21"/>
                <w:highlight w:val="none"/>
              </w:rPr>
            </w:pPr>
          </w:p>
        </w:tc>
        <w:tc>
          <w:tcPr>
            <w:tcW w:w="2260" w:type="dxa"/>
          </w:tcPr>
          <w:p w14:paraId="59816363">
            <w:pPr>
              <w:pStyle w:val="96"/>
              <w:spacing w:line="360" w:lineRule="auto"/>
              <w:jc w:val="center"/>
              <w:rPr>
                <w:rFonts w:ascii="宋体" w:hAnsi="宋体" w:cs="Arial"/>
                <w:color w:val="auto"/>
                <w:szCs w:val="21"/>
                <w:highlight w:val="none"/>
              </w:rPr>
            </w:pPr>
          </w:p>
        </w:tc>
        <w:tc>
          <w:tcPr>
            <w:tcW w:w="2047" w:type="dxa"/>
            <w:tcBorders>
              <w:right w:val="single" w:color="auto" w:sz="4" w:space="0"/>
            </w:tcBorders>
          </w:tcPr>
          <w:p w14:paraId="3BEEFA91">
            <w:pPr>
              <w:pStyle w:val="96"/>
              <w:spacing w:line="360" w:lineRule="auto"/>
              <w:jc w:val="center"/>
              <w:rPr>
                <w:rFonts w:ascii="宋体" w:hAnsi="宋体" w:cs="Arial"/>
                <w:color w:val="auto"/>
                <w:szCs w:val="21"/>
                <w:highlight w:val="none"/>
              </w:rPr>
            </w:pPr>
          </w:p>
        </w:tc>
      </w:tr>
      <w:tr w14:paraId="6609F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0FA419">
            <w:pPr>
              <w:pStyle w:val="96"/>
              <w:spacing w:line="360" w:lineRule="auto"/>
              <w:jc w:val="center"/>
              <w:rPr>
                <w:rFonts w:ascii="宋体" w:hAnsi="宋体" w:cs="Arial"/>
                <w:color w:val="auto"/>
                <w:szCs w:val="21"/>
                <w:highlight w:val="none"/>
              </w:rPr>
            </w:pPr>
          </w:p>
        </w:tc>
        <w:tc>
          <w:tcPr>
            <w:tcW w:w="2258" w:type="dxa"/>
          </w:tcPr>
          <w:p w14:paraId="6A20F481">
            <w:pPr>
              <w:pStyle w:val="96"/>
              <w:spacing w:line="360" w:lineRule="auto"/>
              <w:jc w:val="center"/>
              <w:rPr>
                <w:rFonts w:ascii="宋体" w:hAnsi="宋体" w:cs="Arial"/>
                <w:color w:val="auto"/>
                <w:szCs w:val="21"/>
                <w:highlight w:val="none"/>
              </w:rPr>
            </w:pPr>
          </w:p>
        </w:tc>
        <w:tc>
          <w:tcPr>
            <w:tcW w:w="2260" w:type="dxa"/>
          </w:tcPr>
          <w:p w14:paraId="0A9B7A55">
            <w:pPr>
              <w:pStyle w:val="96"/>
              <w:spacing w:line="360" w:lineRule="auto"/>
              <w:jc w:val="center"/>
              <w:rPr>
                <w:rFonts w:ascii="宋体" w:hAnsi="宋体" w:cs="Arial"/>
                <w:color w:val="auto"/>
                <w:szCs w:val="21"/>
                <w:highlight w:val="none"/>
              </w:rPr>
            </w:pPr>
          </w:p>
        </w:tc>
        <w:tc>
          <w:tcPr>
            <w:tcW w:w="2047" w:type="dxa"/>
            <w:tcBorders>
              <w:right w:val="single" w:color="auto" w:sz="4" w:space="0"/>
            </w:tcBorders>
          </w:tcPr>
          <w:p w14:paraId="48090FA4">
            <w:pPr>
              <w:pStyle w:val="96"/>
              <w:spacing w:line="360" w:lineRule="auto"/>
              <w:jc w:val="center"/>
              <w:rPr>
                <w:rFonts w:ascii="宋体" w:hAnsi="宋体" w:cs="Arial"/>
                <w:color w:val="auto"/>
                <w:szCs w:val="21"/>
                <w:highlight w:val="none"/>
              </w:rPr>
            </w:pPr>
          </w:p>
        </w:tc>
      </w:tr>
      <w:tr w14:paraId="5B10C9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3F7E1DB2">
            <w:pPr>
              <w:pStyle w:val="96"/>
              <w:spacing w:line="360" w:lineRule="auto"/>
              <w:jc w:val="center"/>
              <w:rPr>
                <w:rFonts w:ascii="宋体" w:hAnsi="宋体" w:cs="Arial"/>
                <w:color w:val="auto"/>
                <w:szCs w:val="21"/>
                <w:highlight w:val="none"/>
              </w:rPr>
            </w:pPr>
          </w:p>
        </w:tc>
        <w:tc>
          <w:tcPr>
            <w:tcW w:w="2258" w:type="dxa"/>
            <w:tcBorders>
              <w:bottom w:val="single" w:color="auto" w:sz="4" w:space="0"/>
            </w:tcBorders>
          </w:tcPr>
          <w:p w14:paraId="1AD62C51">
            <w:pPr>
              <w:pStyle w:val="96"/>
              <w:spacing w:line="360" w:lineRule="auto"/>
              <w:jc w:val="center"/>
              <w:rPr>
                <w:rFonts w:ascii="宋体" w:hAnsi="宋体" w:cs="Arial"/>
                <w:color w:val="auto"/>
                <w:szCs w:val="21"/>
                <w:highlight w:val="none"/>
              </w:rPr>
            </w:pPr>
          </w:p>
        </w:tc>
        <w:tc>
          <w:tcPr>
            <w:tcW w:w="2260" w:type="dxa"/>
            <w:tcBorders>
              <w:bottom w:val="single" w:color="auto" w:sz="4" w:space="0"/>
            </w:tcBorders>
          </w:tcPr>
          <w:p w14:paraId="5C3A76EC">
            <w:pPr>
              <w:pStyle w:val="96"/>
              <w:spacing w:line="360" w:lineRule="auto"/>
              <w:jc w:val="center"/>
              <w:rPr>
                <w:rFonts w:ascii="宋体" w:hAnsi="宋体" w:cs="Arial"/>
                <w:color w:val="auto"/>
                <w:szCs w:val="21"/>
                <w:highlight w:val="none"/>
              </w:rPr>
            </w:pPr>
          </w:p>
        </w:tc>
        <w:tc>
          <w:tcPr>
            <w:tcW w:w="2047" w:type="dxa"/>
            <w:tcBorders>
              <w:bottom w:val="single" w:color="auto" w:sz="4" w:space="0"/>
              <w:right w:val="single" w:color="auto" w:sz="4" w:space="0"/>
            </w:tcBorders>
          </w:tcPr>
          <w:p w14:paraId="634C260C">
            <w:pPr>
              <w:pStyle w:val="96"/>
              <w:spacing w:line="360" w:lineRule="auto"/>
              <w:jc w:val="center"/>
              <w:rPr>
                <w:rFonts w:ascii="宋体" w:hAnsi="宋体" w:cs="Arial"/>
                <w:color w:val="auto"/>
                <w:szCs w:val="21"/>
                <w:highlight w:val="none"/>
              </w:rPr>
            </w:pPr>
          </w:p>
        </w:tc>
      </w:tr>
    </w:tbl>
    <w:p w14:paraId="1D9EEAA4">
      <w:pPr>
        <w:pStyle w:val="96"/>
        <w:tabs>
          <w:tab w:val="left" w:pos="1050"/>
        </w:tabs>
        <w:spacing w:line="360" w:lineRule="auto"/>
        <w:rPr>
          <w:rFonts w:ascii="仿宋_GB2312" w:hAnsi="宋体" w:eastAsia="仿宋_GB2312"/>
          <w:color w:val="auto"/>
          <w:sz w:val="24"/>
          <w:highlight w:val="none"/>
        </w:rPr>
      </w:pPr>
    </w:p>
    <w:p w14:paraId="02EC6AAE">
      <w:pPr>
        <w:pStyle w:val="96"/>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565BB5F7">
      <w:pPr>
        <w:pStyle w:val="9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1.填写投标供应商获得资质、认证或企业信誉证书；</w:t>
      </w:r>
    </w:p>
    <w:p w14:paraId="21F4F842">
      <w:pPr>
        <w:pStyle w:val="96"/>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2.附所列证书扫描件或影印件或其他证明材料。</w:t>
      </w:r>
    </w:p>
    <w:p w14:paraId="5E8E0EEB">
      <w:pPr>
        <w:widowControl/>
        <w:jc w:val="left"/>
        <w:rPr>
          <w:rFonts w:ascii="宋体" w:hAnsi="宋体"/>
          <w:b/>
          <w:color w:val="auto"/>
          <w:sz w:val="28"/>
          <w:highlight w:val="none"/>
        </w:rPr>
      </w:pPr>
    </w:p>
    <w:p w14:paraId="57D1CE05">
      <w:pPr>
        <w:widowControl/>
        <w:jc w:val="left"/>
        <w:rPr>
          <w:rFonts w:ascii="宋体" w:hAnsi="宋体"/>
          <w:b/>
          <w:color w:val="auto"/>
          <w:sz w:val="28"/>
          <w:highlight w:val="none"/>
        </w:rPr>
      </w:pPr>
    </w:p>
    <w:p w14:paraId="4A059C5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1B90F0D5">
      <w:pPr>
        <w:spacing w:line="360" w:lineRule="auto"/>
        <w:ind w:firstLine="424" w:firstLineChars="177"/>
        <w:rPr>
          <w:rFonts w:ascii="宋体" w:hAnsi="宋体"/>
          <w:color w:val="auto"/>
          <w:sz w:val="24"/>
          <w:highlight w:val="none"/>
        </w:rPr>
      </w:pPr>
    </w:p>
    <w:p w14:paraId="243FD42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E5186FA">
      <w:pPr>
        <w:pStyle w:val="92"/>
        <w:spacing w:before="0" w:beforeAutospacing="0" w:after="0" w:afterAutospacing="0" w:line="360" w:lineRule="auto"/>
        <w:ind w:firstLine="424" w:firstLineChars="177"/>
        <w:rPr>
          <w:color w:val="auto"/>
          <w:highlight w:val="none"/>
        </w:rPr>
      </w:pPr>
    </w:p>
    <w:p w14:paraId="5DF9D0FF">
      <w:pPr>
        <w:pStyle w:val="92"/>
        <w:spacing w:before="0" w:beforeAutospacing="0" w:after="0" w:afterAutospacing="0" w:line="360" w:lineRule="auto"/>
        <w:ind w:firstLine="424" w:firstLineChars="177"/>
        <w:rPr>
          <w:b/>
          <w:bCs/>
          <w:color w:val="auto"/>
          <w:spacing w:val="11"/>
          <w:highlight w:val="none"/>
        </w:rPr>
      </w:pPr>
      <w:r>
        <w:rPr>
          <w:rFonts w:hint="eastAsia"/>
          <w:color w:val="auto"/>
          <w:highlight w:val="none"/>
        </w:rPr>
        <w:t>日        期：</w:t>
      </w:r>
    </w:p>
    <w:p w14:paraId="26ECC89D">
      <w:pPr>
        <w:widowControl/>
        <w:jc w:val="left"/>
        <w:rPr>
          <w:rFonts w:ascii="宋体" w:hAnsi="宋体"/>
          <w:b/>
          <w:color w:val="auto"/>
          <w:sz w:val="28"/>
          <w:highlight w:val="none"/>
        </w:rPr>
      </w:pPr>
      <w:r>
        <w:rPr>
          <w:rFonts w:ascii="宋体" w:hAnsi="宋体"/>
          <w:b/>
          <w:color w:val="auto"/>
          <w:sz w:val="28"/>
          <w:highlight w:val="none"/>
        </w:rPr>
        <w:br w:type="page"/>
      </w:r>
      <w:bookmarkStart w:id="178" w:name="_GoBack"/>
      <w:bookmarkEnd w:id="178"/>
    </w:p>
    <w:p w14:paraId="147972F5">
      <w:pPr>
        <w:pStyle w:val="96"/>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附件12</w:t>
      </w:r>
    </w:p>
    <w:p w14:paraId="0B7099BA">
      <w:pPr>
        <w:spacing w:line="360" w:lineRule="auto"/>
        <w:ind w:left="549" w:hanging="549" w:hangingChars="171"/>
        <w:jc w:val="center"/>
        <w:rPr>
          <w:rFonts w:ascii="宋体" w:hAnsi="宋体"/>
          <w:b/>
          <w:color w:val="auto"/>
          <w:sz w:val="32"/>
          <w:szCs w:val="32"/>
          <w:highlight w:val="none"/>
        </w:rPr>
      </w:pPr>
      <w:r>
        <w:rPr>
          <w:rFonts w:hint="eastAsia" w:ascii="宋体" w:hAnsi="宋体"/>
          <w:b/>
          <w:color w:val="auto"/>
          <w:sz w:val="32"/>
          <w:szCs w:val="32"/>
          <w:highlight w:val="none"/>
        </w:rPr>
        <w:t>商务需求响应表</w:t>
      </w:r>
    </w:p>
    <w:p w14:paraId="178B8781">
      <w:pPr>
        <w:spacing w:line="360" w:lineRule="auto"/>
        <w:ind w:left="481" w:leftChars="229" w:firstLine="813" w:firstLineChars="450"/>
        <w:rPr>
          <w:rFonts w:ascii="宋体" w:hAnsi="宋体"/>
          <w:b/>
          <w:color w:val="auto"/>
          <w:sz w:val="18"/>
          <w:szCs w:val="18"/>
          <w:highlight w:val="none"/>
        </w:rPr>
      </w:pPr>
    </w:p>
    <w:tbl>
      <w:tblPr>
        <w:tblStyle w:val="4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3E0D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1E8F120">
            <w:pPr>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14:paraId="26F0C6F6">
            <w:pPr>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14:paraId="5E87A340">
            <w:pPr>
              <w:ind w:left="53" w:leftChars="25"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09A3E02B">
            <w:pPr>
              <w:ind w:left="152"/>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14:paraId="515582E1">
            <w:pPr>
              <w:jc w:val="center"/>
              <w:rPr>
                <w:rFonts w:ascii="宋体" w:hAnsi="宋体"/>
                <w:b/>
                <w:color w:val="auto"/>
                <w:sz w:val="24"/>
                <w:highlight w:val="none"/>
              </w:rPr>
            </w:pPr>
            <w:r>
              <w:rPr>
                <w:rFonts w:hint="eastAsia" w:ascii="宋体" w:hAnsi="宋体"/>
                <w:b/>
                <w:color w:val="auto"/>
                <w:sz w:val="24"/>
                <w:highlight w:val="none"/>
              </w:rPr>
              <w:t>投标供应商的承诺或说明</w:t>
            </w:r>
          </w:p>
        </w:tc>
      </w:tr>
      <w:tr w14:paraId="4A6E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33AF721">
            <w:pPr>
              <w:jc w:val="center"/>
              <w:rPr>
                <w:rFonts w:ascii="宋体" w:hAnsi="宋体"/>
                <w:color w:val="auto"/>
                <w:sz w:val="24"/>
                <w:highlight w:val="none"/>
              </w:rPr>
            </w:pPr>
            <w:r>
              <w:rPr>
                <w:rFonts w:hint="eastAsia" w:ascii="宋体" w:hAnsi="宋体"/>
                <w:color w:val="auto"/>
                <w:sz w:val="24"/>
                <w:highlight w:val="none"/>
              </w:rPr>
              <w:t>1</w:t>
            </w:r>
          </w:p>
        </w:tc>
        <w:tc>
          <w:tcPr>
            <w:tcW w:w="1785" w:type="dxa"/>
            <w:vAlign w:val="center"/>
          </w:tcPr>
          <w:p w14:paraId="3C366739">
            <w:pPr>
              <w:jc w:val="center"/>
              <w:rPr>
                <w:rFonts w:ascii="宋体" w:hAnsi="宋体"/>
                <w:color w:val="auto"/>
                <w:sz w:val="24"/>
                <w:highlight w:val="none"/>
              </w:rPr>
            </w:pPr>
            <w:r>
              <w:rPr>
                <w:rFonts w:hint="eastAsia" w:ascii="宋体" w:hAnsi="宋体"/>
                <w:color w:val="auto"/>
                <w:sz w:val="24"/>
                <w:highlight w:val="none"/>
              </w:rPr>
              <w:t>工期</w:t>
            </w:r>
          </w:p>
        </w:tc>
        <w:tc>
          <w:tcPr>
            <w:tcW w:w="1785" w:type="dxa"/>
            <w:vAlign w:val="center"/>
          </w:tcPr>
          <w:p w14:paraId="2B35490A">
            <w:pPr>
              <w:rPr>
                <w:rFonts w:ascii="宋体" w:hAnsi="宋体"/>
                <w:color w:val="auto"/>
                <w:sz w:val="24"/>
                <w:highlight w:val="none"/>
              </w:rPr>
            </w:pPr>
          </w:p>
        </w:tc>
        <w:tc>
          <w:tcPr>
            <w:tcW w:w="1365" w:type="dxa"/>
            <w:vAlign w:val="center"/>
          </w:tcPr>
          <w:p w14:paraId="1A7B9406">
            <w:pPr>
              <w:rPr>
                <w:rFonts w:ascii="宋体" w:hAnsi="宋体"/>
                <w:color w:val="auto"/>
                <w:sz w:val="24"/>
                <w:highlight w:val="none"/>
              </w:rPr>
            </w:pPr>
          </w:p>
        </w:tc>
        <w:tc>
          <w:tcPr>
            <w:tcW w:w="2625" w:type="dxa"/>
            <w:vAlign w:val="center"/>
          </w:tcPr>
          <w:p w14:paraId="5A2033E3">
            <w:pPr>
              <w:rPr>
                <w:rFonts w:ascii="宋体" w:hAnsi="宋体"/>
                <w:color w:val="auto"/>
                <w:sz w:val="24"/>
                <w:highlight w:val="none"/>
              </w:rPr>
            </w:pPr>
          </w:p>
        </w:tc>
      </w:tr>
      <w:tr w14:paraId="7969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6F190BAB">
            <w:pPr>
              <w:jc w:val="center"/>
              <w:rPr>
                <w:rFonts w:ascii="宋体" w:hAnsi="宋体"/>
                <w:color w:val="auto"/>
                <w:sz w:val="24"/>
                <w:highlight w:val="none"/>
              </w:rPr>
            </w:pPr>
            <w:r>
              <w:rPr>
                <w:rFonts w:hint="eastAsia" w:ascii="宋体" w:hAnsi="宋体"/>
                <w:color w:val="auto"/>
                <w:sz w:val="24"/>
                <w:highlight w:val="none"/>
              </w:rPr>
              <w:t>2</w:t>
            </w:r>
          </w:p>
        </w:tc>
        <w:tc>
          <w:tcPr>
            <w:tcW w:w="1785" w:type="dxa"/>
            <w:vAlign w:val="center"/>
          </w:tcPr>
          <w:p w14:paraId="714A0022">
            <w:pPr>
              <w:jc w:val="center"/>
              <w:rPr>
                <w:rFonts w:ascii="宋体" w:hAnsi="宋体"/>
                <w:color w:val="auto"/>
                <w:sz w:val="24"/>
                <w:highlight w:val="none"/>
              </w:rPr>
            </w:pPr>
            <w:r>
              <w:rPr>
                <w:rFonts w:hint="eastAsia" w:asciiTheme="minorEastAsia" w:hAnsiTheme="minorEastAsia" w:eastAsiaTheme="minorEastAsia" w:cstheme="minorEastAsia"/>
                <w:bCs/>
                <w:color w:val="auto"/>
                <w:sz w:val="24"/>
                <w:highlight w:val="none"/>
              </w:rPr>
              <w:t>验收方式及付款方式</w:t>
            </w:r>
          </w:p>
        </w:tc>
        <w:tc>
          <w:tcPr>
            <w:tcW w:w="1785" w:type="dxa"/>
            <w:vAlign w:val="center"/>
          </w:tcPr>
          <w:p w14:paraId="607E4388">
            <w:pPr>
              <w:rPr>
                <w:rFonts w:ascii="宋体" w:hAnsi="宋体"/>
                <w:color w:val="auto"/>
                <w:sz w:val="24"/>
                <w:highlight w:val="none"/>
              </w:rPr>
            </w:pPr>
          </w:p>
        </w:tc>
        <w:tc>
          <w:tcPr>
            <w:tcW w:w="1365" w:type="dxa"/>
            <w:vAlign w:val="center"/>
          </w:tcPr>
          <w:p w14:paraId="12363FBC">
            <w:pPr>
              <w:rPr>
                <w:rFonts w:ascii="宋体" w:hAnsi="宋体"/>
                <w:color w:val="auto"/>
                <w:sz w:val="24"/>
                <w:highlight w:val="none"/>
              </w:rPr>
            </w:pPr>
          </w:p>
        </w:tc>
        <w:tc>
          <w:tcPr>
            <w:tcW w:w="2625" w:type="dxa"/>
            <w:vAlign w:val="center"/>
          </w:tcPr>
          <w:p w14:paraId="5FB700C3">
            <w:pPr>
              <w:rPr>
                <w:rFonts w:ascii="宋体" w:hAnsi="宋体"/>
                <w:color w:val="auto"/>
                <w:sz w:val="24"/>
                <w:highlight w:val="none"/>
              </w:rPr>
            </w:pPr>
          </w:p>
        </w:tc>
      </w:tr>
      <w:tr w14:paraId="0022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84448AB">
            <w:pPr>
              <w:jc w:val="center"/>
              <w:rPr>
                <w:rFonts w:ascii="宋体" w:hAnsi="宋体"/>
                <w:color w:val="auto"/>
                <w:sz w:val="24"/>
                <w:highlight w:val="none"/>
              </w:rPr>
            </w:pPr>
            <w:r>
              <w:rPr>
                <w:rFonts w:hint="eastAsia" w:ascii="宋体" w:hAnsi="宋体"/>
                <w:color w:val="auto"/>
                <w:sz w:val="24"/>
                <w:highlight w:val="none"/>
              </w:rPr>
              <w:t>3</w:t>
            </w:r>
          </w:p>
        </w:tc>
        <w:tc>
          <w:tcPr>
            <w:tcW w:w="1785" w:type="dxa"/>
            <w:vAlign w:val="center"/>
          </w:tcPr>
          <w:p w14:paraId="41E09C1D">
            <w:pPr>
              <w:jc w:val="center"/>
              <w:rPr>
                <w:rFonts w:ascii="宋体" w:hAnsi="宋体"/>
                <w:color w:val="auto"/>
                <w:sz w:val="24"/>
                <w:highlight w:val="none"/>
              </w:rPr>
            </w:pPr>
            <w:r>
              <w:rPr>
                <w:rFonts w:hint="eastAsia" w:asciiTheme="minorEastAsia" w:hAnsiTheme="minorEastAsia" w:eastAsiaTheme="minorEastAsia" w:cstheme="minorEastAsia"/>
                <w:bCs/>
                <w:color w:val="auto"/>
                <w:sz w:val="24"/>
                <w:highlight w:val="none"/>
              </w:rPr>
              <w:t>履约保证金</w:t>
            </w:r>
          </w:p>
        </w:tc>
        <w:tc>
          <w:tcPr>
            <w:tcW w:w="1785" w:type="dxa"/>
            <w:vAlign w:val="center"/>
          </w:tcPr>
          <w:p w14:paraId="0D2A60C6">
            <w:pPr>
              <w:rPr>
                <w:rFonts w:ascii="宋体" w:hAnsi="宋体"/>
                <w:color w:val="auto"/>
                <w:sz w:val="24"/>
                <w:highlight w:val="none"/>
              </w:rPr>
            </w:pPr>
          </w:p>
        </w:tc>
        <w:tc>
          <w:tcPr>
            <w:tcW w:w="1365" w:type="dxa"/>
            <w:vAlign w:val="center"/>
          </w:tcPr>
          <w:p w14:paraId="50E21373">
            <w:pPr>
              <w:rPr>
                <w:rFonts w:ascii="宋体" w:hAnsi="宋体"/>
                <w:color w:val="auto"/>
                <w:sz w:val="24"/>
                <w:highlight w:val="none"/>
              </w:rPr>
            </w:pPr>
          </w:p>
        </w:tc>
        <w:tc>
          <w:tcPr>
            <w:tcW w:w="2625" w:type="dxa"/>
            <w:vAlign w:val="center"/>
          </w:tcPr>
          <w:p w14:paraId="5CCFCBF0">
            <w:pPr>
              <w:rPr>
                <w:rFonts w:ascii="宋体" w:hAnsi="宋体"/>
                <w:color w:val="auto"/>
                <w:sz w:val="24"/>
                <w:highlight w:val="none"/>
              </w:rPr>
            </w:pPr>
          </w:p>
        </w:tc>
      </w:tr>
      <w:tr w14:paraId="1FC2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E217A22">
            <w:pPr>
              <w:jc w:val="center"/>
              <w:rPr>
                <w:rFonts w:ascii="宋体" w:hAnsi="宋体"/>
                <w:color w:val="auto"/>
                <w:sz w:val="24"/>
                <w:highlight w:val="none"/>
              </w:rPr>
            </w:pPr>
            <w:r>
              <w:rPr>
                <w:rFonts w:hint="eastAsia" w:ascii="宋体" w:hAnsi="宋体"/>
                <w:color w:val="auto"/>
                <w:sz w:val="24"/>
                <w:highlight w:val="none"/>
              </w:rPr>
              <w:t>4</w:t>
            </w:r>
          </w:p>
        </w:tc>
        <w:tc>
          <w:tcPr>
            <w:tcW w:w="1785" w:type="dxa"/>
            <w:vAlign w:val="center"/>
          </w:tcPr>
          <w:p w14:paraId="67DABD5B">
            <w:pPr>
              <w:spacing w:line="500" w:lineRule="exact"/>
              <w:jc w:val="center"/>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质保期及维保要求</w:t>
            </w:r>
          </w:p>
          <w:p w14:paraId="4C937788">
            <w:pPr>
              <w:jc w:val="center"/>
              <w:rPr>
                <w:rFonts w:ascii="宋体" w:hAnsi="宋体"/>
                <w:color w:val="auto"/>
                <w:sz w:val="24"/>
                <w:highlight w:val="none"/>
              </w:rPr>
            </w:pPr>
          </w:p>
        </w:tc>
        <w:tc>
          <w:tcPr>
            <w:tcW w:w="1785" w:type="dxa"/>
            <w:vAlign w:val="center"/>
          </w:tcPr>
          <w:p w14:paraId="7619D1A5">
            <w:pPr>
              <w:rPr>
                <w:rFonts w:ascii="宋体" w:hAnsi="宋体"/>
                <w:color w:val="auto"/>
                <w:sz w:val="24"/>
                <w:highlight w:val="none"/>
              </w:rPr>
            </w:pPr>
          </w:p>
        </w:tc>
        <w:tc>
          <w:tcPr>
            <w:tcW w:w="1365" w:type="dxa"/>
            <w:vAlign w:val="center"/>
          </w:tcPr>
          <w:p w14:paraId="02ACE8B1">
            <w:pPr>
              <w:rPr>
                <w:rFonts w:ascii="宋体" w:hAnsi="宋体"/>
                <w:color w:val="auto"/>
                <w:sz w:val="24"/>
                <w:highlight w:val="none"/>
              </w:rPr>
            </w:pPr>
          </w:p>
        </w:tc>
        <w:tc>
          <w:tcPr>
            <w:tcW w:w="2625" w:type="dxa"/>
            <w:vAlign w:val="center"/>
          </w:tcPr>
          <w:p w14:paraId="62A9A545">
            <w:pPr>
              <w:rPr>
                <w:rFonts w:ascii="宋体" w:hAnsi="宋体"/>
                <w:color w:val="auto"/>
                <w:sz w:val="24"/>
                <w:highlight w:val="none"/>
              </w:rPr>
            </w:pPr>
          </w:p>
        </w:tc>
      </w:tr>
      <w:tr w14:paraId="0CE91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AC48818">
            <w:pPr>
              <w:jc w:val="center"/>
              <w:rPr>
                <w:rFonts w:ascii="宋体" w:hAnsi="宋体"/>
                <w:color w:val="auto"/>
                <w:sz w:val="24"/>
                <w:highlight w:val="none"/>
              </w:rPr>
            </w:pPr>
            <w:r>
              <w:rPr>
                <w:rFonts w:hint="eastAsia" w:ascii="宋体" w:hAnsi="宋体"/>
                <w:color w:val="auto"/>
                <w:sz w:val="24"/>
                <w:highlight w:val="none"/>
              </w:rPr>
              <w:t>5</w:t>
            </w:r>
          </w:p>
        </w:tc>
        <w:tc>
          <w:tcPr>
            <w:tcW w:w="1785" w:type="dxa"/>
            <w:vAlign w:val="center"/>
          </w:tcPr>
          <w:p w14:paraId="55B91028">
            <w:pPr>
              <w:jc w:val="center"/>
              <w:rPr>
                <w:rFonts w:ascii="宋体" w:hAnsi="宋体"/>
                <w:color w:val="auto"/>
                <w:sz w:val="24"/>
                <w:highlight w:val="none"/>
              </w:rPr>
            </w:pPr>
            <w:r>
              <w:rPr>
                <w:rFonts w:hint="eastAsia" w:asciiTheme="minorEastAsia" w:hAnsiTheme="minorEastAsia" w:eastAsiaTheme="minorEastAsia" w:cstheme="minorEastAsia"/>
                <w:bCs/>
                <w:color w:val="auto"/>
                <w:sz w:val="24"/>
                <w:highlight w:val="none"/>
              </w:rPr>
              <w:t>其他要求</w:t>
            </w:r>
          </w:p>
        </w:tc>
        <w:tc>
          <w:tcPr>
            <w:tcW w:w="1785" w:type="dxa"/>
            <w:vAlign w:val="center"/>
          </w:tcPr>
          <w:p w14:paraId="1AC97772">
            <w:pPr>
              <w:rPr>
                <w:rFonts w:ascii="宋体" w:hAnsi="宋体"/>
                <w:color w:val="auto"/>
                <w:sz w:val="24"/>
                <w:highlight w:val="none"/>
              </w:rPr>
            </w:pPr>
          </w:p>
        </w:tc>
        <w:tc>
          <w:tcPr>
            <w:tcW w:w="1365" w:type="dxa"/>
            <w:vAlign w:val="center"/>
          </w:tcPr>
          <w:p w14:paraId="48870D06">
            <w:pPr>
              <w:rPr>
                <w:rFonts w:ascii="宋体" w:hAnsi="宋体"/>
                <w:color w:val="auto"/>
                <w:sz w:val="24"/>
                <w:highlight w:val="none"/>
              </w:rPr>
            </w:pPr>
          </w:p>
        </w:tc>
        <w:tc>
          <w:tcPr>
            <w:tcW w:w="2625" w:type="dxa"/>
            <w:vAlign w:val="center"/>
          </w:tcPr>
          <w:p w14:paraId="6990680B">
            <w:pPr>
              <w:rPr>
                <w:rFonts w:ascii="宋体" w:hAnsi="宋体"/>
                <w:color w:val="auto"/>
                <w:sz w:val="24"/>
                <w:highlight w:val="none"/>
              </w:rPr>
            </w:pPr>
          </w:p>
        </w:tc>
      </w:tr>
      <w:tr w14:paraId="5680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71BC3345">
            <w:pPr>
              <w:rPr>
                <w:rFonts w:ascii="宋体" w:hAnsi="宋体"/>
                <w:color w:val="auto"/>
                <w:sz w:val="24"/>
                <w:highlight w:val="none"/>
              </w:rPr>
            </w:pPr>
          </w:p>
        </w:tc>
        <w:tc>
          <w:tcPr>
            <w:tcW w:w="1785" w:type="dxa"/>
          </w:tcPr>
          <w:p w14:paraId="16FE2364">
            <w:pPr>
              <w:snapToGrid w:val="0"/>
              <w:jc w:val="center"/>
              <w:rPr>
                <w:rFonts w:ascii="宋体" w:hAnsi="宋体"/>
                <w:color w:val="auto"/>
                <w:sz w:val="24"/>
                <w:highlight w:val="none"/>
              </w:rPr>
            </w:pPr>
            <w:r>
              <w:rPr>
                <w:rFonts w:hint="eastAsia" w:ascii="宋体" w:hAnsi="宋体"/>
                <w:color w:val="auto"/>
                <w:sz w:val="24"/>
                <w:highlight w:val="none"/>
              </w:rPr>
              <w:t>……</w:t>
            </w:r>
          </w:p>
        </w:tc>
        <w:tc>
          <w:tcPr>
            <w:tcW w:w="1785" w:type="dxa"/>
            <w:vAlign w:val="center"/>
          </w:tcPr>
          <w:p w14:paraId="6814B4B7">
            <w:pPr>
              <w:rPr>
                <w:rFonts w:ascii="宋体" w:hAnsi="宋体"/>
                <w:color w:val="auto"/>
                <w:sz w:val="24"/>
                <w:highlight w:val="none"/>
              </w:rPr>
            </w:pPr>
          </w:p>
        </w:tc>
        <w:tc>
          <w:tcPr>
            <w:tcW w:w="1365" w:type="dxa"/>
            <w:vAlign w:val="center"/>
          </w:tcPr>
          <w:p w14:paraId="060E50EE">
            <w:pPr>
              <w:rPr>
                <w:rFonts w:ascii="宋体" w:hAnsi="宋体"/>
                <w:color w:val="auto"/>
                <w:sz w:val="24"/>
                <w:highlight w:val="none"/>
              </w:rPr>
            </w:pPr>
          </w:p>
        </w:tc>
        <w:tc>
          <w:tcPr>
            <w:tcW w:w="2625" w:type="dxa"/>
            <w:vAlign w:val="center"/>
          </w:tcPr>
          <w:p w14:paraId="6A8B7A57">
            <w:pPr>
              <w:rPr>
                <w:rFonts w:ascii="宋体" w:hAnsi="宋体"/>
                <w:color w:val="auto"/>
                <w:sz w:val="24"/>
                <w:highlight w:val="none"/>
              </w:rPr>
            </w:pPr>
          </w:p>
        </w:tc>
      </w:tr>
    </w:tbl>
    <w:p w14:paraId="499854A9">
      <w:pPr>
        <w:spacing w:line="360" w:lineRule="auto"/>
        <w:rPr>
          <w:rFonts w:ascii="宋体" w:hAnsi="宋体"/>
          <w:color w:val="auto"/>
          <w:sz w:val="24"/>
          <w:highlight w:val="none"/>
        </w:rPr>
      </w:pPr>
      <w:r>
        <w:rPr>
          <w:rFonts w:hint="eastAsia" w:ascii="宋体" w:hAnsi="宋体"/>
          <w:b/>
          <w:color w:val="auto"/>
          <w:szCs w:val="21"/>
          <w:highlight w:val="none"/>
        </w:rPr>
        <w:t>要求：本表根据招标文件内容填写。如无偏离，可不需逐条响应，在本表中写明“无偏离，完全响应招标文件要求”，如有条款偏离，则必须逐条填写响应情况。</w:t>
      </w:r>
    </w:p>
    <w:p w14:paraId="6B4C924D">
      <w:pPr>
        <w:spacing w:line="360" w:lineRule="auto"/>
        <w:ind w:left="420"/>
        <w:rPr>
          <w:rFonts w:ascii="宋体" w:hAnsi="宋体"/>
          <w:color w:val="auto"/>
          <w:sz w:val="24"/>
          <w:highlight w:val="none"/>
        </w:rPr>
      </w:pPr>
    </w:p>
    <w:p w14:paraId="76396C6A">
      <w:pPr>
        <w:spacing w:line="360" w:lineRule="auto"/>
        <w:ind w:left="420"/>
        <w:rPr>
          <w:rFonts w:ascii="宋体" w:hAnsi="宋体"/>
          <w:color w:val="auto"/>
          <w:sz w:val="24"/>
          <w:highlight w:val="none"/>
        </w:rPr>
      </w:pPr>
    </w:p>
    <w:p w14:paraId="27FD255B">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2FB67449">
      <w:pPr>
        <w:spacing w:line="360" w:lineRule="auto"/>
        <w:ind w:firstLine="424" w:firstLineChars="177"/>
        <w:rPr>
          <w:rFonts w:ascii="宋体" w:hAnsi="宋体"/>
          <w:color w:val="auto"/>
          <w:sz w:val="24"/>
          <w:highlight w:val="none"/>
        </w:rPr>
      </w:pPr>
    </w:p>
    <w:p w14:paraId="7C8C6C34">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67D7A1EE">
      <w:pPr>
        <w:pStyle w:val="92"/>
        <w:spacing w:before="0" w:beforeAutospacing="0" w:after="0" w:afterAutospacing="0" w:line="360" w:lineRule="auto"/>
        <w:ind w:firstLine="424" w:firstLineChars="177"/>
        <w:rPr>
          <w:color w:val="auto"/>
          <w:highlight w:val="none"/>
        </w:rPr>
      </w:pPr>
    </w:p>
    <w:p w14:paraId="2BE4B2F2">
      <w:pPr>
        <w:pStyle w:val="92"/>
        <w:spacing w:before="0" w:beforeAutospacing="0" w:after="0" w:afterAutospacing="0" w:line="360" w:lineRule="auto"/>
        <w:ind w:firstLine="424" w:firstLineChars="177"/>
        <w:rPr>
          <w:color w:val="auto"/>
          <w:highlight w:val="none"/>
        </w:rPr>
        <w:sectPr>
          <w:headerReference r:id="rId4" w:type="default"/>
          <w:footerReference r:id="rId5" w:type="default"/>
          <w:pgSz w:w="11906" w:h="16838"/>
          <w:pgMar w:top="1440" w:right="1803" w:bottom="1440" w:left="1803" w:header="851" w:footer="992" w:gutter="0"/>
          <w:cols w:space="0" w:num="1"/>
          <w:docGrid w:type="lines" w:linePitch="319" w:charSpace="0"/>
        </w:sectPr>
      </w:pPr>
      <w:r>
        <w:rPr>
          <w:rFonts w:hint="eastAsia"/>
          <w:color w:val="auto"/>
          <w:highlight w:val="none"/>
        </w:rPr>
        <w:t>日        期：</w:t>
      </w:r>
    </w:p>
    <w:p w14:paraId="20C2A3AB">
      <w:pPr>
        <w:pStyle w:val="96"/>
        <w:tabs>
          <w:tab w:val="left" w:pos="1050"/>
        </w:tabs>
        <w:spacing w:line="360" w:lineRule="auto"/>
        <w:rPr>
          <w:rFonts w:ascii="宋体" w:hAnsi="宋体"/>
          <w:b/>
          <w:bCs/>
          <w:color w:val="auto"/>
          <w:kern w:val="0"/>
          <w:sz w:val="32"/>
          <w:szCs w:val="32"/>
          <w:highlight w:val="none"/>
        </w:rPr>
      </w:pPr>
      <w:bookmarkStart w:id="146" w:name="_Toc19231_WPSOffice_Level1"/>
      <w:bookmarkStart w:id="147" w:name="_Toc7134_WPSOffice_Level1"/>
      <w:r>
        <w:rPr>
          <w:rFonts w:hint="eastAsia" w:ascii="宋体" w:hAnsi="宋体"/>
          <w:b/>
          <w:color w:val="auto"/>
          <w:sz w:val="28"/>
          <w:highlight w:val="none"/>
        </w:rPr>
        <w:t>附件13</w:t>
      </w:r>
    </w:p>
    <w:p w14:paraId="1676A132">
      <w:pPr>
        <w:spacing w:line="360" w:lineRule="auto"/>
        <w:jc w:val="center"/>
        <w:rPr>
          <w:rFonts w:ascii="宋体" w:hAnsi="宋体"/>
          <w:b/>
          <w:bCs/>
          <w:color w:val="auto"/>
          <w:kern w:val="0"/>
          <w:sz w:val="32"/>
          <w:szCs w:val="32"/>
          <w:highlight w:val="none"/>
        </w:rPr>
      </w:pPr>
      <w:r>
        <w:rPr>
          <w:rFonts w:hint="eastAsia" w:ascii="宋体" w:hAnsi="宋体"/>
          <w:b/>
          <w:bCs/>
          <w:color w:val="auto"/>
          <w:kern w:val="0"/>
          <w:sz w:val="32"/>
          <w:szCs w:val="32"/>
          <w:highlight w:val="none"/>
        </w:rPr>
        <w:t>供应商类似项目实施情况一览表</w:t>
      </w:r>
      <w:bookmarkEnd w:id="146"/>
      <w:bookmarkEnd w:id="147"/>
    </w:p>
    <w:tbl>
      <w:tblPr>
        <w:tblStyle w:val="46"/>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2B6CD8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686EB7C">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281E81B">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9E2F7DC">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41C4FF3">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98E4A4B">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75F316A3">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CCDBD08">
            <w:pPr>
              <w:pStyle w:val="95"/>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项目单位名称及其联系人电话</w:t>
            </w:r>
          </w:p>
        </w:tc>
      </w:tr>
      <w:tr w14:paraId="3DF7E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110D9D">
            <w:pPr>
              <w:pStyle w:val="9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A509240">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7F207E">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BEE9E47">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BAC00A">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5B85B6">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17F06A">
            <w:pPr>
              <w:pStyle w:val="95"/>
              <w:spacing w:line="360" w:lineRule="auto"/>
              <w:rPr>
                <w:rFonts w:asciiTheme="minorEastAsia" w:hAnsiTheme="minorEastAsia" w:eastAsiaTheme="minorEastAsia" w:cstheme="minorEastAsia"/>
                <w:color w:val="auto"/>
                <w:szCs w:val="21"/>
                <w:highlight w:val="none"/>
              </w:rPr>
            </w:pPr>
          </w:p>
        </w:tc>
      </w:tr>
      <w:tr w14:paraId="267BFD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881CEA">
            <w:pPr>
              <w:pStyle w:val="9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68EB6B4">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49C4C1">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B6BDE02">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0FC7F6">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6535DDE">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0644B05">
            <w:pPr>
              <w:pStyle w:val="95"/>
              <w:spacing w:line="360" w:lineRule="auto"/>
              <w:rPr>
                <w:rFonts w:asciiTheme="minorEastAsia" w:hAnsiTheme="minorEastAsia" w:eastAsiaTheme="minorEastAsia" w:cstheme="minorEastAsia"/>
                <w:color w:val="auto"/>
                <w:szCs w:val="21"/>
                <w:highlight w:val="none"/>
              </w:rPr>
            </w:pPr>
          </w:p>
        </w:tc>
      </w:tr>
      <w:tr w14:paraId="2CF1B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E235084">
            <w:pPr>
              <w:pStyle w:val="95"/>
              <w:spacing w:line="360" w:lineRule="auto"/>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8A50ED">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C316DF2">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6C5FAC">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3C538C">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6E108B">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8269322">
            <w:pPr>
              <w:pStyle w:val="95"/>
              <w:spacing w:line="360" w:lineRule="auto"/>
              <w:rPr>
                <w:rFonts w:asciiTheme="minorEastAsia" w:hAnsiTheme="minorEastAsia" w:eastAsiaTheme="minorEastAsia" w:cstheme="minorEastAsia"/>
                <w:color w:val="auto"/>
                <w:szCs w:val="21"/>
                <w:highlight w:val="none"/>
              </w:rPr>
            </w:pPr>
          </w:p>
        </w:tc>
      </w:tr>
      <w:tr w14:paraId="68C94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FFB44D8">
            <w:pPr>
              <w:pStyle w:val="95"/>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4E8A5CA">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4F55D9">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D69C37D">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B24A947">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F44F30E">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7B3DEA">
            <w:pPr>
              <w:pStyle w:val="95"/>
              <w:spacing w:line="360" w:lineRule="auto"/>
              <w:rPr>
                <w:rFonts w:asciiTheme="minorEastAsia" w:hAnsiTheme="minorEastAsia" w:eastAsiaTheme="minorEastAsia" w:cstheme="minorEastAsia"/>
                <w:color w:val="auto"/>
                <w:szCs w:val="21"/>
                <w:highlight w:val="none"/>
              </w:rPr>
            </w:pPr>
          </w:p>
        </w:tc>
      </w:tr>
      <w:tr w14:paraId="4B9751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703CD8">
            <w:pPr>
              <w:pStyle w:val="9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4FB1834">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514736F">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FAD3C9">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1F12BA4">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9D4D2BC">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C2A2D99">
            <w:pPr>
              <w:pStyle w:val="95"/>
              <w:spacing w:line="360" w:lineRule="auto"/>
              <w:rPr>
                <w:rFonts w:asciiTheme="minorEastAsia" w:hAnsiTheme="minorEastAsia" w:eastAsiaTheme="minorEastAsia" w:cstheme="minorEastAsia"/>
                <w:color w:val="auto"/>
                <w:szCs w:val="21"/>
                <w:highlight w:val="none"/>
              </w:rPr>
            </w:pPr>
          </w:p>
        </w:tc>
      </w:tr>
      <w:tr w14:paraId="5B4937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AACC600">
            <w:pPr>
              <w:pStyle w:val="9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62604E">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83C530">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3F4E479">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317FBDD">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6D21269">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E4474B5">
            <w:pPr>
              <w:pStyle w:val="95"/>
              <w:spacing w:line="360" w:lineRule="auto"/>
              <w:rPr>
                <w:rFonts w:asciiTheme="minorEastAsia" w:hAnsiTheme="minorEastAsia" w:eastAsiaTheme="minorEastAsia" w:cstheme="minorEastAsia"/>
                <w:color w:val="auto"/>
                <w:szCs w:val="21"/>
                <w:highlight w:val="none"/>
              </w:rPr>
            </w:pPr>
          </w:p>
        </w:tc>
      </w:tr>
      <w:tr w14:paraId="613D7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EFD9995">
            <w:pPr>
              <w:pStyle w:val="95"/>
              <w:spacing w:line="360" w:lineRule="auto"/>
              <w:rPr>
                <w:rFonts w:asciiTheme="minorEastAsia" w:hAnsiTheme="minorEastAsia" w:eastAsiaTheme="minorEastAsia" w:cstheme="minorEastAsia"/>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8E1A0C4">
            <w:pPr>
              <w:pStyle w:val="95"/>
              <w:spacing w:line="360" w:lineRule="auto"/>
              <w:rPr>
                <w:rFonts w:asciiTheme="minorEastAsia" w:hAnsiTheme="minorEastAsia" w:eastAsiaTheme="minorEastAsia" w:cstheme="minorEastAsia"/>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0546375">
            <w:pPr>
              <w:pStyle w:val="95"/>
              <w:spacing w:line="360" w:lineRule="auto"/>
              <w:rPr>
                <w:rFonts w:asciiTheme="minorEastAsia" w:hAnsiTheme="minorEastAsia" w:eastAsiaTheme="minorEastAsia" w:cstheme="minorEastAsia"/>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55ECBE">
            <w:pPr>
              <w:pStyle w:val="95"/>
              <w:spacing w:line="360" w:lineRule="auto"/>
              <w:rPr>
                <w:rFonts w:asciiTheme="minorEastAsia" w:hAnsiTheme="minorEastAsia" w:eastAsiaTheme="minorEastAsia" w:cstheme="minorEastAsia"/>
                <w:color w:val="auto"/>
                <w:szCs w:val="21"/>
                <w:highlight w:val="none"/>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CF400E8">
            <w:pPr>
              <w:pStyle w:val="95"/>
              <w:spacing w:line="360" w:lineRule="auto"/>
              <w:rPr>
                <w:rFonts w:asciiTheme="minorEastAsia" w:hAnsiTheme="minorEastAsia" w:eastAsiaTheme="minorEastAsia" w:cstheme="minorEastAsia"/>
                <w:color w:val="auto"/>
                <w:szCs w:val="21"/>
                <w:highlight w:val="none"/>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2E9FB10">
            <w:pPr>
              <w:pStyle w:val="95"/>
              <w:spacing w:line="360" w:lineRule="auto"/>
              <w:rPr>
                <w:rFonts w:asciiTheme="minorEastAsia" w:hAnsiTheme="minorEastAsia" w:eastAsiaTheme="minorEastAsia" w:cstheme="minorEastAsia"/>
                <w:color w:val="auto"/>
                <w:szCs w:val="21"/>
                <w:highlight w:val="none"/>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ACACBD">
            <w:pPr>
              <w:pStyle w:val="95"/>
              <w:spacing w:line="360" w:lineRule="auto"/>
              <w:rPr>
                <w:rFonts w:asciiTheme="minorEastAsia" w:hAnsiTheme="minorEastAsia" w:eastAsiaTheme="minorEastAsia" w:cstheme="minorEastAsia"/>
                <w:color w:val="auto"/>
                <w:szCs w:val="21"/>
                <w:highlight w:val="none"/>
              </w:rPr>
            </w:pPr>
          </w:p>
        </w:tc>
      </w:tr>
    </w:tbl>
    <w:p w14:paraId="0CD12BC2">
      <w:pPr>
        <w:autoSpaceDE w:val="0"/>
        <w:autoSpaceDN w:val="0"/>
        <w:adjustRightInd w:val="0"/>
        <w:spacing w:before="159"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6F8AE3F4">
      <w:pPr>
        <w:autoSpaceDE w:val="0"/>
        <w:autoSpaceDN w:val="0"/>
        <w:adjustRightInd w:val="0"/>
        <w:spacing w:before="159" w:beforeLines="50" w:line="360" w:lineRule="auto"/>
        <w:ind w:firstLine="420" w:firstLineChars="200"/>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可只提供首页、含金额页、盖章页并加盖投标人公章</w:t>
      </w:r>
      <w:r>
        <w:rPr>
          <w:rFonts w:ascii="宋体" w:hAnsi="宋体" w:cs="Arial"/>
          <w:color w:val="auto"/>
          <w:szCs w:val="21"/>
          <w:highlight w:val="none"/>
        </w:rPr>
        <w:t>）</w:t>
      </w:r>
      <w:r>
        <w:rPr>
          <w:rFonts w:hint="eastAsia" w:ascii="宋体" w:hAnsi="宋体" w:cs="Arial"/>
          <w:color w:val="auto"/>
          <w:szCs w:val="21"/>
          <w:highlight w:val="none"/>
        </w:rPr>
        <w:t>。</w:t>
      </w:r>
    </w:p>
    <w:p w14:paraId="109E1DA7">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2289EE05">
      <w:pPr>
        <w:spacing w:line="360" w:lineRule="auto"/>
        <w:rPr>
          <w:rFonts w:ascii="宋体" w:hAnsi="宋体"/>
          <w:color w:val="auto"/>
          <w:sz w:val="22"/>
          <w:szCs w:val="22"/>
          <w:highlight w:val="none"/>
        </w:rPr>
      </w:pPr>
    </w:p>
    <w:p w14:paraId="5B145DE6">
      <w:pPr>
        <w:pStyle w:val="45"/>
        <w:rPr>
          <w:color w:val="auto"/>
          <w:highlight w:val="none"/>
        </w:rPr>
      </w:pPr>
    </w:p>
    <w:p w14:paraId="2E803C35">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供应商名称（电子印章）：</w:t>
      </w:r>
    </w:p>
    <w:p w14:paraId="4077CB9C">
      <w:pPr>
        <w:spacing w:line="360" w:lineRule="auto"/>
        <w:ind w:firstLine="424" w:firstLineChars="177"/>
        <w:rPr>
          <w:rFonts w:ascii="宋体" w:hAnsi="宋体"/>
          <w:color w:val="auto"/>
          <w:sz w:val="24"/>
          <w:highlight w:val="none"/>
        </w:rPr>
      </w:pPr>
    </w:p>
    <w:p w14:paraId="1E93B734">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法定代表人或授权委托人签</w:t>
      </w:r>
      <w:r>
        <w:rPr>
          <w:rFonts w:hint="eastAsia" w:ascii="宋体" w:hAnsi="宋体" w:cs="仿宋_GB2312"/>
          <w:color w:val="auto"/>
          <w:kern w:val="0"/>
          <w:sz w:val="24"/>
          <w:highlight w:val="none"/>
          <w:lang w:val="zh-CN"/>
        </w:rPr>
        <w:t>字或电子印章</w:t>
      </w:r>
      <w:r>
        <w:rPr>
          <w:rFonts w:hint="eastAsia" w:ascii="宋体" w:hAnsi="宋体"/>
          <w:color w:val="auto"/>
          <w:sz w:val="24"/>
          <w:highlight w:val="none"/>
        </w:rPr>
        <w:t>：</w:t>
      </w:r>
    </w:p>
    <w:p w14:paraId="1648FFD4">
      <w:pPr>
        <w:pStyle w:val="92"/>
        <w:spacing w:before="0" w:beforeAutospacing="0" w:after="0" w:afterAutospacing="0" w:line="360" w:lineRule="auto"/>
        <w:ind w:firstLine="424" w:firstLineChars="177"/>
        <w:rPr>
          <w:color w:val="auto"/>
          <w:highlight w:val="none"/>
        </w:rPr>
      </w:pPr>
    </w:p>
    <w:p w14:paraId="609E8155">
      <w:pPr>
        <w:pStyle w:val="92"/>
        <w:spacing w:before="0" w:beforeAutospacing="0" w:after="0" w:afterAutospacing="0" w:line="360" w:lineRule="auto"/>
        <w:ind w:firstLine="424" w:firstLineChars="177"/>
        <w:rPr>
          <w:color w:val="auto"/>
          <w:highlight w:val="none"/>
        </w:rPr>
      </w:pPr>
      <w:r>
        <w:rPr>
          <w:rFonts w:hint="eastAsia"/>
          <w:color w:val="auto"/>
          <w:highlight w:val="none"/>
        </w:rPr>
        <w:t>日        期：</w:t>
      </w:r>
    </w:p>
    <w:p w14:paraId="76067316">
      <w:pPr>
        <w:tabs>
          <w:tab w:val="left" w:pos="2460"/>
        </w:tabs>
        <w:spacing w:line="360" w:lineRule="auto"/>
        <w:ind w:firstLine="435"/>
        <w:rPr>
          <w:rFonts w:ascii="宋体" w:hAnsi="宋体"/>
          <w:b/>
          <w:color w:val="auto"/>
          <w:sz w:val="28"/>
          <w:highlight w:val="none"/>
        </w:rPr>
      </w:pPr>
    </w:p>
    <w:p w14:paraId="006A4F9C">
      <w:pPr>
        <w:widowControl/>
        <w:jc w:val="left"/>
        <w:rPr>
          <w:rFonts w:ascii="宋体" w:hAnsi="宋体"/>
          <w:b/>
          <w:color w:val="auto"/>
          <w:sz w:val="28"/>
          <w:highlight w:val="none"/>
        </w:rPr>
      </w:pPr>
      <w:r>
        <w:rPr>
          <w:rFonts w:ascii="宋体" w:hAnsi="宋体"/>
          <w:b/>
          <w:color w:val="auto"/>
          <w:sz w:val="28"/>
          <w:highlight w:val="none"/>
        </w:rPr>
        <w:br w:type="page"/>
      </w:r>
    </w:p>
    <w:p w14:paraId="11C9D962">
      <w:pPr>
        <w:spacing w:line="360" w:lineRule="auto"/>
        <w:ind w:right="-110"/>
        <w:jc w:val="left"/>
        <w:rPr>
          <w:rFonts w:ascii="宋体" w:hAnsi="宋体"/>
          <w:color w:val="auto"/>
          <w:sz w:val="52"/>
          <w:szCs w:val="52"/>
          <w:highlight w:val="none"/>
        </w:rPr>
      </w:pPr>
      <w:r>
        <w:rPr>
          <w:rFonts w:hint="eastAsia" w:ascii="宋体" w:hAnsi="宋体"/>
          <w:b/>
          <w:color w:val="auto"/>
          <w:sz w:val="28"/>
          <w:highlight w:val="none"/>
        </w:rPr>
        <w:t>附件14</w:t>
      </w:r>
    </w:p>
    <w:p w14:paraId="7B4EEB6E">
      <w:pPr>
        <w:jc w:val="center"/>
        <w:rPr>
          <w:rFonts w:hint="eastAsia" w:eastAsia="宋体"/>
          <w:color w:val="auto"/>
          <w:sz w:val="52"/>
          <w:szCs w:val="52"/>
          <w:highlight w:val="none"/>
          <w:lang w:eastAsia="zh-CN"/>
        </w:rPr>
      </w:pPr>
      <w:bookmarkStart w:id="148" w:name="_Toc4615_WPSOffice_Level1"/>
      <w:bookmarkStart w:id="149" w:name="_Toc21322_WPSOffice_Level1"/>
      <w:bookmarkStart w:id="150" w:name="_Toc30468_WPSOffice_Level1"/>
      <w:r>
        <w:rPr>
          <w:rFonts w:hint="eastAsia"/>
          <w:color w:val="auto"/>
          <w:sz w:val="52"/>
          <w:szCs w:val="52"/>
          <w:highlight w:val="none"/>
        </w:rPr>
        <w:t>项目名称</w:t>
      </w:r>
      <w:bookmarkEnd w:id="148"/>
      <w:bookmarkEnd w:id="149"/>
      <w:bookmarkEnd w:id="150"/>
      <w:r>
        <w:rPr>
          <w:rFonts w:hint="eastAsia"/>
          <w:color w:val="auto"/>
          <w:sz w:val="52"/>
          <w:szCs w:val="52"/>
          <w:highlight w:val="none"/>
        </w:rPr>
        <w:t>：</w:t>
      </w:r>
      <w:r>
        <w:rPr>
          <w:rFonts w:hint="eastAsia"/>
          <w:color w:val="auto"/>
          <w:sz w:val="52"/>
          <w:szCs w:val="52"/>
          <w:highlight w:val="none"/>
          <w:lang w:eastAsia="zh-CN"/>
        </w:rPr>
        <w:t>2024年电子监控、基础及管路项目（第二次重新招标）</w:t>
      </w:r>
    </w:p>
    <w:p w14:paraId="1964B3AF">
      <w:pPr>
        <w:spacing w:before="319" w:beforeLines="100" w:line="360" w:lineRule="auto"/>
        <w:ind w:right="-108"/>
        <w:jc w:val="center"/>
        <w:rPr>
          <w:rFonts w:ascii="宋体" w:hAnsi="宋体"/>
          <w:color w:val="auto"/>
          <w:sz w:val="36"/>
          <w:szCs w:val="36"/>
          <w:highlight w:val="none"/>
        </w:rPr>
      </w:pPr>
      <w:r>
        <w:rPr>
          <w:rFonts w:hint="eastAsia" w:ascii="宋体" w:hAnsi="宋体"/>
          <w:color w:val="auto"/>
          <w:sz w:val="36"/>
          <w:szCs w:val="36"/>
          <w:highlight w:val="none"/>
        </w:rPr>
        <w:t>项目编号：</w:t>
      </w:r>
      <w:r>
        <w:rPr>
          <w:rFonts w:hint="eastAsia" w:ascii="宋体" w:hAnsi="宋体"/>
          <w:color w:val="auto"/>
          <w:sz w:val="36"/>
          <w:szCs w:val="36"/>
          <w:highlight w:val="none"/>
          <w:lang w:eastAsia="zh-CN"/>
        </w:rPr>
        <w:t>台财采确临[2024]2935号-2</w:t>
      </w:r>
      <w:r>
        <w:rPr>
          <w:rFonts w:hint="eastAsia" w:ascii="宋体" w:hAnsi="宋体"/>
          <w:color w:val="auto"/>
          <w:sz w:val="36"/>
          <w:szCs w:val="36"/>
          <w:highlight w:val="none"/>
        </w:rPr>
        <w:t>（标项</w:t>
      </w:r>
      <w:r>
        <w:rPr>
          <w:rFonts w:hint="eastAsia" w:ascii="宋体" w:hAnsi="宋体"/>
          <w:color w:val="auto"/>
          <w:sz w:val="36"/>
          <w:szCs w:val="36"/>
          <w:highlight w:val="none"/>
          <w:u w:val="single"/>
        </w:rPr>
        <w:t xml:space="preserve">   </w:t>
      </w:r>
      <w:r>
        <w:rPr>
          <w:rFonts w:hint="eastAsia" w:ascii="宋体" w:hAnsi="宋体"/>
          <w:color w:val="auto"/>
          <w:sz w:val="36"/>
          <w:szCs w:val="36"/>
          <w:highlight w:val="none"/>
        </w:rPr>
        <w:t>）</w:t>
      </w:r>
    </w:p>
    <w:p w14:paraId="66959DCA">
      <w:pPr>
        <w:pStyle w:val="45"/>
        <w:rPr>
          <w:color w:val="auto"/>
          <w:highlight w:val="none"/>
        </w:rPr>
      </w:pPr>
    </w:p>
    <w:p w14:paraId="027E6CB9">
      <w:pPr>
        <w:jc w:val="center"/>
        <w:rPr>
          <w:color w:val="auto"/>
          <w:sz w:val="84"/>
          <w:szCs w:val="84"/>
          <w:highlight w:val="none"/>
        </w:rPr>
      </w:pPr>
      <w:bookmarkStart w:id="151" w:name="_Toc8885_WPSOffice_Level1"/>
      <w:bookmarkStart w:id="152" w:name="_Toc9453_WPSOffice_Level1"/>
      <w:r>
        <w:rPr>
          <w:rFonts w:hint="eastAsia"/>
          <w:color w:val="auto"/>
          <w:sz w:val="84"/>
          <w:szCs w:val="84"/>
          <w:highlight w:val="none"/>
        </w:rPr>
        <w:t>报</w:t>
      </w:r>
      <w:bookmarkEnd w:id="151"/>
      <w:bookmarkEnd w:id="152"/>
    </w:p>
    <w:p w14:paraId="27087092">
      <w:pPr>
        <w:jc w:val="center"/>
        <w:rPr>
          <w:color w:val="auto"/>
          <w:sz w:val="84"/>
          <w:szCs w:val="84"/>
          <w:highlight w:val="none"/>
        </w:rPr>
      </w:pPr>
      <w:bookmarkStart w:id="153" w:name="_Toc7485_WPSOffice_Level1"/>
      <w:bookmarkStart w:id="154" w:name="_Toc10910_WPSOffice_Level1"/>
      <w:r>
        <w:rPr>
          <w:rFonts w:hint="eastAsia"/>
          <w:color w:val="auto"/>
          <w:sz w:val="84"/>
          <w:szCs w:val="84"/>
          <w:highlight w:val="none"/>
        </w:rPr>
        <w:t>价</w:t>
      </w:r>
      <w:bookmarkEnd w:id="153"/>
      <w:bookmarkEnd w:id="154"/>
    </w:p>
    <w:p w14:paraId="5ABA3965">
      <w:pPr>
        <w:jc w:val="center"/>
        <w:rPr>
          <w:color w:val="auto"/>
          <w:sz w:val="84"/>
          <w:szCs w:val="84"/>
          <w:highlight w:val="none"/>
        </w:rPr>
      </w:pPr>
      <w:bookmarkStart w:id="155" w:name="_Toc3932_WPSOffice_Level1"/>
      <w:bookmarkStart w:id="156" w:name="_Toc14572_WPSOffice_Level1"/>
      <w:r>
        <w:rPr>
          <w:rFonts w:hint="eastAsia"/>
          <w:color w:val="auto"/>
          <w:sz w:val="84"/>
          <w:szCs w:val="84"/>
          <w:highlight w:val="none"/>
        </w:rPr>
        <w:t>文</w:t>
      </w:r>
      <w:bookmarkEnd w:id="155"/>
      <w:bookmarkEnd w:id="156"/>
    </w:p>
    <w:p w14:paraId="378B9601">
      <w:pPr>
        <w:jc w:val="center"/>
        <w:rPr>
          <w:color w:val="auto"/>
          <w:sz w:val="84"/>
          <w:szCs w:val="84"/>
          <w:highlight w:val="none"/>
        </w:rPr>
      </w:pPr>
      <w:bookmarkStart w:id="157" w:name="_Toc16973_WPSOffice_Level1"/>
      <w:bookmarkStart w:id="158" w:name="_Toc7562_WPSOffice_Level1"/>
      <w:r>
        <w:rPr>
          <w:rFonts w:hint="eastAsia"/>
          <w:color w:val="auto"/>
          <w:sz w:val="84"/>
          <w:szCs w:val="84"/>
          <w:highlight w:val="none"/>
        </w:rPr>
        <w:t>件</w:t>
      </w:r>
      <w:bookmarkEnd w:id="157"/>
      <w:bookmarkEnd w:id="158"/>
    </w:p>
    <w:p w14:paraId="6B349A0F">
      <w:pPr>
        <w:spacing w:line="360" w:lineRule="auto"/>
        <w:ind w:right="532"/>
        <w:rPr>
          <w:rFonts w:ascii="宋体" w:hAnsi="宋体"/>
          <w:color w:val="auto"/>
          <w:sz w:val="36"/>
          <w:szCs w:val="36"/>
          <w:highlight w:val="none"/>
        </w:rPr>
      </w:pPr>
    </w:p>
    <w:p w14:paraId="63FB0607">
      <w:pPr>
        <w:spacing w:line="360" w:lineRule="auto"/>
        <w:ind w:right="532"/>
        <w:jc w:val="center"/>
        <w:rPr>
          <w:rFonts w:ascii="宋体" w:hAnsi="宋体"/>
          <w:color w:val="auto"/>
          <w:sz w:val="36"/>
          <w:szCs w:val="36"/>
          <w:highlight w:val="none"/>
        </w:rPr>
      </w:pPr>
    </w:p>
    <w:p w14:paraId="3EAB91DC">
      <w:pPr>
        <w:spacing w:line="360" w:lineRule="auto"/>
        <w:ind w:right="532" w:firstLine="720" w:firstLineChars="200"/>
        <w:rPr>
          <w:rFonts w:ascii="宋体" w:hAnsi="宋体"/>
          <w:color w:val="auto"/>
          <w:sz w:val="36"/>
          <w:szCs w:val="36"/>
          <w:highlight w:val="none"/>
        </w:rPr>
      </w:pPr>
      <w:bookmarkStart w:id="159" w:name="_Toc26700_WPSOffice_Level1"/>
      <w:bookmarkStart w:id="160" w:name="_Toc4603_WPSOffice_Level1"/>
      <w:r>
        <w:rPr>
          <w:rFonts w:hint="eastAsia" w:ascii="宋体" w:hAnsi="宋体"/>
          <w:color w:val="auto"/>
          <w:sz w:val="36"/>
          <w:szCs w:val="36"/>
          <w:highlight w:val="none"/>
        </w:rPr>
        <w:t>投标供应商全称（电子印章）：</w:t>
      </w:r>
      <w:bookmarkEnd w:id="159"/>
      <w:bookmarkEnd w:id="160"/>
    </w:p>
    <w:p w14:paraId="5F46E71C">
      <w:pPr>
        <w:spacing w:line="360" w:lineRule="auto"/>
        <w:ind w:right="-108" w:firstLine="720" w:firstLineChars="200"/>
        <w:rPr>
          <w:rFonts w:ascii="宋体" w:hAnsi="宋体"/>
          <w:color w:val="auto"/>
          <w:sz w:val="36"/>
          <w:szCs w:val="36"/>
          <w:highlight w:val="none"/>
        </w:rPr>
      </w:pPr>
      <w:bookmarkStart w:id="161" w:name="_Toc1391_WPSOffice_Level1"/>
      <w:bookmarkStart w:id="162" w:name="_Toc32593_WPSOffice_Level1"/>
      <w:r>
        <w:rPr>
          <w:rFonts w:hint="eastAsia" w:ascii="宋体" w:hAnsi="宋体"/>
          <w:color w:val="auto"/>
          <w:sz w:val="36"/>
          <w:szCs w:val="36"/>
          <w:highlight w:val="none"/>
        </w:rPr>
        <w:t>地    址：</w:t>
      </w:r>
      <w:bookmarkEnd w:id="161"/>
      <w:bookmarkEnd w:id="162"/>
    </w:p>
    <w:p w14:paraId="53221A0C">
      <w:pPr>
        <w:spacing w:line="360" w:lineRule="auto"/>
        <w:ind w:right="-108" w:firstLine="720" w:firstLineChars="200"/>
        <w:rPr>
          <w:rFonts w:ascii="宋体" w:hAnsi="宋体"/>
          <w:color w:val="auto"/>
          <w:sz w:val="36"/>
          <w:szCs w:val="36"/>
          <w:highlight w:val="none"/>
        </w:rPr>
      </w:pPr>
      <w:bookmarkStart w:id="163" w:name="_Toc3791_WPSOffice_Level1"/>
      <w:bookmarkStart w:id="164" w:name="_Toc20938_WPSOffice_Level1"/>
      <w:r>
        <w:rPr>
          <w:rFonts w:hint="eastAsia" w:ascii="宋体" w:hAnsi="宋体"/>
          <w:color w:val="auto"/>
          <w:sz w:val="36"/>
          <w:szCs w:val="36"/>
          <w:highlight w:val="none"/>
        </w:rPr>
        <w:t>时    间：</w:t>
      </w:r>
      <w:bookmarkEnd w:id="163"/>
      <w:bookmarkEnd w:id="164"/>
    </w:p>
    <w:p w14:paraId="39895D38">
      <w:pPr>
        <w:spacing w:line="360" w:lineRule="auto"/>
        <w:ind w:right="-108"/>
        <w:jc w:val="center"/>
        <w:rPr>
          <w:rFonts w:ascii="仿宋_GB2312" w:hAnsi="宋体" w:eastAsia="仿宋_GB2312"/>
          <w:b/>
          <w:color w:val="auto"/>
          <w:sz w:val="36"/>
          <w:szCs w:val="36"/>
          <w:highlight w:val="none"/>
        </w:rPr>
      </w:pPr>
    </w:p>
    <w:p w14:paraId="5081A7CC">
      <w:pPr>
        <w:pStyle w:val="45"/>
        <w:rPr>
          <w:color w:val="auto"/>
          <w:highlight w:val="none"/>
        </w:rPr>
      </w:pPr>
    </w:p>
    <w:p w14:paraId="21E86BCF">
      <w:pPr>
        <w:pStyle w:val="45"/>
        <w:rPr>
          <w:color w:val="auto"/>
          <w:highlight w:val="none"/>
        </w:rPr>
      </w:pPr>
    </w:p>
    <w:p w14:paraId="30E5629A">
      <w:pPr>
        <w:pStyle w:val="45"/>
        <w:ind w:left="0" w:leftChars="0" w:firstLine="0"/>
        <w:rPr>
          <w:color w:val="auto"/>
          <w:highlight w:val="none"/>
        </w:rPr>
      </w:pPr>
    </w:p>
    <w:p w14:paraId="24A75044">
      <w:pPr>
        <w:pStyle w:val="13"/>
        <w:rPr>
          <w:rFonts w:ascii="仿宋_GB2312" w:hAnsi="宋体" w:eastAsia="仿宋_GB2312"/>
          <w:b/>
          <w:color w:val="auto"/>
          <w:sz w:val="36"/>
          <w:szCs w:val="36"/>
          <w:highlight w:val="none"/>
        </w:rPr>
      </w:pPr>
    </w:p>
    <w:p w14:paraId="5C5F412E">
      <w:pPr>
        <w:jc w:val="center"/>
        <w:rPr>
          <w:b/>
          <w:bCs/>
          <w:color w:val="auto"/>
          <w:sz w:val="32"/>
          <w:szCs w:val="32"/>
          <w:highlight w:val="none"/>
        </w:rPr>
      </w:pPr>
      <w:bookmarkStart w:id="165" w:name="_Toc29537_WPSOffice_Level1"/>
      <w:bookmarkStart w:id="166" w:name="_Toc19972_WPSOffice_Level1"/>
      <w:r>
        <w:rPr>
          <w:rFonts w:hint="eastAsia"/>
          <w:b/>
          <w:bCs/>
          <w:color w:val="auto"/>
          <w:sz w:val="32"/>
          <w:szCs w:val="32"/>
          <w:highlight w:val="none"/>
        </w:rPr>
        <w:t>报价文件目录</w:t>
      </w:r>
      <w:bookmarkEnd w:id="165"/>
      <w:bookmarkEnd w:id="166"/>
    </w:p>
    <w:p w14:paraId="40277218">
      <w:pPr>
        <w:rPr>
          <w:color w:val="auto"/>
          <w:sz w:val="28"/>
          <w:szCs w:val="28"/>
          <w:highlight w:val="none"/>
        </w:rPr>
      </w:pPr>
    </w:p>
    <w:p w14:paraId="0F5F27CD">
      <w:pPr>
        <w:autoSpaceDE w:val="0"/>
        <w:autoSpaceDN w:val="0"/>
        <w:adjustRightIn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（1）开标一览表（格式详见附件）；</w:t>
      </w:r>
    </w:p>
    <w:p w14:paraId="3185ACC6">
      <w:pPr>
        <w:autoSpaceDE w:val="0"/>
        <w:autoSpaceDN w:val="0"/>
        <w:adjustRightInd w:val="0"/>
        <w:spacing w:line="360" w:lineRule="auto"/>
        <w:ind w:firstLine="420" w:firstLineChars="200"/>
        <w:rPr>
          <w:rFonts w:asciiTheme="minorEastAsia" w:hAnsiTheme="minorEastAsia" w:eastAsiaTheme="minorEastAsia"/>
          <w:color w:val="auto"/>
          <w:kern w:val="0"/>
          <w:szCs w:val="21"/>
          <w:highlight w:val="none"/>
        </w:rPr>
      </w:pPr>
      <w:r>
        <w:rPr>
          <w:rFonts w:hint="eastAsia" w:asciiTheme="minorEastAsia" w:hAnsiTheme="minorEastAsia" w:eastAsiaTheme="minorEastAsia"/>
          <w:color w:val="auto"/>
          <w:kern w:val="0"/>
          <w:szCs w:val="21"/>
          <w:highlight w:val="none"/>
        </w:rPr>
        <w:t>（2）报价明细表（格式详见附件）；</w:t>
      </w:r>
    </w:p>
    <w:p w14:paraId="187B21DB">
      <w:pPr>
        <w:pStyle w:val="13"/>
        <w:spacing w:line="360" w:lineRule="auto"/>
        <w:ind w:firstLine="420" w:firstLineChars="200"/>
        <w:rPr>
          <w:rFonts w:hint="eastAsia" w:asciiTheme="minorEastAsia" w:hAnsiTheme="minorEastAsia" w:eastAsiaTheme="minorEastAsia"/>
          <w:b w:val="0"/>
          <w:bCs/>
          <w:color w:val="auto"/>
          <w:kern w:val="0"/>
          <w:szCs w:val="21"/>
          <w:highlight w:val="none"/>
          <w:lang w:eastAsia="zh-CN"/>
        </w:rPr>
      </w:pP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lang w:val="en-US" w:eastAsia="zh-CN"/>
        </w:rPr>
        <w:t>3</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rPr>
        <w:t>针对报价投标人认为其他需要说明的；</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rPr>
        <w:t>中小企业等声明函或</w:t>
      </w:r>
      <w:r>
        <w:rPr>
          <w:rFonts w:hint="eastAsia" w:asciiTheme="minorEastAsia" w:hAnsiTheme="minorEastAsia" w:eastAsiaTheme="minorEastAsia"/>
          <w:b w:val="0"/>
          <w:bCs/>
          <w:color w:val="auto"/>
          <w:kern w:val="0"/>
          <w:szCs w:val="21"/>
          <w:highlight w:val="none"/>
          <w:lang w:val="en-GB"/>
        </w:rPr>
        <w:t>残疾人福利性单位声明函</w:t>
      </w:r>
      <w:r>
        <w:rPr>
          <w:rFonts w:hint="eastAsia" w:asciiTheme="minorEastAsia" w:hAnsiTheme="minorEastAsia" w:eastAsiaTheme="minorEastAsia"/>
          <w:b w:val="0"/>
          <w:bCs/>
          <w:color w:val="auto"/>
          <w:kern w:val="0"/>
          <w:szCs w:val="21"/>
          <w:highlight w:val="none"/>
          <w:lang w:val="en-US" w:eastAsia="zh-CN"/>
        </w:rPr>
        <w:t>和产品适用政府采购政策情况表</w:t>
      </w:r>
      <w:r>
        <w:rPr>
          <w:rFonts w:hint="eastAsia" w:asciiTheme="minorEastAsia" w:hAnsiTheme="minorEastAsia" w:eastAsiaTheme="minorEastAsia"/>
          <w:b w:val="0"/>
          <w:bCs/>
          <w:color w:val="auto"/>
          <w:kern w:val="0"/>
          <w:szCs w:val="21"/>
          <w:highlight w:val="none"/>
        </w:rPr>
        <w:t>（格式详见附件）</w:t>
      </w:r>
      <w:r>
        <w:rPr>
          <w:rFonts w:hint="eastAsia" w:asciiTheme="minorEastAsia" w:hAnsiTheme="minorEastAsia" w:eastAsiaTheme="minorEastAsia"/>
          <w:b w:val="0"/>
          <w:bCs/>
          <w:color w:val="auto"/>
          <w:kern w:val="0"/>
          <w:szCs w:val="21"/>
          <w:highlight w:val="none"/>
          <w:lang w:eastAsia="zh-CN"/>
        </w:rPr>
        <w:t>）（</w:t>
      </w:r>
      <w:r>
        <w:rPr>
          <w:rFonts w:hint="eastAsia" w:asciiTheme="minorEastAsia" w:hAnsiTheme="minorEastAsia" w:eastAsiaTheme="minorEastAsia"/>
          <w:b w:val="0"/>
          <w:bCs/>
          <w:color w:val="auto"/>
          <w:kern w:val="0"/>
          <w:szCs w:val="21"/>
          <w:highlight w:val="none"/>
          <w:lang w:val="en-US" w:eastAsia="zh-CN"/>
        </w:rPr>
        <w:t>如有</w:t>
      </w:r>
      <w:r>
        <w:rPr>
          <w:rFonts w:hint="eastAsia" w:asciiTheme="minorEastAsia" w:hAnsiTheme="minorEastAsia" w:eastAsiaTheme="minorEastAsia"/>
          <w:b w:val="0"/>
          <w:bCs/>
          <w:color w:val="auto"/>
          <w:kern w:val="0"/>
          <w:szCs w:val="21"/>
          <w:highlight w:val="none"/>
          <w:lang w:eastAsia="zh-CN"/>
        </w:rPr>
        <w:t>）</w:t>
      </w:r>
    </w:p>
    <w:p w14:paraId="2175742B">
      <w:pPr>
        <w:spacing w:line="360" w:lineRule="auto"/>
        <w:ind w:left="480"/>
        <w:rPr>
          <w:rFonts w:ascii="宋体" w:hAnsi="宋体"/>
          <w:b/>
          <w:color w:val="auto"/>
          <w:sz w:val="28"/>
          <w:highlight w:val="none"/>
        </w:rPr>
      </w:pPr>
    </w:p>
    <w:p w14:paraId="1B914AAF">
      <w:pPr>
        <w:spacing w:line="360" w:lineRule="auto"/>
        <w:ind w:left="480"/>
        <w:rPr>
          <w:rFonts w:ascii="宋体" w:hAnsi="宋体"/>
          <w:b/>
          <w:color w:val="auto"/>
          <w:sz w:val="28"/>
          <w:highlight w:val="none"/>
        </w:rPr>
      </w:pPr>
    </w:p>
    <w:p w14:paraId="4D6CFA5A">
      <w:pPr>
        <w:spacing w:line="360" w:lineRule="auto"/>
        <w:ind w:left="480"/>
        <w:rPr>
          <w:rFonts w:ascii="宋体" w:hAnsi="宋体"/>
          <w:b/>
          <w:color w:val="auto"/>
          <w:sz w:val="28"/>
          <w:highlight w:val="none"/>
        </w:rPr>
      </w:pPr>
    </w:p>
    <w:p w14:paraId="68F4FC3A">
      <w:pPr>
        <w:spacing w:line="360" w:lineRule="auto"/>
        <w:ind w:left="480"/>
        <w:rPr>
          <w:rFonts w:ascii="宋体" w:hAnsi="宋体"/>
          <w:b/>
          <w:color w:val="auto"/>
          <w:sz w:val="28"/>
          <w:highlight w:val="none"/>
        </w:rPr>
      </w:pPr>
    </w:p>
    <w:p w14:paraId="1F3959C7">
      <w:pPr>
        <w:spacing w:line="360" w:lineRule="auto"/>
        <w:ind w:left="480"/>
        <w:rPr>
          <w:rFonts w:ascii="宋体" w:hAnsi="宋体"/>
          <w:b/>
          <w:color w:val="auto"/>
          <w:sz w:val="28"/>
          <w:highlight w:val="none"/>
        </w:rPr>
      </w:pPr>
    </w:p>
    <w:p w14:paraId="024C8900">
      <w:pPr>
        <w:spacing w:line="360" w:lineRule="auto"/>
        <w:ind w:left="480"/>
        <w:rPr>
          <w:rFonts w:ascii="宋体" w:hAnsi="宋体"/>
          <w:b/>
          <w:color w:val="auto"/>
          <w:sz w:val="28"/>
          <w:highlight w:val="none"/>
        </w:rPr>
      </w:pPr>
    </w:p>
    <w:p w14:paraId="26AAC90F">
      <w:pPr>
        <w:spacing w:line="360" w:lineRule="auto"/>
        <w:ind w:left="480"/>
        <w:rPr>
          <w:rFonts w:ascii="宋体" w:hAnsi="宋体"/>
          <w:b/>
          <w:color w:val="auto"/>
          <w:sz w:val="28"/>
          <w:highlight w:val="none"/>
        </w:rPr>
      </w:pPr>
    </w:p>
    <w:p w14:paraId="52806C21">
      <w:pPr>
        <w:spacing w:line="360" w:lineRule="auto"/>
        <w:ind w:left="480"/>
        <w:rPr>
          <w:rFonts w:ascii="宋体" w:hAnsi="宋体"/>
          <w:b/>
          <w:color w:val="auto"/>
          <w:sz w:val="28"/>
          <w:highlight w:val="none"/>
        </w:rPr>
      </w:pPr>
    </w:p>
    <w:p w14:paraId="1872AA3F">
      <w:pPr>
        <w:spacing w:line="360" w:lineRule="auto"/>
        <w:ind w:left="480"/>
        <w:rPr>
          <w:rFonts w:ascii="宋体" w:hAnsi="宋体"/>
          <w:b/>
          <w:color w:val="auto"/>
          <w:sz w:val="28"/>
          <w:highlight w:val="none"/>
        </w:rPr>
      </w:pPr>
    </w:p>
    <w:p w14:paraId="5C824035">
      <w:pPr>
        <w:spacing w:line="360" w:lineRule="auto"/>
        <w:ind w:left="480"/>
        <w:rPr>
          <w:rFonts w:ascii="宋体" w:hAnsi="宋体"/>
          <w:b/>
          <w:color w:val="auto"/>
          <w:sz w:val="28"/>
          <w:highlight w:val="none"/>
        </w:rPr>
      </w:pPr>
    </w:p>
    <w:p w14:paraId="0AED3320">
      <w:pPr>
        <w:spacing w:line="360" w:lineRule="auto"/>
        <w:ind w:left="480"/>
        <w:rPr>
          <w:rFonts w:ascii="宋体" w:hAnsi="宋体"/>
          <w:b/>
          <w:color w:val="auto"/>
          <w:sz w:val="28"/>
          <w:highlight w:val="none"/>
        </w:rPr>
      </w:pPr>
    </w:p>
    <w:p w14:paraId="7D21B8ED">
      <w:pPr>
        <w:widowControl/>
        <w:jc w:val="left"/>
        <w:rPr>
          <w:rFonts w:ascii="宋体" w:hAnsi="宋体"/>
          <w:b/>
          <w:color w:val="auto"/>
          <w:sz w:val="28"/>
          <w:highlight w:val="none"/>
        </w:rPr>
      </w:pPr>
      <w:r>
        <w:rPr>
          <w:rFonts w:ascii="宋体" w:hAnsi="宋体"/>
          <w:b/>
          <w:color w:val="auto"/>
          <w:sz w:val="28"/>
          <w:highlight w:val="none"/>
        </w:rPr>
        <w:br w:type="page"/>
      </w:r>
    </w:p>
    <w:p w14:paraId="1B643885">
      <w:pPr>
        <w:spacing w:line="360" w:lineRule="auto"/>
        <w:rPr>
          <w:rFonts w:ascii="宋体" w:hAnsi="宋体"/>
          <w:b/>
          <w:color w:val="auto"/>
          <w:sz w:val="28"/>
          <w:highlight w:val="none"/>
        </w:rPr>
      </w:pPr>
      <w:r>
        <w:rPr>
          <w:rFonts w:hint="eastAsia" w:ascii="宋体" w:hAnsi="宋体"/>
          <w:b/>
          <w:color w:val="auto"/>
          <w:sz w:val="28"/>
          <w:highlight w:val="none"/>
        </w:rPr>
        <w:t>附件15</w:t>
      </w:r>
    </w:p>
    <w:p w14:paraId="24A85DE3">
      <w:pPr>
        <w:spacing w:line="360" w:lineRule="auto"/>
        <w:ind w:left="-2" w:hanging="2"/>
        <w:jc w:val="center"/>
        <w:rPr>
          <w:rFonts w:ascii="宋体" w:hAnsi="宋体"/>
          <w:b/>
          <w:color w:val="auto"/>
          <w:sz w:val="32"/>
          <w:szCs w:val="32"/>
          <w:highlight w:val="none"/>
        </w:rPr>
      </w:pPr>
      <w:bookmarkStart w:id="167" w:name="_Toc30363_WPSOffice_Level1"/>
      <w:bookmarkStart w:id="168" w:name="_Toc16144_WPSOffice_Level1"/>
      <w:r>
        <w:rPr>
          <w:rFonts w:hint="eastAsia" w:ascii="宋体" w:hAnsi="宋体"/>
          <w:b/>
          <w:color w:val="auto"/>
          <w:sz w:val="32"/>
          <w:szCs w:val="32"/>
          <w:highlight w:val="none"/>
        </w:rPr>
        <w:t xml:space="preserve">开标一览表 </w:t>
      </w:r>
      <w:bookmarkEnd w:id="167"/>
      <w:bookmarkEnd w:id="168"/>
    </w:p>
    <w:p w14:paraId="2F2A7121">
      <w:pPr>
        <w:pStyle w:val="101"/>
        <w:spacing w:line="360" w:lineRule="auto"/>
        <w:ind w:right="480" w:firstLine="482" w:firstLineChars="200"/>
        <w:jc w:val="left"/>
        <w:rPr>
          <w:rFonts w:hAnsi="宋体"/>
          <w:color w:val="auto"/>
          <w:sz w:val="24"/>
          <w:highlight w:val="none"/>
        </w:rPr>
      </w:pPr>
      <w:r>
        <w:rPr>
          <w:rFonts w:hAnsi="宋体"/>
          <w:b/>
          <w:color w:val="auto"/>
          <w:sz w:val="24"/>
          <w:highlight w:val="none"/>
        </w:rPr>
        <w:t>项目名称：</w:t>
      </w:r>
      <w:r>
        <w:rPr>
          <w:rFonts w:hint="eastAsia" w:ascii="宋体" w:hAnsi="宋体"/>
          <w:color w:val="auto"/>
          <w:sz w:val="24"/>
          <w:highlight w:val="none"/>
        </w:rPr>
        <w:t xml:space="preserve">                                     [货币单位：人民币元]</w:t>
      </w:r>
    </w:p>
    <w:tbl>
      <w:tblPr>
        <w:tblStyle w:val="46"/>
        <w:tblpPr w:leftFromText="181" w:rightFromText="181" w:bottomFromText="170" w:vertAnchor="text" w:tblpXSpec="center" w:tblpY="1"/>
        <w:tblOverlap w:val="never"/>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B352E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3921204">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投标总报价（结算率）</w:t>
            </w:r>
          </w:p>
          <w:p w14:paraId="03C03B99">
            <w:pPr>
              <w:autoSpaceDE w:val="0"/>
              <w:autoSpaceDN w:val="0"/>
              <w:spacing w:line="450" w:lineRule="exact"/>
              <w:jc w:val="center"/>
              <w:textAlignment w:val="bottom"/>
              <w:rPr>
                <w:rFonts w:ascii="宋体" w:hAnsi="宋体"/>
                <w:color w:val="auto"/>
                <w:sz w:val="24"/>
                <w:highlight w:val="none"/>
              </w:rPr>
            </w:pPr>
            <w:r>
              <w:rPr>
                <w:rFonts w:hint="eastAsia" w:ascii="宋体" w:hAnsi="宋体"/>
                <w:b/>
                <w:bCs/>
                <w:color w:val="auto"/>
                <w:sz w:val="24"/>
                <w:highlight w:val="none"/>
              </w:rPr>
              <w:t>结算率不得高于99%</w:t>
            </w:r>
            <w:r>
              <w:rPr>
                <w:rFonts w:hint="eastAsia" w:ascii="宋体" w:hAnsi="宋体"/>
                <w:color w:val="auto"/>
                <w:sz w:val="24"/>
                <w:highlight w:val="none"/>
              </w:rPr>
              <w:t>，否则作无效标处理</w:t>
            </w:r>
          </w:p>
        </w:tc>
        <w:tc>
          <w:tcPr>
            <w:tcW w:w="1349" w:type="dxa"/>
            <w:tcBorders>
              <w:top w:val="single" w:color="auto" w:sz="12" w:space="0"/>
              <w:left w:val="single" w:color="auto" w:sz="4" w:space="0"/>
              <w:bottom w:val="single" w:color="auto" w:sz="4" w:space="0"/>
              <w:right w:val="single" w:color="auto" w:sz="4" w:space="0"/>
            </w:tcBorders>
            <w:vAlign w:val="center"/>
          </w:tcPr>
          <w:p w14:paraId="49DEF9BB">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24040CF3">
            <w:pPr>
              <w:autoSpaceDE w:val="0"/>
              <w:autoSpaceDN w:val="0"/>
              <w:spacing w:line="450" w:lineRule="exact"/>
              <w:ind w:firstLine="1440" w:firstLineChars="600"/>
              <w:textAlignment w:val="bottom"/>
              <w:rPr>
                <w:rFonts w:ascii="宋体" w:hAnsi="宋体"/>
                <w:color w:val="auto"/>
                <w:sz w:val="24"/>
                <w:highlight w:val="none"/>
              </w:rPr>
            </w:pPr>
            <w:r>
              <w:rPr>
                <w:rFonts w:hint="eastAsia"/>
                <w:color w:val="auto"/>
                <w:sz w:val="24"/>
                <w:highlight w:val="none"/>
              </w:rPr>
              <w:t>佰分之</w:t>
            </w:r>
            <w:r>
              <w:rPr>
                <w:rFonts w:hint="eastAsia"/>
                <w:color w:val="auto"/>
                <w:sz w:val="24"/>
                <w:highlight w:val="none"/>
                <w:u w:val="single"/>
              </w:rPr>
              <w:t xml:space="preserve">        </w:t>
            </w:r>
          </w:p>
        </w:tc>
      </w:tr>
      <w:tr w14:paraId="02D758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232C2D2B">
            <w:pPr>
              <w:rPr>
                <w:rFonts w:ascii="宋体" w:hAnsi="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198E2AA">
            <w:pPr>
              <w:autoSpaceDE w:val="0"/>
              <w:autoSpaceDN w:val="0"/>
              <w:spacing w:line="450" w:lineRule="exact"/>
              <w:jc w:val="center"/>
              <w:textAlignment w:val="bottom"/>
              <w:rPr>
                <w:rFonts w:ascii="宋体" w:hAnsi="宋体"/>
                <w:color w:val="auto"/>
                <w:sz w:val="24"/>
                <w:highlight w:val="none"/>
              </w:rPr>
            </w:pPr>
            <w:r>
              <w:rPr>
                <w:rFonts w:hint="eastAsia" w:ascii="宋体" w:hAnsi="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5E2EC0D1">
            <w:pPr>
              <w:autoSpaceDE w:val="0"/>
              <w:autoSpaceDN w:val="0"/>
              <w:spacing w:line="450" w:lineRule="exact"/>
              <w:ind w:firstLine="1680" w:firstLineChars="700"/>
              <w:textAlignment w:val="bottom"/>
              <w:rPr>
                <w:rFonts w:ascii="宋体" w:hAnsi="宋体"/>
                <w:color w:val="auto"/>
                <w:sz w:val="24"/>
                <w:highlight w:val="none"/>
              </w:rPr>
            </w:pPr>
            <w:r>
              <w:rPr>
                <w:rFonts w:hint="eastAsia"/>
                <w:color w:val="auto"/>
                <w:sz w:val="24"/>
                <w:highlight w:val="none"/>
                <w:u w:val="single"/>
              </w:rPr>
              <w:t xml:space="preserve">       </w:t>
            </w:r>
            <w:r>
              <w:rPr>
                <w:rFonts w:hint="eastAsia"/>
                <w:color w:val="auto"/>
                <w:sz w:val="24"/>
                <w:highlight w:val="none"/>
              </w:rPr>
              <w:t>%</w:t>
            </w:r>
          </w:p>
        </w:tc>
      </w:tr>
    </w:tbl>
    <w:p w14:paraId="352620EB">
      <w:pPr>
        <w:spacing w:line="360" w:lineRule="auto"/>
        <w:ind w:firstLine="422" w:firstLineChars="200"/>
        <w:rPr>
          <w:rFonts w:ascii="宋体" w:hAnsi="宋体"/>
          <w:color w:val="auto"/>
          <w:szCs w:val="21"/>
          <w:highlight w:val="none"/>
        </w:rPr>
      </w:pPr>
      <w:r>
        <w:rPr>
          <w:rFonts w:hint="eastAsia" w:ascii="宋体" w:hAnsi="宋体"/>
          <w:b/>
          <w:color w:val="auto"/>
          <w:szCs w:val="21"/>
          <w:highlight w:val="none"/>
        </w:rPr>
        <w:t>填报要求：</w:t>
      </w:r>
      <w:r>
        <w:rPr>
          <w:rFonts w:hint="eastAsia" w:ascii="宋体" w:hAnsi="宋体"/>
          <w:color w:val="auto"/>
          <w:szCs w:val="21"/>
          <w:highlight w:val="none"/>
        </w:rPr>
        <w:t>投标报价包括本项目采购需求和投入使用的所有费用，包括</w:t>
      </w:r>
      <w:r>
        <w:rPr>
          <w:rFonts w:hint="eastAsia" w:ascii="宋体" w:hAnsi="宋体"/>
          <w:color w:val="auto"/>
          <w:szCs w:val="21"/>
          <w:highlight w:val="none"/>
          <w:lang w:val="en-US" w:eastAsia="zh-CN"/>
        </w:rPr>
        <w:t>人工、材料、机械、质保、检测、验收、管理费、利润、组织措施费、规费、民工工伤保险费、税金、招标代理服务费等一切费用</w:t>
      </w:r>
      <w:r>
        <w:rPr>
          <w:rFonts w:hint="eastAsia" w:ascii="宋体" w:hAnsi="宋体"/>
          <w:color w:val="auto"/>
          <w:szCs w:val="21"/>
          <w:highlight w:val="none"/>
        </w:rPr>
        <w:t>。</w:t>
      </w:r>
    </w:p>
    <w:p w14:paraId="4771C672">
      <w:pPr>
        <w:pStyle w:val="45"/>
        <w:rPr>
          <w:rFonts w:ascii="宋体" w:hAnsi="宋体"/>
          <w:color w:val="auto"/>
          <w:szCs w:val="21"/>
          <w:highlight w:val="none"/>
        </w:rPr>
      </w:pPr>
    </w:p>
    <w:p w14:paraId="4B88F60B">
      <w:pPr>
        <w:rPr>
          <w:color w:val="auto"/>
          <w:highlight w:val="none"/>
        </w:rPr>
      </w:pPr>
    </w:p>
    <w:p w14:paraId="343A2778">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投标人名称（公章）：</w:t>
      </w:r>
    </w:p>
    <w:p w14:paraId="1F9D4ABB">
      <w:pPr>
        <w:spacing w:line="360" w:lineRule="auto"/>
        <w:ind w:left="420"/>
        <w:rPr>
          <w:rFonts w:ascii="宋体" w:hAnsi="宋体"/>
          <w:color w:val="auto"/>
          <w:sz w:val="24"/>
          <w:highlight w:val="none"/>
        </w:rPr>
      </w:pPr>
    </w:p>
    <w:p w14:paraId="23465CB0">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01BAE46B">
      <w:pPr>
        <w:spacing w:line="360" w:lineRule="auto"/>
        <w:ind w:firstLine="435"/>
        <w:rPr>
          <w:rFonts w:ascii="宋体" w:hAnsi="宋体"/>
          <w:color w:val="auto"/>
          <w:sz w:val="24"/>
          <w:highlight w:val="none"/>
        </w:rPr>
      </w:pPr>
    </w:p>
    <w:p w14:paraId="09DF5DB7">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185FA18">
      <w:pPr>
        <w:spacing w:line="360" w:lineRule="auto"/>
        <w:rPr>
          <w:rFonts w:ascii="宋体" w:hAnsi="宋体"/>
          <w:color w:val="auto"/>
          <w:sz w:val="24"/>
          <w:highlight w:val="none"/>
        </w:rPr>
      </w:pPr>
    </w:p>
    <w:p w14:paraId="7AB3D33C">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1408A282">
      <w:pPr>
        <w:spacing w:line="360" w:lineRule="auto"/>
        <w:rPr>
          <w:rFonts w:ascii="宋体" w:hAnsi="宋体"/>
          <w:b/>
          <w:color w:val="auto"/>
          <w:sz w:val="28"/>
          <w:highlight w:val="none"/>
        </w:rPr>
      </w:pPr>
    </w:p>
    <w:p w14:paraId="613D36F4">
      <w:pPr>
        <w:spacing w:line="360" w:lineRule="auto"/>
        <w:rPr>
          <w:rFonts w:ascii="宋体" w:hAnsi="宋体"/>
          <w:b/>
          <w:color w:val="auto"/>
          <w:sz w:val="28"/>
          <w:highlight w:val="none"/>
        </w:rPr>
      </w:pPr>
    </w:p>
    <w:p w14:paraId="5C4DA6AD">
      <w:pPr>
        <w:spacing w:line="360" w:lineRule="auto"/>
        <w:rPr>
          <w:rFonts w:ascii="宋体" w:hAnsi="宋体"/>
          <w:b/>
          <w:color w:val="auto"/>
          <w:sz w:val="28"/>
          <w:highlight w:val="none"/>
        </w:rPr>
      </w:pPr>
    </w:p>
    <w:p w14:paraId="752AC229">
      <w:pPr>
        <w:widowControl/>
        <w:jc w:val="left"/>
        <w:rPr>
          <w:rFonts w:ascii="宋体" w:hAnsi="宋体"/>
          <w:b/>
          <w:color w:val="auto"/>
          <w:sz w:val="28"/>
          <w:highlight w:val="none"/>
        </w:rPr>
      </w:pPr>
      <w:r>
        <w:rPr>
          <w:rFonts w:ascii="宋体" w:hAnsi="宋体"/>
          <w:b/>
          <w:color w:val="auto"/>
          <w:sz w:val="28"/>
          <w:highlight w:val="none"/>
        </w:rPr>
        <w:br w:type="page"/>
      </w:r>
    </w:p>
    <w:p w14:paraId="246685D0">
      <w:pPr>
        <w:spacing w:line="360" w:lineRule="auto"/>
        <w:rPr>
          <w:rFonts w:ascii="宋体" w:hAnsi="宋体"/>
          <w:b/>
          <w:color w:val="auto"/>
          <w:sz w:val="28"/>
          <w:highlight w:val="none"/>
        </w:rPr>
      </w:pPr>
      <w:r>
        <w:rPr>
          <w:rFonts w:hint="eastAsia" w:ascii="宋体" w:hAnsi="宋体"/>
          <w:b/>
          <w:color w:val="auto"/>
          <w:sz w:val="28"/>
          <w:highlight w:val="none"/>
        </w:rPr>
        <w:t>附件16</w:t>
      </w:r>
    </w:p>
    <w:p w14:paraId="3488472D">
      <w:pPr>
        <w:spacing w:line="360" w:lineRule="auto"/>
        <w:ind w:left="480"/>
        <w:jc w:val="center"/>
        <w:rPr>
          <w:rFonts w:ascii="宋体" w:hAnsi="宋体"/>
          <w:color w:val="auto"/>
          <w:highlight w:val="none"/>
        </w:rPr>
      </w:pPr>
      <w:r>
        <w:rPr>
          <w:rFonts w:hint="eastAsia" w:ascii="宋体" w:hAnsi="宋体"/>
          <w:b/>
          <w:color w:val="auto"/>
          <w:sz w:val="32"/>
          <w:szCs w:val="32"/>
          <w:highlight w:val="none"/>
        </w:rPr>
        <w:t xml:space="preserve">报价明细表 </w:t>
      </w:r>
      <w:r>
        <w:rPr>
          <w:rFonts w:hint="eastAsia" w:ascii="宋体" w:hAnsi="宋体"/>
          <w:color w:val="auto"/>
          <w:sz w:val="24"/>
          <w:highlight w:val="none"/>
        </w:rPr>
        <w:t xml:space="preserve">                                                                                                                                        </w:t>
      </w:r>
    </w:p>
    <w:p w14:paraId="4A5A5575">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r>
        <w:rPr>
          <w:rFonts w:hint="eastAsia" w:ascii="宋体" w:hAnsi="宋体"/>
          <w:color w:val="auto"/>
          <w:sz w:val="24"/>
          <w:highlight w:val="none"/>
          <w:u w:val="single"/>
        </w:rPr>
        <w:t xml:space="preserve">             </w:t>
      </w:r>
    </w:p>
    <w:p w14:paraId="6031015F">
      <w:pPr>
        <w:pStyle w:val="101"/>
        <w:spacing w:line="360" w:lineRule="auto"/>
        <w:ind w:right="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46"/>
        <w:tblW w:w="85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625"/>
        <w:gridCol w:w="1189"/>
        <w:gridCol w:w="1581"/>
        <w:gridCol w:w="1442"/>
        <w:gridCol w:w="1070"/>
        <w:gridCol w:w="1070"/>
      </w:tblGrid>
      <w:tr w14:paraId="072AA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620" w:type="dxa"/>
            <w:vAlign w:val="center"/>
          </w:tcPr>
          <w:p w14:paraId="4662ABE9">
            <w:pPr>
              <w:spacing w:line="360" w:lineRule="auto"/>
              <w:rPr>
                <w:rFonts w:ascii="宋体" w:hAnsi="宋体"/>
                <w:b/>
                <w:color w:val="auto"/>
                <w:sz w:val="24"/>
                <w:highlight w:val="none"/>
              </w:rPr>
            </w:pPr>
            <w:r>
              <w:rPr>
                <w:rFonts w:hint="eastAsia" w:ascii="宋体" w:hAnsi="宋体"/>
                <w:b/>
                <w:color w:val="auto"/>
                <w:sz w:val="24"/>
                <w:highlight w:val="none"/>
              </w:rPr>
              <w:t>序号</w:t>
            </w:r>
          </w:p>
        </w:tc>
        <w:tc>
          <w:tcPr>
            <w:tcW w:w="1625" w:type="dxa"/>
            <w:vAlign w:val="center"/>
          </w:tcPr>
          <w:p w14:paraId="5B64279C">
            <w:pPr>
              <w:spacing w:line="360" w:lineRule="auto"/>
              <w:rPr>
                <w:rFonts w:ascii="宋体" w:hAnsi="宋体"/>
                <w:b/>
                <w:color w:val="auto"/>
                <w:sz w:val="24"/>
                <w:highlight w:val="none"/>
              </w:rPr>
            </w:pPr>
            <w:r>
              <w:rPr>
                <w:rFonts w:hint="eastAsia" w:ascii="宋体" w:hAnsi="宋体"/>
                <w:b/>
                <w:color w:val="auto"/>
                <w:sz w:val="24"/>
                <w:highlight w:val="none"/>
              </w:rPr>
              <w:t>报价名称</w:t>
            </w:r>
          </w:p>
        </w:tc>
        <w:tc>
          <w:tcPr>
            <w:tcW w:w="1189" w:type="dxa"/>
            <w:vAlign w:val="center"/>
          </w:tcPr>
          <w:p w14:paraId="6EA7DE39">
            <w:pPr>
              <w:spacing w:line="360" w:lineRule="auto"/>
              <w:ind w:left="152"/>
              <w:jc w:val="center"/>
              <w:rPr>
                <w:rFonts w:ascii="宋体" w:hAnsi="宋体"/>
                <w:b/>
                <w:color w:val="auto"/>
                <w:sz w:val="24"/>
                <w:highlight w:val="none"/>
              </w:rPr>
            </w:pPr>
            <w:r>
              <w:rPr>
                <w:rFonts w:hint="eastAsia" w:ascii="宋体" w:hAnsi="宋体"/>
                <w:b/>
                <w:color w:val="auto"/>
                <w:sz w:val="24"/>
                <w:highlight w:val="none"/>
              </w:rPr>
              <w:t>数量</w:t>
            </w:r>
          </w:p>
        </w:tc>
        <w:tc>
          <w:tcPr>
            <w:tcW w:w="1581" w:type="dxa"/>
            <w:vAlign w:val="center"/>
          </w:tcPr>
          <w:p w14:paraId="297C0B42">
            <w:pPr>
              <w:spacing w:line="360" w:lineRule="auto"/>
              <w:jc w:val="center"/>
              <w:rPr>
                <w:rFonts w:ascii="宋体" w:hAnsi="宋体"/>
                <w:b/>
                <w:color w:val="auto"/>
                <w:sz w:val="24"/>
                <w:highlight w:val="none"/>
              </w:rPr>
            </w:pPr>
            <w:r>
              <w:rPr>
                <w:rFonts w:hint="eastAsia" w:ascii="宋体" w:hAnsi="宋体"/>
                <w:b/>
                <w:color w:val="auto"/>
                <w:sz w:val="24"/>
                <w:highlight w:val="none"/>
              </w:rPr>
              <w:t>综合单价</w:t>
            </w:r>
          </w:p>
        </w:tc>
        <w:tc>
          <w:tcPr>
            <w:tcW w:w="1442" w:type="dxa"/>
            <w:vAlign w:val="center"/>
          </w:tcPr>
          <w:p w14:paraId="6033DA70">
            <w:pPr>
              <w:spacing w:line="360" w:lineRule="auto"/>
              <w:jc w:val="center"/>
              <w:rPr>
                <w:rFonts w:ascii="宋体" w:hAnsi="宋体"/>
                <w:b/>
                <w:color w:val="auto"/>
                <w:sz w:val="24"/>
                <w:highlight w:val="none"/>
              </w:rPr>
            </w:pPr>
            <w:r>
              <w:rPr>
                <w:rFonts w:hint="eastAsia" w:ascii="宋体" w:hAnsi="宋体"/>
                <w:b/>
                <w:color w:val="auto"/>
                <w:sz w:val="24"/>
                <w:highlight w:val="none"/>
                <w:lang w:val="zh-CN"/>
              </w:rPr>
              <w:t>投标总报价（结算率）</w:t>
            </w:r>
          </w:p>
        </w:tc>
        <w:tc>
          <w:tcPr>
            <w:tcW w:w="1070" w:type="dxa"/>
            <w:vAlign w:val="center"/>
          </w:tcPr>
          <w:p w14:paraId="01A9527C">
            <w:pPr>
              <w:spacing w:line="360" w:lineRule="auto"/>
              <w:jc w:val="center"/>
              <w:rPr>
                <w:rFonts w:ascii="宋体" w:hAnsi="宋体"/>
                <w:b/>
                <w:color w:val="auto"/>
                <w:sz w:val="24"/>
                <w:highlight w:val="none"/>
              </w:rPr>
            </w:pPr>
            <w:r>
              <w:rPr>
                <w:rFonts w:hint="eastAsia" w:ascii="宋体" w:hAnsi="宋体"/>
                <w:b/>
                <w:color w:val="auto"/>
                <w:sz w:val="24"/>
                <w:highlight w:val="none"/>
              </w:rPr>
              <w:t>最终结算单价</w:t>
            </w:r>
          </w:p>
        </w:tc>
        <w:tc>
          <w:tcPr>
            <w:tcW w:w="1070" w:type="dxa"/>
            <w:vAlign w:val="center"/>
          </w:tcPr>
          <w:p w14:paraId="6F920655">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r>
      <w:tr w14:paraId="6CC0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trPr>
        <w:tc>
          <w:tcPr>
            <w:tcW w:w="620" w:type="dxa"/>
          </w:tcPr>
          <w:p w14:paraId="1F91A4B2">
            <w:pPr>
              <w:pStyle w:val="110"/>
              <w:spacing w:line="360" w:lineRule="auto"/>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w:t>
            </w:r>
          </w:p>
        </w:tc>
        <w:tc>
          <w:tcPr>
            <w:tcW w:w="1625" w:type="dxa"/>
            <w:vAlign w:val="center"/>
          </w:tcPr>
          <w:p w14:paraId="437F1A9E">
            <w:pPr>
              <w:spacing w:line="360" w:lineRule="auto"/>
              <w:rPr>
                <w:rFonts w:ascii="仿宋_GB2312" w:hAnsi="仿宋" w:eastAsia="仿宋_GB2312"/>
                <w:color w:val="auto"/>
                <w:sz w:val="28"/>
                <w:szCs w:val="28"/>
                <w:highlight w:val="none"/>
              </w:rPr>
            </w:pPr>
          </w:p>
        </w:tc>
        <w:tc>
          <w:tcPr>
            <w:tcW w:w="1189" w:type="dxa"/>
            <w:vAlign w:val="center"/>
          </w:tcPr>
          <w:p w14:paraId="5954B2DC">
            <w:pPr>
              <w:spacing w:line="360" w:lineRule="auto"/>
              <w:rPr>
                <w:rFonts w:ascii="宋体" w:hAnsi="宋体"/>
                <w:color w:val="auto"/>
                <w:sz w:val="24"/>
                <w:highlight w:val="none"/>
              </w:rPr>
            </w:pPr>
          </w:p>
        </w:tc>
        <w:tc>
          <w:tcPr>
            <w:tcW w:w="1581" w:type="dxa"/>
            <w:vAlign w:val="center"/>
          </w:tcPr>
          <w:p w14:paraId="356C6ED6">
            <w:pPr>
              <w:spacing w:line="360" w:lineRule="auto"/>
              <w:rPr>
                <w:rFonts w:ascii="宋体" w:hAnsi="宋体"/>
                <w:color w:val="auto"/>
                <w:sz w:val="24"/>
                <w:highlight w:val="none"/>
              </w:rPr>
            </w:pPr>
          </w:p>
        </w:tc>
        <w:tc>
          <w:tcPr>
            <w:tcW w:w="1442" w:type="dxa"/>
            <w:vMerge w:val="restart"/>
            <w:vAlign w:val="center"/>
          </w:tcPr>
          <w:p w14:paraId="372EC6CE">
            <w:pPr>
              <w:spacing w:line="360" w:lineRule="auto"/>
              <w:ind w:firstLine="960" w:firstLineChars="400"/>
              <w:rPr>
                <w:rFonts w:ascii="宋体" w:hAnsi="宋体"/>
                <w:color w:val="auto"/>
                <w:sz w:val="24"/>
                <w:highlight w:val="none"/>
              </w:rPr>
            </w:pPr>
            <w:r>
              <w:rPr>
                <w:rFonts w:hint="eastAsia" w:ascii="宋体" w:hAnsi="宋体"/>
                <w:color w:val="auto"/>
                <w:sz w:val="24"/>
                <w:highlight w:val="none"/>
              </w:rPr>
              <w:t>%</w:t>
            </w:r>
          </w:p>
        </w:tc>
        <w:tc>
          <w:tcPr>
            <w:tcW w:w="1070" w:type="dxa"/>
            <w:vAlign w:val="center"/>
          </w:tcPr>
          <w:p w14:paraId="539186FB">
            <w:pPr>
              <w:spacing w:line="360" w:lineRule="auto"/>
              <w:rPr>
                <w:rFonts w:ascii="宋体" w:hAnsi="宋体"/>
                <w:color w:val="auto"/>
                <w:sz w:val="24"/>
                <w:highlight w:val="none"/>
              </w:rPr>
            </w:pPr>
          </w:p>
        </w:tc>
        <w:tc>
          <w:tcPr>
            <w:tcW w:w="1070" w:type="dxa"/>
            <w:vAlign w:val="center"/>
          </w:tcPr>
          <w:p w14:paraId="74E789B8">
            <w:pPr>
              <w:spacing w:line="360" w:lineRule="auto"/>
              <w:rPr>
                <w:rFonts w:ascii="宋体" w:hAnsi="宋体"/>
                <w:color w:val="auto"/>
                <w:sz w:val="24"/>
                <w:highlight w:val="none"/>
              </w:rPr>
            </w:pPr>
          </w:p>
        </w:tc>
      </w:tr>
      <w:tr w14:paraId="258C7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620" w:type="dxa"/>
          </w:tcPr>
          <w:p w14:paraId="388AC853">
            <w:pPr>
              <w:pStyle w:val="110"/>
              <w:spacing w:line="360" w:lineRule="auto"/>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2</w:t>
            </w:r>
          </w:p>
        </w:tc>
        <w:tc>
          <w:tcPr>
            <w:tcW w:w="1625" w:type="dxa"/>
            <w:vAlign w:val="center"/>
          </w:tcPr>
          <w:p w14:paraId="2576ED12">
            <w:pPr>
              <w:spacing w:line="360" w:lineRule="auto"/>
              <w:rPr>
                <w:rFonts w:ascii="仿宋_GB2312" w:hAnsi="仿宋" w:eastAsia="仿宋_GB2312"/>
                <w:color w:val="auto"/>
                <w:sz w:val="28"/>
                <w:szCs w:val="28"/>
                <w:highlight w:val="none"/>
              </w:rPr>
            </w:pPr>
          </w:p>
        </w:tc>
        <w:tc>
          <w:tcPr>
            <w:tcW w:w="1189" w:type="dxa"/>
            <w:vAlign w:val="center"/>
          </w:tcPr>
          <w:p w14:paraId="05B6FDE9">
            <w:pPr>
              <w:spacing w:line="360" w:lineRule="auto"/>
              <w:rPr>
                <w:rFonts w:ascii="宋体" w:hAnsi="宋体"/>
                <w:color w:val="auto"/>
                <w:sz w:val="24"/>
                <w:highlight w:val="none"/>
              </w:rPr>
            </w:pPr>
          </w:p>
        </w:tc>
        <w:tc>
          <w:tcPr>
            <w:tcW w:w="1581" w:type="dxa"/>
            <w:vAlign w:val="center"/>
          </w:tcPr>
          <w:p w14:paraId="064D0884">
            <w:pPr>
              <w:spacing w:line="360" w:lineRule="auto"/>
              <w:rPr>
                <w:rFonts w:ascii="宋体" w:hAnsi="宋体"/>
                <w:color w:val="auto"/>
                <w:sz w:val="24"/>
                <w:highlight w:val="none"/>
              </w:rPr>
            </w:pPr>
          </w:p>
        </w:tc>
        <w:tc>
          <w:tcPr>
            <w:tcW w:w="1442" w:type="dxa"/>
            <w:vMerge w:val="continue"/>
            <w:vAlign w:val="center"/>
          </w:tcPr>
          <w:p w14:paraId="1579E6BF">
            <w:pPr>
              <w:spacing w:line="360" w:lineRule="auto"/>
              <w:rPr>
                <w:rFonts w:ascii="宋体" w:hAnsi="宋体"/>
                <w:color w:val="auto"/>
                <w:sz w:val="24"/>
                <w:highlight w:val="none"/>
              </w:rPr>
            </w:pPr>
          </w:p>
        </w:tc>
        <w:tc>
          <w:tcPr>
            <w:tcW w:w="1070" w:type="dxa"/>
            <w:vAlign w:val="center"/>
          </w:tcPr>
          <w:p w14:paraId="156DC66E">
            <w:pPr>
              <w:spacing w:line="360" w:lineRule="auto"/>
              <w:rPr>
                <w:rFonts w:ascii="宋体" w:hAnsi="宋体"/>
                <w:color w:val="auto"/>
                <w:sz w:val="24"/>
                <w:highlight w:val="none"/>
              </w:rPr>
            </w:pPr>
          </w:p>
        </w:tc>
        <w:tc>
          <w:tcPr>
            <w:tcW w:w="1070" w:type="dxa"/>
            <w:vAlign w:val="center"/>
          </w:tcPr>
          <w:p w14:paraId="1D1D8E09">
            <w:pPr>
              <w:spacing w:line="360" w:lineRule="auto"/>
              <w:rPr>
                <w:rFonts w:ascii="宋体" w:hAnsi="宋体"/>
                <w:color w:val="auto"/>
                <w:sz w:val="24"/>
                <w:highlight w:val="none"/>
              </w:rPr>
            </w:pPr>
          </w:p>
        </w:tc>
      </w:tr>
      <w:tr w14:paraId="5A4AF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620" w:type="dxa"/>
            <w:vAlign w:val="center"/>
          </w:tcPr>
          <w:p w14:paraId="24C29975">
            <w:pPr>
              <w:spacing w:line="360" w:lineRule="auto"/>
              <w:jc w:val="center"/>
              <w:rPr>
                <w:rFonts w:ascii="宋体" w:hAnsi="宋体"/>
                <w:color w:val="auto"/>
                <w:sz w:val="24"/>
                <w:highlight w:val="none"/>
              </w:rPr>
            </w:pPr>
            <w:r>
              <w:rPr>
                <w:rFonts w:hint="eastAsia" w:ascii="仿宋_GB2312" w:hAnsi="仿宋" w:eastAsia="仿宋_GB2312"/>
                <w:color w:val="auto"/>
                <w:sz w:val="30"/>
                <w:szCs w:val="30"/>
                <w:highlight w:val="none"/>
              </w:rPr>
              <w:t>3</w:t>
            </w:r>
          </w:p>
        </w:tc>
        <w:tc>
          <w:tcPr>
            <w:tcW w:w="1625" w:type="dxa"/>
            <w:vAlign w:val="center"/>
          </w:tcPr>
          <w:p w14:paraId="28886036">
            <w:pPr>
              <w:spacing w:line="360" w:lineRule="auto"/>
              <w:rPr>
                <w:rFonts w:ascii="宋体" w:hAnsi="宋体"/>
                <w:color w:val="auto"/>
                <w:sz w:val="24"/>
                <w:highlight w:val="none"/>
              </w:rPr>
            </w:pPr>
          </w:p>
        </w:tc>
        <w:tc>
          <w:tcPr>
            <w:tcW w:w="1189" w:type="dxa"/>
            <w:vAlign w:val="center"/>
          </w:tcPr>
          <w:p w14:paraId="65494241">
            <w:pPr>
              <w:spacing w:line="360" w:lineRule="auto"/>
              <w:rPr>
                <w:rFonts w:ascii="宋体" w:hAnsi="宋体"/>
                <w:color w:val="auto"/>
                <w:sz w:val="24"/>
                <w:highlight w:val="none"/>
              </w:rPr>
            </w:pPr>
          </w:p>
        </w:tc>
        <w:tc>
          <w:tcPr>
            <w:tcW w:w="1581" w:type="dxa"/>
            <w:vAlign w:val="center"/>
          </w:tcPr>
          <w:p w14:paraId="69EEC46A">
            <w:pPr>
              <w:spacing w:line="360" w:lineRule="auto"/>
              <w:rPr>
                <w:rFonts w:ascii="宋体" w:hAnsi="宋体"/>
                <w:color w:val="auto"/>
                <w:sz w:val="24"/>
                <w:highlight w:val="none"/>
              </w:rPr>
            </w:pPr>
          </w:p>
        </w:tc>
        <w:tc>
          <w:tcPr>
            <w:tcW w:w="1442" w:type="dxa"/>
            <w:vMerge w:val="continue"/>
            <w:vAlign w:val="center"/>
          </w:tcPr>
          <w:p w14:paraId="16CB49E6">
            <w:pPr>
              <w:spacing w:line="360" w:lineRule="auto"/>
              <w:rPr>
                <w:rFonts w:ascii="宋体" w:hAnsi="宋体"/>
                <w:color w:val="auto"/>
                <w:sz w:val="24"/>
                <w:highlight w:val="none"/>
              </w:rPr>
            </w:pPr>
          </w:p>
        </w:tc>
        <w:tc>
          <w:tcPr>
            <w:tcW w:w="1070" w:type="dxa"/>
            <w:vAlign w:val="center"/>
          </w:tcPr>
          <w:p w14:paraId="6611CBCC">
            <w:pPr>
              <w:spacing w:line="360" w:lineRule="auto"/>
              <w:rPr>
                <w:rFonts w:ascii="宋体" w:hAnsi="宋体"/>
                <w:color w:val="auto"/>
                <w:sz w:val="24"/>
                <w:highlight w:val="none"/>
              </w:rPr>
            </w:pPr>
          </w:p>
        </w:tc>
        <w:tc>
          <w:tcPr>
            <w:tcW w:w="1070" w:type="dxa"/>
            <w:vAlign w:val="center"/>
          </w:tcPr>
          <w:p w14:paraId="21C68CFD">
            <w:pPr>
              <w:spacing w:line="360" w:lineRule="auto"/>
              <w:rPr>
                <w:rFonts w:ascii="宋体" w:hAnsi="宋体"/>
                <w:color w:val="auto"/>
                <w:sz w:val="24"/>
                <w:highlight w:val="none"/>
              </w:rPr>
            </w:pPr>
          </w:p>
        </w:tc>
      </w:tr>
      <w:tr w14:paraId="1A5D4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620" w:type="dxa"/>
            <w:vAlign w:val="center"/>
          </w:tcPr>
          <w:p w14:paraId="17E728A5">
            <w:pPr>
              <w:spacing w:line="360" w:lineRule="auto"/>
              <w:rPr>
                <w:rFonts w:ascii="宋体" w:hAnsi="宋体"/>
                <w:color w:val="auto"/>
                <w:sz w:val="24"/>
                <w:highlight w:val="none"/>
              </w:rPr>
            </w:pPr>
            <w:r>
              <w:rPr>
                <w:rFonts w:hint="eastAsia" w:ascii="仿宋_GB2312" w:hAnsi="仿宋" w:eastAsia="仿宋_GB2312"/>
                <w:color w:val="auto"/>
                <w:sz w:val="30"/>
                <w:szCs w:val="30"/>
                <w:highlight w:val="none"/>
              </w:rPr>
              <w:t>…</w:t>
            </w:r>
          </w:p>
        </w:tc>
        <w:tc>
          <w:tcPr>
            <w:tcW w:w="1625" w:type="dxa"/>
            <w:vAlign w:val="center"/>
          </w:tcPr>
          <w:p w14:paraId="1BCCF63B">
            <w:pPr>
              <w:spacing w:line="360" w:lineRule="auto"/>
              <w:rPr>
                <w:rFonts w:ascii="宋体" w:hAnsi="宋体"/>
                <w:color w:val="auto"/>
                <w:sz w:val="24"/>
                <w:highlight w:val="none"/>
              </w:rPr>
            </w:pPr>
          </w:p>
        </w:tc>
        <w:tc>
          <w:tcPr>
            <w:tcW w:w="1189" w:type="dxa"/>
            <w:vAlign w:val="center"/>
          </w:tcPr>
          <w:p w14:paraId="520367BC">
            <w:pPr>
              <w:spacing w:line="360" w:lineRule="auto"/>
              <w:rPr>
                <w:rFonts w:ascii="宋体" w:hAnsi="宋体"/>
                <w:color w:val="auto"/>
                <w:sz w:val="24"/>
                <w:highlight w:val="none"/>
              </w:rPr>
            </w:pPr>
          </w:p>
        </w:tc>
        <w:tc>
          <w:tcPr>
            <w:tcW w:w="1581" w:type="dxa"/>
            <w:vAlign w:val="center"/>
          </w:tcPr>
          <w:p w14:paraId="169CF163">
            <w:pPr>
              <w:spacing w:line="360" w:lineRule="auto"/>
              <w:rPr>
                <w:rFonts w:ascii="宋体" w:hAnsi="宋体"/>
                <w:color w:val="auto"/>
                <w:sz w:val="24"/>
                <w:highlight w:val="none"/>
              </w:rPr>
            </w:pPr>
          </w:p>
        </w:tc>
        <w:tc>
          <w:tcPr>
            <w:tcW w:w="1442" w:type="dxa"/>
            <w:vMerge w:val="continue"/>
            <w:vAlign w:val="center"/>
          </w:tcPr>
          <w:p w14:paraId="1C0FC7AB">
            <w:pPr>
              <w:spacing w:line="360" w:lineRule="auto"/>
              <w:rPr>
                <w:rFonts w:ascii="宋体" w:hAnsi="宋体"/>
                <w:color w:val="auto"/>
                <w:sz w:val="24"/>
                <w:highlight w:val="none"/>
              </w:rPr>
            </w:pPr>
          </w:p>
        </w:tc>
        <w:tc>
          <w:tcPr>
            <w:tcW w:w="1070" w:type="dxa"/>
            <w:vAlign w:val="center"/>
          </w:tcPr>
          <w:p w14:paraId="51E729E0">
            <w:pPr>
              <w:spacing w:line="360" w:lineRule="auto"/>
              <w:rPr>
                <w:rFonts w:ascii="宋体" w:hAnsi="宋体"/>
                <w:color w:val="auto"/>
                <w:sz w:val="24"/>
                <w:highlight w:val="none"/>
              </w:rPr>
            </w:pPr>
          </w:p>
        </w:tc>
        <w:tc>
          <w:tcPr>
            <w:tcW w:w="1070" w:type="dxa"/>
            <w:vAlign w:val="center"/>
          </w:tcPr>
          <w:p w14:paraId="6CFCD6C4">
            <w:pPr>
              <w:spacing w:line="360" w:lineRule="auto"/>
              <w:rPr>
                <w:rFonts w:ascii="宋体" w:hAnsi="宋体"/>
                <w:color w:val="auto"/>
                <w:sz w:val="24"/>
                <w:highlight w:val="none"/>
              </w:rPr>
            </w:pPr>
          </w:p>
        </w:tc>
      </w:tr>
    </w:tbl>
    <w:p w14:paraId="24F68309">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D8C3C88">
      <w:pPr>
        <w:spacing w:line="360" w:lineRule="auto"/>
        <w:ind w:left="435"/>
        <w:rPr>
          <w:rFonts w:ascii="宋体" w:hAnsi="宋体"/>
          <w:color w:val="auto"/>
          <w:szCs w:val="21"/>
          <w:highlight w:val="none"/>
        </w:rPr>
      </w:pPr>
      <w:r>
        <w:rPr>
          <w:rFonts w:hint="eastAsia" w:ascii="宋体" w:hAnsi="宋体"/>
          <w:color w:val="auto"/>
          <w:szCs w:val="21"/>
          <w:highlight w:val="none"/>
        </w:rPr>
        <w:t>1. 本表为《开标一览表》的报价明细表，如有缺项、漏项，视为投标报价中已包含相关费用，采购人无需另外支付任何费用。</w:t>
      </w:r>
    </w:p>
    <w:p w14:paraId="1FAF0764">
      <w:pPr>
        <w:ind w:firstLine="420" w:firstLineChars="200"/>
        <w:rPr>
          <w:rFonts w:hint="eastAsia" w:ascii="宋体"/>
          <w:color w:val="auto"/>
          <w:szCs w:val="21"/>
          <w:highlight w:val="none"/>
          <w:lang w:val="zh-CN"/>
        </w:rPr>
      </w:pPr>
      <w:r>
        <w:rPr>
          <w:rFonts w:hint="eastAsia" w:ascii="宋体" w:hAnsi="宋体"/>
          <w:color w:val="auto"/>
          <w:szCs w:val="21"/>
          <w:highlight w:val="none"/>
        </w:rPr>
        <w:t>2</w:t>
      </w:r>
      <w:r>
        <w:rPr>
          <w:rFonts w:hint="eastAsia" w:ascii="宋体"/>
          <w:color w:val="auto"/>
          <w:szCs w:val="21"/>
          <w:highlight w:val="none"/>
          <w:lang w:val="zh-CN"/>
        </w:rPr>
        <w:t>.“报价明细表”中的投标总报价（结算率）应与“开标一览表”中的投标总报价（结算率）相一致，不一致时，以开标一览表为准。</w:t>
      </w:r>
    </w:p>
    <w:p w14:paraId="63F739D0">
      <w:pPr>
        <w:ind w:firstLine="420" w:firstLineChars="200"/>
        <w:rPr>
          <w:rFonts w:hint="eastAsia" w:ascii="宋体"/>
          <w:color w:val="auto"/>
          <w:szCs w:val="21"/>
          <w:highlight w:val="none"/>
          <w:lang w:val="zh-CN"/>
        </w:rPr>
      </w:pPr>
      <w:r>
        <w:rPr>
          <w:rFonts w:hint="eastAsia" w:ascii="宋体"/>
          <w:color w:val="auto"/>
          <w:szCs w:val="21"/>
          <w:highlight w:val="none"/>
          <w:lang w:val="zh-CN"/>
        </w:rPr>
        <w:t>3.各投标供应商根据投标总报价（结算率）与2024年电子监控、基础及管路项目（第二次重新招标）内容清单自行填写，格式参考本附件。</w:t>
      </w:r>
    </w:p>
    <w:p w14:paraId="36437E13">
      <w:pPr>
        <w:ind w:firstLine="420" w:firstLineChars="200"/>
        <w:rPr>
          <w:rFonts w:hint="eastAsia" w:ascii="宋体"/>
          <w:color w:val="auto"/>
          <w:szCs w:val="21"/>
          <w:highlight w:val="none"/>
          <w:lang w:val="zh-CN"/>
        </w:rPr>
      </w:pPr>
      <w:r>
        <w:rPr>
          <w:rFonts w:hint="eastAsia" w:ascii="宋体"/>
          <w:color w:val="auto"/>
          <w:szCs w:val="21"/>
          <w:highlight w:val="none"/>
          <w:lang w:val="zh-CN"/>
        </w:rPr>
        <w:t>▲4.各投标人在投标报价时应综合考虑各项目综合单价的高低水平做总体下浮，以结算率方式结算。综合单价参照招标文件中的价格，成交单价=综合单价*成交结算率，结算时不以某项单价偏低而要求调整。</w:t>
      </w:r>
    </w:p>
    <w:p w14:paraId="5F99806B">
      <w:pPr>
        <w:ind w:firstLine="420" w:firstLineChars="200"/>
        <w:rPr>
          <w:rFonts w:hint="eastAsia" w:ascii="宋体"/>
          <w:color w:val="auto"/>
          <w:szCs w:val="21"/>
          <w:highlight w:val="none"/>
          <w:lang w:val="zh-CN"/>
        </w:rPr>
      </w:pPr>
      <w:r>
        <w:rPr>
          <w:rFonts w:hint="eastAsia" w:ascii="宋体"/>
          <w:color w:val="auto"/>
          <w:szCs w:val="21"/>
          <w:highlight w:val="none"/>
          <w:lang w:val="zh-CN"/>
        </w:rPr>
        <w:t>5.最终的结算价（最终结算金额=改造维护数量*成交单价，成交单价=综合单价*成交结算率）</w:t>
      </w:r>
    </w:p>
    <w:p w14:paraId="3C10A5B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21624522">
      <w:pPr>
        <w:spacing w:line="360" w:lineRule="auto"/>
        <w:ind w:left="420"/>
        <w:rPr>
          <w:rFonts w:ascii="宋体" w:hAnsi="宋体"/>
          <w:color w:val="auto"/>
          <w:sz w:val="24"/>
          <w:highlight w:val="none"/>
        </w:rPr>
      </w:pPr>
    </w:p>
    <w:p w14:paraId="3B5456DF">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7D201215">
      <w:pPr>
        <w:spacing w:line="360" w:lineRule="auto"/>
        <w:ind w:firstLine="435"/>
        <w:rPr>
          <w:rFonts w:ascii="宋体" w:hAnsi="宋体"/>
          <w:color w:val="auto"/>
          <w:sz w:val="24"/>
          <w:highlight w:val="none"/>
        </w:rPr>
      </w:pPr>
    </w:p>
    <w:p w14:paraId="3D33C8F8">
      <w:pPr>
        <w:spacing w:line="360" w:lineRule="auto"/>
        <w:ind w:firstLine="435"/>
        <w:jc w:val="left"/>
        <w:rPr>
          <w:rFonts w:ascii="宋体" w:hAnsi="宋体"/>
          <w:color w:val="auto"/>
          <w:sz w:val="24"/>
          <w:highlight w:val="none"/>
        </w:rPr>
      </w:pPr>
      <w:r>
        <w:rPr>
          <w:rFonts w:hint="eastAsia" w:ascii="宋体" w:hAnsi="宋体"/>
          <w:color w:val="auto"/>
          <w:sz w:val="24"/>
          <w:highlight w:val="none"/>
        </w:rPr>
        <w:t>职        务：</w:t>
      </w:r>
    </w:p>
    <w:p w14:paraId="4D3D4725">
      <w:pPr>
        <w:spacing w:line="360" w:lineRule="auto"/>
        <w:ind w:left="42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rPr>
        <w:br w:type="page"/>
      </w:r>
    </w:p>
    <w:p w14:paraId="68EA95C2">
      <w:pPr>
        <w:snapToGrid w:val="0"/>
        <w:spacing w:before="159"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附件17</w:t>
      </w:r>
    </w:p>
    <w:p w14:paraId="738AA776">
      <w:pPr>
        <w:keepNext w:val="0"/>
        <w:keepLines w:val="0"/>
        <w:pageBreakBefore w:val="0"/>
        <w:widowControl/>
        <w:suppressLineNumbers w:val="0"/>
        <w:kinsoku/>
        <w:wordWrap/>
        <w:overflowPunct/>
        <w:topLinePunct w:val="0"/>
        <w:autoSpaceDE/>
        <w:autoSpaceDN/>
        <w:bidi w:val="0"/>
        <w:adjustRightInd/>
        <w:snapToGrid/>
        <w:ind w:firstLine="643" w:firstLineChars="200"/>
        <w:jc w:val="center"/>
        <w:textAlignment w:val="auto"/>
        <w:rPr>
          <w:rFonts w:hint="eastAsia" w:ascii="宋体" w:hAnsi="宋体" w:eastAsia="宋体" w:cs="宋体"/>
          <w:i w:val="0"/>
          <w:iCs w:val="0"/>
          <w:color w:val="auto"/>
          <w:sz w:val="32"/>
          <w:szCs w:val="32"/>
          <w:highlight w:val="none"/>
        </w:rPr>
      </w:pPr>
      <w:r>
        <w:rPr>
          <w:rFonts w:hint="eastAsia" w:ascii="宋体" w:hAnsi="宋体" w:eastAsia="宋体" w:cs="宋体"/>
          <w:b/>
          <w:bCs/>
          <w:i w:val="0"/>
          <w:iCs w:val="0"/>
          <w:color w:val="auto"/>
          <w:kern w:val="0"/>
          <w:sz w:val="32"/>
          <w:szCs w:val="32"/>
          <w:highlight w:val="none"/>
          <w:lang w:val="en-US" w:eastAsia="zh-CN" w:bidi="ar"/>
        </w:rPr>
        <w:t>中小企业声明函</w:t>
      </w:r>
    </w:p>
    <w:p w14:paraId="0833CD4F">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kern w:val="0"/>
          <w:sz w:val="24"/>
          <w:szCs w:val="24"/>
          <w:highlight w:val="none"/>
          <w:lang w:val="en-US" w:eastAsia="zh-CN" w:bidi="ar"/>
        </w:rPr>
      </w:pPr>
      <w:r>
        <w:rPr>
          <w:rFonts w:hint="eastAsia" w:ascii="宋体" w:hAnsi="宋体" w:eastAsia="宋体" w:cs="宋体"/>
          <w:i w:val="0"/>
          <w:iCs w:val="0"/>
          <w:color w:val="auto"/>
          <w:kern w:val="0"/>
          <w:sz w:val="24"/>
          <w:szCs w:val="24"/>
          <w:highlight w:val="none"/>
          <w:lang w:val="en-US" w:eastAsia="zh-CN" w:bidi="ar"/>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0C44534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1.</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cs="宋体"/>
          <w:i w:val="0"/>
          <w:iCs w:val="0"/>
          <w:color w:val="auto"/>
          <w:kern w:val="0"/>
          <w:sz w:val="24"/>
          <w:szCs w:val="24"/>
          <w:highlight w:val="none"/>
          <w:lang w:val="en-US" w:eastAsia="zh-CN" w:bidi="ar"/>
        </w:rPr>
        <w:t>制造商</w:t>
      </w:r>
      <w:r>
        <w:rPr>
          <w:rFonts w:hint="eastAsia" w:ascii="宋体" w:hAnsi="宋体" w:eastAsia="宋体" w:cs="宋体"/>
          <w:i w:val="0"/>
          <w:iCs w:val="0"/>
          <w:color w:val="auto"/>
          <w:kern w:val="0"/>
          <w:sz w:val="24"/>
          <w:szCs w:val="24"/>
          <w:highlight w:val="none"/>
          <w:lang w:val="en-US" w:eastAsia="zh-CN" w:bidi="ar"/>
        </w:rPr>
        <w:t>为</w:t>
      </w:r>
      <w:r>
        <w:rPr>
          <w:rFonts w:hint="eastAsia" w:ascii="宋体" w:hAnsi="宋体" w:eastAsia="宋体" w:cs="宋体"/>
          <w:i w:val="0"/>
          <w:iCs w:val="0"/>
          <w:color w:val="auto"/>
          <w:kern w:val="0"/>
          <w:sz w:val="24"/>
          <w:szCs w:val="24"/>
          <w:highlight w:val="none"/>
          <w:u w:val="single"/>
          <w:lang w:val="en-US" w:eastAsia="zh-CN" w:bidi="ar"/>
        </w:rPr>
        <w:t>（企业名称）</w:t>
      </w:r>
      <w:r>
        <w:rPr>
          <w:rFonts w:hint="eastAsia" w:ascii="宋体" w:hAnsi="宋体" w:eastAsia="宋体" w:cs="宋体"/>
          <w:i w:val="0"/>
          <w:iCs w:val="0"/>
          <w:color w:val="auto"/>
          <w:kern w:val="0"/>
          <w:sz w:val="24"/>
          <w:szCs w:val="24"/>
          <w:highlight w:val="none"/>
          <w:lang w:val="en-US" w:eastAsia="zh-CN" w:bidi="ar"/>
        </w:rPr>
        <w:t>，从业人员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万元，属于（中型企业、小型企业、微型企业）；</w:t>
      </w:r>
    </w:p>
    <w:p w14:paraId="7BFBDD2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2.</w:t>
      </w:r>
      <w:r>
        <w:rPr>
          <w:rFonts w:hint="eastAsia" w:ascii="宋体" w:hAnsi="宋体" w:eastAsia="宋体" w:cs="宋体"/>
          <w:i w:val="0"/>
          <w:iCs w:val="0"/>
          <w:color w:val="auto"/>
          <w:kern w:val="0"/>
          <w:sz w:val="24"/>
          <w:szCs w:val="24"/>
          <w:highlight w:val="none"/>
          <w:u w:val="single"/>
          <w:lang w:val="en-US" w:eastAsia="zh-CN" w:bidi="ar"/>
        </w:rPr>
        <w:t>（标的名称）</w:t>
      </w:r>
      <w:r>
        <w:rPr>
          <w:rFonts w:hint="eastAsia" w:ascii="宋体" w:hAnsi="宋体" w:eastAsia="宋体" w:cs="宋体"/>
          <w:i w:val="0"/>
          <w:iCs w:val="0"/>
          <w:color w:val="auto"/>
          <w:kern w:val="0"/>
          <w:sz w:val="24"/>
          <w:szCs w:val="24"/>
          <w:highlight w:val="none"/>
          <w:lang w:val="en-US" w:eastAsia="zh-CN" w:bidi="ar"/>
        </w:rPr>
        <w:t>，属于</w:t>
      </w:r>
      <w:r>
        <w:rPr>
          <w:rFonts w:hint="eastAsia" w:ascii="宋体" w:hAnsi="宋体" w:eastAsia="宋体" w:cs="宋体"/>
          <w:i w:val="0"/>
          <w:iCs w:val="0"/>
          <w:color w:val="auto"/>
          <w:kern w:val="0"/>
          <w:sz w:val="24"/>
          <w:szCs w:val="24"/>
          <w:highlight w:val="none"/>
          <w:u w:val="single"/>
          <w:lang w:val="en-US" w:eastAsia="zh-CN" w:bidi="ar"/>
        </w:rPr>
        <w:t>（采购文件中明确的所属行业）</w:t>
      </w:r>
      <w:r>
        <w:rPr>
          <w:rFonts w:hint="eastAsia" w:ascii="宋体" w:hAnsi="宋体" w:eastAsia="宋体" w:cs="宋体"/>
          <w:i w:val="0"/>
          <w:iCs w:val="0"/>
          <w:color w:val="auto"/>
          <w:kern w:val="0"/>
          <w:sz w:val="24"/>
          <w:szCs w:val="24"/>
          <w:highlight w:val="none"/>
          <w:lang w:val="en-US" w:eastAsia="zh-CN" w:bidi="ar"/>
        </w:rPr>
        <w:t>；</w:t>
      </w:r>
      <w:r>
        <w:rPr>
          <w:rFonts w:hint="eastAsia" w:ascii="宋体" w:hAnsi="宋体" w:cs="宋体"/>
          <w:i w:val="0"/>
          <w:iCs w:val="0"/>
          <w:color w:val="auto"/>
          <w:kern w:val="0"/>
          <w:sz w:val="24"/>
          <w:szCs w:val="24"/>
          <w:highlight w:val="none"/>
          <w:lang w:val="en-US" w:eastAsia="zh-CN" w:bidi="ar"/>
        </w:rPr>
        <w:t>制造商</w:t>
      </w:r>
      <w:r>
        <w:rPr>
          <w:rFonts w:hint="eastAsia" w:ascii="宋体" w:hAnsi="宋体" w:eastAsia="宋体" w:cs="宋体"/>
          <w:i w:val="0"/>
          <w:iCs w:val="0"/>
          <w:color w:val="auto"/>
          <w:kern w:val="0"/>
          <w:sz w:val="24"/>
          <w:szCs w:val="24"/>
          <w:highlight w:val="none"/>
          <w:lang w:val="en-US" w:eastAsia="zh-CN" w:bidi="ar"/>
        </w:rPr>
        <w:t>为（企业名称），从业人员</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人，营业收入为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万元，资产总额为</w:t>
      </w:r>
      <w:r>
        <w:rPr>
          <w:rFonts w:hint="eastAsia" w:ascii="宋体" w:hAnsi="宋体" w:eastAsia="宋体" w:cs="宋体"/>
          <w:i w:val="0"/>
          <w:iCs w:val="0"/>
          <w:color w:val="auto"/>
          <w:kern w:val="0"/>
          <w:sz w:val="24"/>
          <w:szCs w:val="24"/>
          <w:highlight w:val="none"/>
          <w:u w:val="single"/>
          <w:lang w:val="en-US" w:eastAsia="zh-CN" w:bidi="ar"/>
        </w:rPr>
        <w:t xml:space="preserve">    </w:t>
      </w:r>
      <w:r>
        <w:rPr>
          <w:rFonts w:hint="eastAsia" w:ascii="宋体" w:hAnsi="宋体" w:eastAsia="宋体" w:cs="宋体"/>
          <w:i w:val="0"/>
          <w:iCs w:val="0"/>
          <w:color w:val="auto"/>
          <w:kern w:val="0"/>
          <w:sz w:val="24"/>
          <w:szCs w:val="24"/>
          <w:highlight w:val="none"/>
          <w:lang w:val="en-US" w:eastAsia="zh-CN" w:bidi="ar"/>
        </w:rPr>
        <w:t>万元，属于（中型企业、小型企业、微型企业）；</w:t>
      </w:r>
    </w:p>
    <w:p w14:paraId="209C216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 </w:t>
      </w:r>
    </w:p>
    <w:p w14:paraId="4A993F5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4D3C87F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本企业对上述声明内容的真实性负责。如有虚假，将依法承担相应责任。</w:t>
      </w:r>
    </w:p>
    <w:p w14:paraId="425B1516">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kern w:val="0"/>
          <w:sz w:val="24"/>
          <w:szCs w:val="24"/>
          <w:highlight w:val="none"/>
          <w:lang w:val="en-US" w:eastAsia="zh-CN" w:bidi="ar"/>
        </w:rPr>
        <w:t xml:space="preserve">企业名称（盖章）：  </w:t>
      </w:r>
    </w:p>
    <w:p w14:paraId="185CF820">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i w:val="0"/>
          <w:iCs w:val="0"/>
          <w:color w:val="auto"/>
          <w:sz w:val="24"/>
          <w:szCs w:val="24"/>
          <w:highlight w:val="none"/>
          <w:lang w:val="en-US"/>
        </w:rPr>
      </w:pPr>
      <w:r>
        <w:rPr>
          <w:rFonts w:hint="eastAsia" w:ascii="宋体" w:hAnsi="宋体" w:eastAsia="宋体" w:cs="宋体"/>
          <w:i w:val="0"/>
          <w:iCs w:val="0"/>
          <w:color w:val="auto"/>
          <w:kern w:val="0"/>
          <w:sz w:val="24"/>
          <w:szCs w:val="24"/>
          <w:highlight w:val="none"/>
          <w:lang w:val="en-US" w:eastAsia="zh-CN" w:bidi="ar"/>
        </w:rPr>
        <w:t xml:space="preserve">日 期：  </w:t>
      </w:r>
    </w:p>
    <w:p w14:paraId="392ED475">
      <w:pPr>
        <w:pStyle w:val="13"/>
        <w:rPr>
          <w:rFonts w:ascii="宋体" w:hAnsi="宋体" w:cs="宋体"/>
          <w:color w:val="auto"/>
          <w:sz w:val="24"/>
          <w:szCs w:val="24"/>
          <w:highlight w:val="none"/>
        </w:rPr>
      </w:pPr>
    </w:p>
    <w:p w14:paraId="72041E5B">
      <w:pPr>
        <w:pStyle w:val="13"/>
        <w:rPr>
          <w:rFonts w:ascii="宋体" w:hAnsi="宋体" w:cs="宋体"/>
          <w:color w:val="auto"/>
          <w:sz w:val="24"/>
          <w:szCs w:val="24"/>
          <w:highlight w:val="none"/>
        </w:rPr>
      </w:pPr>
    </w:p>
    <w:p w14:paraId="2A26F6AC">
      <w:pPr>
        <w:spacing w:line="360" w:lineRule="auto"/>
        <w:rPr>
          <w:rFonts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0" distR="0" simplePos="0" relativeHeight="251664384" behindDoc="0" locked="0" layoutInCell="1" allowOverlap="1">
                <wp:simplePos x="0" y="0"/>
                <wp:positionH relativeFrom="column">
                  <wp:posOffset>5080</wp:posOffset>
                </wp:positionH>
                <wp:positionV relativeFrom="paragraph">
                  <wp:posOffset>209550</wp:posOffset>
                </wp:positionV>
                <wp:extent cx="2984500" cy="0"/>
                <wp:effectExtent l="0" t="7620" r="2540" b="15240"/>
                <wp:wrapNone/>
                <wp:docPr id="1" name="直接连接符 3"/>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ln>
                      </wps:spPr>
                      <wps:bodyPr/>
                    </wps:wsp>
                  </a:graphicData>
                </a:graphic>
              </wp:anchor>
            </w:drawing>
          </mc:Choice>
          <mc:Fallback>
            <w:pict>
              <v:line id="直接连接符 3" o:spid="_x0000_s1026" o:spt="20" style="position:absolute;left:0pt;margin-left:0.4pt;margin-top:16.5pt;height:0pt;width:235pt;z-index:25166438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&#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NFKqV0wAAAAYBAAAPAAAAAAAAAAEAIAAAACIAAABk&#10;cnMvZG93bnJldi54bWxQSwECFAAUAAAACACHTuJADbO+CdIBAACPAwAADgAAAAAAAAABACAAAAAi&#10;AQAAZHJzL2Uyb0RvYy54bWxQSwUGAAAAAAYABgBZAQAAZgUAAAAA&#10;">
                <v:fill on="f" focussize="0,0"/>
                <v:stroke weight="1.25pt" color="#000000" joinstyle="miter"/>
                <v:imagedata o:title=""/>
                <o:lock v:ext="edit" aspectratio="f"/>
              </v:line>
            </w:pict>
          </mc:Fallback>
        </mc:AlternateContent>
      </w:r>
    </w:p>
    <w:p w14:paraId="55D6C7CB">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2BEBD31F">
      <w:pPr>
        <w:rPr>
          <w:rFonts w:ascii="宋体" w:hAnsi="宋体" w:cs="宋体"/>
          <w:b/>
          <w:color w:val="auto"/>
          <w:sz w:val="24"/>
          <w:highlight w:val="none"/>
          <w:lang w:val="en-GB"/>
        </w:rPr>
      </w:pPr>
      <w:r>
        <w:rPr>
          <w:rFonts w:hint="eastAsia" w:ascii="宋体" w:hAnsi="宋体" w:cs="宋体"/>
          <w:b/>
          <w:color w:val="auto"/>
          <w:sz w:val="24"/>
          <w:highlight w:val="none"/>
          <w:lang w:val="en-GB"/>
        </w:rPr>
        <w:br w:type="page"/>
      </w:r>
    </w:p>
    <w:p w14:paraId="77C64E63">
      <w:pPr>
        <w:snapToGrid w:val="0"/>
        <w:spacing w:before="159" w:beforeLines="50" w:after="50" w:line="360" w:lineRule="auto"/>
        <w:rPr>
          <w:rFonts w:ascii="宋体" w:hAnsi="宋体"/>
          <w:b/>
          <w:color w:val="auto"/>
          <w:sz w:val="28"/>
          <w:szCs w:val="28"/>
          <w:highlight w:val="none"/>
        </w:rPr>
      </w:pPr>
      <w:r>
        <w:rPr>
          <w:rFonts w:hint="eastAsia" w:ascii="宋体" w:hAnsi="宋体"/>
          <w:b/>
          <w:color w:val="auto"/>
          <w:sz w:val="28"/>
          <w:highlight w:val="none"/>
        </w:rPr>
        <w:t>附件18</w:t>
      </w:r>
    </w:p>
    <w:p w14:paraId="07457ED7">
      <w:pPr>
        <w:pStyle w:val="26"/>
        <w:spacing w:line="360" w:lineRule="auto"/>
        <w:jc w:val="center"/>
        <w:outlineLvl w:val="1"/>
        <w:rPr>
          <w:rFonts w:hAnsi="宋体" w:cs="宋体"/>
          <w:b/>
          <w:color w:val="auto"/>
          <w:sz w:val="32"/>
          <w:szCs w:val="32"/>
          <w:highlight w:val="none"/>
          <w:lang w:val="en-GB"/>
        </w:rPr>
      </w:pPr>
    </w:p>
    <w:p w14:paraId="147F3DC1">
      <w:pPr>
        <w:pStyle w:val="26"/>
        <w:spacing w:line="360" w:lineRule="auto"/>
        <w:jc w:val="center"/>
        <w:outlineLvl w:val="1"/>
        <w:rPr>
          <w:rFonts w:hAnsi="宋体" w:cs="宋体"/>
          <w:b/>
          <w:color w:val="auto"/>
          <w:sz w:val="32"/>
          <w:szCs w:val="32"/>
          <w:highlight w:val="none"/>
          <w:lang w:val="en-GB"/>
        </w:rPr>
      </w:pPr>
      <w:r>
        <w:rPr>
          <w:rFonts w:hint="eastAsia" w:hAnsi="宋体" w:cs="宋体"/>
          <w:b/>
          <w:color w:val="auto"/>
          <w:sz w:val="32"/>
          <w:szCs w:val="32"/>
          <w:highlight w:val="none"/>
          <w:lang w:val="en-GB"/>
        </w:rPr>
        <w:t>残疾人福利性单位声明函</w:t>
      </w:r>
    </w:p>
    <w:p w14:paraId="6B2E3D8F">
      <w:pPr>
        <w:spacing w:line="360" w:lineRule="auto"/>
        <w:ind w:firstLine="480" w:firstLineChars="200"/>
        <w:rPr>
          <w:rFonts w:ascii="宋体" w:hAnsi="宋体" w:cs="宋体"/>
          <w:color w:val="auto"/>
          <w:sz w:val="24"/>
          <w:highlight w:val="none"/>
        </w:rPr>
      </w:pPr>
    </w:p>
    <w:p w14:paraId="2E4D58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7A624C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3E8CA86B">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CF22C52">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67356380">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23F856CC">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7C207B99">
      <w:pPr>
        <w:snapToGrid w:val="0"/>
        <w:spacing w:before="159" w:beforeLines="50" w:after="50" w:line="360" w:lineRule="auto"/>
        <w:rPr>
          <w:rFonts w:ascii="宋体" w:hAnsi="宋体"/>
          <w:b/>
          <w:color w:val="auto"/>
          <w:sz w:val="28"/>
          <w:highlight w:val="none"/>
        </w:rPr>
      </w:pPr>
    </w:p>
    <w:p w14:paraId="030FFA96">
      <w:pPr>
        <w:rPr>
          <w:rFonts w:ascii="仿宋" w:hAnsi="仿宋"/>
          <w:color w:val="auto"/>
          <w:highlight w:val="none"/>
        </w:rPr>
      </w:pPr>
      <w:r>
        <w:rPr>
          <w:rFonts w:ascii="仿宋" w:hAnsi="仿宋"/>
          <w:color w:val="auto"/>
          <w:highlight w:val="none"/>
        </w:rPr>
        <w:br w:type="page"/>
      </w:r>
    </w:p>
    <w:p w14:paraId="1E0B199C">
      <w:pPr>
        <w:snapToGrid w:val="0"/>
        <w:spacing w:before="159" w:beforeLines="50" w:after="50" w:line="360" w:lineRule="auto"/>
        <w:rPr>
          <w:rFonts w:hint="eastAsia" w:ascii="宋体" w:hAnsi="宋体" w:eastAsia="宋体"/>
          <w:b/>
          <w:color w:val="auto"/>
          <w:sz w:val="28"/>
          <w:szCs w:val="28"/>
          <w:highlight w:val="none"/>
          <w:lang w:val="en-US" w:eastAsia="zh-CN"/>
        </w:rPr>
      </w:pPr>
      <w:r>
        <w:rPr>
          <w:rFonts w:hint="eastAsia" w:ascii="宋体" w:hAnsi="宋体"/>
          <w:b/>
          <w:color w:val="auto"/>
          <w:sz w:val="28"/>
          <w:highlight w:val="none"/>
        </w:rPr>
        <w:t>附件1</w:t>
      </w:r>
      <w:r>
        <w:rPr>
          <w:rFonts w:hint="eastAsia" w:ascii="宋体" w:hAnsi="宋体"/>
          <w:b/>
          <w:color w:val="auto"/>
          <w:sz w:val="28"/>
          <w:highlight w:val="none"/>
          <w:lang w:val="en-US" w:eastAsia="zh-CN"/>
        </w:rPr>
        <w:t>9</w:t>
      </w:r>
    </w:p>
    <w:p w14:paraId="6182477C">
      <w:pPr>
        <w:pStyle w:val="2"/>
        <w:numPr>
          <w:ilvl w:val="0"/>
          <w:numId w:val="0"/>
        </w:numPr>
        <w:jc w:val="center"/>
        <w:rPr>
          <w:rFonts w:hint="default" w:ascii="宋体" w:hAnsi="宋体" w:eastAsia="宋体" w:cs="Times New Roman"/>
          <w:b/>
          <w:bCs w:val="0"/>
          <w:color w:val="auto"/>
          <w:kern w:val="2"/>
          <w:sz w:val="32"/>
          <w:szCs w:val="32"/>
          <w:highlight w:val="none"/>
          <w:lang w:val="en-US" w:eastAsia="zh-CN" w:bidi="ar-SA"/>
        </w:rPr>
      </w:pPr>
      <w:r>
        <w:rPr>
          <w:rFonts w:hint="default" w:ascii="宋体" w:hAnsi="宋体" w:eastAsia="宋体" w:cs="Times New Roman"/>
          <w:b/>
          <w:bCs w:val="0"/>
          <w:color w:val="auto"/>
          <w:kern w:val="2"/>
          <w:sz w:val="32"/>
          <w:szCs w:val="32"/>
          <w:highlight w:val="none"/>
          <w:lang w:val="en-US" w:eastAsia="zh-CN" w:bidi="ar-SA"/>
        </w:rPr>
        <w:t>产品适用政府采购政策情况表</w:t>
      </w:r>
    </w:p>
    <w:tbl>
      <w:tblPr>
        <w:tblStyle w:val="46"/>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173"/>
        <w:gridCol w:w="36"/>
        <w:gridCol w:w="106"/>
        <w:gridCol w:w="1095"/>
        <w:gridCol w:w="15"/>
        <w:gridCol w:w="63"/>
        <w:gridCol w:w="924"/>
        <w:gridCol w:w="16"/>
        <w:gridCol w:w="58"/>
        <w:gridCol w:w="1702"/>
        <w:gridCol w:w="1214"/>
      </w:tblGrid>
      <w:tr w14:paraId="29C4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2615" w:type="dxa"/>
            <w:vMerge w:val="restart"/>
            <w:noWrap w:val="0"/>
            <w:vAlign w:val="center"/>
          </w:tcPr>
          <w:p w14:paraId="0301EF41">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小型、微型企业产品</w:t>
            </w:r>
          </w:p>
        </w:tc>
        <w:tc>
          <w:tcPr>
            <w:tcW w:w="1173" w:type="dxa"/>
            <w:noWrap w:val="0"/>
            <w:vAlign w:val="center"/>
          </w:tcPr>
          <w:p w14:paraId="4F686CFB">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37" w:type="dxa"/>
            <w:gridSpan w:val="3"/>
            <w:noWrap w:val="0"/>
            <w:vAlign w:val="center"/>
          </w:tcPr>
          <w:p w14:paraId="01B197CA">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02" w:type="dxa"/>
            <w:gridSpan w:val="3"/>
            <w:noWrap w:val="0"/>
            <w:vAlign w:val="center"/>
          </w:tcPr>
          <w:p w14:paraId="3BEFC7B9">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76" w:type="dxa"/>
            <w:gridSpan w:val="3"/>
            <w:noWrap w:val="0"/>
            <w:vAlign w:val="center"/>
          </w:tcPr>
          <w:p w14:paraId="7F08562F">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w:t>
            </w:r>
          </w:p>
        </w:tc>
        <w:tc>
          <w:tcPr>
            <w:tcW w:w="1214" w:type="dxa"/>
            <w:noWrap w:val="0"/>
            <w:vAlign w:val="center"/>
          </w:tcPr>
          <w:p w14:paraId="265BEEF8">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14:paraId="6D8FA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3EE26067">
            <w:pPr>
              <w:pStyle w:val="571"/>
              <w:tabs>
                <w:tab w:val="left" w:pos="1260"/>
              </w:tabs>
              <w:snapToGrid w:val="0"/>
              <w:spacing w:line="360" w:lineRule="auto"/>
              <w:jc w:val="center"/>
              <w:rPr>
                <w:rFonts w:ascii="宋体" w:hAnsi="宋体" w:cs="宋体"/>
                <w:color w:val="auto"/>
                <w:szCs w:val="21"/>
                <w:highlight w:val="none"/>
                <w:lang w:val="en-GB"/>
              </w:rPr>
            </w:pPr>
          </w:p>
        </w:tc>
        <w:tc>
          <w:tcPr>
            <w:tcW w:w="1173" w:type="dxa"/>
            <w:noWrap w:val="0"/>
            <w:vAlign w:val="center"/>
          </w:tcPr>
          <w:p w14:paraId="0348E29B">
            <w:pPr>
              <w:pStyle w:val="571"/>
              <w:tabs>
                <w:tab w:val="left" w:pos="1260"/>
              </w:tabs>
              <w:snapToGrid w:val="0"/>
              <w:spacing w:line="360" w:lineRule="auto"/>
              <w:jc w:val="center"/>
              <w:rPr>
                <w:rFonts w:ascii="宋体" w:hAnsi="宋体" w:cs="宋体"/>
                <w:color w:val="auto"/>
                <w:szCs w:val="21"/>
                <w:highlight w:val="none"/>
                <w:lang w:val="en-GB"/>
              </w:rPr>
            </w:pPr>
          </w:p>
        </w:tc>
        <w:tc>
          <w:tcPr>
            <w:tcW w:w="1237" w:type="dxa"/>
            <w:gridSpan w:val="3"/>
            <w:noWrap w:val="0"/>
            <w:vAlign w:val="center"/>
          </w:tcPr>
          <w:p w14:paraId="10087425">
            <w:pPr>
              <w:pStyle w:val="571"/>
              <w:tabs>
                <w:tab w:val="left" w:pos="1260"/>
              </w:tabs>
              <w:snapToGrid w:val="0"/>
              <w:spacing w:line="360" w:lineRule="auto"/>
              <w:jc w:val="center"/>
              <w:rPr>
                <w:rFonts w:ascii="宋体" w:hAnsi="宋体" w:cs="宋体"/>
                <w:color w:val="auto"/>
                <w:szCs w:val="21"/>
                <w:highlight w:val="none"/>
                <w:lang w:val="en-GB"/>
              </w:rPr>
            </w:pPr>
          </w:p>
        </w:tc>
        <w:tc>
          <w:tcPr>
            <w:tcW w:w="1002" w:type="dxa"/>
            <w:gridSpan w:val="3"/>
            <w:noWrap w:val="0"/>
            <w:vAlign w:val="center"/>
          </w:tcPr>
          <w:p w14:paraId="44171CC0">
            <w:pPr>
              <w:pStyle w:val="571"/>
              <w:tabs>
                <w:tab w:val="left" w:pos="1260"/>
              </w:tabs>
              <w:snapToGrid w:val="0"/>
              <w:spacing w:line="360" w:lineRule="auto"/>
              <w:jc w:val="center"/>
              <w:rPr>
                <w:rFonts w:ascii="宋体" w:hAnsi="宋体" w:cs="宋体"/>
                <w:color w:val="auto"/>
                <w:szCs w:val="21"/>
                <w:highlight w:val="none"/>
                <w:lang w:val="en-GB"/>
              </w:rPr>
            </w:pPr>
          </w:p>
        </w:tc>
        <w:tc>
          <w:tcPr>
            <w:tcW w:w="1776" w:type="dxa"/>
            <w:gridSpan w:val="3"/>
            <w:noWrap w:val="0"/>
            <w:vAlign w:val="center"/>
          </w:tcPr>
          <w:p w14:paraId="7B065C49">
            <w:pPr>
              <w:pStyle w:val="571"/>
              <w:tabs>
                <w:tab w:val="left" w:pos="1260"/>
              </w:tabs>
              <w:snapToGrid w:val="0"/>
              <w:spacing w:line="360" w:lineRule="auto"/>
              <w:jc w:val="center"/>
              <w:rPr>
                <w:rFonts w:ascii="宋体" w:hAnsi="宋体" w:cs="宋体"/>
                <w:color w:val="auto"/>
                <w:szCs w:val="21"/>
                <w:highlight w:val="none"/>
                <w:lang w:val="en-GB"/>
              </w:rPr>
            </w:pPr>
          </w:p>
        </w:tc>
        <w:tc>
          <w:tcPr>
            <w:tcW w:w="1214" w:type="dxa"/>
            <w:noWrap w:val="0"/>
            <w:vAlign w:val="center"/>
          </w:tcPr>
          <w:p w14:paraId="13D2C194">
            <w:pPr>
              <w:pStyle w:val="571"/>
              <w:tabs>
                <w:tab w:val="left" w:pos="1260"/>
              </w:tabs>
              <w:snapToGrid w:val="0"/>
              <w:spacing w:line="360" w:lineRule="auto"/>
              <w:jc w:val="center"/>
              <w:rPr>
                <w:rFonts w:ascii="宋体" w:hAnsi="宋体" w:cs="宋体"/>
                <w:color w:val="auto"/>
                <w:szCs w:val="21"/>
                <w:highlight w:val="none"/>
                <w:lang w:val="en-GB"/>
              </w:rPr>
            </w:pPr>
          </w:p>
        </w:tc>
      </w:tr>
      <w:tr w14:paraId="407AD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32086A1C">
            <w:pPr>
              <w:pStyle w:val="571"/>
              <w:tabs>
                <w:tab w:val="left" w:pos="1260"/>
              </w:tabs>
              <w:snapToGrid w:val="0"/>
              <w:spacing w:line="360" w:lineRule="auto"/>
              <w:jc w:val="center"/>
              <w:rPr>
                <w:rFonts w:ascii="宋体" w:hAnsi="宋体" w:cs="宋体"/>
                <w:color w:val="auto"/>
                <w:szCs w:val="21"/>
                <w:highlight w:val="none"/>
                <w:lang w:val="en-GB"/>
              </w:rPr>
            </w:pPr>
          </w:p>
        </w:tc>
        <w:tc>
          <w:tcPr>
            <w:tcW w:w="1173" w:type="dxa"/>
            <w:noWrap w:val="0"/>
            <w:vAlign w:val="center"/>
          </w:tcPr>
          <w:p w14:paraId="6E1F7CC0">
            <w:pPr>
              <w:pStyle w:val="571"/>
              <w:tabs>
                <w:tab w:val="left" w:pos="1260"/>
              </w:tabs>
              <w:snapToGrid w:val="0"/>
              <w:spacing w:line="360" w:lineRule="auto"/>
              <w:jc w:val="center"/>
              <w:rPr>
                <w:rFonts w:ascii="宋体" w:hAnsi="宋体" w:cs="宋体"/>
                <w:color w:val="auto"/>
                <w:szCs w:val="21"/>
                <w:highlight w:val="none"/>
                <w:lang w:val="en-GB"/>
              </w:rPr>
            </w:pPr>
          </w:p>
        </w:tc>
        <w:tc>
          <w:tcPr>
            <w:tcW w:w="1237" w:type="dxa"/>
            <w:gridSpan w:val="3"/>
            <w:noWrap w:val="0"/>
            <w:vAlign w:val="center"/>
          </w:tcPr>
          <w:p w14:paraId="55EFD07C">
            <w:pPr>
              <w:pStyle w:val="571"/>
              <w:tabs>
                <w:tab w:val="left" w:pos="1260"/>
              </w:tabs>
              <w:snapToGrid w:val="0"/>
              <w:spacing w:line="360" w:lineRule="auto"/>
              <w:jc w:val="center"/>
              <w:rPr>
                <w:rFonts w:ascii="宋体" w:hAnsi="宋体" w:cs="宋体"/>
                <w:color w:val="auto"/>
                <w:szCs w:val="21"/>
                <w:highlight w:val="none"/>
                <w:lang w:val="en-GB"/>
              </w:rPr>
            </w:pPr>
          </w:p>
        </w:tc>
        <w:tc>
          <w:tcPr>
            <w:tcW w:w="1002" w:type="dxa"/>
            <w:gridSpan w:val="3"/>
            <w:noWrap w:val="0"/>
            <w:vAlign w:val="center"/>
          </w:tcPr>
          <w:p w14:paraId="05145722">
            <w:pPr>
              <w:pStyle w:val="571"/>
              <w:tabs>
                <w:tab w:val="left" w:pos="1260"/>
              </w:tabs>
              <w:snapToGrid w:val="0"/>
              <w:spacing w:line="360" w:lineRule="auto"/>
              <w:jc w:val="center"/>
              <w:rPr>
                <w:rFonts w:ascii="宋体" w:hAnsi="宋体" w:cs="宋体"/>
                <w:color w:val="auto"/>
                <w:szCs w:val="21"/>
                <w:highlight w:val="none"/>
                <w:lang w:val="en-GB"/>
              </w:rPr>
            </w:pPr>
          </w:p>
        </w:tc>
        <w:tc>
          <w:tcPr>
            <w:tcW w:w="1776" w:type="dxa"/>
            <w:gridSpan w:val="3"/>
            <w:noWrap w:val="0"/>
            <w:vAlign w:val="center"/>
          </w:tcPr>
          <w:p w14:paraId="122DB4E8">
            <w:pPr>
              <w:pStyle w:val="571"/>
              <w:tabs>
                <w:tab w:val="left" w:pos="1260"/>
              </w:tabs>
              <w:snapToGrid w:val="0"/>
              <w:spacing w:line="360" w:lineRule="auto"/>
              <w:jc w:val="center"/>
              <w:rPr>
                <w:rFonts w:ascii="宋体" w:hAnsi="宋体" w:cs="宋体"/>
                <w:color w:val="auto"/>
                <w:szCs w:val="21"/>
                <w:highlight w:val="none"/>
                <w:lang w:val="en-GB"/>
              </w:rPr>
            </w:pPr>
          </w:p>
        </w:tc>
        <w:tc>
          <w:tcPr>
            <w:tcW w:w="1214" w:type="dxa"/>
            <w:noWrap w:val="0"/>
            <w:vAlign w:val="center"/>
          </w:tcPr>
          <w:p w14:paraId="1E2FAB2A">
            <w:pPr>
              <w:pStyle w:val="571"/>
              <w:tabs>
                <w:tab w:val="left" w:pos="1260"/>
              </w:tabs>
              <w:snapToGrid w:val="0"/>
              <w:spacing w:line="360" w:lineRule="auto"/>
              <w:jc w:val="center"/>
              <w:rPr>
                <w:rFonts w:ascii="宋体" w:hAnsi="宋体" w:cs="宋体"/>
                <w:color w:val="auto"/>
                <w:szCs w:val="21"/>
                <w:highlight w:val="none"/>
                <w:lang w:val="en-GB"/>
              </w:rPr>
            </w:pPr>
          </w:p>
        </w:tc>
      </w:tr>
      <w:tr w14:paraId="2CF98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6D100797">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4FCB0DEC">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金额合计</w:t>
            </w:r>
          </w:p>
        </w:tc>
        <w:tc>
          <w:tcPr>
            <w:tcW w:w="1214" w:type="dxa"/>
            <w:noWrap w:val="0"/>
            <w:vAlign w:val="center"/>
          </w:tcPr>
          <w:p w14:paraId="541A4275">
            <w:pPr>
              <w:pStyle w:val="571"/>
              <w:tabs>
                <w:tab w:val="left" w:pos="1260"/>
              </w:tabs>
              <w:snapToGrid w:val="0"/>
              <w:spacing w:line="360" w:lineRule="auto"/>
              <w:jc w:val="center"/>
              <w:rPr>
                <w:rFonts w:ascii="宋体" w:hAnsi="宋体" w:cs="宋体"/>
                <w:color w:val="auto"/>
                <w:szCs w:val="21"/>
                <w:highlight w:val="none"/>
                <w:lang w:val="en-GB"/>
              </w:rPr>
            </w:pPr>
          </w:p>
        </w:tc>
      </w:tr>
      <w:tr w14:paraId="00A23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22A02E5F">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681FCE86">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w:t>
            </w:r>
            <w:r>
              <w:rPr>
                <w:rFonts w:hint="eastAsia" w:ascii="宋体" w:hAnsi="宋体" w:cs="宋体"/>
                <w:color w:val="auto"/>
                <w:szCs w:val="21"/>
                <w:highlight w:val="none"/>
              </w:rPr>
              <w:t>小型、微型企业产品</w:t>
            </w:r>
            <w:r>
              <w:rPr>
                <w:rFonts w:hint="eastAsia" w:ascii="宋体" w:hAnsi="宋体" w:cs="宋体"/>
                <w:color w:val="auto"/>
                <w:szCs w:val="21"/>
                <w:highlight w:val="none"/>
                <w:lang w:val="en-GB"/>
              </w:rPr>
              <w:t>金额/投标总价）</w:t>
            </w:r>
          </w:p>
        </w:tc>
        <w:tc>
          <w:tcPr>
            <w:tcW w:w="1214" w:type="dxa"/>
            <w:noWrap w:val="0"/>
            <w:vAlign w:val="center"/>
          </w:tcPr>
          <w:p w14:paraId="21948A3B">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14:paraId="0D5A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09693218">
            <w:pPr>
              <w:pStyle w:val="571"/>
              <w:tabs>
                <w:tab w:val="left" w:pos="1260"/>
              </w:tabs>
              <w:snapToGrid w:val="0"/>
              <w:spacing w:line="360" w:lineRule="auto"/>
              <w:jc w:val="center"/>
              <w:rPr>
                <w:rFonts w:ascii="宋体" w:hAnsi="宋体" w:cs="宋体"/>
                <w:color w:val="auto"/>
                <w:szCs w:val="21"/>
                <w:highlight w:val="none"/>
                <w:lang w:val="en-GB"/>
              </w:rPr>
            </w:pPr>
          </w:p>
        </w:tc>
        <w:tc>
          <w:tcPr>
            <w:tcW w:w="6402" w:type="dxa"/>
            <w:gridSpan w:val="11"/>
            <w:noWrap w:val="0"/>
            <w:vAlign w:val="center"/>
          </w:tcPr>
          <w:p w14:paraId="6523673C">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rPr>
              <w:t>小型、微型企业证明材料见投标文件第至页。</w:t>
            </w:r>
          </w:p>
        </w:tc>
      </w:tr>
      <w:tr w14:paraId="0516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615" w:type="dxa"/>
            <w:vMerge w:val="restart"/>
            <w:noWrap w:val="0"/>
            <w:vAlign w:val="center"/>
          </w:tcPr>
          <w:p w14:paraId="5E11F165">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p>
          <w:p w14:paraId="19A6844F">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业产品</w:t>
            </w:r>
          </w:p>
        </w:tc>
        <w:tc>
          <w:tcPr>
            <w:tcW w:w="1209" w:type="dxa"/>
            <w:gridSpan w:val="2"/>
            <w:noWrap w:val="0"/>
            <w:vAlign w:val="center"/>
          </w:tcPr>
          <w:p w14:paraId="52CA0FE2">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216" w:type="dxa"/>
            <w:gridSpan w:val="3"/>
            <w:noWrap w:val="0"/>
            <w:vAlign w:val="center"/>
          </w:tcPr>
          <w:p w14:paraId="78F97EE0">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1061" w:type="dxa"/>
            <w:gridSpan w:val="4"/>
            <w:noWrap w:val="0"/>
            <w:vAlign w:val="center"/>
          </w:tcPr>
          <w:p w14:paraId="1DB1F0C7">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02" w:type="dxa"/>
            <w:noWrap w:val="0"/>
            <w:vAlign w:val="center"/>
          </w:tcPr>
          <w:p w14:paraId="1883DB70">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14:paraId="43A0D4E2">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14" w:type="dxa"/>
            <w:noWrap w:val="0"/>
            <w:vAlign w:val="center"/>
          </w:tcPr>
          <w:p w14:paraId="18B1915C">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14:paraId="0FB31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7D7C2AFB">
            <w:pPr>
              <w:pStyle w:val="571"/>
              <w:tabs>
                <w:tab w:val="left" w:pos="1260"/>
              </w:tabs>
              <w:snapToGrid w:val="0"/>
              <w:spacing w:line="360" w:lineRule="auto"/>
              <w:jc w:val="center"/>
              <w:rPr>
                <w:rFonts w:ascii="宋体" w:hAnsi="宋体" w:cs="宋体"/>
                <w:color w:val="auto"/>
                <w:szCs w:val="21"/>
                <w:highlight w:val="none"/>
                <w:lang w:val="en-GB"/>
              </w:rPr>
            </w:pPr>
          </w:p>
        </w:tc>
        <w:tc>
          <w:tcPr>
            <w:tcW w:w="1209" w:type="dxa"/>
            <w:gridSpan w:val="2"/>
            <w:noWrap w:val="0"/>
            <w:vAlign w:val="center"/>
          </w:tcPr>
          <w:p w14:paraId="794C3288">
            <w:pPr>
              <w:pStyle w:val="571"/>
              <w:tabs>
                <w:tab w:val="left" w:pos="1260"/>
              </w:tabs>
              <w:snapToGrid w:val="0"/>
              <w:spacing w:line="360" w:lineRule="auto"/>
              <w:jc w:val="center"/>
              <w:rPr>
                <w:rFonts w:ascii="宋体" w:hAnsi="宋体" w:cs="宋体"/>
                <w:color w:val="auto"/>
                <w:szCs w:val="21"/>
                <w:highlight w:val="none"/>
              </w:rPr>
            </w:pPr>
          </w:p>
        </w:tc>
        <w:tc>
          <w:tcPr>
            <w:tcW w:w="1216" w:type="dxa"/>
            <w:gridSpan w:val="3"/>
            <w:noWrap w:val="0"/>
            <w:vAlign w:val="center"/>
          </w:tcPr>
          <w:p w14:paraId="1619D8CA">
            <w:pPr>
              <w:pStyle w:val="571"/>
              <w:tabs>
                <w:tab w:val="left" w:pos="1260"/>
              </w:tabs>
              <w:snapToGrid w:val="0"/>
              <w:spacing w:line="360" w:lineRule="auto"/>
              <w:jc w:val="center"/>
              <w:rPr>
                <w:rFonts w:ascii="宋体" w:hAnsi="宋体" w:cs="宋体"/>
                <w:color w:val="auto"/>
                <w:szCs w:val="21"/>
                <w:highlight w:val="none"/>
              </w:rPr>
            </w:pPr>
          </w:p>
        </w:tc>
        <w:tc>
          <w:tcPr>
            <w:tcW w:w="1061" w:type="dxa"/>
            <w:gridSpan w:val="4"/>
            <w:noWrap w:val="0"/>
            <w:vAlign w:val="center"/>
          </w:tcPr>
          <w:p w14:paraId="563029F3">
            <w:pPr>
              <w:pStyle w:val="571"/>
              <w:tabs>
                <w:tab w:val="left" w:pos="1260"/>
              </w:tabs>
              <w:snapToGrid w:val="0"/>
              <w:spacing w:line="360" w:lineRule="auto"/>
              <w:jc w:val="center"/>
              <w:rPr>
                <w:rFonts w:ascii="宋体" w:hAnsi="宋体" w:cs="宋体"/>
                <w:color w:val="auto"/>
                <w:szCs w:val="21"/>
                <w:highlight w:val="none"/>
              </w:rPr>
            </w:pPr>
          </w:p>
        </w:tc>
        <w:tc>
          <w:tcPr>
            <w:tcW w:w="1702" w:type="dxa"/>
            <w:noWrap w:val="0"/>
            <w:vAlign w:val="center"/>
          </w:tcPr>
          <w:p w14:paraId="3C93B353">
            <w:pPr>
              <w:pStyle w:val="571"/>
              <w:tabs>
                <w:tab w:val="left" w:pos="1260"/>
              </w:tabs>
              <w:snapToGrid w:val="0"/>
              <w:spacing w:line="360" w:lineRule="auto"/>
              <w:jc w:val="center"/>
              <w:rPr>
                <w:rFonts w:ascii="宋体" w:hAnsi="宋体" w:cs="宋体"/>
                <w:color w:val="auto"/>
                <w:szCs w:val="21"/>
                <w:highlight w:val="none"/>
              </w:rPr>
            </w:pPr>
          </w:p>
        </w:tc>
        <w:tc>
          <w:tcPr>
            <w:tcW w:w="1214" w:type="dxa"/>
            <w:noWrap w:val="0"/>
            <w:vAlign w:val="center"/>
          </w:tcPr>
          <w:p w14:paraId="71E5BE4E">
            <w:pPr>
              <w:pStyle w:val="571"/>
              <w:tabs>
                <w:tab w:val="left" w:pos="1260"/>
              </w:tabs>
              <w:snapToGrid w:val="0"/>
              <w:spacing w:line="360" w:lineRule="auto"/>
              <w:jc w:val="center"/>
              <w:rPr>
                <w:rFonts w:ascii="宋体" w:hAnsi="宋体" w:cs="宋体"/>
                <w:color w:val="auto"/>
                <w:szCs w:val="21"/>
                <w:highlight w:val="none"/>
              </w:rPr>
            </w:pPr>
          </w:p>
        </w:tc>
      </w:tr>
      <w:tr w14:paraId="7DA5B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04AB0B9D">
            <w:pPr>
              <w:pStyle w:val="571"/>
              <w:tabs>
                <w:tab w:val="left" w:pos="1260"/>
              </w:tabs>
              <w:snapToGrid w:val="0"/>
              <w:spacing w:line="360" w:lineRule="auto"/>
              <w:jc w:val="center"/>
              <w:rPr>
                <w:rFonts w:ascii="宋体" w:hAnsi="宋体" w:cs="宋体"/>
                <w:color w:val="auto"/>
                <w:szCs w:val="21"/>
                <w:highlight w:val="none"/>
                <w:lang w:val="en-GB"/>
              </w:rPr>
            </w:pPr>
          </w:p>
        </w:tc>
        <w:tc>
          <w:tcPr>
            <w:tcW w:w="1209" w:type="dxa"/>
            <w:gridSpan w:val="2"/>
            <w:noWrap w:val="0"/>
            <w:vAlign w:val="center"/>
          </w:tcPr>
          <w:p w14:paraId="35316722">
            <w:pPr>
              <w:pStyle w:val="571"/>
              <w:tabs>
                <w:tab w:val="left" w:pos="1260"/>
              </w:tabs>
              <w:snapToGrid w:val="0"/>
              <w:spacing w:line="360" w:lineRule="auto"/>
              <w:jc w:val="center"/>
              <w:rPr>
                <w:rFonts w:ascii="宋体" w:hAnsi="宋体" w:cs="宋体"/>
                <w:color w:val="auto"/>
                <w:szCs w:val="21"/>
                <w:highlight w:val="none"/>
              </w:rPr>
            </w:pPr>
          </w:p>
        </w:tc>
        <w:tc>
          <w:tcPr>
            <w:tcW w:w="1216" w:type="dxa"/>
            <w:gridSpan w:val="3"/>
            <w:noWrap w:val="0"/>
            <w:vAlign w:val="center"/>
          </w:tcPr>
          <w:p w14:paraId="3C08F7E0">
            <w:pPr>
              <w:pStyle w:val="571"/>
              <w:tabs>
                <w:tab w:val="left" w:pos="1260"/>
              </w:tabs>
              <w:snapToGrid w:val="0"/>
              <w:spacing w:line="360" w:lineRule="auto"/>
              <w:jc w:val="center"/>
              <w:rPr>
                <w:rFonts w:ascii="宋体" w:hAnsi="宋体" w:cs="宋体"/>
                <w:color w:val="auto"/>
                <w:szCs w:val="21"/>
                <w:highlight w:val="none"/>
              </w:rPr>
            </w:pPr>
          </w:p>
        </w:tc>
        <w:tc>
          <w:tcPr>
            <w:tcW w:w="1061" w:type="dxa"/>
            <w:gridSpan w:val="4"/>
            <w:noWrap w:val="0"/>
            <w:vAlign w:val="center"/>
          </w:tcPr>
          <w:p w14:paraId="6A555887">
            <w:pPr>
              <w:pStyle w:val="571"/>
              <w:tabs>
                <w:tab w:val="left" w:pos="1260"/>
              </w:tabs>
              <w:snapToGrid w:val="0"/>
              <w:spacing w:line="360" w:lineRule="auto"/>
              <w:jc w:val="center"/>
              <w:rPr>
                <w:rFonts w:ascii="宋体" w:hAnsi="宋体" w:cs="宋体"/>
                <w:color w:val="auto"/>
                <w:szCs w:val="21"/>
                <w:highlight w:val="none"/>
              </w:rPr>
            </w:pPr>
          </w:p>
        </w:tc>
        <w:tc>
          <w:tcPr>
            <w:tcW w:w="1702" w:type="dxa"/>
            <w:noWrap w:val="0"/>
            <w:vAlign w:val="center"/>
          </w:tcPr>
          <w:p w14:paraId="5E0EF496">
            <w:pPr>
              <w:pStyle w:val="571"/>
              <w:tabs>
                <w:tab w:val="left" w:pos="1260"/>
              </w:tabs>
              <w:snapToGrid w:val="0"/>
              <w:spacing w:line="360" w:lineRule="auto"/>
              <w:jc w:val="center"/>
              <w:rPr>
                <w:rFonts w:ascii="宋体" w:hAnsi="宋体" w:cs="宋体"/>
                <w:color w:val="auto"/>
                <w:szCs w:val="21"/>
                <w:highlight w:val="none"/>
              </w:rPr>
            </w:pPr>
          </w:p>
        </w:tc>
        <w:tc>
          <w:tcPr>
            <w:tcW w:w="1214" w:type="dxa"/>
            <w:noWrap w:val="0"/>
            <w:vAlign w:val="center"/>
          </w:tcPr>
          <w:p w14:paraId="738C8BF8">
            <w:pPr>
              <w:pStyle w:val="571"/>
              <w:tabs>
                <w:tab w:val="left" w:pos="1260"/>
              </w:tabs>
              <w:snapToGrid w:val="0"/>
              <w:spacing w:line="360" w:lineRule="auto"/>
              <w:jc w:val="center"/>
              <w:rPr>
                <w:rFonts w:ascii="宋体" w:hAnsi="宋体" w:cs="宋体"/>
                <w:color w:val="auto"/>
                <w:szCs w:val="21"/>
                <w:highlight w:val="none"/>
              </w:rPr>
            </w:pPr>
          </w:p>
        </w:tc>
      </w:tr>
      <w:tr w14:paraId="2C016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5C981A98">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7A6CC748">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金额合计</w:t>
            </w:r>
          </w:p>
        </w:tc>
        <w:tc>
          <w:tcPr>
            <w:tcW w:w="1214" w:type="dxa"/>
            <w:noWrap w:val="0"/>
            <w:vAlign w:val="center"/>
          </w:tcPr>
          <w:p w14:paraId="531BBEE3">
            <w:pPr>
              <w:pStyle w:val="571"/>
              <w:tabs>
                <w:tab w:val="left" w:pos="1260"/>
              </w:tabs>
              <w:snapToGrid w:val="0"/>
              <w:spacing w:line="360" w:lineRule="auto"/>
              <w:jc w:val="center"/>
              <w:rPr>
                <w:rFonts w:ascii="宋体" w:hAnsi="宋体" w:cs="宋体"/>
                <w:color w:val="auto"/>
                <w:szCs w:val="21"/>
                <w:highlight w:val="none"/>
                <w:lang w:val="en-GB"/>
              </w:rPr>
            </w:pPr>
          </w:p>
        </w:tc>
      </w:tr>
      <w:tr w14:paraId="28A2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29171E66">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746E588B">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比重（监狱企</w:t>
            </w:r>
            <w:r>
              <w:rPr>
                <w:rFonts w:hint="eastAsia" w:ascii="宋体" w:hAnsi="宋体" w:cs="宋体"/>
                <w:color w:val="auto"/>
                <w:szCs w:val="21"/>
                <w:highlight w:val="none"/>
              </w:rPr>
              <w:t>业产品</w:t>
            </w:r>
            <w:r>
              <w:rPr>
                <w:rFonts w:hint="eastAsia" w:ascii="宋体" w:hAnsi="宋体" w:cs="宋体"/>
                <w:color w:val="auto"/>
                <w:szCs w:val="21"/>
                <w:highlight w:val="none"/>
                <w:lang w:val="en-GB"/>
              </w:rPr>
              <w:t>金额/投标总价）</w:t>
            </w:r>
          </w:p>
        </w:tc>
        <w:tc>
          <w:tcPr>
            <w:tcW w:w="1214" w:type="dxa"/>
            <w:noWrap w:val="0"/>
            <w:vAlign w:val="center"/>
          </w:tcPr>
          <w:p w14:paraId="297BDAEF">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14:paraId="29CB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0FB554FD">
            <w:pPr>
              <w:pStyle w:val="571"/>
              <w:tabs>
                <w:tab w:val="left" w:pos="1260"/>
              </w:tabs>
              <w:snapToGrid w:val="0"/>
              <w:spacing w:line="360" w:lineRule="auto"/>
              <w:jc w:val="center"/>
              <w:rPr>
                <w:rFonts w:ascii="宋体" w:hAnsi="宋体" w:cs="宋体"/>
                <w:color w:val="auto"/>
                <w:szCs w:val="21"/>
                <w:highlight w:val="none"/>
                <w:lang w:val="en-GB"/>
              </w:rPr>
            </w:pPr>
          </w:p>
        </w:tc>
        <w:tc>
          <w:tcPr>
            <w:tcW w:w="6402" w:type="dxa"/>
            <w:gridSpan w:val="11"/>
            <w:noWrap w:val="0"/>
            <w:vAlign w:val="center"/>
          </w:tcPr>
          <w:p w14:paraId="36276A14">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监狱企</w:t>
            </w:r>
            <w:r>
              <w:rPr>
                <w:rFonts w:hint="eastAsia" w:ascii="宋体" w:hAnsi="宋体" w:cs="宋体"/>
                <w:color w:val="auto"/>
                <w:szCs w:val="21"/>
                <w:highlight w:val="none"/>
              </w:rPr>
              <w:t>业证明材料见投标文件第至页。</w:t>
            </w:r>
          </w:p>
        </w:tc>
      </w:tr>
      <w:tr w14:paraId="2C8C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2615" w:type="dxa"/>
            <w:vMerge w:val="restart"/>
            <w:noWrap w:val="0"/>
            <w:vAlign w:val="center"/>
          </w:tcPr>
          <w:p w14:paraId="20B9F65B">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残疾人福利性单位产品</w:t>
            </w:r>
          </w:p>
        </w:tc>
        <w:tc>
          <w:tcPr>
            <w:tcW w:w="1315" w:type="dxa"/>
            <w:gridSpan w:val="3"/>
            <w:noWrap w:val="0"/>
            <w:vAlign w:val="center"/>
          </w:tcPr>
          <w:p w14:paraId="1BB59930">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产品名称</w:t>
            </w:r>
          </w:p>
        </w:tc>
        <w:tc>
          <w:tcPr>
            <w:tcW w:w="1173" w:type="dxa"/>
            <w:gridSpan w:val="3"/>
            <w:noWrap w:val="0"/>
            <w:vAlign w:val="center"/>
          </w:tcPr>
          <w:p w14:paraId="02F6917A">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品牌型号</w:t>
            </w:r>
          </w:p>
        </w:tc>
        <w:tc>
          <w:tcPr>
            <w:tcW w:w="940" w:type="dxa"/>
            <w:gridSpan w:val="2"/>
            <w:noWrap w:val="0"/>
            <w:vAlign w:val="center"/>
          </w:tcPr>
          <w:p w14:paraId="4A30AA2C">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tc>
        <w:tc>
          <w:tcPr>
            <w:tcW w:w="1760" w:type="dxa"/>
            <w:gridSpan w:val="2"/>
            <w:noWrap w:val="0"/>
            <w:vAlign w:val="center"/>
          </w:tcPr>
          <w:p w14:paraId="0337F176">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制造商</w:t>
            </w:r>
          </w:p>
          <w:p w14:paraId="55BCB798">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企业类型</w:t>
            </w:r>
          </w:p>
        </w:tc>
        <w:tc>
          <w:tcPr>
            <w:tcW w:w="1214" w:type="dxa"/>
            <w:noWrap w:val="0"/>
            <w:vAlign w:val="center"/>
          </w:tcPr>
          <w:p w14:paraId="64A08379">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金额</w:t>
            </w:r>
          </w:p>
        </w:tc>
      </w:tr>
      <w:tr w14:paraId="5C3E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4CA2CE0D">
            <w:pPr>
              <w:pStyle w:val="571"/>
              <w:tabs>
                <w:tab w:val="left" w:pos="1260"/>
              </w:tabs>
              <w:snapToGrid w:val="0"/>
              <w:spacing w:line="360" w:lineRule="auto"/>
              <w:jc w:val="center"/>
              <w:rPr>
                <w:rFonts w:ascii="宋体" w:hAnsi="宋体" w:cs="宋体"/>
                <w:color w:val="auto"/>
                <w:szCs w:val="21"/>
                <w:highlight w:val="none"/>
                <w:lang w:val="en-GB"/>
              </w:rPr>
            </w:pPr>
          </w:p>
        </w:tc>
        <w:tc>
          <w:tcPr>
            <w:tcW w:w="1315" w:type="dxa"/>
            <w:gridSpan w:val="3"/>
            <w:noWrap w:val="0"/>
            <w:vAlign w:val="center"/>
          </w:tcPr>
          <w:p w14:paraId="3F52D3A6">
            <w:pPr>
              <w:pStyle w:val="571"/>
              <w:tabs>
                <w:tab w:val="left" w:pos="1260"/>
              </w:tabs>
              <w:snapToGrid w:val="0"/>
              <w:spacing w:line="360" w:lineRule="auto"/>
              <w:jc w:val="center"/>
              <w:rPr>
                <w:rFonts w:ascii="宋体" w:hAnsi="宋体" w:cs="宋体"/>
                <w:color w:val="auto"/>
                <w:szCs w:val="21"/>
                <w:highlight w:val="none"/>
              </w:rPr>
            </w:pPr>
          </w:p>
        </w:tc>
        <w:tc>
          <w:tcPr>
            <w:tcW w:w="1173" w:type="dxa"/>
            <w:gridSpan w:val="3"/>
            <w:noWrap w:val="0"/>
            <w:vAlign w:val="center"/>
          </w:tcPr>
          <w:p w14:paraId="7BBF4FE3">
            <w:pPr>
              <w:pStyle w:val="571"/>
              <w:tabs>
                <w:tab w:val="left" w:pos="1260"/>
              </w:tabs>
              <w:snapToGrid w:val="0"/>
              <w:spacing w:line="360" w:lineRule="auto"/>
              <w:jc w:val="center"/>
              <w:rPr>
                <w:rFonts w:ascii="宋体" w:hAnsi="宋体" w:cs="宋体"/>
                <w:color w:val="auto"/>
                <w:szCs w:val="21"/>
                <w:highlight w:val="none"/>
              </w:rPr>
            </w:pPr>
          </w:p>
        </w:tc>
        <w:tc>
          <w:tcPr>
            <w:tcW w:w="940" w:type="dxa"/>
            <w:gridSpan w:val="2"/>
            <w:noWrap w:val="0"/>
            <w:vAlign w:val="center"/>
          </w:tcPr>
          <w:p w14:paraId="4306CD43">
            <w:pPr>
              <w:pStyle w:val="571"/>
              <w:tabs>
                <w:tab w:val="left" w:pos="1260"/>
              </w:tabs>
              <w:snapToGrid w:val="0"/>
              <w:spacing w:line="360" w:lineRule="auto"/>
              <w:jc w:val="center"/>
              <w:rPr>
                <w:rFonts w:ascii="宋体" w:hAnsi="宋体" w:cs="宋体"/>
                <w:color w:val="auto"/>
                <w:szCs w:val="21"/>
                <w:highlight w:val="none"/>
              </w:rPr>
            </w:pPr>
          </w:p>
        </w:tc>
        <w:tc>
          <w:tcPr>
            <w:tcW w:w="1760" w:type="dxa"/>
            <w:gridSpan w:val="2"/>
            <w:noWrap w:val="0"/>
            <w:vAlign w:val="center"/>
          </w:tcPr>
          <w:p w14:paraId="0A16A147">
            <w:pPr>
              <w:pStyle w:val="571"/>
              <w:tabs>
                <w:tab w:val="left" w:pos="1260"/>
              </w:tabs>
              <w:snapToGrid w:val="0"/>
              <w:spacing w:line="360" w:lineRule="auto"/>
              <w:jc w:val="center"/>
              <w:rPr>
                <w:rFonts w:ascii="宋体" w:hAnsi="宋体" w:cs="宋体"/>
                <w:color w:val="auto"/>
                <w:szCs w:val="21"/>
                <w:highlight w:val="none"/>
              </w:rPr>
            </w:pPr>
          </w:p>
        </w:tc>
        <w:tc>
          <w:tcPr>
            <w:tcW w:w="1214" w:type="dxa"/>
            <w:noWrap w:val="0"/>
            <w:vAlign w:val="center"/>
          </w:tcPr>
          <w:p w14:paraId="3BF999E2">
            <w:pPr>
              <w:pStyle w:val="571"/>
              <w:tabs>
                <w:tab w:val="left" w:pos="1260"/>
              </w:tabs>
              <w:snapToGrid w:val="0"/>
              <w:spacing w:line="360" w:lineRule="auto"/>
              <w:jc w:val="center"/>
              <w:rPr>
                <w:rFonts w:ascii="宋体" w:hAnsi="宋体" w:cs="宋体"/>
                <w:color w:val="auto"/>
                <w:szCs w:val="21"/>
                <w:highlight w:val="none"/>
              </w:rPr>
            </w:pPr>
          </w:p>
        </w:tc>
      </w:tr>
      <w:tr w14:paraId="637D0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1CB00516">
            <w:pPr>
              <w:pStyle w:val="571"/>
              <w:tabs>
                <w:tab w:val="left" w:pos="1260"/>
              </w:tabs>
              <w:snapToGrid w:val="0"/>
              <w:spacing w:line="360" w:lineRule="auto"/>
              <w:jc w:val="center"/>
              <w:rPr>
                <w:rFonts w:ascii="宋体" w:hAnsi="宋体" w:cs="宋体"/>
                <w:color w:val="auto"/>
                <w:szCs w:val="21"/>
                <w:highlight w:val="none"/>
                <w:lang w:val="en-GB"/>
              </w:rPr>
            </w:pPr>
          </w:p>
        </w:tc>
        <w:tc>
          <w:tcPr>
            <w:tcW w:w="1315" w:type="dxa"/>
            <w:gridSpan w:val="3"/>
            <w:noWrap w:val="0"/>
            <w:vAlign w:val="center"/>
          </w:tcPr>
          <w:p w14:paraId="1900AEE2">
            <w:pPr>
              <w:pStyle w:val="571"/>
              <w:tabs>
                <w:tab w:val="left" w:pos="1260"/>
              </w:tabs>
              <w:snapToGrid w:val="0"/>
              <w:spacing w:line="360" w:lineRule="auto"/>
              <w:jc w:val="center"/>
              <w:rPr>
                <w:rFonts w:ascii="宋体" w:hAnsi="宋体" w:cs="宋体"/>
                <w:color w:val="auto"/>
                <w:szCs w:val="21"/>
                <w:highlight w:val="none"/>
              </w:rPr>
            </w:pPr>
          </w:p>
        </w:tc>
        <w:tc>
          <w:tcPr>
            <w:tcW w:w="1173" w:type="dxa"/>
            <w:gridSpan w:val="3"/>
            <w:noWrap w:val="0"/>
            <w:vAlign w:val="center"/>
          </w:tcPr>
          <w:p w14:paraId="645C6FCB">
            <w:pPr>
              <w:pStyle w:val="571"/>
              <w:tabs>
                <w:tab w:val="left" w:pos="1260"/>
              </w:tabs>
              <w:snapToGrid w:val="0"/>
              <w:spacing w:line="360" w:lineRule="auto"/>
              <w:jc w:val="center"/>
              <w:rPr>
                <w:rFonts w:ascii="宋体" w:hAnsi="宋体" w:cs="宋体"/>
                <w:color w:val="auto"/>
                <w:szCs w:val="21"/>
                <w:highlight w:val="none"/>
              </w:rPr>
            </w:pPr>
          </w:p>
        </w:tc>
        <w:tc>
          <w:tcPr>
            <w:tcW w:w="940" w:type="dxa"/>
            <w:gridSpan w:val="2"/>
            <w:noWrap w:val="0"/>
            <w:vAlign w:val="center"/>
          </w:tcPr>
          <w:p w14:paraId="404D52F2">
            <w:pPr>
              <w:pStyle w:val="571"/>
              <w:tabs>
                <w:tab w:val="left" w:pos="1260"/>
              </w:tabs>
              <w:snapToGrid w:val="0"/>
              <w:spacing w:line="360" w:lineRule="auto"/>
              <w:jc w:val="center"/>
              <w:rPr>
                <w:rFonts w:ascii="宋体" w:hAnsi="宋体" w:cs="宋体"/>
                <w:color w:val="auto"/>
                <w:szCs w:val="21"/>
                <w:highlight w:val="none"/>
              </w:rPr>
            </w:pPr>
          </w:p>
        </w:tc>
        <w:tc>
          <w:tcPr>
            <w:tcW w:w="1760" w:type="dxa"/>
            <w:gridSpan w:val="2"/>
            <w:noWrap w:val="0"/>
            <w:vAlign w:val="center"/>
          </w:tcPr>
          <w:p w14:paraId="074773FD">
            <w:pPr>
              <w:pStyle w:val="571"/>
              <w:tabs>
                <w:tab w:val="left" w:pos="1260"/>
              </w:tabs>
              <w:snapToGrid w:val="0"/>
              <w:spacing w:line="360" w:lineRule="auto"/>
              <w:jc w:val="center"/>
              <w:rPr>
                <w:rFonts w:ascii="宋体" w:hAnsi="宋体" w:cs="宋体"/>
                <w:color w:val="auto"/>
                <w:szCs w:val="21"/>
                <w:highlight w:val="none"/>
              </w:rPr>
            </w:pPr>
          </w:p>
        </w:tc>
        <w:tc>
          <w:tcPr>
            <w:tcW w:w="1214" w:type="dxa"/>
            <w:noWrap w:val="0"/>
            <w:vAlign w:val="center"/>
          </w:tcPr>
          <w:p w14:paraId="77366228">
            <w:pPr>
              <w:pStyle w:val="571"/>
              <w:tabs>
                <w:tab w:val="left" w:pos="1260"/>
              </w:tabs>
              <w:snapToGrid w:val="0"/>
              <w:spacing w:line="360" w:lineRule="auto"/>
              <w:jc w:val="center"/>
              <w:rPr>
                <w:rFonts w:ascii="宋体" w:hAnsi="宋体" w:cs="宋体"/>
                <w:color w:val="auto"/>
                <w:szCs w:val="21"/>
                <w:highlight w:val="none"/>
              </w:rPr>
            </w:pPr>
          </w:p>
        </w:tc>
      </w:tr>
      <w:tr w14:paraId="3B901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53A4974D">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33CCD7F6">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金额合计</w:t>
            </w:r>
          </w:p>
        </w:tc>
        <w:tc>
          <w:tcPr>
            <w:tcW w:w="1214" w:type="dxa"/>
            <w:noWrap w:val="0"/>
            <w:vAlign w:val="center"/>
          </w:tcPr>
          <w:p w14:paraId="30421462">
            <w:pPr>
              <w:pStyle w:val="571"/>
              <w:tabs>
                <w:tab w:val="left" w:pos="1260"/>
              </w:tabs>
              <w:snapToGrid w:val="0"/>
              <w:spacing w:line="360" w:lineRule="auto"/>
              <w:jc w:val="center"/>
              <w:rPr>
                <w:rFonts w:ascii="宋体" w:hAnsi="宋体" w:cs="宋体"/>
                <w:color w:val="auto"/>
                <w:szCs w:val="21"/>
                <w:highlight w:val="none"/>
                <w:lang w:val="en-GB"/>
              </w:rPr>
            </w:pPr>
          </w:p>
        </w:tc>
      </w:tr>
      <w:tr w14:paraId="2C94F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615" w:type="dxa"/>
            <w:vMerge w:val="continue"/>
            <w:noWrap w:val="0"/>
            <w:vAlign w:val="center"/>
          </w:tcPr>
          <w:p w14:paraId="25DC71B3">
            <w:pPr>
              <w:pStyle w:val="571"/>
              <w:tabs>
                <w:tab w:val="left" w:pos="1260"/>
              </w:tabs>
              <w:snapToGrid w:val="0"/>
              <w:spacing w:line="360" w:lineRule="auto"/>
              <w:jc w:val="center"/>
              <w:rPr>
                <w:rFonts w:ascii="宋体" w:hAnsi="宋体" w:cs="宋体"/>
                <w:color w:val="auto"/>
                <w:szCs w:val="21"/>
                <w:highlight w:val="none"/>
                <w:lang w:val="en-GB"/>
              </w:rPr>
            </w:pPr>
          </w:p>
        </w:tc>
        <w:tc>
          <w:tcPr>
            <w:tcW w:w="5188" w:type="dxa"/>
            <w:gridSpan w:val="10"/>
            <w:noWrap w:val="0"/>
            <w:vAlign w:val="center"/>
          </w:tcPr>
          <w:p w14:paraId="118B53DA">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比重（残疾人福利性单位</w:t>
            </w:r>
            <w:r>
              <w:rPr>
                <w:rFonts w:hint="eastAsia" w:ascii="宋体" w:hAnsi="宋体" w:cs="宋体"/>
                <w:color w:val="auto"/>
                <w:szCs w:val="21"/>
                <w:highlight w:val="none"/>
              </w:rPr>
              <w:t>产品</w:t>
            </w:r>
            <w:r>
              <w:rPr>
                <w:rFonts w:hint="eastAsia" w:ascii="宋体" w:hAnsi="宋体" w:cs="宋体"/>
                <w:color w:val="auto"/>
                <w:szCs w:val="21"/>
                <w:highlight w:val="none"/>
                <w:lang w:val="en-GB"/>
              </w:rPr>
              <w:t>金额/投标总价）</w:t>
            </w:r>
          </w:p>
        </w:tc>
        <w:tc>
          <w:tcPr>
            <w:tcW w:w="1214" w:type="dxa"/>
            <w:noWrap w:val="0"/>
            <w:vAlign w:val="center"/>
          </w:tcPr>
          <w:p w14:paraId="0E641E7C">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w:t>
            </w:r>
          </w:p>
        </w:tc>
      </w:tr>
      <w:tr w14:paraId="3D9C5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2615" w:type="dxa"/>
            <w:vMerge w:val="continue"/>
            <w:noWrap w:val="0"/>
            <w:vAlign w:val="center"/>
          </w:tcPr>
          <w:p w14:paraId="27BF3EC5">
            <w:pPr>
              <w:pStyle w:val="571"/>
              <w:tabs>
                <w:tab w:val="left" w:pos="1260"/>
              </w:tabs>
              <w:snapToGrid w:val="0"/>
              <w:spacing w:line="360" w:lineRule="auto"/>
              <w:jc w:val="center"/>
              <w:rPr>
                <w:rFonts w:ascii="宋体" w:hAnsi="宋体" w:cs="宋体"/>
                <w:color w:val="auto"/>
                <w:szCs w:val="21"/>
                <w:highlight w:val="none"/>
                <w:lang w:val="en-GB"/>
              </w:rPr>
            </w:pPr>
          </w:p>
        </w:tc>
        <w:tc>
          <w:tcPr>
            <w:tcW w:w="6402" w:type="dxa"/>
            <w:gridSpan w:val="11"/>
            <w:noWrap w:val="0"/>
            <w:vAlign w:val="center"/>
          </w:tcPr>
          <w:p w14:paraId="214E5836">
            <w:pPr>
              <w:pStyle w:val="571"/>
              <w:tabs>
                <w:tab w:val="left" w:pos="1260"/>
              </w:tabs>
              <w:snapToGrid w:val="0"/>
              <w:spacing w:line="360" w:lineRule="auto"/>
              <w:jc w:val="center"/>
              <w:rPr>
                <w:rFonts w:ascii="宋体" w:hAnsi="宋体" w:cs="宋体"/>
                <w:color w:val="auto"/>
                <w:szCs w:val="21"/>
                <w:highlight w:val="none"/>
                <w:lang w:val="en-GB"/>
              </w:rPr>
            </w:pPr>
            <w:r>
              <w:rPr>
                <w:rFonts w:hint="eastAsia" w:ascii="宋体" w:hAnsi="宋体" w:cs="宋体"/>
                <w:color w:val="auto"/>
                <w:szCs w:val="21"/>
                <w:highlight w:val="none"/>
                <w:lang w:val="en-GB"/>
              </w:rPr>
              <w:t>残疾人福利性单位</w:t>
            </w:r>
            <w:r>
              <w:rPr>
                <w:rFonts w:hint="eastAsia" w:ascii="宋体" w:hAnsi="宋体" w:cs="宋体"/>
                <w:color w:val="auto"/>
                <w:szCs w:val="21"/>
                <w:highlight w:val="none"/>
              </w:rPr>
              <w:t>证明材料见投标文件部分第至页。</w:t>
            </w:r>
          </w:p>
        </w:tc>
      </w:tr>
    </w:tbl>
    <w:p w14:paraId="1063C20C">
      <w:pPr>
        <w:pStyle w:val="26"/>
        <w:spacing w:before="120" w:after="120" w:line="240" w:lineRule="auto"/>
        <w:rPr>
          <w:rFonts w:hAnsi="宋体" w:cs="宋体"/>
          <w:color w:val="auto"/>
          <w:szCs w:val="21"/>
          <w:highlight w:val="none"/>
        </w:rPr>
      </w:pPr>
      <w:bookmarkStart w:id="169" w:name="_Toc19917"/>
      <w:bookmarkStart w:id="170" w:name="_Toc470007449"/>
      <w:r>
        <w:rPr>
          <w:rFonts w:hint="eastAsia" w:hAnsi="宋体" w:cs="宋体"/>
          <w:color w:val="auto"/>
          <w:szCs w:val="21"/>
          <w:highlight w:val="none"/>
        </w:rPr>
        <w:t>填报要求：</w:t>
      </w:r>
      <w:bookmarkEnd w:id="169"/>
      <w:bookmarkEnd w:id="170"/>
    </w:p>
    <w:p w14:paraId="2647DD95">
      <w:pPr>
        <w:pStyle w:val="26"/>
        <w:spacing w:before="120" w:after="120" w:line="240" w:lineRule="auto"/>
        <w:rPr>
          <w:rFonts w:hAnsi="宋体" w:cs="宋体"/>
          <w:color w:val="auto"/>
          <w:szCs w:val="21"/>
          <w:highlight w:val="none"/>
        </w:rPr>
      </w:pPr>
      <w:bookmarkStart w:id="171" w:name="_Toc470007450"/>
      <w:bookmarkStart w:id="172" w:name="_Toc29781"/>
      <w:r>
        <w:rPr>
          <w:rFonts w:hint="eastAsia" w:hAnsi="宋体" w:cs="宋体"/>
          <w:color w:val="auto"/>
          <w:szCs w:val="21"/>
          <w:highlight w:val="none"/>
        </w:rPr>
        <w:t>1. 本表的产品名称、品牌型号、金额应与《报价明细表》一致。</w:t>
      </w:r>
      <w:bookmarkEnd w:id="171"/>
      <w:bookmarkEnd w:id="172"/>
    </w:p>
    <w:p w14:paraId="5CF50270">
      <w:pPr>
        <w:pStyle w:val="26"/>
        <w:spacing w:before="120" w:after="120" w:line="240" w:lineRule="auto"/>
        <w:rPr>
          <w:rFonts w:hAnsi="宋体" w:cs="宋体"/>
          <w:color w:val="auto"/>
          <w:szCs w:val="21"/>
          <w:highlight w:val="none"/>
        </w:rPr>
      </w:pPr>
      <w:bookmarkStart w:id="173" w:name="_Toc470007451"/>
      <w:bookmarkStart w:id="174" w:name="_Toc6260"/>
      <w:r>
        <w:rPr>
          <w:rFonts w:hint="eastAsia" w:hAnsi="宋体" w:cs="宋体"/>
          <w:color w:val="auto"/>
          <w:szCs w:val="21"/>
          <w:highlight w:val="none"/>
        </w:rPr>
        <w:t>2. 制造商为小型或微型企业时才需要填“制造商企业类型”栏，填写内容为“小型”或“微型”。</w:t>
      </w:r>
      <w:bookmarkEnd w:id="173"/>
      <w:bookmarkEnd w:id="174"/>
    </w:p>
    <w:p w14:paraId="5972D6D8">
      <w:pPr>
        <w:pStyle w:val="26"/>
        <w:spacing w:before="120" w:after="120" w:line="240" w:lineRule="auto"/>
        <w:rPr>
          <w:rFonts w:hAnsi="宋体" w:cs="宋体"/>
          <w:color w:val="auto"/>
          <w:szCs w:val="21"/>
          <w:highlight w:val="none"/>
        </w:rPr>
      </w:pPr>
      <w:bookmarkStart w:id="175" w:name="_Toc4259"/>
      <w:r>
        <w:rPr>
          <w:rFonts w:hint="eastAsia" w:hAnsi="宋体" w:cs="宋体"/>
          <w:color w:val="auto"/>
          <w:szCs w:val="21"/>
          <w:highlight w:val="none"/>
        </w:rPr>
        <w:t>3. 制造商为监狱企业时才需要填“制造商企业类型”栏。</w:t>
      </w:r>
      <w:bookmarkEnd w:id="175"/>
      <w:bookmarkStart w:id="176" w:name="_Toc470007452"/>
    </w:p>
    <w:bookmarkEnd w:id="176"/>
    <w:p w14:paraId="020F2C1D">
      <w:pPr>
        <w:pStyle w:val="26"/>
        <w:spacing w:before="120" w:after="120" w:line="240" w:lineRule="auto"/>
        <w:rPr>
          <w:rFonts w:hAnsi="宋体"/>
          <w:color w:val="auto"/>
          <w:szCs w:val="21"/>
          <w:highlight w:val="none"/>
        </w:rPr>
      </w:pPr>
      <w:bookmarkStart w:id="177" w:name="_Toc470007453"/>
      <w:r>
        <w:rPr>
          <w:rFonts w:hint="eastAsia" w:hAnsi="宋体" w:cs="宋体"/>
          <w:color w:val="auto"/>
          <w:szCs w:val="21"/>
          <w:highlight w:val="none"/>
        </w:rPr>
        <w:t>4. 请投标人正确填写本表，所填内容将作为评分的依据。其内容或数据应与对应的证明资料相符，如果填写不完整或有误，不再享受上述政策优惠。</w:t>
      </w:r>
      <w:bookmarkEnd w:id="177"/>
    </w:p>
    <w:p w14:paraId="147C239F">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：（盖章）</w:t>
      </w:r>
    </w:p>
    <w:p w14:paraId="70CF8030">
      <w:pPr>
        <w:snapToGrid w:val="0"/>
        <w:spacing w:before="156" w:beforeLines="50" w:after="50" w:line="360" w:lineRule="auto"/>
        <w:rPr>
          <w:rFonts w:ascii="仿宋" w:hAnsi="仿宋"/>
          <w:color w:val="auto"/>
          <w:highlight w:val="none"/>
        </w:rPr>
      </w:pPr>
      <w:r>
        <w:rPr>
          <w:rFonts w:hint="eastAsia" w:ascii="宋体" w:hAnsi="宋体" w:cs="宋体"/>
          <w:color w:val="auto"/>
          <w:sz w:val="24"/>
          <w:highlight w:val="none"/>
        </w:rPr>
        <w:t>日期：</w:t>
      </w:r>
    </w:p>
    <w:sectPr>
      <w:headerReference r:id="rId6" w:type="default"/>
      <w:footerReference r:id="rId7"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书宋简体">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MS Mincho">
    <w:altName w:val="Yu Gothic UI"/>
    <w:panose1 w:val="02020609040205080304"/>
    <w:charset w:val="80"/>
    <w:family w:val="roman"/>
    <w:pitch w:val="default"/>
    <w:sig w:usb0="00000000" w:usb1="00000000" w:usb2="00000012" w:usb3="00000000" w:csb0="4002009F" w:csb1="DFD70000"/>
  </w:font>
  <w:font w:name="等线">
    <w:panose1 w:val="02010600030101010101"/>
    <w:charset w:val="86"/>
    <w:family w:val="auto"/>
    <w:pitch w:val="default"/>
    <w:sig w:usb0="A00002BF" w:usb1="38CF7CFA" w:usb2="00000016" w:usb3="00000000" w:csb0="0004000F"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Times New Roman (正文 CS 字体)">
    <w:altName w:val="宋体"/>
    <w:panose1 w:val="00000000000000000000"/>
    <w:charset w:val="86"/>
    <w:family w:val="roman"/>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5D930">
    <w:pPr>
      <w:pStyle w:val="3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17698461"/>
                          </w:sdtPr>
                          <w:sdtContent>
                            <w:p w14:paraId="47635060">
                              <w:pPr>
                                <w:pStyle w:val="32"/>
                              </w:pPr>
                              <w:r>
                                <w:fldChar w:fldCharType="begin"/>
                              </w:r>
                              <w:r>
                                <w:instrText xml:space="preserve"> PAGE   \* MERGEFORMAT </w:instrText>
                              </w:r>
                              <w:r>
                                <w:fldChar w:fldCharType="separate"/>
                              </w:r>
                              <w:r>
                                <w:rPr>
                                  <w:lang w:val="zh-CN"/>
                                </w:rPr>
                                <w:t>24</w:t>
                              </w:r>
                              <w:r>
                                <w:rPr>
                                  <w:lang w:val="zh-CN"/>
                                </w:rPr>
                                <w:fldChar w:fldCharType="end"/>
                              </w:r>
                            </w:p>
                          </w:sdtContent>
                        </w:sdt>
                        <w:p w14:paraId="6E33206F">
                          <w:pPr>
                            <w:pStyle w:val="443"/>
                            <w:rPr>
                              <w:rFonts w:hint="default"/>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Iseos0BAACnAwAADgAAAAAAAAABACAAAAAeAQAAZHJzL2Uy&#10;b0RvYy54bWxQSwUGAAAAAAYABgBZAQAAXQUAAAAA&#10;">
              <v:fill on="f" focussize="0,0"/>
              <v:stroke on="f"/>
              <v:imagedata o:title=""/>
              <o:lock v:ext="edit" aspectratio="f"/>
              <v:textbox inset="0mm,0mm,0mm,0mm" style="mso-fit-shape-to-text:t;">
                <w:txbxContent>
                  <w:sdt>
                    <w:sdtPr>
                      <w:id w:val="17698461"/>
                    </w:sdtPr>
                    <w:sdtContent>
                      <w:p w14:paraId="47635060">
                        <w:pPr>
                          <w:pStyle w:val="32"/>
                        </w:pPr>
                        <w:r>
                          <w:fldChar w:fldCharType="begin"/>
                        </w:r>
                        <w:r>
                          <w:instrText xml:space="preserve"> PAGE   \* MERGEFORMAT </w:instrText>
                        </w:r>
                        <w:r>
                          <w:fldChar w:fldCharType="separate"/>
                        </w:r>
                        <w:r>
                          <w:rPr>
                            <w:lang w:val="zh-CN"/>
                          </w:rPr>
                          <w:t>24</w:t>
                        </w:r>
                        <w:r>
                          <w:rPr>
                            <w:lang w:val="zh-CN"/>
                          </w:rPr>
                          <w:fldChar w:fldCharType="end"/>
                        </w:r>
                      </w:p>
                    </w:sdtContent>
                  </w:sdt>
                  <w:p w14:paraId="6E33206F">
                    <w:pPr>
                      <w:pStyle w:val="443"/>
                      <w:rPr>
                        <w:rFonts w:hint="default"/>
                      </w:rPr>
                    </w:pPr>
                  </w:p>
                </w:txbxContent>
              </v:textbox>
            </v:shape>
          </w:pict>
        </mc:Fallback>
      </mc:AlternateContent>
    </w:r>
  </w:p>
  <w:p w14:paraId="6EB5BBDC">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5C29C">
    <w:pPr>
      <w:pStyle w:val="3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916B5">
                          <w:pPr>
                            <w:pStyle w:val="32"/>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297916B5">
                    <w:pPr>
                      <w:pStyle w:val="32"/>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C5C3">
    <w:pPr>
      <w:pStyle w:val="3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86CF94">
                          <w:pPr>
                            <w:pStyle w:val="32"/>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486CF94">
                    <w:pPr>
                      <w:pStyle w:val="32"/>
                    </w:pPr>
                    <w:r>
                      <w:fldChar w:fldCharType="begin"/>
                    </w:r>
                    <w:r>
                      <w:instrText xml:space="preserve"> PAGE  \* MERGEFORMAT </w:instrText>
                    </w:r>
                    <w:r>
                      <w:fldChar w:fldCharType="separate"/>
                    </w:r>
                    <w:r>
                      <w:t>76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14992">
    <w:pPr>
      <w:pStyle w:val="3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59710">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53</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78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14:paraId="25B75FCB">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9BEDC6C9"/>
    <w:multiLevelType w:val="singleLevel"/>
    <w:tmpl w:val="9BEDC6C9"/>
    <w:lvl w:ilvl="0" w:tentative="0">
      <w:start w:val="1"/>
      <w:numFmt w:val="decimal"/>
      <w:suff w:val="space"/>
      <w:lvlText w:val="%1）"/>
      <w:lvlJc w:val="left"/>
    </w:lvl>
  </w:abstractNum>
  <w:abstractNum w:abstractNumId="2">
    <w:nsid w:val="AF3E1766"/>
    <w:multiLevelType w:val="singleLevel"/>
    <w:tmpl w:val="AF3E1766"/>
    <w:lvl w:ilvl="0" w:tentative="0">
      <w:start w:val="1"/>
      <w:numFmt w:val="decimal"/>
      <w:suff w:val="nothing"/>
      <w:lvlText w:val="（%1）"/>
      <w:lvlJc w:val="left"/>
    </w:lvl>
  </w:abstractNum>
  <w:abstractNum w:abstractNumId="3">
    <w:nsid w:val="B2D2352A"/>
    <w:multiLevelType w:val="singleLevel"/>
    <w:tmpl w:val="B2D2352A"/>
    <w:lvl w:ilvl="0" w:tentative="0">
      <w:start w:val="1"/>
      <w:numFmt w:val="decimal"/>
      <w:suff w:val="space"/>
      <w:lvlText w:val="%1）"/>
      <w:lvlJc w:val="left"/>
    </w:lvl>
  </w:abstractNum>
  <w:abstractNum w:abstractNumId="4">
    <w:nsid w:val="B9C1F555"/>
    <w:multiLevelType w:val="singleLevel"/>
    <w:tmpl w:val="B9C1F555"/>
    <w:lvl w:ilvl="0" w:tentative="0">
      <w:start w:val="1"/>
      <w:numFmt w:val="decimal"/>
      <w:suff w:val="nothing"/>
      <w:lvlText w:val="（%1）"/>
      <w:lvlJc w:val="left"/>
    </w:lvl>
  </w:abstractNum>
  <w:abstractNum w:abstractNumId="5">
    <w:nsid w:val="D1D395C4"/>
    <w:multiLevelType w:val="singleLevel"/>
    <w:tmpl w:val="D1D395C4"/>
    <w:lvl w:ilvl="0" w:tentative="0">
      <w:start w:val="1"/>
      <w:numFmt w:val="decimal"/>
      <w:suff w:val="space"/>
      <w:lvlText w:val="%1)"/>
      <w:lvlJc w:val="left"/>
    </w:lvl>
  </w:abstractNum>
  <w:abstractNum w:abstractNumId="6">
    <w:nsid w:val="D81F5AC6"/>
    <w:multiLevelType w:val="singleLevel"/>
    <w:tmpl w:val="D81F5AC6"/>
    <w:lvl w:ilvl="0" w:tentative="0">
      <w:start w:val="1"/>
      <w:numFmt w:val="decimal"/>
      <w:suff w:val="space"/>
      <w:lvlText w:val="%1）"/>
      <w:lvlJc w:val="left"/>
    </w:lvl>
  </w:abstractNum>
  <w:abstractNum w:abstractNumId="7">
    <w:nsid w:val="DF48CB86"/>
    <w:multiLevelType w:val="singleLevel"/>
    <w:tmpl w:val="DF48CB86"/>
    <w:lvl w:ilvl="0" w:tentative="0">
      <w:start w:val="1"/>
      <w:numFmt w:val="chineseCounting"/>
      <w:suff w:val="nothing"/>
      <w:lvlText w:val="（%1）"/>
      <w:lvlJc w:val="left"/>
      <w:rPr>
        <w:rFonts w:hint="eastAsia"/>
      </w:rPr>
    </w:lvl>
  </w:abstractNum>
  <w:abstractNum w:abstractNumId="8">
    <w:nsid w:val="E3A830CB"/>
    <w:multiLevelType w:val="singleLevel"/>
    <w:tmpl w:val="E3A830CB"/>
    <w:lvl w:ilvl="0" w:tentative="0">
      <w:start w:val="1"/>
      <w:numFmt w:val="decimalEnclosedCircleChinese"/>
      <w:suff w:val="nothing"/>
      <w:lvlText w:val="%1　"/>
      <w:lvlJc w:val="left"/>
      <w:pPr>
        <w:ind w:left="0" w:firstLine="400"/>
      </w:pPr>
      <w:rPr>
        <w:rFonts w:hint="eastAsia"/>
      </w:rPr>
    </w:lvl>
  </w:abstractNum>
  <w:abstractNum w:abstractNumId="9">
    <w:nsid w:val="E591A8B2"/>
    <w:multiLevelType w:val="singleLevel"/>
    <w:tmpl w:val="E591A8B2"/>
    <w:lvl w:ilvl="0" w:tentative="0">
      <w:start w:val="1"/>
      <w:numFmt w:val="decimal"/>
      <w:suff w:val="space"/>
      <w:lvlText w:val="%1）"/>
      <w:lvlJc w:val="left"/>
    </w:lvl>
  </w:abstractNum>
  <w:abstractNum w:abstractNumId="10">
    <w:nsid w:val="E63DF314"/>
    <w:multiLevelType w:val="singleLevel"/>
    <w:tmpl w:val="E63DF314"/>
    <w:lvl w:ilvl="0" w:tentative="0">
      <w:start w:val="2"/>
      <w:numFmt w:val="decimal"/>
      <w:lvlText w:val="%1."/>
      <w:lvlJc w:val="left"/>
      <w:pPr>
        <w:tabs>
          <w:tab w:val="left" w:pos="312"/>
        </w:tabs>
      </w:pPr>
    </w:lvl>
  </w:abstractNum>
  <w:abstractNum w:abstractNumId="11">
    <w:nsid w:val="EDA2AED9"/>
    <w:multiLevelType w:val="singleLevel"/>
    <w:tmpl w:val="EDA2AED9"/>
    <w:lvl w:ilvl="0" w:tentative="0">
      <w:start w:val="1"/>
      <w:numFmt w:val="decimalEnclosedCircleChinese"/>
      <w:pStyle w:val="538"/>
      <w:suff w:val="nothing"/>
      <w:lvlText w:val="%1　"/>
      <w:lvlJc w:val="left"/>
      <w:pPr>
        <w:ind w:left="0" w:firstLine="403"/>
      </w:pPr>
      <w:rPr>
        <w:rFonts w:hint="eastAsia"/>
      </w:rPr>
    </w:lvl>
  </w:abstractNum>
  <w:abstractNum w:abstractNumId="12">
    <w:nsid w:val="FFFFFFFB"/>
    <w:multiLevelType w:val="multilevel"/>
    <w:tmpl w:val="FFFFFFFB"/>
    <w:lvl w:ilvl="0" w:tentative="0">
      <w:start w:val="1"/>
      <w:numFmt w:val="decimal"/>
      <w:pStyle w:val="446"/>
      <w:lvlText w:val="%1"/>
      <w:lvlJc w:val="left"/>
      <w:pPr>
        <w:tabs>
          <w:tab w:val="left" w:pos="1247"/>
        </w:tabs>
        <w:ind w:left="1247" w:hanging="1247"/>
      </w:pPr>
      <w:rPr>
        <w:rFonts w:hint="default" w:ascii="Arial" w:hAnsi="Arial" w:eastAsia="宋体"/>
        <w:b/>
        <w:i w:val="0"/>
        <w:sz w:val="36"/>
      </w:rPr>
    </w:lvl>
    <w:lvl w:ilvl="1" w:tentative="0">
      <w:start w:val="1"/>
      <w:numFmt w:val="decimal"/>
      <w:pStyle w:val="447"/>
      <w:lvlText w:val="%1.%2"/>
      <w:lvlJc w:val="left"/>
      <w:pPr>
        <w:tabs>
          <w:tab w:val="left" w:pos="1247"/>
        </w:tabs>
        <w:ind w:left="1247" w:hanging="1247"/>
      </w:pPr>
      <w:rPr>
        <w:rFonts w:hint="default" w:ascii="Arial" w:hAnsi="Arial" w:eastAsia="宋体"/>
        <w:b/>
        <w:i w:val="0"/>
        <w:sz w:val="28"/>
      </w:rPr>
    </w:lvl>
    <w:lvl w:ilvl="2" w:tentative="0">
      <w:start w:val="1"/>
      <w:numFmt w:val="decimal"/>
      <w:pStyle w:val="448"/>
      <w:lvlText w:val="%1.%2.%3"/>
      <w:lvlJc w:val="left"/>
      <w:pPr>
        <w:tabs>
          <w:tab w:val="left" w:pos="1247"/>
        </w:tabs>
        <w:ind w:left="1247" w:hanging="1247"/>
      </w:pPr>
      <w:rPr>
        <w:rFonts w:hint="default" w:ascii="Arial" w:hAnsi="Arial" w:eastAsia="宋体"/>
        <w:b/>
        <w:i w:val="0"/>
        <w:color w:val="auto"/>
        <w:sz w:val="28"/>
      </w:rPr>
    </w:lvl>
    <w:lvl w:ilvl="3" w:tentative="0">
      <w:start w:val="1"/>
      <w:numFmt w:val="decimal"/>
      <w:pStyle w:val="450"/>
      <w:lvlText w:val="%1.%2.%3.%4"/>
      <w:lvlJc w:val="left"/>
      <w:pPr>
        <w:tabs>
          <w:tab w:val="left" w:pos="1247"/>
        </w:tabs>
        <w:ind w:left="1247" w:hanging="1247"/>
      </w:pPr>
      <w:rPr>
        <w:rFonts w:hint="default" w:ascii="Arial" w:hAnsi="Arial" w:eastAsia="宋体"/>
        <w:b/>
        <w:i w:val="0"/>
        <w:color w:val="auto"/>
        <w:sz w:val="28"/>
        <w:szCs w:val="28"/>
      </w:rPr>
    </w:lvl>
    <w:lvl w:ilvl="4" w:tentative="0">
      <w:start w:val="1"/>
      <w:numFmt w:val="decimal"/>
      <w:lvlText w:val="%1.%2.%3.%4.%5"/>
      <w:lvlJc w:val="left"/>
      <w:pPr>
        <w:tabs>
          <w:tab w:val="left" w:pos="1008"/>
        </w:tabs>
        <w:ind w:left="1008" w:hanging="1008"/>
      </w:pPr>
      <w:rPr>
        <w:rFonts w:hint="eastAsia"/>
        <w:color w:val="0000FF"/>
        <w:spacing w:val="0"/>
        <w:w w:val="100"/>
        <w:position w:val="0"/>
        <w:sz w:val="21"/>
        <w:u w:val="none"/>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0000000E"/>
    <w:multiLevelType w:val="multilevel"/>
    <w:tmpl w:val="0000000E"/>
    <w:lvl w:ilvl="0" w:tentative="0">
      <w:start w:val="1"/>
      <w:numFmt w:val="decimal"/>
      <w:pStyle w:val="58"/>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4">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416"/>
      <w:suff w:val="space"/>
      <w:lvlText w:val="%1.%2.%3"/>
      <w:lvlJc w:val="left"/>
      <w:pPr>
        <w:ind w:left="426" w:firstLine="0"/>
      </w:pPr>
      <w:rPr>
        <w:rFonts w:hint="eastAsia" w:ascii="黑体" w:hAnsi="黑体" w:eastAsia="黑体"/>
        <w:sz w:val="28"/>
      </w:rPr>
    </w:lvl>
    <w:lvl w:ilvl="3" w:tentative="0">
      <w:start w:val="1"/>
      <w:numFmt w:val="decimal"/>
      <w:pStyle w:val="415"/>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124F6FBC"/>
    <w:multiLevelType w:val="singleLevel"/>
    <w:tmpl w:val="124F6FBC"/>
    <w:lvl w:ilvl="0" w:tentative="0">
      <w:start w:val="1"/>
      <w:numFmt w:val="decimal"/>
      <w:suff w:val="space"/>
      <w:lvlText w:val="%1）"/>
      <w:lvlJc w:val="left"/>
    </w:lvl>
  </w:abstractNum>
  <w:abstractNum w:abstractNumId="16">
    <w:nsid w:val="178B6186"/>
    <w:multiLevelType w:val="multilevel"/>
    <w:tmpl w:val="178B6186"/>
    <w:lvl w:ilvl="0" w:tentative="0">
      <w:start w:val="1"/>
      <w:numFmt w:val="decimal"/>
      <w:pStyle w:val="529"/>
      <w:lvlText w:val="4.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08A7ABE"/>
    <w:multiLevelType w:val="multilevel"/>
    <w:tmpl w:val="208A7ABE"/>
    <w:lvl w:ilvl="0" w:tentative="0">
      <w:start w:val="1"/>
      <w:numFmt w:val="decimal"/>
      <w:pStyle w:val="500"/>
      <w:suff w:val="space"/>
      <w:lvlText w:val="表%1"/>
      <w:lvlJc w:val="left"/>
      <w:pPr>
        <w:ind w:left="4247"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8">
    <w:nsid w:val="3B363D98"/>
    <w:multiLevelType w:val="multilevel"/>
    <w:tmpl w:val="3B363D98"/>
    <w:lvl w:ilvl="0" w:tentative="0">
      <w:start w:val="1"/>
      <w:numFmt w:val="decimal"/>
      <w:pStyle w:val="15"/>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19">
    <w:nsid w:val="41B04999"/>
    <w:multiLevelType w:val="multilevel"/>
    <w:tmpl w:val="41B04999"/>
    <w:lvl w:ilvl="0" w:tentative="0">
      <w:start w:val="1"/>
      <w:numFmt w:val="decimal"/>
      <w:pStyle w:val="499"/>
      <w:lvlText w:val="图%1"/>
      <w:lvlJc w:val="left"/>
      <w:pPr>
        <w:ind w:left="420" w:hanging="420"/>
      </w:pPr>
      <w:rPr>
        <w:rFonts w:hint="default" w:ascii="Times New Roman" w:hAnsi="Times New Roman" w:eastAsia="宋体"/>
        <w:b w:val="0"/>
        <w:i w:val="0"/>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577928A"/>
    <w:multiLevelType w:val="singleLevel"/>
    <w:tmpl w:val="4577928A"/>
    <w:lvl w:ilvl="0" w:tentative="0">
      <w:start w:val="1"/>
      <w:numFmt w:val="decimal"/>
      <w:suff w:val="space"/>
      <w:lvlText w:val="%1）"/>
      <w:lvlJc w:val="left"/>
    </w:lvl>
  </w:abstractNum>
  <w:abstractNum w:abstractNumId="21">
    <w:nsid w:val="461E5E94"/>
    <w:multiLevelType w:val="singleLevel"/>
    <w:tmpl w:val="461E5E94"/>
    <w:lvl w:ilvl="0" w:tentative="0">
      <w:start w:val="2"/>
      <w:numFmt w:val="chineseCounting"/>
      <w:suff w:val="space"/>
      <w:lvlText w:val="第%1章"/>
      <w:lvlJc w:val="left"/>
      <w:rPr>
        <w:rFonts w:hint="eastAsia"/>
      </w:rPr>
    </w:lvl>
  </w:abstractNum>
  <w:abstractNum w:abstractNumId="22">
    <w:nsid w:val="4908CCEA"/>
    <w:multiLevelType w:val="singleLevel"/>
    <w:tmpl w:val="4908CCEA"/>
    <w:lvl w:ilvl="0" w:tentative="0">
      <w:start w:val="6"/>
      <w:numFmt w:val="chineseCounting"/>
      <w:suff w:val="nothing"/>
      <w:lvlText w:val="%1、"/>
      <w:lvlJc w:val="left"/>
      <w:rPr>
        <w:rFonts w:hint="eastAsia"/>
      </w:rPr>
    </w:lvl>
  </w:abstractNum>
  <w:abstractNum w:abstractNumId="23">
    <w:nsid w:val="4C5690DA"/>
    <w:multiLevelType w:val="singleLevel"/>
    <w:tmpl w:val="4C5690DA"/>
    <w:lvl w:ilvl="0" w:tentative="0">
      <w:start w:val="1"/>
      <w:numFmt w:val="decimal"/>
      <w:suff w:val="space"/>
      <w:lvlText w:val="%1）"/>
      <w:lvlJc w:val="left"/>
    </w:lvl>
  </w:abstractNum>
  <w:abstractNum w:abstractNumId="24">
    <w:nsid w:val="561F21D4"/>
    <w:multiLevelType w:val="multilevel"/>
    <w:tmpl w:val="561F21D4"/>
    <w:lvl w:ilvl="0" w:tentative="0">
      <w:start w:val="1"/>
      <w:numFmt w:val="bullet"/>
      <w:pStyle w:val="410"/>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5">
    <w:nsid w:val="57C28796"/>
    <w:multiLevelType w:val="singleLevel"/>
    <w:tmpl w:val="57C28796"/>
    <w:lvl w:ilvl="0" w:tentative="0">
      <w:start w:val="1"/>
      <w:numFmt w:val="decimal"/>
      <w:suff w:val="space"/>
      <w:lvlText w:val="%1）"/>
      <w:lvlJc w:val="left"/>
    </w:lvl>
  </w:abstractNum>
  <w:abstractNum w:abstractNumId="26">
    <w:nsid w:val="5AEA19B9"/>
    <w:multiLevelType w:val="singleLevel"/>
    <w:tmpl w:val="5AEA19B9"/>
    <w:lvl w:ilvl="0" w:tentative="0">
      <w:start w:val="1"/>
      <w:numFmt w:val="decimalEnclosedCircleChinese"/>
      <w:suff w:val="nothing"/>
      <w:lvlText w:val="%1　"/>
      <w:lvlJc w:val="left"/>
      <w:pPr>
        <w:ind w:left="0" w:firstLine="400"/>
      </w:pPr>
      <w:rPr>
        <w:rFonts w:hint="eastAsia"/>
      </w:rPr>
    </w:lvl>
  </w:abstractNum>
  <w:abstractNum w:abstractNumId="27">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28">
    <w:nsid w:val="66DDD653"/>
    <w:multiLevelType w:val="singleLevel"/>
    <w:tmpl w:val="66DDD653"/>
    <w:lvl w:ilvl="0" w:tentative="0">
      <w:start w:val="1"/>
      <w:numFmt w:val="chineseCounting"/>
      <w:suff w:val="space"/>
      <w:lvlText w:val="第%1章"/>
      <w:lvlJc w:val="left"/>
      <w:rPr>
        <w:rFonts w:hint="eastAsia"/>
      </w:rPr>
    </w:lvl>
  </w:abstractNum>
  <w:abstractNum w:abstractNumId="29">
    <w:nsid w:val="6B8479E4"/>
    <w:multiLevelType w:val="multilevel"/>
    <w:tmpl w:val="6B8479E4"/>
    <w:lvl w:ilvl="0" w:tentative="0">
      <w:start w:val="1"/>
      <w:numFmt w:val="bullet"/>
      <w:pStyle w:val="476"/>
      <w:lvlText w:val=""/>
      <w:lvlJc w:val="left"/>
      <w:pPr>
        <w:ind w:left="620" w:hanging="420"/>
      </w:pPr>
      <w:rPr>
        <w:rFonts w:hint="default" w:ascii="Wingdings" w:hAnsi="Wingdings"/>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0">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167"/>
      <w:lvlText w:val="%1.%2"/>
      <w:lvlJc w:val="left"/>
      <w:pPr>
        <w:tabs>
          <w:tab w:val="left" w:pos="993"/>
        </w:tabs>
        <w:ind w:left="426" w:firstLine="0"/>
      </w:pPr>
      <w:rPr>
        <w:rFonts w:cs="Times New Roman"/>
      </w:rPr>
    </w:lvl>
    <w:lvl w:ilvl="2" w:tentative="0">
      <w:start w:val="1"/>
      <w:numFmt w:val="decimal"/>
      <w:pStyle w:val="168"/>
      <w:lvlText w:val="%1.%2.%3"/>
      <w:lvlJc w:val="left"/>
      <w:pPr>
        <w:tabs>
          <w:tab w:val="left" w:pos="98"/>
        </w:tabs>
        <w:ind w:left="-639" w:firstLine="0"/>
      </w:pPr>
      <w:rPr>
        <w:rFonts w:cs="Times New Roman"/>
      </w:rPr>
    </w:lvl>
    <w:lvl w:ilvl="3" w:tentative="0">
      <w:start w:val="1"/>
      <w:numFmt w:val="decimal"/>
      <w:pStyle w:val="169"/>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31">
    <w:nsid w:val="7755585C"/>
    <w:multiLevelType w:val="multilevel"/>
    <w:tmpl w:val="7755585C"/>
    <w:lvl w:ilvl="0" w:tentative="0">
      <w:start w:val="0"/>
      <w:numFmt w:val="decimal"/>
      <w:pStyle w:val="512"/>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B4AFDB5"/>
    <w:multiLevelType w:val="singleLevel"/>
    <w:tmpl w:val="7B4AFDB5"/>
    <w:lvl w:ilvl="0" w:tentative="0">
      <w:start w:val="1"/>
      <w:numFmt w:val="decimal"/>
      <w:suff w:val="space"/>
      <w:lvlText w:val="%1）"/>
      <w:lvlJc w:val="left"/>
    </w:lvl>
  </w:abstractNum>
  <w:num w:numId="1">
    <w:abstractNumId w:val="27"/>
  </w:num>
  <w:num w:numId="2">
    <w:abstractNumId w:val="18"/>
  </w:num>
  <w:num w:numId="3">
    <w:abstractNumId w:val="13"/>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4"/>
  </w:num>
  <w:num w:numId="7">
    <w:abstractNumId w:val="12"/>
  </w:num>
  <w:num w:numId="8">
    <w:abstractNumId w:val="29"/>
  </w:num>
  <w:num w:numId="9">
    <w:abstractNumId w:val="19"/>
  </w:num>
  <w:num w:numId="10">
    <w:abstractNumId w:val="17"/>
  </w:num>
  <w:num w:numId="11">
    <w:abstractNumId w:val="31"/>
  </w:num>
  <w:num w:numId="12">
    <w:abstractNumId w:val="16"/>
  </w:num>
  <w:num w:numId="13">
    <w:abstractNumId w:val="11"/>
  </w:num>
  <w:num w:numId="14">
    <w:abstractNumId w:val="28"/>
  </w:num>
  <w:num w:numId="15">
    <w:abstractNumId w:val="21"/>
  </w:num>
  <w:num w:numId="16">
    <w:abstractNumId w:val="7"/>
  </w:num>
  <w:num w:numId="17">
    <w:abstractNumId w:val="2"/>
  </w:num>
  <w:num w:numId="18">
    <w:abstractNumId w:val="26"/>
  </w:num>
  <w:num w:numId="19">
    <w:abstractNumId w:val="8"/>
  </w:num>
  <w:num w:numId="20">
    <w:abstractNumId w:val="9"/>
  </w:num>
  <w:num w:numId="21">
    <w:abstractNumId w:val="5"/>
  </w:num>
  <w:num w:numId="22">
    <w:abstractNumId w:val="6"/>
  </w:num>
  <w:num w:numId="23">
    <w:abstractNumId w:val="15"/>
  </w:num>
  <w:num w:numId="24">
    <w:abstractNumId w:val="25"/>
  </w:num>
  <w:num w:numId="25">
    <w:abstractNumId w:val="32"/>
  </w:num>
  <w:num w:numId="26">
    <w:abstractNumId w:val="20"/>
  </w:num>
  <w:num w:numId="27">
    <w:abstractNumId w:val="1"/>
  </w:num>
  <w:num w:numId="28">
    <w:abstractNumId w:val="23"/>
  </w:num>
  <w:num w:numId="29">
    <w:abstractNumId w:val="3"/>
  </w:num>
  <w:num w:numId="30">
    <w:abstractNumId w:val="22"/>
  </w:num>
  <w:num w:numId="31">
    <w:abstractNumId w:val="4"/>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lmMjI0MTVkMmUwMjlmZjE3MmRlYThkMjlmOGI1YzgifQ=="/>
    <w:docVar w:name="KSO_WPS_MARK_KEY" w:val="0466e24d-1c8a-4b94-8638-86cb053e8b97"/>
  </w:docVars>
  <w:rsids>
    <w:rsidRoot w:val="685F2B0C"/>
    <w:rsid w:val="00005D17"/>
    <w:rsid w:val="0000610C"/>
    <w:rsid w:val="00012423"/>
    <w:rsid w:val="00012823"/>
    <w:rsid w:val="00012938"/>
    <w:rsid w:val="00014CFF"/>
    <w:rsid w:val="00015436"/>
    <w:rsid w:val="00017CE6"/>
    <w:rsid w:val="00020640"/>
    <w:rsid w:val="00021925"/>
    <w:rsid w:val="00023AA2"/>
    <w:rsid w:val="000253A8"/>
    <w:rsid w:val="00025769"/>
    <w:rsid w:val="000263E2"/>
    <w:rsid w:val="00026658"/>
    <w:rsid w:val="00027A08"/>
    <w:rsid w:val="000309FB"/>
    <w:rsid w:val="00030D77"/>
    <w:rsid w:val="00031ED0"/>
    <w:rsid w:val="00032411"/>
    <w:rsid w:val="000355E3"/>
    <w:rsid w:val="00040AAB"/>
    <w:rsid w:val="00040DE5"/>
    <w:rsid w:val="000415CD"/>
    <w:rsid w:val="00042F29"/>
    <w:rsid w:val="00043976"/>
    <w:rsid w:val="00044E9D"/>
    <w:rsid w:val="00044EFD"/>
    <w:rsid w:val="00045369"/>
    <w:rsid w:val="00045B59"/>
    <w:rsid w:val="000468B1"/>
    <w:rsid w:val="000472AB"/>
    <w:rsid w:val="00047E3C"/>
    <w:rsid w:val="00047E7D"/>
    <w:rsid w:val="000505CB"/>
    <w:rsid w:val="00051578"/>
    <w:rsid w:val="00051849"/>
    <w:rsid w:val="00054EC2"/>
    <w:rsid w:val="00055033"/>
    <w:rsid w:val="00056D95"/>
    <w:rsid w:val="00061BAA"/>
    <w:rsid w:val="00063BC6"/>
    <w:rsid w:val="00064552"/>
    <w:rsid w:val="00065526"/>
    <w:rsid w:val="00067727"/>
    <w:rsid w:val="00070A48"/>
    <w:rsid w:val="00071BA1"/>
    <w:rsid w:val="000722A0"/>
    <w:rsid w:val="0007257A"/>
    <w:rsid w:val="00072D5F"/>
    <w:rsid w:val="0007482C"/>
    <w:rsid w:val="0007786A"/>
    <w:rsid w:val="000805C6"/>
    <w:rsid w:val="00081A9A"/>
    <w:rsid w:val="00090024"/>
    <w:rsid w:val="00090F81"/>
    <w:rsid w:val="00091C29"/>
    <w:rsid w:val="00092281"/>
    <w:rsid w:val="00092785"/>
    <w:rsid w:val="00093101"/>
    <w:rsid w:val="00093986"/>
    <w:rsid w:val="0009529A"/>
    <w:rsid w:val="000952A4"/>
    <w:rsid w:val="00095D0A"/>
    <w:rsid w:val="000A116A"/>
    <w:rsid w:val="000A296D"/>
    <w:rsid w:val="000A2B60"/>
    <w:rsid w:val="000A6004"/>
    <w:rsid w:val="000A68C7"/>
    <w:rsid w:val="000A6EC9"/>
    <w:rsid w:val="000A7D67"/>
    <w:rsid w:val="000A7F04"/>
    <w:rsid w:val="000B0383"/>
    <w:rsid w:val="000B2D32"/>
    <w:rsid w:val="000B5EFC"/>
    <w:rsid w:val="000B5FEF"/>
    <w:rsid w:val="000B62F7"/>
    <w:rsid w:val="000B725A"/>
    <w:rsid w:val="000B7A91"/>
    <w:rsid w:val="000C29F4"/>
    <w:rsid w:val="000C443F"/>
    <w:rsid w:val="000C58E4"/>
    <w:rsid w:val="000C64C2"/>
    <w:rsid w:val="000C756F"/>
    <w:rsid w:val="000D0BA9"/>
    <w:rsid w:val="000D239E"/>
    <w:rsid w:val="000D26AB"/>
    <w:rsid w:val="000D3E53"/>
    <w:rsid w:val="000D6486"/>
    <w:rsid w:val="000D651D"/>
    <w:rsid w:val="000E0F24"/>
    <w:rsid w:val="000E1B09"/>
    <w:rsid w:val="000E3E62"/>
    <w:rsid w:val="000E452B"/>
    <w:rsid w:val="000E6AAF"/>
    <w:rsid w:val="000E704D"/>
    <w:rsid w:val="000E7A23"/>
    <w:rsid w:val="000F0AD7"/>
    <w:rsid w:val="000F45DE"/>
    <w:rsid w:val="000F6229"/>
    <w:rsid w:val="000F6DB1"/>
    <w:rsid w:val="000F7121"/>
    <w:rsid w:val="000F74E3"/>
    <w:rsid w:val="000F7AFC"/>
    <w:rsid w:val="0010057E"/>
    <w:rsid w:val="00102AF6"/>
    <w:rsid w:val="00105C18"/>
    <w:rsid w:val="00105E06"/>
    <w:rsid w:val="00107943"/>
    <w:rsid w:val="0011044E"/>
    <w:rsid w:val="001106D1"/>
    <w:rsid w:val="00110BD1"/>
    <w:rsid w:val="00110E86"/>
    <w:rsid w:val="001133E8"/>
    <w:rsid w:val="00115F0A"/>
    <w:rsid w:val="00117AB2"/>
    <w:rsid w:val="00121216"/>
    <w:rsid w:val="00122785"/>
    <w:rsid w:val="00122F3F"/>
    <w:rsid w:val="001237B5"/>
    <w:rsid w:val="00125557"/>
    <w:rsid w:val="00131DBB"/>
    <w:rsid w:val="00132B33"/>
    <w:rsid w:val="001350E8"/>
    <w:rsid w:val="0013558A"/>
    <w:rsid w:val="00135EE8"/>
    <w:rsid w:val="0013709D"/>
    <w:rsid w:val="001376E5"/>
    <w:rsid w:val="00140D59"/>
    <w:rsid w:val="00141B96"/>
    <w:rsid w:val="001451DC"/>
    <w:rsid w:val="00145466"/>
    <w:rsid w:val="0014629A"/>
    <w:rsid w:val="0014695B"/>
    <w:rsid w:val="00150844"/>
    <w:rsid w:val="001540D3"/>
    <w:rsid w:val="0015612E"/>
    <w:rsid w:val="00156191"/>
    <w:rsid w:val="001562A5"/>
    <w:rsid w:val="00156A83"/>
    <w:rsid w:val="00157475"/>
    <w:rsid w:val="0016159C"/>
    <w:rsid w:val="00163086"/>
    <w:rsid w:val="001636E9"/>
    <w:rsid w:val="00163FB3"/>
    <w:rsid w:val="001646B0"/>
    <w:rsid w:val="001648D2"/>
    <w:rsid w:val="00164C7B"/>
    <w:rsid w:val="00164D15"/>
    <w:rsid w:val="001651D6"/>
    <w:rsid w:val="00165EE9"/>
    <w:rsid w:val="00166A57"/>
    <w:rsid w:val="00167B7C"/>
    <w:rsid w:val="00167B93"/>
    <w:rsid w:val="00167F4E"/>
    <w:rsid w:val="00170A0E"/>
    <w:rsid w:val="00171AA8"/>
    <w:rsid w:val="00171C40"/>
    <w:rsid w:val="00175794"/>
    <w:rsid w:val="001758EA"/>
    <w:rsid w:val="00176292"/>
    <w:rsid w:val="0017722B"/>
    <w:rsid w:val="001777F0"/>
    <w:rsid w:val="00180D1D"/>
    <w:rsid w:val="00181F7F"/>
    <w:rsid w:val="001840B5"/>
    <w:rsid w:val="00185DED"/>
    <w:rsid w:val="001870AB"/>
    <w:rsid w:val="00187324"/>
    <w:rsid w:val="001875D0"/>
    <w:rsid w:val="00190720"/>
    <w:rsid w:val="00190F0A"/>
    <w:rsid w:val="001914E8"/>
    <w:rsid w:val="00191D93"/>
    <w:rsid w:val="001929E1"/>
    <w:rsid w:val="00193720"/>
    <w:rsid w:val="00193731"/>
    <w:rsid w:val="00195089"/>
    <w:rsid w:val="001974A1"/>
    <w:rsid w:val="00197544"/>
    <w:rsid w:val="001A0CFF"/>
    <w:rsid w:val="001A1BE9"/>
    <w:rsid w:val="001A3A8C"/>
    <w:rsid w:val="001A47A6"/>
    <w:rsid w:val="001A4E0A"/>
    <w:rsid w:val="001A7446"/>
    <w:rsid w:val="001A7F11"/>
    <w:rsid w:val="001B191E"/>
    <w:rsid w:val="001B5A33"/>
    <w:rsid w:val="001B646E"/>
    <w:rsid w:val="001B734E"/>
    <w:rsid w:val="001C14D0"/>
    <w:rsid w:val="001C4179"/>
    <w:rsid w:val="001C61C9"/>
    <w:rsid w:val="001C6C58"/>
    <w:rsid w:val="001C6D62"/>
    <w:rsid w:val="001C70DD"/>
    <w:rsid w:val="001D11CE"/>
    <w:rsid w:val="001D16A0"/>
    <w:rsid w:val="001D1891"/>
    <w:rsid w:val="001D1FCD"/>
    <w:rsid w:val="001D29C4"/>
    <w:rsid w:val="001D406D"/>
    <w:rsid w:val="001D6A57"/>
    <w:rsid w:val="001D74F4"/>
    <w:rsid w:val="001E0513"/>
    <w:rsid w:val="001E10AD"/>
    <w:rsid w:val="001E40D3"/>
    <w:rsid w:val="001E4BAB"/>
    <w:rsid w:val="001F0A22"/>
    <w:rsid w:val="001F0D4B"/>
    <w:rsid w:val="001F116F"/>
    <w:rsid w:val="001F3AD5"/>
    <w:rsid w:val="001F3FB2"/>
    <w:rsid w:val="001F541D"/>
    <w:rsid w:val="001F64F0"/>
    <w:rsid w:val="001F788E"/>
    <w:rsid w:val="00200928"/>
    <w:rsid w:val="00202AC4"/>
    <w:rsid w:val="00203B0A"/>
    <w:rsid w:val="00205389"/>
    <w:rsid w:val="002067C1"/>
    <w:rsid w:val="00207BF6"/>
    <w:rsid w:val="00207CFA"/>
    <w:rsid w:val="0021089F"/>
    <w:rsid w:val="002115F1"/>
    <w:rsid w:val="00212319"/>
    <w:rsid w:val="00212A3F"/>
    <w:rsid w:val="00213BF8"/>
    <w:rsid w:val="00214B58"/>
    <w:rsid w:val="0021510A"/>
    <w:rsid w:val="002172DC"/>
    <w:rsid w:val="002173F9"/>
    <w:rsid w:val="0021788A"/>
    <w:rsid w:val="00220AA7"/>
    <w:rsid w:val="00221602"/>
    <w:rsid w:val="002218B1"/>
    <w:rsid w:val="00221B9A"/>
    <w:rsid w:val="002230B3"/>
    <w:rsid w:val="00224511"/>
    <w:rsid w:val="0022567C"/>
    <w:rsid w:val="002265DF"/>
    <w:rsid w:val="002315E9"/>
    <w:rsid w:val="00232125"/>
    <w:rsid w:val="00242831"/>
    <w:rsid w:val="00242CAA"/>
    <w:rsid w:val="00243D55"/>
    <w:rsid w:val="00244780"/>
    <w:rsid w:val="00244948"/>
    <w:rsid w:val="00245318"/>
    <w:rsid w:val="00246853"/>
    <w:rsid w:val="00246B5B"/>
    <w:rsid w:val="00247102"/>
    <w:rsid w:val="00247790"/>
    <w:rsid w:val="002510CB"/>
    <w:rsid w:val="002516A0"/>
    <w:rsid w:val="00252FCA"/>
    <w:rsid w:val="002546CC"/>
    <w:rsid w:val="002554B9"/>
    <w:rsid w:val="00256C0C"/>
    <w:rsid w:val="00260A1A"/>
    <w:rsid w:val="00261CCE"/>
    <w:rsid w:val="0026604D"/>
    <w:rsid w:val="0026655A"/>
    <w:rsid w:val="00280FA0"/>
    <w:rsid w:val="00281C80"/>
    <w:rsid w:val="0028264B"/>
    <w:rsid w:val="00282B00"/>
    <w:rsid w:val="002831D6"/>
    <w:rsid w:val="00283FD6"/>
    <w:rsid w:val="002846F0"/>
    <w:rsid w:val="002854CE"/>
    <w:rsid w:val="002874E8"/>
    <w:rsid w:val="0028776F"/>
    <w:rsid w:val="002905CD"/>
    <w:rsid w:val="00291503"/>
    <w:rsid w:val="0029296D"/>
    <w:rsid w:val="00295DCA"/>
    <w:rsid w:val="00296406"/>
    <w:rsid w:val="00297454"/>
    <w:rsid w:val="002A1C82"/>
    <w:rsid w:val="002A2E76"/>
    <w:rsid w:val="002A3F2A"/>
    <w:rsid w:val="002A41FE"/>
    <w:rsid w:val="002A4945"/>
    <w:rsid w:val="002A7C4D"/>
    <w:rsid w:val="002B090E"/>
    <w:rsid w:val="002B0ED6"/>
    <w:rsid w:val="002B13F0"/>
    <w:rsid w:val="002B1EEC"/>
    <w:rsid w:val="002B203C"/>
    <w:rsid w:val="002B35F2"/>
    <w:rsid w:val="002B4462"/>
    <w:rsid w:val="002B4486"/>
    <w:rsid w:val="002B5B0A"/>
    <w:rsid w:val="002B68E9"/>
    <w:rsid w:val="002B79F2"/>
    <w:rsid w:val="002C76FD"/>
    <w:rsid w:val="002D0B58"/>
    <w:rsid w:val="002D1ED8"/>
    <w:rsid w:val="002D2714"/>
    <w:rsid w:val="002D4B5D"/>
    <w:rsid w:val="002D5182"/>
    <w:rsid w:val="002D778C"/>
    <w:rsid w:val="002D7BAF"/>
    <w:rsid w:val="002E3CC8"/>
    <w:rsid w:val="002E4BB3"/>
    <w:rsid w:val="002E5EB7"/>
    <w:rsid w:val="002E6EDD"/>
    <w:rsid w:val="002F188F"/>
    <w:rsid w:val="002F28A5"/>
    <w:rsid w:val="002F2DC2"/>
    <w:rsid w:val="002F3A6E"/>
    <w:rsid w:val="002F3CBE"/>
    <w:rsid w:val="002F5DB9"/>
    <w:rsid w:val="002F62CC"/>
    <w:rsid w:val="002F63E5"/>
    <w:rsid w:val="00302061"/>
    <w:rsid w:val="00302858"/>
    <w:rsid w:val="00305703"/>
    <w:rsid w:val="003062CB"/>
    <w:rsid w:val="0030661E"/>
    <w:rsid w:val="00307A74"/>
    <w:rsid w:val="00310371"/>
    <w:rsid w:val="003104EC"/>
    <w:rsid w:val="00311CF3"/>
    <w:rsid w:val="00312D08"/>
    <w:rsid w:val="003146A5"/>
    <w:rsid w:val="00315916"/>
    <w:rsid w:val="00315B6A"/>
    <w:rsid w:val="0031648C"/>
    <w:rsid w:val="00317442"/>
    <w:rsid w:val="003200FE"/>
    <w:rsid w:val="00323B25"/>
    <w:rsid w:val="0032487C"/>
    <w:rsid w:val="00325519"/>
    <w:rsid w:val="00325F36"/>
    <w:rsid w:val="00330BB3"/>
    <w:rsid w:val="00332A81"/>
    <w:rsid w:val="00332DDE"/>
    <w:rsid w:val="00334983"/>
    <w:rsid w:val="00337E0A"/>
    <w:rsid w:val="0034023E"/>
    <w:rsid w:val="00341C9D"/>
    <w:rsid w:val="0034492F"/>
    <w:rsid w:val="00346DAD"/>
    <w:rsid w:val="00347B43"/>
    <w:rsid w:val="00347C90"/>
    <w:rsid w:val="00347CC7"/>
    <w:rsid w:val="003527F1"/>
    <w:rsid w:val="003534B1"/>
    <w:rsid w:val="00354307"/>
    <w:rsid w:val="00354996"/>
    <w:rsid w:val="00354AFA"/>
    <w:rsid w:val="0035715C"/>
    <w:rsid w:val="003648A6"/>
    <w:rsid w:val="00365201"/>
    <w:rsid w:val="00366584"/>
    <w:rsid w:val="003672DD"/>
    <w:rsid w:val="003676A5"/>
    <w:rsid w:val="00374382"/>
    <w:rsid w:val="003756EC"/>
    <w:rsid w:val="0037735B"/>
    <w:rsid w:val="00381D71"/>
    <w:rsid w:val="00383B1E"/>
    <w:rsid w:val="00383E99"/>
    <w:rsid w:val="003841F2"/>
    <w:rsid w:val="0038577F"/>
    <w:rsid w:val="00386442"/>
    <w:rsid w:val="003877DC"/>
    <w:rsid w:val="00387B5B"/>
    <w:rsid w:val="00391713"/>
    <w:rsid w:val="00393DB4"/>
    <w:rsid w:val="00394351"/>
    <w:rsid w:val="00394F2F"/>
    <w:rsid w:val="00395591"/>
    <w:rsid w:val="003958D9"/>
    <w:rsid w:val="00396E4A"/>
    <w:rsid w:val="00397102"/>
    <w:rsid w:val="003A29AA"/>
    <w:rsid w:val="003A29C0"/>
    <w:rsid w:val="003A4931"/>
    <w:rsid w:val="003A4954"/>
    <w:rsid w:val="003B1377"/>
    <w:rsid w:val="003B1480"/>
    <w:rsid w:val="003B1A7B"/>
    <w:rsid w:val="003B1BC9"/>
    <w:rsid w:val="003B2B70"/>
    <w:rsid w:val="003B5632"/>
    <w:rsid w:val="003B5E84"/>
    <w:rsid w:val="003B6E1C"/>
    <w:rsid w:val="003B771F"/>
    <w:rsid w:val="003C0B7B"/>
    <w:rsid w:val="003C1B9A"/>
    <w:rsid w:val="003C3217"/>
    <w:rsid w:val="003D1DCA"/>
    <w:rsid w:val="003D22A5"/>
    <w:rsid w:val="003D3915"/>
    <w:rsid w:val="003D4DC4"/>
    <w:rsid w:val="003D610B"/>
    <w:rsid w:val="003D6ACE"/>
    <w:rsid w:val="003D7966"/>
    <w:rsid w:val="003E4E78"/>
    <w:rsid w:val="003E5DD2"/>
    <w:rsid w:val="003E64B8"/>
    <w:rsid w:val="003E707D"/>
    <w:rsid w:val="003E75DE"/>
    <w:rsid w:val="003F04B3"/>
    <w:rsid w:val="003F5411"/>
    <w:rsid w:val="003F612C"/>
    <w:rsid w:val="003F66A9"/>
    <w:rsid w:val="003F753F"/>
    <w:rsid w:val="00401BC2"/>
    <w:rsid w:val="004030A1"/>
    <w:rsid w:val="00403A78"/>
    <w:rsid w:val="00404B84"/>
    <w:rsid w:val="004050F0"/>
    <w:rsid w:val="0040560D"/>
    <w:rsid w:val="00406692"/>
    <w:rsid w:val="00407104"/>
    <w:rsid w:val="00411315"/>
    <w:rsid w:val="0041131A"/>
    <w:rsid w:val="00412C91"/>
    <w:rsid w:val="004140C6"/>
    <w:rsid w:val="00415AB1"/>
    <w:rsid w:val="00415C5A"/>
    <w:rsid w:val="00421116"/>
    <w:rsid w:val="0042439A"/>
    <w:rsid w:val="00424DAC"/>
    <w:rsid w:val="00425BE6"/>
    <w:rsid w:val="004303F5"/>
    <w:rsid w:val="00431F86"/>
    <w:rsid w:val="00432639"/>
    <w:rsid w:val="00432B14"/>
    <w:rsid w:val="004334FF"/>
    <w:rsid w:val="00434CAC"/>
    <w:rsid w:val="004355BF"/>
    <w:rsid w:val="0043697E"/>
    <w:rsid w:val="00436F1B"/>
    <w:rsid w:val="004375AA"/>
    <w:rsid w:val="0043790D"/>
    <w:rsid w:val="004405AB"/>
    <w:rsid w:val="004407AC"/>
    <w:rsid w:val="004420D4"/>
    <w:rsid w:val="00442481"/>
    <w:rsid w:val="00443BD1"/>
    <w:rsid w:val="00443DF4"/>
    <w:rsid w:val="00451035"/>
    <w:rsid w:val="004510D9"/>
    <w:rsid w:val="00451C57"/>
    <w:rsid w:val="00453B5C"/>
    <w:rsid w:val="004576E1"/>
    <w:rsid w:val="00457919"/>
    <w:rsid w:val="00460C08"/>
    <w:rsid w:val="004612D6"/>
    <w:rsid w:val="004630E0"/>
    <w:rsid w:val="004731D1"/>
    <w:rsid w:val="004745DD"/>
    <w:rsid w:val="00476DE3"/>
    <w:rsid w:val="004800E7"/>
    <w:rsid w:val="0048174A"/>
    <w:rsid w:val="00484871"/>
    <w:rsid w:val="00484DC9"/>
    <w:rsid w:val="00487023"/>
    <w:rsid w:val="00492A4B"/>
    <w:rsid w:val="00494244"/>
    <w:rsid w:val="00494C80"/>
    <w:rsid w:val="004953A3"/>
    <w:rsid w:val="004A1095"/>
    <w:rsid w:val="004A1895"/>
    <w:rsid w:val="004A224C"/>
    <w:rsid w:val="004A22C9"/>
    <w:rsid w:val="004A496A"/>
    <w:rsid w:val="004A5184"/>
    <w:rsid w:val="004A5B9A"/>
    <w:rsid w:val="004A5F5F"/>
    <w:rsid w:val="004A6E1F"/>
    <w:rsid w:val="004A7239"/>
    <w:rsid w:val="004B03DF"/>
    <w:rsid w:val="004B18D1"/>
    <w:rsid w:val="004B309C"/>
    <w:rsid w:val="004B6010"/>
    <w:rsid w:val="004B6B31"/>
    <w:rsid w:val="004C0A1D"/>
    <w:rsid w:val="004C267C"/>
    <w:rsid w:val="004C3847"/>
    <w:rsid w:val="004C3D2B"/>
    <w:rsid w:val="004C3FA2"/>
    <w:rsid w:val="004C5630"/>
    <w:rsid w:val="004C5C0D"/>
    <w:rsid w:val="004C6A5C"/>
    <w:rsid w:val="004C6AAC"/>
    <w:rsid w:val="004C6FA3"/>
    <w:rsid w:val="004C78D3"/>
    <w:rsid w:val="004C7C28"/>
    <w:rsid w:val="004D0371"/>
    <w:rsid w:val="004D0C72"/>
    <w:rsid w:val="004D2F7C"/>
    <w:rsid w:val="004D4146"/>
    <w:rsid w:val="004D4929"/>
    <w:rsid w:val="004D4A04"/>
    <w:rsid w:val="004D7FA4"/>
    <w:rsid w:val="004D7FB8"/>
    <w:rsid w:val="004E0088"/>
    <w:rsid w:val="004E206C"/>
    <w:rsid w:val="004E37E9"/>
    <w:rsid w:val="004E5A75"/>
    <w:rsid w:val="004E64CC"/>
    <w:rsid w:val="004E787C"/>
    <w:rsid w:val="004E7C33"/>
    <w:rsid w:val="004F0641"/>
    <w:rsid w:val="004F0D00"/>
    <w:rsid w:val="004F2D40"/>
    <w:rsid w:val="004F4EA7"/>
    <w:rsid w:val="004F728C"/>
    <w:rsid w:val="0050079A"/>
    <w:rsid w:val="0050134D"/>
    <w:rsid w:val="00505397"/>
    <w:rsid w:val="005061D8"/>
    <w:rsid w:val="005062C9"/>
    <w:rsid w:val="00506D19"/>
    <w:rsid w:val="0050782E"/>
    <w:rsid w:val="005104FE"/>
    <w:rsid w:val="00510AB9"/>
    <w:rsid w:val="00510C7D"/>
    <w:rsid w:val="005127E1"/>
    <w:rsid w:val="00513CE4"/>
    <w:rsid w:val="00514C00"/>
    <w:rsid w:val="0051593B"/>
    <w:rsid w:val="00515C5B"/>
    <w:rsid w:val="00516F87"/>
    <w:rsid w:val="005207C6"/>
    <w:rsid w:val="0052567B"/>
    <w:rsid w:val="00530345"/>
    <w:rsid w:val="00533B97"/>
    <w:rsid w:val="00534A14"/>
    <w:rsid w:val="005352DE"/>
    <w:rsid w:val="005356FF"/>
    <w:rsid w:val="00537C30"/>
    <w:rsid w:val="005409D7"/>
    <w:rsid w:val="00540B66"/>
    <w:rsid w:val="00541285"/>
    <w:rsid w:val="00541B7A"/>
    <w:rsid w:val="0054345A"/>
    <w:rsid w:val="00550736"/>
    <w:rsid w:val="00551A8C"/>
    <w:rsid w:val="00551C97"/>
    <w:rsid w:val="00553570"/>
    <w:rsid w:val="00555F0C"/>
    <w:rsid w:val="00556ADE"/>
    <w:rsid w:val="00556C81"/>
    <w:rsid w:val="0055764B"/>
    <w:rsid w:val="0056278C"/>
    <w:rsid w:val="00564631"/>
    <w:rsid w:val="0056582D"/>
    <w:rsid w:val="0056681C"/>
    <w:rsid w:val="00566BE8"/>
    <w:rsid w:val="00566F3B"/>
    <w:rsid w:val="00567696"/>
    <w:rsid w:val="005714E6"/>
    <w:rsid w:val="00571834"/>
    <w:rsid w:val="00572AD9"/>
    <w:rsid w:val="00574DC7"/>
    <w:rsid w:val="00575F57"/>
    <w:rsid w:val="00580928"/>
    <w:rsid w:val="00580B7E"/>
    <w:rsid w:val="00580EB2"/>
    <w:rsid w:val="00581749"/>
    <w:rsid w:val="0058597C"/>
    <w:rsid w:val="00586368"/>
    <w:rsid w:val="005863A3"/>
    <w:rsid w:val="00593E61"/>
    <w:rsid w:val="0059472B"/>
    <w:rsid w:val="00596662"/>
    <w:rsid w:val="0059787B"/>
    <w:rsid w:val="005A0C6A"/>
    <w:rsid w:val="005A3A45"/>
    <w:rsid w:val="005A3FF9"/>
    <w:rsid w:val="005A5968"/>
    <w:rsid w:val="005A6467"/>
    <w:rsid w:val="005B09A6"/>
    <w:rsid w:val="005B1BFB"/>
    <w:rsid w:val="005B2007"/>
    <w:rsid w:val="005B23D4"/>
    <w:rsid w:val="005B4E11"/>
    <w:rsid w:val="005C16F3"/>
    <w:rsid w:val="005C59DB"/>
    <w:rsid w:val="005C6CD3"/>
    <w:rsid w:val="005C713B"/>
    <w:rsid w:val="005C7335"/>
    <w:rsid w:val="005D0DD1"/>
    <w:rsid w:val="005D1838"/>
    <w:rsid w:val="005D3AD3"/>
    <w:rsid w:val="005D421B"/>
    <w:rsid w:val="005D4716"/>
    <w:rsid w:val="005D7F9F"/>
    <w:rsid w:val="005E0190"/>
    <w:rsid w:val="005E0610"/>
    <w:rsid w:val="005E159A"/>
    <w:rsid w:val="005E3200"/>
    <w:rsid w:val="005E4494"/>
    <w:rsid w:val="005E5EA6"/>
    <w:rsid w:val="005E6A10"/>
    <w:rsid w:val="005F0132"/>
    <w:rsid w:val="005F2544"/>
    <w:rsid w:val="005F5275"/>
    <w:rsid w:val="005F63A8"/>
    <w:rsid w:val="005F6B77"/>
    <w:rsid w:val="0060034B"/>
    <w:rsid w:val="00601254"/>
    <w:rsid w:val="006048CC"/>
    <w:rsid w:val="006051DF"/>
    <w:rsid w:val="00605A93"/>
    <w:rsid w:val="00610FE7"/>
    <w:rsid w:val="00611CEB"/>
    <w:rsid w:val="0061416F"/>
    <w:rsid w:val="006144ED"/>
    <w:rsid w:val="00614F52"/>
    <w:rsid w:val="006163E7"/>
    <w:rsid w:val="00616623"/>
    <w:rsid w:val="00616FB1"/>
    <w:rsid w:val="00617938"/>
    <w:rsid w:val="006220BB"/>
    <w:rsid w:val="00622E7B"/>
    <w:rsid w:val="0062649B"/>
    <w:rsid w:val="00630903"/>
    <w:rsid w:val="0063279E"/>
    <w:rsid w:val="00632AC3"/>
    <w:rsid w:val="006331FD"/>
    <w:rsid w:val="006339F5"/>
    <w:rsid w:val="00633AC2"/>
    <w:rsid w:val="00633F82"/>
    <w:rsid w:val="00634EC2"/>
    <w:rsid w:val="006416F2"/>
    <w:rsid w:val="006419B9"/>
    <w:rsid w:val="00642ECC"/>
    <w:rsid w:val="00646157"/>
    <w:rsid w:val="00647B65"/>
    <w:rsid w:val="00647EB1"/>
    <w:rsid w:val="00650F4B"/>
    <w:rsid w:val="00652D5A"/>
    <w:rsid w:val="0065625F"/>
    <w:rsid w:val="00656EF1"/>
    <w:rsid w:val="006600C2"/>
    <w:rsid w:val="006613D4"/>
    <w:rsid w:val="00661A32"/>
    <w:rsid w:val="00661E6E"/>
    <w:rsid w:val="00662320"/>
    <w:rsid w:val="006630C0"/>
    <w:rsid w:val="00663198"/>
    <w:rsid w:val="00663BE8"/>
    <w:rsid w:val="00663BFA"/>
    <w:rsid w:val="00664D70"/>
    <w:rsid w:val="00664DAE"/>
    <w:rsid w:val="006654E0"/>
    <w:rsid w:val="006657BD"/>
    <w:rsid w:val="00665FCC"/>
    <w:rsid w:val="00666BB7"/>
    <w:rsid w:val="00667357"/>
    <w:rsid w:val="0067148A"/>
    <w:rsid w:val="00672D3D"/>
    <w:rsid w:val="0067579D"/>
    <w:rsid w:val="00675B29"/>
    <w:rsid w:val="00675C74"/>
    <w:rsid w:val="00675D22"/>
    <w:rsid w:val="006805C8"/>
    <w:rsid w:val="006816E1"/>
    <w:rsid w:val="006821CB"/>
    <w:rsid w:val="006823D7"/>
    <w:rsid w:val="0068364F"/>
    <w:rsid w:val="0068418A"/>
    <w:rsid w:val="00686DF6"/>
    <w:rsid w:val="00686F23"/>
    <w:rsid w:val="006920BC"/>
    <w:rsid w:val="00694E19"/>
    <w:rsid w:val="006950B0"/>
    <w:rsid w:val="00695972"/>
    <w:rsid w:val="00697379"/>
    <w:rsid w:val="006973EB"/>
    <w:rsid w:val="0069760A"/>
    <w:rsid w:val="006A015C"/>
    <w:rsid w:val="006A26E6"/>
    <w:rsid w:val="006A3B9C"/>
    <w:rsid w:val="006A44F5"/>
    <w:rsid w:val="006B1B0B"/>
    <w:rsid w:val="006B27FB"/>
    <w:rsid w:val="006B2980"/>
    <w:rsid w:val="006B2EED"/>
    <w:rsid w:val="006B3325"/>
    <w:rsid w:val="006B7551"/>
    <w:rsid w:val="006C1AD5"/>
    <w:rsid w:val="006C5B6D"/>
    <w:rsid w:val="006C6066"/>
    <w:rsid w:val="006C6D03"/>
    <w:rsid w:val="006D0D7B"/>
    <w:rsid w:val="006D2415"/>
    <w:rsid w:val="006D2D97"/>
    <w:rsid w:val="006D4476"/>
    <w:rsid w:val="006D5C96"/>
    <w:rsid w:val="006D67F4"/>
    <w:rsid w:val="006E1C06"/>
    <w:rsid w:val="006E2110"/>
    <w:rsid w:val="006E2181"/>
    <w:rsid w:val="006E4D4D"/>
    <w:rsid w:val="006E61ED"/>
    <w:rsid w:val="006F19F5"/>
    <w:rsid w:val="006F40E2"/>
    <w:rsid w:val="006F4994"/>
    <w:rsid w:val="006F54F9"/>
    <w:rsid w:val="006F57B8"/>
    <w:rsid w:val="006F58E8"/>
    <w:rsid w:val="006F76BC"/>
    <w:rsid w:val="007000B6"/>
    <w:rsid w:val="00701826"/>
    <w:rsid w:val="00705519"/>
    <w:rsid w:val="00705724"/>
    <w:rsid w:val="00705831"/>
    <w:rsid w:val="007063A0"/>
    <w:rsid w:val="00710958"/>
    <w:rsid w:val="00711B1B"/>
    <w:rsid w:val="007130F3"/>
    <w:rsid w:val="0071455F"/>
    <w:rsid w:val="00715C78"/>
    <w:rsid w:val="00716E76"/>
    <w:rsid w:val="00717E32"/>
    <w:rsid w:val="00721D28"/>
    <w:rsid w:val="00723D91"/>
    <w:rsid w:val="007242D9"/>
    <w:rsid w:val="00725098"/>
    <w:rsid w:val="0073047D"/>
    <w:rsid w:val="007306FF"/>
    <w:rsid w:val="007312D4"/>
    <w:rsid w:val="00731D6D"/>
    <w:rsid w:val="0073288F"/>
    <w:rsid w:val="00734669"/>
    <w:rsid w:val="00735245"/>
    <w:rsid w:val="0073616F"/>
    <w:rsid w:val="007368CE"/>
    <w:rsid w:val="0074033C"/>
    <w:rsid w:val="007408A2"/>
    <w:rsid w:val="007415C5"/>
    <w:rsid w:val="00742F44"/>
    <w:rsid w:val="00744B91"/>
    <w:rsid w:val="007452E0"/>
    <w:rsid w:val="00747075"/>
    <w:rsid w:val="007477AD"/>
    <w:rsid w:val="00747831"/>
    <w:rsid w:val="00750EFE"/>
    <w:rsid w:val="00751B0E"/>
    <w:rsid w:val="00753EE6"/>
    <w:rsid w:val="0075539D"/>
    <w:rsid w:val="00755D31"/>
    <w:rsid w:val="00755E1B"/>
    <w:rsid w:val="0075611D"/>
    <w:rsid w:val="007610E2"/>
    <w:rsid w:val="007616C3"/>
    <w:rsid w:val="00761F13"/>
    <w:rsid w:val="007625EA"/>
    <w:rsid w:val="00764774"/>
    <w:rsid w:val="007651FD"/>
    <w:rsid w:val="00765384"/>
    <w:rsid w:val="00767082"/>
    <w:rsid w:val="007671DA"/>
    <w:rsid w:val="00767D0F"/>
    <w:rsid w:val="00772426"/>
    <w:rsid w:val="00773B77"/>
    <w:rsid w:val="0077767F"/>
    <w:rsid w:val="00777A4A"/>
    <w:rsid w:val="007806C6"/>
    <w:rsid w:val="00780FD1"/>
    <w:rsid w:val="00782798"/>
    <w:rsid w:val="00782D65"/>
    <w:rsid w:val="007848E5"/>
    <w:rsid w:val="00784DE7"/>
    <w:rsid w:val="00785D1C"/>
    <w:rsid w:val="007862F9"/>
    <w:rsid w:val="00786840"/>
    <w:rsid w:val="0079332B"/>
    <w:rsid w:val="00794103"/>
    <w:rsid w:val="00794C69"/>
    <w:rsid w:val="007950E1"/>
    <w:rsid w:val="00795520"/>
    <w:rsid w:val="0079733D"/>
    <w:rsid w:val="007A0B1D"/>
    <w:rsid w:val="007A3AC3"/>
    <w:rsid w:val="007A546B"/>
    <w:rsid w:val="007A5D9C"/>
    <w:rsid w:val="007A6952"/>
    <w:rsid w:val="007B2D20"/>
    <w:rsid w:val="007B45C1"/>
    <w:rsid w:val="007B691C"/>
    <w:rsid w:val="007B6B85"/>
    <w:rsid w:val="007B7089"/>
    <w:rsid w:val="007B7192"/>
    <w:rsid w:val="007C0D68"/>
    <w:rsid w:val="007C13F9"/>
    <w:rsid w:val="007C345B"/>
    <w:rsid w:val="007C34B8"/>
    <w:rsid w:val="007C6053"/>
    <w:rsid w:val="007C6AEC"/>
    <w:rsid w:val="007D2273"/>
    <w:rsid w:val="007D6086"/>
    <w:rsid w:val="007D7C31"/>
    <w:rsid w:val="007E06BA"/>
    <w:rsid w:val="007E3EC9"/>
    <w:rsid w:val="007E4C4E"/>
    <w:rsid w:val="007F02E7"/>
    <w:rsid w:val="007F077F"/>
    <w:rsid w:val="007F2008"/>
    <w:rsid w:val="007F308C"/>
    <w:rsid w:val="007F3A3B"/>
    <w:rsid w:val="007F4226"/>
    <w:rsid w:val="007F7EF3"/>
    <w:rsid w:val="00801F70"/>
    <w:rsid w:val="008022FF"/>
    <w:rsid w:val="00804E5A"/>
    <w:rsid w:val="00806406"/>
    <w:rsid w:val="00810864"/>
    <w:rsid w:val="008108BD"/>
    <w:rsid w:val="0081283B"/>
    <w:rsid w:val="00812936"/>
    <w:rsid w:val="00816801"/>
    <w:rsid w:val="00820AAC"/>
    <w:rsid w:val="008213AC"/>
    <w:rsid w:val="00821722"/>
    <w:rsid w:val="00824E7B"/>
    <w:rsid w:val="0082524D"/>
    <w:rsid w:val="00826FE2"/>
    <w:rsid w:val="00830E0C"/>
    <w:rsid w:val="00833A09"/>
    <w:rsid w:val="0083546B"/>
    <w:rsid w:val="0083607E"/>
    <w:rsid w:val="0084101C"/>
    <w:rsid w:val="00841D83"/>
    <w:rsid w:val="008422CF"/>
    <w:rsid w:val="00842688"/>
    <w:rsid w:val="00842F21"/>
    <w:rsid w:val="00843662"/>
    <w:rsid w:val="00843819"/>
    <w:rsid w:val="00843878"/>
    <w:rsid w:val="00843B0E"/>
    <w:rsid w:val="00844F9C"/>
    <w:rsid w:val="008478D2"/>
    <w:rsid w:val="00850CCA"/>
    <w:rsid w:val="0085325C"/>
    <w:rsid w:val="00856D4E"/>
    <w:rsid w:val="0085750A"/>
    <w:rsid w:val="00857510"/>
    <w:rsid w:val="008577EB"/>
    <w:rsid w:val="00861106"/>
    <w:rsid w:val="00864A30"/>
    <w:rsid w:val="008653F9"/>
    <w:rsid w:val="008668D5"/>
    <w:rsid w:val="00867A91"/>
    <w:rsid w:val="00871C14"/>
    <w:rsid w:val="00874152"/>
    <w:rsid w:val="0087538A"/>
    <w:rsid w:val="0087604F"/>
    <w:rsid w:val="00880E6B"/>
    <w:rsid w:val="00881C3A"/>
    <w:rsid w:val="00884884"/>
    <w:rsid w:val="00884EDE"/>
    <w:rsid w:val="0088762F"/>
    <w:rsid w:val="00887A0B"/>
    <w:rsid w:val="00887A27"/>
    <w:rsid w:val="00893420"/>
    <w:rsid w:val="008A111B"/>
    <w:rsid w:val="008A26EA"/>
    <w:rsid w:val="008A2FF0"/>
    <w:rsid w:val="008A324D"/>
    <w:rsid w:val="008A383D"/>
    <w:rsid w:val="008A3B56"/>
    <w:rsid w:val="008A3D7C"/>
    <w:rsid w:val="008A5040"/>
    <w:rsid w:val="008A597D"/>
    <w:rsid w:val="008A5EB2"/>
    <w:rsid w:val="008A770A"/>
    <w:rsid w:val="008B1468"/>
    <w:rsid w:val="008B36D4"/>
    <w:rsid w:val="008B3FB7"/>
    <w:rsid w:val="008B40C6"/>
    <w:rsid w:val="008B4DEE"/>
    <w:rsid w:val="008B55B8"/>
    <w:rsid w:val="008B6028"/>
    <w:rsid w:val="008B66A4"/>
    <w:rsid w:val="008B6D1D"/>
    <w:rsid w:val="008B7193"/>
    <w:rsid w:val="008C06C2"/>
    <w:rsid w:val="008C097E"/>
    <w:rsid w:val="008C1F6E"/>
    <w:rsid w:val="008C33F3"/>
    <w:rsid w:val="008C49E8"/>
    <w:rsid w:val="008C4C4B"/>
    <w:rsid w:val="008C54CC"/>
    <w:rsid w:val="008D07CD"/>
    <w:rsid w:val="008D35BD"/>
    <w:rsid w:val="008D6FD8"/>
    <w:rsid w:val="008E0DE5"/>
    <w:rsid w:val="008E28EE"/>
    <w:rsid w:val="008E3B16"/>
    <w:rsid w:val="008E4388"/>
    <w:rsid w:val="008E5047"/>
    <w:rsid w:val="008E610F"/>
    <w:rsid w:val="008E63BE"/>
    <w:rsid w:val="008F0CFD"/>
    <w:rsid w:val="008F2B1A"/>
    <w:rsid w:val="008F3AB9"/>
    <w:rsid w:val="008F3F1E"/>
    <w:rsid w:val="008F49B4"/>
    <w:rsid w:val="008F4B28"/>
    <w:rsid w:val="008F562C"/>
    <w:rsid w:val="008F59A7"/>
    <w:rsid w:val="008F61A0"/>
    <w:rsid w:val="008F6EB2"/>
    <w:rsid w:val="008F7302"/>
    <w:rsid w:val="0090040A"/>
    <w:rsid w:val="00900C30"/>
    <w:rsid w:val="009010C0"/>
    <w:rsid w:val="00903D05"/>
    <w:rsid w:val="00905434"/>
    <w:rsid w:val="0090570C"/>
    <w:rsid w:val="00905DA1"/>
    <w:rsid w:val="00906054"/>
    <w:rsid w:val="009060F8"/>
    <w:rsid w:val="00910A5E"/>
    <w:rsid w:val="00912751"/>
    <w:rsid w:val="00912EF5"/>
    <w:rsid w:val="009155FE"/>
    <w:rsid w:val="00915C60"/>
    <w:rsid w:val="00916239"/>
    <w:rsid w:val="009170A8"/>
    <w:rsid w:val="00917B65"/>
    <w:rsid w:val="00923BDC"/>
    <w:rsid w:val="009249A7"/>
    <w:rsid w:val="009249CD"/>
    <w:rsid w:val="00924DB2"/>
    <w:rsid w:val="009261B1"/>
    <w:rsid w:val="00927294"/>
    <w:rsid w:val="009330C5"/>
    <w:rsid w:val="009334CD"/>
    <w:rsid w:val="009349A4"/>
    <w:rsid w:val="00935D5D"/>
    <w:rsid w:val="00942033"/>
    <w:rsid w:val="009431AD"/>
    <w:rsid w:val="009431BB"/>
    <w:rsid w:val="00943B80"/>
    <w:rsid w:val="009442B6"/>
    <w:rsid w:val="00944ECF"/>
    <w:rsid w:val="009520A1"/>
    <w:rsid w:val="0095225D"/>
    <w:rsid w:val="0095482B"/>
    <w:rsid w:val="009556C1"/>
    <w:rsid w:val="009576AD"/>
    <w:rsid w:val="009622EE"/>
    <w:rsid w:val="009627B4"/>
    <w:rsid w:val="00963A27"/>
    <w:rsid w:val="009649A6"/>
    <w:rsid w:val="00965400"/>
    <w:rsid w:val="00965EEC"/>
    <w:rsid w:val="0096706F"/>
    <w:rsid w:val="009674AE"/>
    <w:rsid w:val="00967660"/>
    <w:rsid w:val="00967A35"/>
    <w:rsid w:val="00970D48"/>
    <w:rsid w:val="0097329C"/>
    <w:rsid w:val="00973FF0"/>
    <w:rsid w:val="0097400D"/>
    <w:rsid w:val="00974E65"/>
    <w:rsid w:val="009755BF"/>
    <w:rsid w:val="00977566"/>
    <w:rsid w:val="00977804"/>
    <w:rsid w:val="0097789C"/>
    <w:rsid w:val="00977C59"/>
    <w:rsid w:val="00977F01"/>
    <w:rsid w:val="009800C8"/>
    <w:rsid w:val="00981486"/>
    <w:rsid w:val="009833B0"/>
    <w:rsid w:val="009837F4"/>
    <w:rsid w:val="00983B2D"/>
    <w:rsid w:val="00983F9F"/>
    <w:rsid w:val="00984551"/>
    <w:rsid w:val="00984CDB"/>
    <w:rsid w:val="00985AEB"/>
    <w:rsid w:val="0098696B"/>
    <w:rsid w:val="00986E95"/>
    <w:rsid w:val="00987EDA"/>
    <w:rsid w:val="00992D8C"/>
    <w:rsid w:val="00993BBA"/>
    <w:rsid w:val="00995483"/>
    <w:rsid w:val="00995F8D"/>
    <w:rsid w:val="009970C4"/>
    <w:rsid w:val="00997883"/>
    <w:rsid w:val="00997F5D"/>
    <w:rsid w:val="009A1A93"/>
    <w:rsid w:val="009A2B5B"/>
    <w:rsid w:val="009A41DB"/>
    <w:rsid w:val="009A4F7E"/>
    <w:rsid w:val="009A52BE"/>
    <w:rsid w:val="009A57D1"/>
    <w:rsid w:val="009A5CE0"/>
    <w:rsid w:val="009A6C42"/>
    <w:rsid w:val="009A7BDD"/>
    <w:rsid w:val="009B3684"/>
    <w:rsid w:val="009B6719"/>
    <w:rsid w:val="009B6F09"/>
    <w:rsid w:val="009C24D3"/>
    <w:rsid w:val="009C2743"/>
    <w:rsid w:val="009C2E5F"/>
    <w:rsid w:val="009C43C3"/>
    <w:rsid w:val="009C471E"/>
    <w:rsid w:val="009C5658"/>
    <w:rsid w:val="009C78C0"/>
    <w:rsid w:val="009D00E9"/>
    <w:rsid w:val="009D03D1"/>
    <w:rsid w:val="009D12AF"/>
    <w:rsid w:val="009D2A75"/>
    <w:rsid w:val="009D2DE2"/>
    <w:rsid w:val="009D41ED"/>
    <w:rsid w:val="009D46C4"/>
    <w:rsid w:val="009D6A9E"/>
    <w:rsid w:val="009E1AA2"/>
    <w:rsid w:val="009E415F"/>
    <w:rsid w:val="009E471B"/>
    <w:rsid w:val="009E584B"/>
    <w:rsid w:val="009E63E2"/>
    <w:rsid w:val="009E680B"/>
    <w:rsid w:val="009E6BE7"/>
    <w:rsid w:val="009F0363"/>
    <w:rsid w:val="009F3872"/>
    <w:rsid w:val="009F6193"/>
    <w:rsid w:val="009F6623"/>
    <w:rsid w:val="00A013FA"/>
    <w:rsid w:val="00A02EAA"/>
    <w:rsid w:val="00A038F5"/>
    <w:rsid w:val="00A03F09"/>
    <w:rsid w:val="00A042F9"/>
    <w:rsid w:val="00A06D69"/>
    <w:rsid w:val="00A11684"/>
    <w:rsid w:val="00A12965"/>
    <w:rsid w:val="00A13525"/>
    <w:rsid w:val="00A13D8B"/>
    <w:rsid w:val="00A14BA6"/>
    <w:rsid w:val="00A151DF"/>
    <w:rsid w:val="00A1548D"/>
    <w:rsid w:val="00A17AAF"/>
    <w:rsid w:val="00A200BA"/>
    <w:rsid w:val="00A20675"/>
    <w:rsid w:val="00A216DD"/>
    <w:rsid w:val="00A23E66"/>
    <w:rsid w:val="00A26F0A"/>
    <w:rsid w:val="00A318BA"/>
    <w:rsid w:val="00A33FAD"/>
    <w:rsid w:val="00A3476B"/>
    <w:rsid w:val="00A34FA6"/>
    <w:rsid w:val="00A37641"/>
    <w:rsid w:val="00A37DCA"/>
    <w:rsid w:val="00A40559"/>
    <w:rsid w:val="00A41E42"/>
    <w:rsid w:val="00A41FC3"/>
    <w:rsid w:val="00A43BEF"/>
    <w:rsid w:val="00A43F41"/>
    <w:rsid w:val="00A44434"/>
    <w:rsid w:val="00A45946"/>
    <w:rsid w:val="00A45A86"/>
    <w:rsid w:val="00A45AD5"/>
    <w:rsid w:val="00A45BE3"/>
    <w:rsid w:val="00A4731E"/>
    <w:rsid w:val="00A478CD"/>
    <w:rsid w:val="00A5002E"/>
    <w:rsid w:val="00A5177F"/>
    <w:rsid w:val="00A51A4B"/>
    <w:rsid w:val="00A522CA"/>
    <w:rsid w:val="00A52526"/>
    <w:rsid w:val="00A53B83"/>
    <w:rsid w:val="00A540A1"/>
    <w:rsid w:val="00A54EBD"/>
    <w:rsid w:val="00A5590E"/>
    <w:rsid w:val="00A56DD0"/>
    <w:rsid w:val="00A61BA4"/>
    <w:rsid w:val="00A61BCE"/>
    <w:rsid w:val="00A61CCE"/>
    <w:rsid w:val="00A624B2"/>
    <w:rsid w:val="00A63A86"/>
    <w:rsid w:val="00A640B4"/>
    <w:rsid w:val="00A65AA9"/>
    <w:rsid w:val="00A65DFB"/>
    <w:rsid w:val="00A66330"/>
    <w:rsid w:val="00A7068C"/>
    <w:rsid w:val="00A715B2"/>
    <w:rsid w:val="00A7261A"/>
    <w:rsid w:val="00A72EE9"/>
    <w:rsid w:val="00A73320"/>
    <w:rsid w:val="00A73521"/>
    <w:rsid w:val="00A73C78"/>
    <w:rsid w:val="00A741E9"/>
    <w:rsid w:val="00A743B7"/>
    <w:rsid w:val="00A80402"/>
    <w:rsid w:val="00A840EE"/>
    <w:rsid w:val="00A85AC9"/>
    <w:rsid w:val="00A9056F"/>
    <w:rsid w:val="00A9088C"/>
    <w:rsid w:val="00A90AF7"/>
    <w:rsid w:val="00A917CB"/>
    <w:rsid w:val="00A917EF"/>
    <w:rsid w:val="00A918B3"/>
    <w:rsid w:val="00A921FD"/>
    <w:rsid w:val="00A92601"/>
    <w:rsid w:val="00A93186"/>
    <w:rsid w:val="00A93D4E"/>
    <w:rsid w:val="00A9515F"/>
    <w:rsid w:val="00A959E9"/>
    <w:rsid w:val="00A962CE"/>
    <w:rsid w:val="00AA079C"/>
    <w:rsid w:val="00AA07C0"/>
    <w:rsid w:val="00AA456B"/>
    <w:rsid w:val="00AA4E22"/>
    <w:rsid w:val="00AA5C5E"/>
    <w:rsid w:val="00AA5D53"/>
    <w:rsid w:val="00AA5D62"/>
    <w:rsid w:val="00AA62B6"/>
    <w:rsid w:val="00AA671D"/>
    <w:rsid w:val="00AA7090"/>
    <w:rsid w:val="00AB05E2"/>
    <w:rsid w:val="00AB072A"/>
    <w:rsid w:val="00AB0F1A"/>
    <w:rsid w:val="00AB4654"/>
    <w:rsid w:val="00AB49B7"/>
    <w:rsid w:val="00AB5164"/>
    <w:rsid w:val="00AB5620"/>
    <w:rsid w:val="00AB7784"/>
    <w:rsid w:val="00AC0F8E"/>
    <w:rsid w:val="00AC149B"/>
    <w:rsid w:val="00AC7337"/>
    <w:rsid w:val="00AD0BC5"/>
    <w:rsid w:val="00AD49EC"/>
    <w:rsid w:val="00AD637C"/>
    <w:rsid w:val="00AD6765"/>
    <w:rsid w:val="00AD7111"/>
    <w:rsid w:val="00AE1DD7"/>
    <w:rsid w:val="00AE1DE7"/>
    <w:rsid w:val="00AE4CA1"/>
    <w:rsid w:val="00AE506A"/>
    <w:rsid w:val="00AE5A2B"/>
    <w:rsid w:val="00AF0288"/>
    <w:rsid w:val="00AF09DB"/>
    <w:rsid w:val="00AF13E4"/>
    <w:rsid w:val="00AF18AC"/>
    <w:rsid w:val="00AF446A"/>
    <w:rsid w:val="00AF4A83"/>
    <w:rsid w:val="00AF50D4"/>
    <w:rsid w:val="00AF6DBF"/>
    <w:rsid w:val="00AF7AA6"/>
    <w:rsid w:val="00AF7AE1"/>
    <w:rsid w:val="00B018C8"/>
    <w:rsid w:val="00B05C4F"/>
    <w:rsid w:val="00B117E0"/>
    <w:rsid w:val="00B11C8F"/>
    <w:rsid w:val="00B14F4E"/>
    <w:rsid w:val="00B15BB0"/>
    <w:rsid w:val="00B17CC4"/>
    <w:rsid w:val="00B17F01"/>
    <w:rsid w:val="00B208CA"/>
    <w:rsid w:val="00B216DA"/>
    <w:rsid w:val="00B2207C"/>
    <w:rsid w:val="00B22098"/>
    <w:rsid w:val="00B25695"/>
    <w:rsid w:val="00B258FF"/>
    <w:rsid w:val="00B25DDC"/>
    <w:rsid w:val="00B26F94"/>
    <w:rsid w:val="00B31EBB"/>
    <w:rsid w:val="00B331EA"/>
    <w:rsid w:val="00B33311"/>
    <w:rsid w:val="00B33AB2"/>
    <w:rsid w:val="00B33CEA"/>
    <w:rsid w:val="00B344E5"/>
    <w:rsid w:val="00B35D66"/>
    <w:rsid w:val="00B36342"/>
    <w:rsid w:val="00B370AF"/>
    <w:rsid w:val="00B37A89"/>
    <w:rsid w:val="00B41C73"/>
    <w:rsid w:val="00B41E6B"/>
    <w:rsid w:val="00B41F27"/>
    <w:rsid w:val="00B427D0"/>
    <w:rsid w:val="00B42AB0"/>
    <w:rsid w:val="00B431E5"/>
    <w:rsid w:val="00B43F8E"/>
    <w:rsid w:val="00B4407A"/>
    <w:rsid w:val="00B45660"/>
    <w:rsid w:val="00B525AD"/>
    <w:rsid w:val="00B552C0"/>
    <w:rsid w:val="00B55A9B"/>
    <w:rsid w:val="00B566E4"/>
    <w:rsid w:val="00B5696E"/>
    <w:rsid w:val="00B575C6"/>
    <w:rsid w:val="00B60DC7"/>
    <w:rsid w:val="00B624C1"/>
    <w:rsid w:val="00B62EB0"/>
    <w:rsid w:val="00B63178"/>
    <w:rsid w:val="00B6354B"/>
    <w:rsid w:val="00B66102"/>
    <w:rsid w:val="00B6734E"/>
    <w:rsid w:val="00B73CD3"/>
    <w:rsid w:val="00B75F72"/>
    <w:rsid w:val="00B77EB5"/>
    <w:rsid w:val="00B809C1"/>
    <w:rsid w:val="00B80D3E"/>
    <w:rsid w:val="00B823B9"/>
    <w:rsid w:val="00B8518A"/>
    <w:rsid w:val="00B85654"/>
    <w:rsid w:val="00B90B38"/>
    <w:rsid w:val="00B91578"/>
    <w:rsid w:val="00B91599"/>
    <w:rsid w:val="00B91BA5"/>
    <w:rsid w:val="00B920F2"/>
    <w:rsid w:val="00B92DBA"/>
    <w:rsid w:val="00B935BE"/>
    <w:rsid w:val="00B97D41"/>
    <w:rsid w:val="00BA047A"/>
    <w:rsid w:val="00BA1835"/>
    <w:rsid w:val="00BA1F0A"/>
    <w:rsid w:val="00BA3D45"/>
    <w:rsid w:val="00BA4589"/>
    <w:rsid w:val="00BA5526"/>
    <w:rsid w:val="00BA5AD2"/>
    <w:rsid w:val="00BA66B8"/>
    <w:rsid w:val="00BB6DBC"/>
    <w:rsid w:val="00BC2B4F"/>
    <w:rsid w:val="00BC31B8"/>
    <w:rsid w:val="00BC3FF4"/>
    <w:rsid w:val="00BC402A"/>
    <w:rsid w:val="00BD0856"/>
    <w:rsid w:val="00BD2337"/>
    <w:rsid w:val="00BD3A7E"/>
    <w:rsid w:val="00BD645F"/>
    <w:rsid w:val="00BD67BE"/>
    <w:rsid w:val="00BD7E16"/>
    <w:rsid w:val="00BE2DEA"/>
    <w:rsid w:val="00BE4954"/>
    <w:rsid w:val="00BE5321"/>
    <w:rsid w:val="00BF1F56"/>
    <w:rsid w:val="00BF438E"/>
    <w:rsid w:val="00BF628B"/>
    <w:rsid w:val="00BF7689"/>
    <w:rsid w:val="00C01AD8"/>
    <w:rsid w:val="00C01BDD"/>
    <w:rsid w:val="00C01CE7"/>
    <w:rsid w:val="00C0273F"/>
    <w:rsid w:val="00C0291D"/>
    <w:rsid w:val="00C02E0F"/>
    <w:rsid w:val="00C0475D"/>
    <w:rsid w:val="00C05789"/>
    <w:rsid w:val="00C061A0"/>
    <w:rsid w:val="00C064DC"/>
    <w:rsid w:val="00C07660"/>
    <w:rsid w:val="00C109D0"/>
    <w:rsid w:val="00C12058"/>
    <w:rsid w:val="00C124B1"/>
    <w:rsid w:val="00C12D4C"/>
    <w:rsid w:val="00C13101"/>
    <w:rsid w:val="00C13192"/>
    <w:rsid w:val="00C13BA8"/>
    <w:rsid w:val="00C144FC"/>
    <w:rsid w:val="00C176CB"/>
    <w:rsid w:val="00C22358"/>
    <w:rsid w:val="00C227AB"/>
    <w:rsid w:val="00C23511"/>
    <w:rsid w:val="00C23EE8"/>
    <w:rsid w:val="00C23F5F"/>
    <w:rsid w:val="00C276F9"/>
    <w:rsid w:val="00C27D49"/>
    <w:rsid w:val="00C30B74"/>
    <w:rsid w:val="00C33827"/>
    <w:rsid w:val="00C34B84"/>
    <w:rsid w:val="00C356E0"/>
    <w:rsid w:val="00C40EA3"/>
    <w:rsid w:val="00C416C7"/>
    <w:rsid w:val="00C439DD"/>
    <w:rsid w:val="00C44646"/>
    <w:rsid w:val="00C46C40"/>
    <w:rsid w:val="00C47B08"/>
    <w:rsid w:val="00C50B60"/>
    <w:rsid w:val="00C50FCC"/>
    <w:rsid w:val="00C53CCE"/>
    <w:rsid w:val="00C549D9"/>
    <w:rsid w:val="00C55B0D"/>
    <w:rsid w:val="00C5676E"/>
    <w:rsid w:val="00C56E89"/>
    <w:rsid w:val="00C602D2"/>
    <w:rsid w:val="00C60C43"/>
    <w:rsid w:val="00C6200F"/>
    <w:rsid w:val="00C627C1"/>
    <w:rsid w:val="00C63164"/>
    <w:rsid w:val="00C632BA"/>
    <w:rsid w:val="00C643C9"/>
    <w:rsid w:val="00C66021"/>
    <w:rsid w:val="00C6702A"/>
    <w:rsid w:val="00C7011A"/>
    <w:rsid w:val="00C747F4"/>
    <w:rsid w:val="00C754C7"/>
    <w:rsid w:val="00C7618D"/>
    <w:rsid w:val="00C77BFA"/>
    <w:rsid w:val="00C802F8"/>
    <w:rsid w:val="00C83094"/>
    <w:rsid w:val="00C854A1"/>
    <w:rsid w:val="00C85F62"/>
    <w:rsid w:val="00C860B6"/>
    <w:rsid w:val="00C86D1B"/>
    <w:rsid w:val="00C87E04"/>
    <w:rsid w:val="00C905A8"/>
    <w:rsid w:val="00C9110A"/>
    <w:rsid w:val="00C9199F"/>
    <w:rsid w:val="00C9207F"/>
    <w:rsid w:val="00C93F46"/>
    <w:rsid w:val="00C94A6C"/>
    <w:rsid w:val="00CA1FDB"/>
    <w:rsid w:val="00CA4099"/>
    <w:rsid w:val="00CA4B46"/>
    <w:rsid w:val="00CA5945"/>
    <w:rsid w:val="00CA5A41"/>
    <w:rsid w:val="00CA5D9C"/>
    <w:rsid w:val="00CA6756"/>
    <w:rsid w:val="00CA750F"/>
    <w:rsid w:val="00CB036B"/>
    <w:rsid w:val="00CB089B"/>
    <w:rsid w:val="00CB0C36"/>
    <w:rsid w:val="00CB6330"/>
    <w:rsid w:val="00CB7099"/>
    <w:rsid w:val="00CB714A"/>
    <w:rsid w:val="00CB7F3C"/>
    <w:rsid w:val="00CC06C8"/>
    <w:rsid w:val="00CC1771"/>
    <w:rsid w:val="00CC3832"/>
    <w:rsid w:val="00CC4964"/>
    <w:rsid w:val="00CC6EF0"/>
    <w:rsid w:val="00CC701A"/>
    <w:rsid w:val="00CC7778"/>
    <w:rsid w:val="00CC7DF3"/>
    <w:rsid w:val="00CD3285"/>
    <w:rsid w:val="00CD4AE5"/>
    <w:rsid w:val="00CD62B7"/>
    <w:rsid w:val="00CD71E0"/>
    <w:rsid w:val="00CD7437"/>
    <w:rsid w:val="00CE1A28"/>
    <w:rsid w:val="00CE337D"/>
    <w:rsid w:val="00CE5683"/>
    <w:rsid w:val="00CE61E8"/>
    <w:rsid w:val="00CE69AF"/>
    <w:rsid w:val="00CE7DB5"/>
    <w:rsid w:val="00CE7FA2"/>
    <w:rsid w:val="00CF4635"/>
    <w:rsid w:val="00D00365"/>
    <w:rsid w:val="00D011EC"/>
    <w:rsid w:val="00D01F6E"/>
    <w:rsid w:val="00D04AA2"/>
    <w:rsid w:val="00D0591C"/>
    <w:rsid w:val="00D069E6"/>
    <w:rsid w:val="00D1082B"/>
    <w:rsid w:val="00D120FE"/>
    <w:rsid w:val="00D139CE"/>
    <w:rsid w:val="00D14385"/>
    <w:rsid w:val="00D14AD5"/>
    <w:rsid w:val="00D1589C"/>
    <w:rsid w:val="00D15E45"/>
    <w:rsid w:val="00D16BC3"/>
    <w:rsid w:val="00D20C43"/>
    <w:rsid w:val="00D227DB"/>
    <w:rsid w:val="00D23997"/>
    <w:rsid w:val="00D23D00"/>
    <w:rsid w:val="00D24CB1"/>
    <w:rsid w:val="00D253A1"/>
    <w:rsid w:val="00D25F23"/>
    <w:rsid w:val="00D26224"/>
    <w:rsid w:val="00D27AD3"/>
    <w:rsid w:val="00D27B51"/>
    <w:rsid w:val="00D30874"/>
    <w:rsid w:val="00D3278D"/>
    <w:rsid w:val="00D32E0D"/>
    <w:rsid w:val="00D33A8C"/>
    <w:rsid w:val="00D33C34"/>
    <w:rsid w:val="00D33FCD"/>
    <w:rsid w:val="00D36510"/>
    <w:rsid w:val="00D3735E"/>
    <w:rsid w:val="00D37B2C"/>
    <w:rsid w:val="00D37D05"/>
    <w:rsid w:val="00D4092C"/>
    <w:rsid w:val="00D43C31"/>
    <w:rsid w:val="00D45EEA"/>
    <w:rsid w:val="00D4624D"/>
    <w:rsid w:val="00D46C6E"/>
    <w:rsid w:val="00D51ACD"/>
    <w:rsid w:val="00D51C19"/>
    <w:rsid w:val="00D538CD"/>
    <w:rsid w:val="00D548B9"/>
    <w:rsid w:val="00D562B2"/>
    <w:rsid w:val="00D56863"/>
    <w:rsid w:val="00D5751C"/>
    <w:rsid w:val="00D57D98"/>
    <w:rsid w:val="00D602E3"/>
    <w:rsid w:val="00D605DC"/>
    <w:rsid w:val="00D611E5"/>
    <w:rsid w:val="00D63B8F"/>
    <w:rsid w:val="00D64F0F"/>
    <w:rsid w:val="00D65530"/>
    <w:rsid w:val="00D72200"/>
    <w:rsid w:val="00D73371"/>
    <w:rsid w:val="00D81728"/>
    <w:rsid w:val="00D823AC"/>
    <w:rsid w:val="00D839ED"/>
    <w:rsid w:val="00D8448D"/>
    <w:rsid w:val="00D84CD7"/>
    <w:rsid w:val="00D84F84"/>
    <w:rsid w:val="00D855FD"/>
    <w:rsid w:val="00D8575E"/>
    <w:rsid w:val="00D90D02"/>
    <w:rsid w:val="00D90F80"/>
    <w:rsid w:val="00D914D0"/>
    <w:rsid w:val="00D91B9D"/>
    <w:rsid w:val="00D92608"/>
    <w:rsid w:val="00D9352F"/>
    <w:rsid w:val="00D93786"/>
    <w:rsid w:val="00D97256"/>
    <w:rsid w:val="00D97B0B"/>
    <w:rsid w:val="00DA167B"/>
    <w:rsid w:val="00DA20F6"/>
    <w:rsid w:val="00DA31AC"/>
    <w:rsid w:val="00DA3ADB"/>
    <w:rsid w:val="00DA3D5A"/>
    <w:rsid w:val="00DA4EBF"/>
    <w:rsid w:val="00DA7207"/>
    <w:rsid w:val="00DB16FE"/>
    <w:rsid w:val="00DB19CC"/>
    <w:rsid w:val="00DB3004"/>
    <w:rsid w:val="00DB5BFC"/>
    <w:rsid w:val="00DC14BC"/>
    <w:rsid w:val="00DC171E"/>
    <w:rsid w:val="00DC23E9"/>
    <w:rsid w:val="00DC5412"/>
    <w:rsid w:val="00DC55D8"/>
    <w:rsid w:val="00DD2183"/>
    <w:rsid w:val="00DD3124"/>
    <w:rsid w:val="00DD427E"/>
    <w:rsid w:val="00DD6604"/>
    <w:rsid w:val="00DE1026"/>
    <w:rsid w:val="00DE44F4"/>
    <w:rsid w:val="00DE5324"/>
    <w:rsid w:val="00DE5E21"/>
    <w:rsid w:val="00DE65AD"/>
    <w:rsid w:val="00DE69A9"/>
    <w:rsid w:val="00DF293C"/>
    <w:rsid w:val="00DF4317"/>
    <w:rsid w:val="00DF4415"/>
    <w:rsid w:val="00DF6C23"/>
    <w:rsid w:val="00DF7371"/>
    <w:rsid w:val="00DF7599"/>
    <w:rsid w:val="00E00855"/>
    <w:rsid w:val="00E040B3"/>
    <w:rsid w:val="00E04C7D"/>
    <w:rsid w:val="00E059A1"/>
    <w:rsid w:val="00E063A5"/>
    <w:rsid w:val="00E1162E"/>
    <w:rsid w:val="00E147D6"/>
    <w:rsid w:val="00E16B60"/>
    <w:rsid w:val="00E242ED"/>
    <w:rsid w:val="00E2453F"/>
    <w:rsid w:val="00E24D86"/>
    <w:rsid w:val="00E26BC3"/>
    <w:rsid w:val="00E277DF"/>
    <w:rsid w:val="00E3134D"/>
    <w:rsid w:val="00E31DF1"/>
    <w:rsid w:val="00E320B9"/>
    <w:rsid w:val="00E325E5"/>
    <w:rsid w:val="00E328A0"/>
    <w:rsid w:val="00E339A9"/>
    <w:rsid w:val="00E3504D"/>
    <w:rsid w:val="00E358E4"/>
    <w:rsid w:val="00E3758D"/>
    <w:rsid w:val="00E37B5E"/>
    <w:rsid w:val="00E4023E"/>
    <w:rsid w:val="00E41216"/>
    <w:rsid w:val="00E42018"/>
    <w:rsid w:val="00E46126"/>
    <w:rsid w:val="00E4698E"/>
    <w:rsid w:val="00E5149A"/>
    <w:rsid w:val="00E52034"/>
    <w:rsid w:val="00E5246F"/>
    <w:rsid w:val="00E52DCB"/>
    <w:rsid w:val="00E535B6"/>
    <w:rsid w:val="00E53EBA"/>
    <w:rsid w:val="00E55BB8"/>
    <w:rsid w:val="00E56795"/>
    <w:rsid w:val="00E57502"/>
    <w:rsid w:val="00E60DB4"/>
    <w:rsid w:val="00E61490"/>
    <w:rsid w:val="00E63D11"/>
    <w:rsid w:val="00E64093"/>
    <w:rsid w:val="00E65D2A"/>
    <w:rsid w:val="00E66371"/>
    <w:rsid w:val="00E718D2"/>
    <w:rsid w:val="00E723D0"/>
    <w:rsid w:val="00E7269A"/>
    <w:rsid w:val="00E73D94"/>
    <w:rsid w:val="00E73E73"/>
    <w:rsid w:val="00E746CC"/>
    <w:rsid w:val="00E74939"/>
    <w:rsid w:val="00E756EB"/>
    <w:rsid w:val="00E75B21"/>
    <w:rsid w:val="00E765E7"/>
    <w:rsid w:val="00E76BAF"/>
    <w:rsid w:val="00E774F8"/>
    <w:rsid w:val="00E77E44"/>
    <w:rsid w:val="00E8016C"/>
    <w:rsid w:val="00E8198C"/>
    <w:rsid w:val="00E84423"/>
    <w:rsid w:val="00E84CCF"/>
    <w:rsid w:val="00E85CF1"/>
    <w:rsid w:val="00E90795"/>
    <w:rsid w:val="00E91FBE"/>
    <w:rsid w:val="00E94995"/>
    <w:rsid w:val="00E9621D"/>
    <w:rsid w:val="00E97186"/>
    <w:rsid w:val="00E977BF"/>
    <w:rsid w:val="00E97F94"/>
    <w:rsid w:val="00EA027B"/>
    <w:rsid w:val="00EA1712"/>
    <w:rsid w:val="00EA1BEF"/>
    <w:rsid w:val="00EA49F7"/>
    <w:rsid w:val="00EA5C91"/>
    <w:rsid w:val="00EA6A5C"/>
    <w:rsid w:val="00EA6ED8"/>
    <w:rsid w:val="00EB33A1"/>
    <w:rsid w:val="00EB46EA"/>
    <w:rsid w:val="00EB5232"/>
    <w:rsid w:val="00EB6ECD"/>
    <w:rsid w:val="00EB73FE"/>
    <w:rsid w:val="00EB74D1"/>
    <w:rsid w:val="00EC0CFE"/>
    <w:rsid w:val="00EC0FA5"/>
    <w:rsid w:val="00EC201F"/>
    <w:rsid w:val="00EC25D9"/>
    <w:rsid w:val="00EC35A3"/>
    <w:rsid w:val="00EC4037"/>
    <w:rsid w:val="00EC49A6"/>
    <w:rsid w:val="00EC52D7"/>
    <w:rsid w:val="00EC5B3C"/>
    <w:rsid w:val="00EC6A38"/>
    <w:rsid w:val="00EC6BA2"/>
    <w:rsid w:val="00EC6D7B"/>
    <w:rsid w:val="00EC7EDA"/>
    <w:rsid w:val="00ED2072"/>
    <w:rsid w:val="00ED2FF3"/>
    <w:rsid w:val="00ED5604"/>
    <w:rsid w:val="00ED6370"/>
    <w:rsid w:val="00ED6776"/>
    <w:rsid w:val="00EE24D1"/>
    <w:rsid w:val="00EE377F"/>
    <w:rsid w:val="00EE3A4D"/>
    <w:rsid w:val="00EE4EEB"/>
    <w:rsid w:val="00EE59C5"/>
    <w:rsid w:val="00EE5BA0"/>
    <w:rsid w:val="00EE5D69"/>
    <w:rsid w:val="00EE6673"/>
    <w:rsid w:val="00EE7CE1"/>
    <w:rsid w:val="00EF11E0"/>
    <w:rsid w:val="00EF2B2D"/>
    <w:rsid w:val="00EF2F27"/>
    <w:rsid w:val="00EF529D"/>
    <w:rsid w:val="00EF6181"/>
    <w:rsid w:val="00EF7074"/>
    <w:rsid w:val="00EF7F77"/>
    <w:rsid w:val="00F004DD"/>
    <w:rsid w:val="00F02807"/>
    <w:rsid w:val="00F055AF"/>
    <w:rsid w:val="00F0589E"/>
    <w:rsid w:val="00F06955"/>
    <w:rsid w:val="00F07F29"/>
    <w:rsid w:val="00F1149E"/>
    <w:rsid w:val="00F11551"/>
    <w:rsid w:val="00F11650"/>
    <w:rsid w:val="00F146EB"/>
    <w:rsid w:val="00F15124"/>
    <w:rsid w:val="00F20145"/>
    <w:rsid w:val="00F216B7"/>
    <w:rsid w:val="00F21E75"/>
    <w:rsid w:val="00F22042"/>
    <w:rsid w:val="00F24BBE"/>
    <w:rsid w:val="00F26CCE"/>
    <w:rsid w:val="00F26DA7"/>
    <w:rsid w:val="00F2781D"/>
    <w:rsid w:val="00F30588"/>
    <w:rsid w:val="00F30AF1"/>
    <w:rsid w:val="00F3429B"/>
    <w:rsid w:val="00F35995"/>
    <w:rsid w:val="00F359D6"/>
    <w:rsid w:val="00F35B2E"/>
    <w:rsid w:val="00F36CAC"/>
    <w:rsid w:val="00F373AD"/>
    <w:rsid w:val="00F37C9E"/>
    <w:rsid w:val="00F4099F"/>
    <w:rsid w:val="00F41692"/>
    <w:rsid w:val="00F41D17"/>
    <w:rsid w:val="00F445AB"/>
    <w:rsid w:val="00F446F6"/>
    <w:rsid w:val="00F455ED"/>
    <w:rsid w:val="00F45C7E"/>
    <w:rsid w:val="00F5496A"/>
    <w:rsid w:val="00F56EAE"/>
    <w:rsid w:val="00F57251"/>
    <w:rsid w:val="00F6107D"/>
    <w:rsid w:val="00F61304"/>
    <w:rsid w:val="00F6559E"/>
    <w:rsid w:val="00F66914"/>
    <w:rsid w:val="00F66AE2"/>
    <w:rsid w:val="00F702AB"/>
    <w:rsid w:val="00F71383"/>
    <w:rsid w:val="00F7192A"/>
    <w:rsid w:val="00F71986"/>
    <w:rsid w:val="00F72BE8"/>
    <w:rsid w:val="00F73061"/>
    <w:rsid w:val="00F7477D"/>
    <w:rsid w:val="00F74F83"/>
    <w:rsid w:val="00F81D73"/>
    <w:rsid w:val="00F82C7C"/>
    <w:rsid w:val="00F843AB"/>
    <w:rsid w:val="00F85B42"/>
    <w:rsid w:val="00F875DF"/>
    <w:rsid w:val="00F93F90"/>
    <w:rsid w:val="00F945C8"/>
    <w:rsid w:val="00F9478F"/>
    <w:rsid w:val="00F94CB8"/>
    <w:rsid w:val="00F962DA"/>
    <w:rsid w:val="00FA369C"/>
    <w:rsid w:val="00FA3895"/>
    <w:rsid w:val="00FA3F69"/>
    <w:rsid w:val="00FA4925"/>
    <w:rsid w:val="00FB16CD"/>
    <w:rsid w:val="00FB2084"/>
    <w:rsid w:val="00FB49FB"/>
    <w:rsid w:val="00FB6BCE"/>
    <w:rsid w:val="00FB74C0"/>
    <w:rsid w:val="00FC1E7F"/>
    <w:rsid w:val="00FC2805"/>
    <w:rsid w:val="00FC3078"/>
    <w:rsid w:val="00FC30B2"/>
    <w:rsid w:val="00FC544E"/>
    <w:rsid w:val="00FC57D6"/>
    <w:rsid w:val="00FC6768"/>
    <w:rsid w:val="00FD148D"/>
    <w:rsid w:val="00FD29CD"/>
    <w:rsid w:val="00FD2F03"/>
    <w:rsid w:val="00FD3312"/>
    <w:rsid w:val="00FD5D17"/>
    <w:rsid w:val="00FD61BE"/>
    <w:rsid w:val="00FE1DCB"/>
    <w:rsid w:val="00FE675E"/>
    <w:rsid w:val="00FF0D4A"/>
    <w:rsid w:val="00FF1B15"/>
    <w:rsid w:val="00FF4622"/>
    <w:rsid w:val="00FF5835"/>
    <w:rsid w:val="00FF7A94"/>
    <w:rsid w:val="00FF7B00"/>
    <w:rsid w:val="010742D5"/>
    <w:rsid w:val="010F7B98"/>
    <w:rsid w:val="01151F2D"/>
    <w:rsid w:val="01270A4D"/>
    <w:rsid w:val="01424A49"/>
    <w:rsid w:val="01851778"/>
    <w:rsid w:val="01A729ED"/>
    <w:rsid w:val="01AE11E6"/>
    <w:rsid w:val="01B729F0"/>
    <w:rsid w:val="01E96BCD"/>
    <w:rsid w:val="01F53A09"/>
    <w:rsid w:val="021F4265"/>
    <w:rsid w:val="02222883"/>
    <w:rsid w:val="02A01370"/>
    <w:rsid w:val="02C62BA9"/>
    <w:rsid w:val="02EB5060"/>
    <w:rsid w:val="034169E5"/>
    <w:rsid w:val="034C79A8"/>
    <w:rsid w:val="035E327D"/>
    <w:rsid w:val="03624C71"/>
    <w:rsid w:val="037171B2"/>
    <w:rsid w:val="03723D7D"/>
    <w:rsid w:val="0379035B"/>
    <w:rsid w:val="03A55E37"/>
    <w:rsid w:val="03D36321"/>
    <w:rsid w:val="03EC63C9"/>
    <w:rsid w:val="04071573"/>
    <w:rsid w:val="04260158"/>
    <w:rsid w:val="04357EE7"/>
    <w:rsid w:val="043E0AAC"/>
    <w:rsid w:val="044F2C90"/>
    <w:rsid w:val="04604D98"/>
    <w:rsid w:val="04762FE4"/>
    <w:rsid w:val="048001EE"/>
    <w:rsid w:val="048361AE"/>
    <w:rsid w:val="048962DE"/>
    <w:rsid w:val="04973358"/>
    <w:rsid w:val="049D5856"/>
    <w:rsid w:val="04C403D8"/>
    <w:rsid w:val="04DA625A"/>
    <w:rsid w:val="04EF476C"/>
    <w:rsid w:val="0528054A"/>
    <w:rsid w:val="05287815"/>
    <w:rsid w:val="052D2D41"/>
    <w:rsid w:val="0538232A"/>
    <w:rsid w:val="054B6637"/>
    <w:rsid w:val="0552233D"/>
    <w:rsid w:val="05782C43"/>
    <w:rsid w:val="05903056"/>
    <w:rsid w:val="059401EE"/>
    <w:rsid w:val="05B01B1D"/>
    <w:rsid w:val="05CC64B2"/>
    <w:rsid w:val="05D54519"/>
    <w:rsid w:val="05E17C80"/>
    <w:rsid w:val="05E55725"/>
    <w:rsid w:val="05E5760D"/>
    <w:rsid w:val="05E76034"/>
    <w:rsid w:val="06066F04"/>
    <w:rsid w:val="0639353C"/>
    <w:rsid w:val="063A4C81"/>
    <w:rsid w:val="06474E34"/>
    <w:rsid w:val="06482377"/>
    <w:rsid w:val="06484055"/>
    <w:rsid w:val="06534D7F"/>
    <w:rsid w:val="065949DD"/>
    <w:rsid w:val="06653EC4"/>
    <w:rsid w:val="0699402C"/>
    <w:rsid w:val="069C64C8"/>
    <w:rsid w:val="06A0112C"/>
    <w:rsid w:val="06A81BEC"/>
    <w:rsid w:val="06CD49C9"/>
    <w:rsid w:val="06DC60DB"/>
    <w:rsid w:val="06F44F8B"/>
    <w:rsid w:val="06F84851"/>
    <w:rsid w:val="06FB0045"/>
    <w:rsid w:val="07175690"/>
    <w:rsid w:val="07413F3A"/>
    <w:rsid w:val="077B362D"/>
    <w:rsid w:val="079A6E72"/>
    <w:rsid w:val="079F3EE7"/>
    <w:rsid w:val="07AA1AB7"/>
    <w:rsid w:val="07DF5164"/>
    <w:rsid w:val="07E02E5C"/>
    <w:rsid w:val="07E50580"/>
    <w:rsid w:val="07E67D42"/>
    <w:rsid w:val="07EE133F"/>
    <w:rsid w:val="08065B86"/>
    <w:rsid w:val="08274ACF"/>
    <w:rsid w:val="082E7FC1"/>
    <w:rsid w:val="08310251"/>
    <w:rsid w:val="083C511A"/>
    <w:rsid w:val="084703F0"/>
    <w:rsid w:val="084D35E8"/>
    <w:rsid w:val="08554344"/>
    <w:rsid w:val="08696EDC"/>
    <w:rsid w:val="08705B4A"/>
    <w:rsid w:val="087A7753"/>
    <w:rsid w:val="08814CE3"/>
    <w:rsid w:val="08884C10"/>
    <w:rsid w:val="08986544"/>
    <w:rsid w:val="089D57AD"/>
    <w:rsid w:val="08BB6846"/>
    <w:rsid w:val="08D4742C"/>
    <w:rsid w:val="08D5567E"/>
    <w:rsid w:val="08D55A74"/>
    <w:rsid w:val="08DC3175"/>
    <w:rsid w:val="08E052CE"/>
    <w:rsid w:val="08EE55FF"/>
    <w:rsid w:val="08EF6AC2"/>
    <w:rsid w:val="08FD3C48"/>
    <w:rsid w:val="09161D47"/>
    <w:rsid w:val="093D3ABC"/>
    <w:rsid w:val="09492A87"/>
    <w:rsid w:val="095B5FF3"/>
    <w:rsid w:val="09A227DC"/>
    <w:rsid w:val="09AC6C31"/>
    <w:rsid w:val="09CE19BC"/>
    <w:rsid w:val="09E50EA6"/>
    <w:rsid w:val="09E70A54"/>
    <w:rsid w:val="09E84CCD"/>
    <w:rsid w:val="0A051115"/>
    <w:rsid w:val="0A1F15C8"/>
    <w:rsid w:val="0A3A5C5D"/>
    <w:rsid w:val="0A4009EA"/>
    <w:rsid w:val="0A74798C"/>
    <w:rsid w:val="0A8528D5"/>
    <w:rsid w:val="0A8A0A3A"/>
    <w:rsid w:val="0A9C799B"/>
    <w:rsid w:val="0AA0544F"/>
    <w:rsid w:val="0AAE67E8"/>
    <w:rsid w:val="0AB52BD8"/>
    <w:rsid w:val="0AD56F1F"/>
    <w:rsid w:val="0AEA3C8C"/>
    <w:rsid w:val="0B127DAC"/>
    <w:rsid w:val="0B1E0CF0"/>
    <w:rsid w:val="0B1E2894"/>
    <w:rsid w:val="0B3A637F"/>
    <w:rsid w:val="0B6251C3"/>
    <w:rsid w:val="0BCE1370"/>
    <w:rsid w:val="0BCF240A"/>
    <w:rsid w:val="0BD53E69"/>
    <w:rsid w:val="0BD84E5C"/>
    <w:rsid w:val="0BE34CD8"/>
    <w:rsid w:val="0BE83010"/>
    <w:rsid w:val="0BF47D4E"/>
    <w:rsid w:val="0BF86799"/>
    <w:rsid w:val="0C1172EA"/>
    <w:rsid w:val="0C377F1F"/>
    <w:rsid w:val="0C516743"/>
    <w:rsid w:val="0C5D1BDB"/>
    <w:rsid w:val="0C7E2237"/>
    <w:rsid w:val="0C9E547B"/>
    <w:rsid w:val="0CA34118"/>
    <w:rsid w:val="0CA758F8"/>
    <w:rsid w:val="0CCD457A"/>
    <w:rsid w:val="0CE075C9"/>
    <w:rsid w:val="0CED2959"/>
    <w:rsid w:val="0CEF3BF8"/>
    <w:rsid w:val="0D000761"/>
    <w:rsid w:val="0D3E3F3B"/>
    <w:rsid w:val="0D3F7F2E"/>
    <w:rsid w:val="0D422CBA"/>
    <w:rsid w:val="0D470B99"/>
    <w:rsid w:val="0D5167DE"/>
    <w:rsid w:val="0D6344EC"/>
    <w:rsid w:val="0D705EC6"/>
    <w:rsid w:val="0D7446FA"/>
    <w:rsid w:val="0DB14507"/>
    <w:rsid w:val="0DB757B9"/>
    <w:rsid w:val="0DC141F4"/>
    <w:rsid w:val="0DE545F3"/>
    <w:rsid w:val="0DE7555E"/>
    <w:rsid w:val="0E072513"/>
    <w:rsid w:val="0E2D1486"/>
    <w:rsid w:val="0E8A4381"/>
    <w:rsid w:val="0E903DF5"/>
    <w:rsid w:val="0E9B4A4B"/>
    <w:rsid w:val="0EA578A0"/>
    <w:rsid w:val="0EC90A28"/>
    <w:rsid w:val="0EE52393"/>
    <w:rsid w:val="0EEC3721"/>
    <w:rsid w:val="0F0D0D2C"/>
    <w:rsid w:val="0F385060"/>
    <w:rsid w:val="0F4C6E16"/>
    <w:rsid w:val="0F58781F"/>
    <w:rsid w:val="0F5D7625"/>
    <w:rsid w:val="0F6147A2"/>
    <w:rsid w:val="0F86061B"/>
    <w:rsid w:val="0F8F6C6C"/>
    <w:rsid w:val="0FC27645"/>
    <w:rsid w:val="0FD308F6"/>
    <w:rsid w:val="0FD36BC9"/>
    <w:rsid w:val="0FD4645C"/>
    <w:rsid w:val="0FED1157"/>
    <w:rsid w:val="1007199F"/>
    <w:rsid w:val="101A3630"/>
    <w:rsid w:val="102C199B"/>
    <w:rsid w:val="104406E0"/>
    <w:rsid w:val="105576A8"/>
    <w:rsid w:val="10603E29"/>
    <w:rsid w:val="10BE1B05"/>
    <w:rsid w:val="10C64B9C"/>
    <w:rsid w:val="10CB7C05"/>
    <w:rsid w:val="10CF3933"/>
    <w:rsid w:val="10FD1FE7"/>
    <w:rsid w:val="1124702B"/>
    <w:rsid w:val="112F40C9"/>
    <w:rsid w:val="113A3727"/>
    <w:rsid w:val="113B5286"/>
    <w:rsid w:val="115B5C4F"/>
    <w:rsid w:val="118A244C"/>
    <w:rsid w:val="11A2124C"/>
    <w:rsid w:val="11C20C82"/>
    <w:rsid w:val="11D0460B"/>
    <w:rsid w:val="11DE5C79"/>
    <w:rsid w:val="12101447"/>
    <w:rsid w:val="12215961"/>
    <w:rsid w:val="125F1817"/>
    <w:rsid w:val="12880B7E"/>
    <w:rsid w:val="128D04EC"/>
    <w:rsid w:val="12AA2320"/>
    <w:rsid w:val="12DB53B1"/>
    <w:rsid w:val="12E81B94"/>
    <w:rsid w:val="13020A29"/>
    <w:rsid w:val="13257C63"/>
    <w:rsid w:val="133707C2"/>
    <w:rsid w:val="13441C72"/>
    <w:rsid w:val="134C77A5"/>
    <w:rsid w:val="13626F2C"/>
    <w:rsid w:val="136440AB"/>
    <w:rsid w:val="13731B39"/>
    <w:rsid w:val="13732205"/>
    <w:rsid w:val="137F0CE3"/>
    <w:rsid w:val="138159BF"/>
    <w:rsid w:val="138E4DA7"/>
    <w:rsid w:val="13BD7A8A"/>
    <w:rsid w:val="13C30E6E"/>
    <w:rsid w:val="141B13D5"/>
    <w:rsid w:val="141C741E"/>
    <w:rsid w:val="14234B06"/>
    <w:rsid w:val="14451861"/>
    <w:rsid w:val="14664060"/>
    <w:rsid w:val="149D3DC9"/>
    <w:rsid w:val="149E1778"/>
    <w:rsid w:val="14AD4839"/>
    <w:rsid w:val="14BC483D"/>
    <w:rsid w:val="14CE2793"/>
    <w:rsid w:val="14EA3450"/>
    <w:rsid w:val="14F767B6"/>
    <w:rsid w:val="15287486"/>
    <w:rsid w:val="157B3BA8"/>
    <w:rsid w:val="1580707E"/>
    <w:rsid w:val="15840A84"/>
    <w:rsid w:val="15AF033B"/>
    <w:rsid w:val="16031113"/>
    <w:rsid w:val="160B5A6D"/>
    <w:rsid w:val="160C1329"/>
    <w:rsid w:val="16207078"/>
    <w:rsid w:val="16332D75"/>
    <w:rsid w:val="163432DF"/>
    <w:rsid w:val="16502A53"/>
    <w:rsid w:val="16725D01"/>
    <w:rsid w:val="16736E76"/>
    <w:rsid w:val="16777B9F"/>
    <w:rsid w:val="168F227C"/>
    <w:rsid w:val="169A575C"/>
    <w:rsid w:val="16AA56CC"/>
    <w:rsid w:val="16AD5C51"/>
    <w:rsid w:val="16C11894"/>
    <w:rsid w:val="16C377D3"/>
    <w:rsid w:val="16E255AB"/>
    <w:rsid w:val="1711583F"/>
    <w:rsid w:val="171F0861"/>
    <w:rsid w:val="1731374B"/>
    <w:rsid w:val="173B1F0E"/>
    <w:rsid w:val="173D243C"/>
    <w:rsid w:val="173D6ABB"/>
    <w:rsid w:val="17534ECF"/>
    <w:rsid w:val="178369A2"/>
    <w:rsid w:val="179F6914"/>
    <w:rsid w:val="17CA1ADC"/>
    <w:rsid w:val="17DC7BF0"/>
    <w:rsid w:val="180053F0"/>
    <w:rsid w:val="181011F1"/>
    <w:rsid w:val="182C6568"/>
    <w:rsid w:val="183047B2"/>
    <w:rsid w:val="184F398A"/>
    <w:rsid w:val="185B5E04"/>
    <w:rsid w:val="185F5F75"/>
    <w:rsid w:val="187205F4"/>
    <w:rsid w:val="188227EF"/>
    <w:rsid w:val="189220EE"/>
    <w:rsid w:val="189E4B47"/>
    <w:rsid w:val="18DE305A"/>
    <w:rsid w:val="18E36CFC"/>
    <w:rsid w:val="19000C71"/>
    <w:rsid w:val="192A06DB"/>
    <w:rsid w:val="193028F8"/>
    <w:rsid w:val="194869A1"/>
    <w:rsid w:val="195D75FE"/>
    <w:rsid w:val="19800DAF"/>
    <w:rsid w:val="198218DD"/>
    <w:rsid w:val="198B16F6"/>
    <w:rsid w:val="198D1B84"/>
    <w:rsid w:val="198E4D52"/>
    <w:rsid w:val="19923F06"/>
    <w:rsid w:val="19AF2729"/>
    <w:rsid w:val="19E51688"/>
    <w:rsid w:val="19EE2A8B"/>
    <w:rsid w:val="19EE41FA"/>
    <w:rsid w:val="1A1655E9"/>
    <w:rsid w:val="1A1830B1"/>
    <w:rsid w:val="1A2F4589"/>
    <w:rsid w:val="1A4C1D4A"/>
    <w:rsid w:val="1A587B66"/>
    <w:rsid w:val="1A5A6066"/>
    <w:rsid w:val="1A5B78E2"/>
    <w:rsid w:val="1A647FAE"/>
    <w:rsid w:val="1A777345"/>
    <w:rsid w:val="1A813E1F"/>
    <w:rsid w:val="1A8357FC"/>
    <w:rsid w:val="1A9F2503"/>
    <w:rsid w:val="1AA3486A"/>
    <w:rsid w:val="1AA45572"/>
    <w:rsid w:val="1AAC3232"/>
    <w:rsid w:val="1AC03A9F"/>
    <w:rsid w:val="1ACE692C"/>
    <w:rsid w:val="1AE33064"/>
    <w:rsid w:val="1AEA0D7A"/>
    <w:rsid w:val="1AF357C2"/>
    <w:rsid w:val="1B0B2AE6"/>
    <w:rsid w:val="1B3B15AA"/>
    <w:rsid w:val="1B6A3FBF"/>
    <w:rsid w:val="1B8151F1"/>
    <w:rsid w:val="1B8C6B7B"/>
    <w:rsid w:val="1B924CCF"/>
    <w:rsid w:val="1B9E29B4"/>
    <w:rsid w:val="1BBF65FB"/>
    <w:rsid w:val="1BC2281C"/>
    <w:rsid w:val="1BDC38F3"/>
    <w:rsid w:val="1BF657FB"/>
    <w:rsid w:val="1BFF0F7C"/>
    <w:rsid w:val="1C374515"/>
    <w:rsid w:val="1C4235A6"/>
    <w:rsid w:val="1C4F222F"/>
    <w:rsid w:val="1C7F5BDB"/>
    <w:rsid w:val="1C8A178F"/>
    <w:rsid w:val="1CA86A15"/>
    <w:rsid w:val="1CBB4247"/>
    <w:rsid w:val="1CFA7EEF"/>
    <w:rsid w:val="1CFB1146"/>
    <w:rsid w:val="1CFD1B8F"/>
    <w:rsid w:val="1D0F177F"/>
    <w:rsid w:val="1D1338EC"/>
    <w:rsid w:val="1D187880"/>
    <w:rsid w:val="1D37062D"/>
    <w:rsid w:val="1D3B199E"/>
    <w:rsid w:val="1D5B6D2E"/>
    <w:rsid w:val="1D8F1BDD"/>
    <w:rsid w:val="1DC84F72"/>
    <w:rsid w:val="1DEC270F"/>
    <w:rsid w:val="1DF10281"/>
    <w:rsid w:val="1E0672A1"/>
    <w:rsid w:val="1E0D3D46"/>
    <w:rsid w:val="1E331E3B"/>
    <w:rsid w:val="1E370C0B"/>
    <w:rsid w:val="1E4E212D"/>
    <w:rsid w:val="1E561B49"/>
    <w:rsid w:val="1E5A2895"/>
    <w:rsid w:val="1E5B5B74"/>
    <w:rsid w:val="1E847B39"/>
    <w:rsid w:val="1E860C88"/>
    <w:rsid w:val="1EAD27E8"/>
    <w:rsid w:val="1ED462A6"/>
    <w:rsid w:val="1ED734FA"/>
    <w:rsid w:val="1EDB21B2"/>
    <w:rsid w:val="1EE21D29"/>
    <w:rsid w:val="1EE72005"/>
    <w:rsid w:val="1F2F246F"/>
    <w:rsid w:val="1F2F765F"/>
    <w:rsid w:val="1F3E1D5D"/>
    <w:rsid w:val="1F4229DB"/>
    <w:rsid w:val="1F59608C"/>
    <w:rsid w:val="1F5A6553"/>
    <w:rsid w:val="1F6E3177"/>
    <w:rsid w:val="1F6F04BA"/>
    <w:rsid w:val="1F8129BD"/>
    <w:rsid w:val="1F9E4048"/>
    <w:rsid w:val="1F9F4772"/>
    <w:rsid w:val="1FBF54F0"/>
    <w:rsid w:val="1FFE32B4"/>
    <w:rsid w:val="20027E74"/>
    <w:rsid w:val="2024650C"/>
    <w:rsid w:val="204663FA"/>
    <w:rsid w:val="20624FA2"/>
    <w:rsid w:val="206A1137"/>
    <w:rsid w:val="20835E3C"/>
    <w:rsid w:val="20AA1825"/>
    <w:rsid w:val="20BB1EB1"/>
    <w:rsid w:val="20C157F9"/>
    <w:rsid w:val="20FD378A"/>
    <w:rsid w:val="21144C23"/>
    <w:rsid w:val="21182154"/>
    <w:rsid w:val="212A75E7"/>
    <w:rsid w:val="212D2564"/>
    <w:rsid w:val="214037F9"/>
    <w:rsid w:val="21593740"/>
    <w:rsid w:val="215C6880"/>
    <w:rsid w:val="215F1981"/>
    <w:rsid w:val="2163612C"/>
    <w:rsid w:val="217039C6"/>
    <w:rsid w:val="21754AF5"/>
    <w:rsid w:val="217E7700"/>
    <w:rsid w:val="218158E0"/>
    <w:rsid w:val="218F0080"/>
    <w:rsid w:val="21AD4F87"/>
    <w:rsid w:val="21BA53F5"/>
    <w:rsid w:val="21FB242A"/>
    <w:rsid w:val="220B781D"/>
    <w:rsid w:val="2220525E"/>
    <w:rsid w:val="224449F5"/>
    <w:rsid w:val="225D16C1"/>
    <w:rsid w:val="2266010D"/>
    <w:rsid w:val="226E674C"/>
    <w:rsid w:val="22712A0D"/>
    <w:rsid w:val="22715BE9"/>
    <w:rsid w:val="22734646"/>
    <w:rsid w:val="228F11BB"/>
    <w:rsid w:val="22B609EC"/>
    <w:rsid w:val="22C23296"/>
    <w:rsid w:val="22CB02B5"/>
    <w:rsid w:val="22CF4727"/>
    <w:rsid w:val="22ED1852"/>
    <w:rsid w:val="22FC357F"/>
    <w:rsid w:val="23280561"/>
    <w:rsid w:val="2330019D"/>
    <w:rsid w:val="23505B5E"/>
    <w:rsid w:val="235E2799"/>
    <w:rsid w:val="23666663"/>
    <w:rsid w:val="23693289"/>
    <w:rsid w:val="23795972"/>
    <w:rsid w:val="239147E1"/>
    <w:rsid w:val="23BB34F7"/>
    <w:rsid w:val="23CB333E"/>
    <w:rsid w:val="23F91B39"/>
    <w:rsid w:val="243A5F83"/>
    <w:rsid w:val="244702BD"/>
    <w:rsid w:val="2470010F"/>
    <w:rsid w:val="24717A69"/>
    <w:rsid w:val="247E0687"/>
    <w:rsid w:val="24A20628"/>
    <w:rsid w:val="24B45D14"/>
    <w:rsid w:val="24C2738A"/>
    <w:rsid w:val="24FE0E05"/>
    <w:rsid w:val="25171BA0"/>
    <w:rsid w:val="251B18C1"/>
    <w:rsid w:val="25222461"/>
    <w:rsid w:val="25501E67"/>
    <w:rsid w:val="25524FA6"/>
    <w:rsid w:val="25532EC3"/>
    <w:rsid w:val="25925077"/>
    <w:rsid w:val="25AF3989"/>
    <w:rsid w:val="25B24E51"/>
    <w:rsid w:val="25C73339"/>
    <w:rsid w:val="25C86149"/>
    <w:rsid w:val="25D62822"/>
    <w:rsid w:val="25F16B68"/>
    <w:rsid w:val="260663DB"/>
    <w:rsid w:val="26546373"/>
    <w:rsid w:val="266432E2"/>
    <w:rsid w:val="26841C6E"/>
    <w:rsid w:val="26934343"/>
    <w:rsid w:val="26B424FB"/>
    <w:rsid w:val="26B73D93"/>
    <w:rsid w:val="26C82414"/>
    <w:rsid w:val="26E62133"/>
    <w:rsid w:val="277F68D2"/>
    <w:rsid w:val="27870FB2"/>
    <w:rsid w:val="278F0AAA"/>
    <w:rsid w:val="27B84345"/>
    <w:rsid w:val="27CB7A47"/>
    <w:rsid w:val="27CF31D6"/>
    <w:rsid w:val="27D9725A"/>
    <w:rsid w:val="27E53B63"/>
    <w:rsid w:val="27F52A10"/>
    <w:rsid w:val="280E4470"/>
    <w:rsid w:val="283A5F9F"/>
    <w:rsid w:val="283E405F"/>
    <w:rsid w:val="28B27332"/>
    <w:rsid w:val="28D9203E"/>
    <w:rsid w:val="2901395B"/>
    <w:rsid w:val="29173A3D"/>
    <w:rsid w:val="295E1181"/>
    <w:rsid w:val="29844523"/>
    <w:rsid w:val="29B00B02"/>
    <w:rsid w:val="29B661A7"/>
    <w:rsid w:val="29D87FD6"/>
    <w:rsid w:val="29DB1483"/>
    <w:rsid w:val="29DC3277"/>
    <w:rsid w:val="29F1494F"/>
    <w:rsid w:val="29FA460F"/>
    <w:rsid w:val="2A0B6D48"/>
    <w:rsid w:val="2A397DF9"/>
    <w:rsid w:val="2A7C5019"/>
    <w:rsid w:val="2A8E3410"/>
    <w:rsid w:val="2AC017A8"/>
    <w:rsid w:val="2AE66A6E"/>
    <w:rsid w:val="2B3677A4"/>
    <w:rsid w:val="2B542382"/>
    <w:rsid w:val="2B7458D3"/>
    <w:rsid w:val="2B7F5D7B"/>
    <w:rsid w:val="2B9073EB"/>
    <w:rsid w:val="2BAD682D"/>
    <w:rsid w:val="2BEE5A9C"/>
    <w:rsid w:val="2C5757EC"/>
    <w:rsid w:val="2C6B41B7"/>
    <w:rsid w:val="2C8069CD"/>
    <w:rsid w:val="2C8148F3"/>
    <w:rsid w:val="2CA24F36"/>
    <w:rsid w:val="2CAF7AE9"/>
    <w:rsid w:val="2CB550EC"/>
    <w:rsid w:val="2CF947D9"/>
    <w:rsid w:val="2CFA06CC"/>
    <w:rsid w:val="2D3F090C"/>
    <w:rsid w:val="2D473273"/>
    <w:rsid w:val="2D8167C0"/>
    <w:rsid w:val="2D9C1D44"/>
    <w:rsid w:val="2DAB174B"/>
    <w:rsid w:val="2DAC3053"/>
    <w:rsid w:val="2DB40F04"/>
    <w:rsid w:val="2DB55317"/>
    <w:rsid w:val="2DBD5B69"/>
    <w:rsid w:val="2DD04A2C"/>
    <w:rsid w:val="2E085E8C"/>
    <w:rsid w:val="2E0D6CD6"/>
    <w:rsid w:val="2E1A2D69"/>
    <w:rsid w:val="2E1B6DE7"/>
    <w:rsid w:val="2E1C2312"/>
    <w:rsid w:val="2E347031"/>
    <w:rsid w:val="2E352597"/>
    <w:rsid w:val="2E391B76"/>
    <w:rsid w:val="2E4435FF"/>
    <w:rsid w:val="2E617376"/>
    <w:rsid w:val="2E646A22"/>
    <w:rsid w:val="2ED13170"/>
    <w:rsid w:val="2ED26376"/>
    <w:rsid w:val="2F011E82"/>
    <w:rsid w:val="2F415E64"/>
    <w:rsid w:val="2F6858EF"/>
    <w:rsid w:val="2F7674B4"/>
    <w:rsid w:val="2FC16203"/>
    <w:rsid w:val="2FC51659"/>
    <w:rsid w:val="2FCB2DE8"/>
    <w:rsid w:val="30082C17"/>
    <w:rsid w:val="301A6B35"/>
    <w:rsid w:val="30385048"/>
    <w:rsid w:val="30400DE6"/>
    <w:rsid w:val="3046030C"/>
    <w:rsid w:val="305217C7"/>
    <w:rsid w:val="30577166"/>
    <w:rsid w:val="30915E66"/>
    <w:rsid w:val="30A8450A"/>
    <w:rsid w:val="30B147B2"/>
    <w:rsid w:val="30FE64F4"/>
    <w:rsid w:val="310D00D7"/>
    <w:rsid w:val="314A5A0E"/>
    <w:rsid w:val="31670CFB"/>
    <w:rsid w:val="31682139"/>
    <w:rsid w:val="319957F6"/>
    <w:rsid w:val="31B617FC"/>
    <w:rsid w:val="31C036D0"/>
    <w:rsid w:val="31D953B1"/>
    <w:rsid w:val="31EC1741"/>
    <w:rsid w:val="31EF6CF0"/>
    <w:rsid w:val="31F7619B"/>
    <w:rsid w:val="31F87FD5"/>
    <w:rsid w:val="320E1B4B"/>
    <w:rsid w:val="321F0CAE"/>
    <w:rsid w:val="321F3505"/>
    <w:rsid w:val="322846ED"/>
    <w:rsid w:val="322B0318"/>
    <w:rsid w:val="322F615B"/>
    <w:rsid w:val="32494369"/>
    <w:rsid w:val="324C0B81"/>
    <w:rsid w:val="32517D1E"/>
    <w:rsid w:val="329940BB"/>
    <w:rsid w:val="329B0438"/>
    <w:rsid w:val="32B63AAA"/>
    <w:rsid w:val="33091096"/>
    <w:rsid w:val="33232830"/>
    <w:rsid w:val="3341533E"/>
    <w:rsid w:val="33716015"/>
    <w:rsid w:val="33843CA1"/>
    <w:rsid w:val="339063B0"/>
    <w:rsid w:val="343B642D"/>
    <w:rsid w:val="344D764F"/>
    <w:rsid w:val="34690455"/>
    <w:rsid w:val="34AA1765"/>
    <w:rsid w:val="34D7618A"/>
    <w:rsid w:val="34FE589B"/>
    <w:rsid w:val="3529493E"/>
    <w:rsid w:val="352A3563"/>
    <w:rsid w:val="35330B48"/>
    <w:rsid w:val="353B29E7"/>
    <w:rsid w:val="35411821"/>
    <w:rsid w:val="355D4407"/>
    <w:rsid w:val="3562042D"/>
    <w:rsid w:val="35850AE6"/>
    <w:rsid w:val="35A74497"/>
    <w:rsid w:val="35A74E2B"/>
    <w:rsid w:val="35A94199"/>
    <w:rsid w:val="35B05630"/>
    <w:rsid w:val="35C33EC5"/>
    <w:rsid w:val="35C81BD5"/>
    <w:rsid w:val="35CF6801"/>
    <w:rsid w:val="35DE1818"/>
    <w:rsid w:val="35ED404E"/>
    <w:rsid w:val="36243C2B"/>
    <w:rsid w:val="36475152"/>
    <w:rsid w:val="36507A73"/>
    <w:rsid w:val="365674EF"/>
    <w:rsid w:val="367134DE"/>
    <w:rsid w:val="36787E34"/>
    <w:rsid w:val="368033A9"/>
    <w:rsid w:val="3692435D"/>
    <w:rsid w:val="36A112D3"/>
    <w:rsid w:val="36D0792D"/>
    <w:rsid w:val="36FC06E4"/>
    <w:rsid w:val="370B0055"/>
    <w:rsid w:val="374976F8"/>
    <w:rsid w:val="37533A9C"/>
    <w:rsid w:val="37821544"/>
    <w:rsid w:val="3787676D"/>
    <w:rsid w:val="37953793"/>
    <w:rsid w:val="379F0A81"/>
    <w:rsid w:val="37A53093"/>
    <w:rsid w:val="37E702EC"/>
    <w:rsid w:val="37FB65FF"/>
    <w:rsid w:val="38727414"/>
    <w:rsid w:val="38AF4648"/>
    <w:rsid w:val="38B3392D"/>
    <w:rsid w:val="38B37C06"/>
    <w:rsid w:val="38CA3AC3"/>
    <w:rsid w:val="38E50A97"/>
    <w:rsid w:val="3915000A"/>
    <w:rsid w:val="391E370A"/>
    <w:rsid w:val="391E4604"/>
    <w:rsid w:val="392C27E9"/>
    <w:rsid w:val="392D2600"/>
    <w:rsid w:val="392F5095"/>
    <w:rsid w:val="393A366B"/>
    <w:rsid w:val="393C7ED6"/>
    <w:rsid w:val="39465433"/>
    <w:rsid w:val="39581B4E"/>
    <w:rsid w:val="395B6912"/>
    <w:rsid w:val="397B625A"/>
    <w:rsid w:val="39A56F77"/>
    <w:rsid w:val="39BE4A11"/>
    <w:rsid w:val="39CE1AF2"/>
    <w:rsid w:val="39D17887"/>
    <w:rsid w:val="39E919C4"/>
    <w:rsid w:val="3A27520A"/>
    <w:rsid w:val="3A3F6C87"/>
    <w:rsid w:val="3A465FD4"/>
    <w:rsid w:val="3A6B34E4"/>
    <w:rsid w:val="3A956A72"/>
    <w:rsid w:val="3AA72DE4"/>
    <w:rsid w:val="3AD70862"/>
    <w:rsid w:val="3AE76311"/>
    <w:rsid w:val="3B016B2A"/>
    <w:rsid w:val="3B102C79"/>
    <w:rsid w:val="3B1109C9"/>
    <w:rsid w:val="3B2552D7"/>
    <w:rsid w:val="3B3F7D03"/>
    <w:rsid w:val="3B970D6B"/>
    <w:rsid w:val="3BB2232C"/>
    <w:rsid w:val="3BE51125"/>
    <w:rsid w:val="3BE90506"/>
    <w:rsid w:val="3BEB6832"/>
    <w:rsid w:val="3BF178CC"/>
    <w:rsid w:val="3BFA2E9E"/>
    <w:rsid w:val="3C3D5877"/>
    <w:rsid w:val="3C40766B"/>
    <w:rsid w:val="3C476B61"/>
    <w:rsid w:val="3C583A62"/>
    <w:rsid w:val="3C813EBD"/>
    <w:rsid w:val="3C9C35C2"/>
    <w:rsid w:val="3CB702EA"/>
    <w:rsid w:val="3CBD35C8"/>
    <w:rsid w:val="3CCF0F73"/>
    <w:rsid w:val="3CE437F4"/>
    <w:rsid w:val="3CEF368A"/>
    <w:rsid w:val="3CF47B2C"/>
    <w:rsid w:val="3D386985"/>
    <w:rsid w:val="3D3906B1"/>
    <w:rsid w:val="3D584E9B"/>
    <w:rsid w:val="3D6E33D0"/>
    <w:rsid w:val="3D7C1FDB"/>
    <w:rsid w:val="3D880E45"/>
    <w:rsid w:val="3D9C69C1"/>
    <w:rsid w:val="3DA0424A"/>
    <w:rsid w:val="3DA1352A"/>
    <w:rsid w:val="3DA419D7"/>
    <w:rsid w:val="3DDA6370"/>
    <w:rsid w:val="3DDD2C1B"/>
    <w:rsid w:val="3DE64251"/>
    <w:rsid w:val="3DFF5060"/>
    <w:rsid w:val="3E10184E"/>
    <w:rsid w:val="3E136870"/>
    <w:rsid w:val="3E5D5F3B"/>
    <w:rsid w:val="3E615282"/>
    <w:rsid w:val="3E8429B9"/>
    <w:rsid w:val="3EBE7D18"/>
    <w:rsid w:val="3ECC547A"/>
    <w:rsid w:val="3EDC6A5F"/>
    <w:rsid w:val="3EE01AD6"/>
    <w:rsid w:val="3F1A1718"/>
    <w:rsid w:val="3F4E5041"/>
    <w:rsid w:val="3F506818"/>
    <w:rsid w:val="3FE36C1C"/>
    <w:rsid w:val="3FEB19D5"/>
    <w:rsid w:val="40340044"/>
    <w:rsid w:val="40434410"/>
    <w:rsid w:val="40661E5E"/>
    <w:rsid w:val="406E45AD"/>
    <w:rsid w:val="407C0CAD"/>
    <w:rsid w:val="40924D64"/>
    <w:rsid w:val="40963A57"/>
    <w:rsid w:val="40C9061E"/>
    <w:rsid w:val="40D16C5D"/>
    <w:rsid w:val="40FB3B23"/>
    <w:rsid w:val="410A3110"/>
    <w:rsid w:val="41310CA2"/>
    <w:rsid w:val="417E2272"/>
    <w:rsid w:val="41893506"/>
    <w:rsid w:val="418C1DA3"/>
    <w:rsid w:val="419915A4"/>
    <w:rsid w:val="419B675D"/>
    <w:rsid w:val="41A82FD1"/>
    <w:rsid w:val="41C35995"/>
    <w:rsid w:val="41CF7D38"/>
    <w:rsid w:val="41F059EA"/>
    <w:rsid w:val="41F47269"/>
    <w:rsid w:val="41FC4A89"/>
    <w:rsid w:val="42044ACC"/>
    <w:rsid w:val="420F1D94"/>
    <w:rsid w:val="422C362E"/>
    <w:rsid w:val="423D7C6A"/>
    <w:rsid w:val="423E2E61"/>
    <w:rsid w:val="423E5ED2"/>
    <w:rsid w:val="424441F1"/>
    <w:rsid w:val="425E0F00"/>
    <w:rsid w:val="426D5149"/>
    <w:rsid w:val="427E3E3A"/>
    <w:rsid w:val="428917B7"/>
    <w:rsid w:val="42B547D8"/>
    <w:rsid w:val="42DA5EA9"/>
    <w:rsid w:val="42E51209"/>
    <w:rsid w:val="430B7DA4"/>
    <w:rsid w:val="430D4AC0"/>
    <w:rsid w:val="431E047F"/>
    <w:rsid w:val="431E65EF"/>
    <w:rsid w:val="435A4BBF"/>
    <w:rsid w:val="436A6565"/>
    <w:rsid w:val="437A019F"/>
    <w:rsid w:val="43891F34"/>
    <w:rsid w:val="43B21221"/>
    <w:rsid w:val="43C63987"/>
    <w:rsid w:val="43E5284B"/>
    <w:rsid w:val="43FB7AE7"/>
    <w:rsid w:val="4400649E"/>
    <w:rsid w:val="441426C6"/>
    <w:rsid w:val="441466E5"/>
    <w:rsid w:val="4421734C"/>
    <w:rsid w:val="44437D45"/>
    <w:rsid w:val="44460A9F"/>
    <w:rsid w:val="4478624B"/>
    <w:rsid w:val="4493367B"/>
    <w:rsid w:val="44A72843"/>
    <w:rsid w:val="44AB74B4"/>
    <w:rsid w:val="44B2771E"/>
    <w:rsid w:val="44B8368E"/>
    <w:rsid w:val="44CB1108"/>
    <w:rsid w:val="452905F3"/>
    <w:rsid w:val="4531085A"/>
    <w:rsid w:val="45451639"/>
    <w:rsid w:val="456A35B3"/>
    <w:rsid w:val="457F5F98"/>
    <w:rsid w:val="45A100BA"/>
    <w:rsid w:val="45A45439"/>
    <w:rsid w:val="45CA7348"/>
    <w:rsid w:val="45CB72CE"/>
    <w:rsid w:val="45EA24AB"/>
    <w:rsid w:val="461F4864"/>
    <w:rsid w:val="462B6DAB"/>
    <w:rsid w:val="467454E9"/>
    <w:rsid w:val="46977D08"/>
    <w:rsid w:val="469A6FE4"/>
    <w:rsid w:val="469B5592"/>
    <w:rsid w:val="46A5400A"/>
    <w:rsid w:val="46B43565"/>
    <w:rsid w:val="46C67C71"/>
    <w:rsid w:val="46DB6342"/>
    <w:rsid w:val="46F207EA"/>
    <w:rsid w:val="46F40267"/>
    <w:rsid w:val="46F87058"/>
    <w:rsid w:val="47283388"/>
    <w:rsid w:val="4750258F"/>
    <w:rsid w:val="4750618B"/>
    <w:rsid w:val="477A20CD"/>
    <w:rsid w:val="47C35102"/>
    <w:rsid w:val="47C90408"/>
    <w:rsid w:val="47CA3491"/>
    <w:rsid w:val="47DE0285"/>
    <w:rsid w:val="47EA0372"/>
    <w:rsid w:val="47F77566"/>
    <w:rsid w:val="48131737"/>
    <w:rsid w:val="48164DEF"/>
    <w:rsid w:val="481C1F20"/>
    <w:rsid w:val="482932B2"/>
    <w:rsid w:val="48452D6C"/>
    <w:rsid w:val="48490177"/>
    <w:rsid w:val="484B1518"/>
    <w:rsid w:val="48734131"/>
    <w:rsid w:val="48762BB3"/>
    <w:rsid w:val="48801F0A"/>
    <w:rsid w:val="489C4879"/>
    <w:rsid w:val="489C7EA5"/>
    <w:rsid w:val="48BE667F"/>
    <w:rsid w:val="49276E58"/>
    <w:rsid w:val="494B4338"/>
    <w:rsid w:val="497C5511"/>
    <w:rsid w:val="49B65DC9"/>
    <w:rsid w:val="4A131AB1"/>
    <w:rsid w:val="4A34760C"/>
    <w:rsid w:val="4A64259A"/>
    <w:rsid w:val="4AA4128B"/>
    <w:rsid w:val="4AAA7028"/>
    <w:rsid w:val="4AD50D4A"/>
    <w:rsid w:val="4ADC75C4"/>
    <w:rsid w:val="4B000CA0"/>
    <w:rsid w:val="4B226FE9"/>
    <w:rsid w:val="4B2977E3"/>
    <w:rsid w:val="4B3A3263"/>
    <w:rsid w:val="4B404F96"/>
    <w:rsid w:val="4B5F395F"/>
    <w:rsid w:val="4BB73A13"/>
    <w:rsid w:val="4BC26675"/>
    <w:rsid w:val="4BE22955"/>
    <w:rsid w:val="4C11222E"/>
    <w:rsid w:val="4C440DC4"/>
    <w:rsid w:val="4C60411D"/>
    <w:rsid w:val="4C793B3F"/>
    <w:rsid w:val="4C9743B6"/>
    <w:rsid w:val="4CA56DBD"/>
    <w:rsid w:val="4CCD70EB"/>
    <w:rsid w:val="4CD15334"/>
    <w:rsid w:val="4CDA10F2"/>
    <w:rsid w:val="4CDC2AC2"/>
    <w:rsid w:val="4CE10342"/>
    <w:rsid w:val="4CEF194A"/>
    <w:rsid w:val="4D123D13"/>
    <w:rsid w:val="4D4473CA"/>
    <w:rsid w:val="4D594184"/>
    <w:rsid w:val="4D670A85"/>
    <w:rsid w:val="4D80617B"/>
    <w:rsid w:val="4D806473"/>
    <w:rsid w:val="4DB87F6B"/>
    <w:rsid w:val="4DBC0F1A"/>
    <w:rsid w:val="4DBE49A4"/>
    <w:rsid w:val="4DDC5271"/>
    <w:rsid w:val="4DF85FC0"/>
    <w:rsid w:val="4E1074C8"/>
    <w:rsid w:val="4E214AAF"/>
    <w:rsid w:val="4E2B1D2E"/>
    <w:rsid w:val="4E527CB0"/>
    <w:rsid w:val="4E6F1EF6"/>
    <w:rsid w:val="4E7B029B"/>
    <w:rsid w:val="4E9C2A45"/>
    <w:rsid w:val="4ECB07EA"/>
    <w:rsid w:val="4EDA18B9"/>
    <w:rsid w:val="4F216F20"/>
    <w:rsid w:val="4F573543"/>
    <w:rsid w:val="4F6D467A"/>
    <w:rsid w:val="4FB36E5E"/>
    <w:rsid w:val="4FC27F99"/>
    <w:rsid w:val="4FC7424B"/>
    <w:rsid w:val="4FED507D"/>
    <w:rsid w:val="4FFB62E9"/>
    <w:rsid w:val="501C4E89"/>
    <w:rsid w:val="502B325D"/>
    <w:rsid w:val="50330C1B"/>
    <w:rsid w:val="504C6C45"/>
    <w:rsid w:val="505472C8"/>
    <w:rsid w:val="505D795E"/>
    <w:rsid w:val="50630959"/>
    <w:rsid w:val="50DD3BA3"/>
    <w:rsid w:val="50E436D3"/>
    <w:rsid w:val="50E61CAB"/>
    <w:rsid w:val="50F26F6D"/>
    <w:rsid w:val="5132754D"/>
    <w:rsid w:val="513564CC"/>
    <w:rsid w:val="514A3527"/>
    <w:rsid w:val="514E3A09"/>
    <w:rsid w:val="51515826"/>
    <w:rsid w:val="51693AC9"/>
    <w:rsid w:val="517C3AF1"/>
    <w:rsid w:val="51915B3D"/>
    <w:rsid w:val="519F5121"/>
    <w:rsid w:val="51CD17DD"/>
    <w:rsid w:val="52100DEE"/>
    <w:rsid w:val="5229273F"/>
    <w:rsid w:val="523D5C1B"/>
    <w:rsid w:val="52547228"/>
    <w:rsid w:val="525812EC"/>
    <w:rsid w:val="529432E6"/>
    <w:rsid w:val="52A8026E"/>
    <w:rsid w:val="52D36DFA"/>
    <w:rsid w:val="52EA127C"/>
    <w:rsid w:val="530032DA"/>
    <w:rsid w:val="532C197B"/>
    <w:rsid w:val="534C6115"/>
    <w:rsid w:val="53561F88"/>
    <w:rsid w:val="535844AE"/>
    <w:rsid w:val="536B5C40"/>
    <w:rsid w:val="53BC34C4"/>
    <w:rsid w:val="53CE29B7"/>
    <w:rsid w:val="53E93F16"/>
    <w:rsid w:val="53F04BF7"/>
    <w:rsid w:val="540337E7"/>
    <w:rsid w:val="541000EA"/>
    <w:rsid w:val="54142032"/>
    <w:rsid w:val="54143B82"/>
    <w:rsid w:val="541B759B"/>
    <w:rsid w:val="54451376"/>
    <w:rsid w:val="54776BE8"/>
    <w:rsid w:val="547B2C44"/>
    <w:rsid w:val="547F7066"/>
    <w:rsid w:val="548C0083"/>
    <w:rsid w:val="548C3B24"/>
    <w:rsid w:val="54BC10AE"/>
    <w:rsid w:val="54D51129"/>
    <w:rsid w:val="54DB5397"/>
    <w:rsid w:val="54DE257B"/>
    <w:rsid w:val="54E31235"/>
    <w:rsid w:val="54EA695B"/>
    <w:rsid w:val="54ED3848"/>
    <w:rsid w:val="54F82DE2"/>
    <w:rsid w:val="55091415"/>
    <w:rsid w:val="552C06F2"/>
    <w:rsid w:val="5533415E"/>
    <w:rsid w:val="553D3830"/>
    <w:rsid w:val="553D5A1E"/>
    <w:rsid w:val="555B4C1C"/>
    <w:rsid w:val="55665E4B"/>
    <w:rsid w:val="557C6AE7"/>
    <w:rsid w:val="55895936"/>
    <w:rsid w:val="55A0704C"/>
    <w:rsid w:val="55A923B9"/>
    <w:rsid w:val="55DD38ED"/>
    <w:rsid w:val="561A3EA2"/>
    <w:rsid w:val="563F6A47"/>
    <w:rsid w:val="56434C8D"/>
    <w:rsid w:val="568A68D9"/>
    <w:rsid w:val="568B6949"/>
    <w:rsid w:val="56961E70"/>
    <w:rsid w:val="56A438D4"/>
    <w:rsid w:val="56B20164"/>
    <w:rsid w:val="56BA5C7F"/>
    <w:rsid w:val="56EA1F97"/>
    <w:rsid w:val="570F0FFB"/>
    <w:rsid w:val="574E065D"/>
    <w:rsid w:val="575B7C13"/>
    <w:rsid w:val="576E7E03"/>
    <w:rsid w:val="578A5B09"/>
    <w:rsid w:val="57A82AA6"/>
    <w:rsid w:val="57AA5D1A"/>
    <w:rsid w:val="57BE32DB"/>
    <w:rsid w:val="57D631F8"/>
    <w:rsid w:val="57F7266F"/>
    <w:rsid w:val="58082218"/>
    <w:rsid w:val="581028EA"/>
    <w:rsid w:val="58344161"/>
    <w:rsid w:val="585D0DF7"/>
    <w:rsid w:val="587316C8"/>
    <w:rsid w:val="58AD641D"/>
    <w:rsid w:val="58B420E4"/>
    <w:rsid w:val="58ED3D41"/>
    <w:rsid w:val="59135C67"/>
    <w:rsid w:val="593C1329"/>
    <w:rsid w:val="595A34E9"/>
    <w:rsid w:val="595B4CF8"/>
    <w:rsid w:val="595B7937"/>
    <w:rsid w:val="597C7365"/>
    <w:rsid w:val="597F7369"/>
    <w:rsid w:val="59997155"/>
    <w:rsid w:val="59A2414B"/>
    <w:rsid w:val="59BC6112"/>
    <w:rsid w:val="59FE08FA"/>
    <w:rsid w:val="5A060D86"/>
    <w:rsid w:val="5A886394"/>
    <w:rsid w:val="5A9F6060"/>
    <w:rsid w:val="5ACB0C58"/>
    <w:rsid w:val="5ACF7403"/>
    <w:rsid w:val="5AD3000A"/>
    <w:rsid w:val="5B46719F"/>
    <w:rsid w:val="5B737DCF"/>
    <w:rsid w:val="5B994E70"/>
    <w:rsid w:val="5BA42A14"/>
    <w:rsid w:val="5BB47CCC"/>
    <w:rsid w:val="5BD03380"/>
    <w:rsid w:val="5BD05B9D"/>
    <w:rsid w:val="5BD343E6"/>
    <w:rsid w:val="5BE00F61"/>
    <w:rsid w:val="5BF126CC"/>
    <w:rsid w:val="5BFB5206"/>
    <w:rsid w:val="5C294535"/>
    <w:rsid w:val="5C965DA3"/>
    <w:rsid w:val="5CB65A64"/>
    <w:rsid w:val="5CCD7CBB"/>
    <w:rsid w:val="5CD26BB3"/>
    <w:rsid w:val="5CEB063E"/>
    <w:rsid w:val="5CF15758"/>
    <w:rsid w:val="5D0B0214"/>
    <w:rsid w:val="5D1A0A42"/>
    <w:rsid w:val="5D4529ED"/>
    <w:rsid w:val="5D4F1710"/>
    <w:rsid w:val="5D71045F"/>
    <w:rsid w:val="5DA55EAC"/>
    <w:rsid w:val="5DAC626B"/>
    <w:rsid w:val="5DEA664B"/>
    <w:rsid w:val="5E146811"/>
    <w:rsid w:val="5E3F1ED0"/>
    <w:rsid w:val="5E4A015A"/>
    <w:rsid w:val="5E4E1E2F"/>
    <w:rsid w:val="5E4F7526"/>
    <w:rsid w:val="5E7E280E"/>
    <w:rsid w:val="5EA343F9"/>
    <w:rsid w:val="5EA52572"/>
    <w:rsid w:val="5F0651C7"/>
    <w:rsid w:val="5F164D5E"/>
    <w:rsid w:val="5F257857"/>
    <w:rsid w:val="5F2D2E3D"/>
    <w:rsid w:val="5F511649"/>
    <w:rsid w:val="5F741C71"/>
    <w:rsid w:val="5F884475"/>
    <w:rsid w:val="5F940261"/>
    <w:rsid w:val="5FBE713C"/>
    <w:rsid w:val="5FCB6893"/>
    <w:rsid w:val="5FDA399F"/>
    <w:rsid w:val="5FF5160A"/>
    <w:rsid w:val="5FFA79ED"/>
    <w:rsid w:val="601D3F32"/>
    <w:rsid w:val="6068214B"/>
    <w:rsid w:val="606D0EF6"/>
    <w:rsid w:val="60806A99"/>
    <w:rsid w:val="60B442A8"/>
    <w:rsid w:val="60FD7810"/>
    <w:rsid w:val="61013040"/>
    <w:rsid w:val="61027A54"/>
    <w:rsid w:val="610E310A"/>
    <w:rsid w:val="611C35B8"/>
    <w:rsid w:val="611D1C0E"/>
    <w:rsid w:val="61357F97"/>
    <w:rsid w:val="61A25580"/>
    <w:rsid w:val="61AE7556"/>
    <w:rsid w:val="61C55F7F"/>
    <w:rsid w:val="61D41854"/>
    <w:rsid w:val="61F46458"/>
    <w:rsid w:val="61FF1566"/>
    <w:rsid w:val="62282B27"/>
    <w:rsid w:val="625A6442"/>
    <w:rsid w:val="625D5789"/>
    <w:rsid w:val="626F0CA2"/>
    <w:rsid w:val="629B533C"/>
    <w:rsid w:val="62B26886"/>
    <w:rsid w:val="62C31135"/>
    <w:rsid w:val="62C76106"/>
    <w:rsid w:val="62CC474C"/>
    <w:rsid w:val="6300421A"/>
    <w:rsid w:val="63155F18"/>
    <w:rsid w:val="63413865"/>
    <w:rsid w:val="637B0B27"/>
    <w:rsid w:val="63874046"/>
    <w:rsid w:val="638B4892"/>
    <w:rsid w:val="63B0191D"/>
    <w:rsid w:val="63BB45AD"/>
    <w:rsid w:val="63C71871"/>
    <w:rsid w:val="63C73E6D"/>
    <w:rsid w:val="63DD4529"/>
    <w:rsid w:val="63FC0611"/>
    <w:rsid w:val="641222ED"/>
    <w:rsid w:val="641D6D65"/>
    <w:rsid w:val="642B5582"/>
    <w:rsid w:val="644878A5"/>
    <w:rsid w:val="64516BFF"/>
    <w:rsid w:val="64643953"/>
    <w:rsid w:val="64963CFA"/>
    <w:rsid w:val="64B31A3E"/>
    <w:rsid w:val="64BB7086"/>
    <w:rsid w:val="64DF720B"/>
    <w:rsid w:val="64FB2F8F"/>
    <w:rsid w:val="6502750F"/>
    <w:rsid w:val="655769D7"/>
    <w:rsid w:val="658C66C4"/>
    <w:rsid w:val="659C55D9"/>
    <w:rsid w:val="65B76CC0"/>
    <w:rsid w:val="65C86337"/>
    <w:rsid w:val="65D96646"/>
    <w:rsid w:val="65DC6542"/>
    <w:rsid w:val="65FB3E5D"/>
    <w:rsid w:val="65FE3124"/>
    <w:rsid w:val="66134265"/>
    <w:rsid w:val="66475BEE"/>
    <w:rsid w:val="665D4657"/>
    <w:rsid w:val="66921396"/>
    <w:rsid w:val="669A00A1"/>
    <w:rsid w:val="669A0A1D"/>
    <w:rsid w:val="66C77EC3"/>
    <w:rsid w:val="66CD32EE"/>
    <w:rsid w:val="66E50CF7"/>
    <w:rsid w:val="66EF31C1"/>
    <w:rsid w:val="67286643"/>
    <w:rsid w:val="67340A1D"/>
    <w:rsid w:val="67415D12"/>
    <w:rsid w:val="67645CC5"/>
    <w:rsid w:val="679D0438"/>
    <w:rsid w:val="679F14A6"/>
    <w:rsid w:val="67A60E8C"/>
    <w:rsid w:val="67A7594A"/>
    <w:rsid w:val="67F71CAA"/>
    <w:rsid w:val="68087CE9"/>
    <w:rsid w:val="68233AD1"/>
    <w:rsid w:val="68342E85"/>
    <w:rsid w:val="68374646"/>
    <w:rsid w:val="6851003F"/>
    <w:rsid w:val="68532F31"/>
    <w:rsid w:val="685F2B0C"/>
    <w:rsid w:val="686A5890"/>
    <w:rsid w:val="686E4CA0"/>
    <w:rsid w:val="68B0634A"/>
    <w:rsid w:val="68CD56D6"/>
    <w:rsid w:val="68CE0878"/>
    <w:rsid w:val="68DF3F07"/>
    <w:rsid w:val="68E14DD2"/>
    <w:rsid w:val="68FF17F8"/>
    <w:rsid w:val="691F6273"/>
    <w:rsid w:val="6938799E"/>
    <w:rsid w:val="69645F26"/>
    <w:rsid w:val="696537D3"/>
    <w:rsid w:val="69875626"/>
    <w:rsid w:val="69A773FE"/>
    <w:rsid w:val="69AC4EE2"/>
    <w:rsid w:val="69B15060"/>
    <w:rsid w:val="69B72806"/>
    <w:rsid w:val="69C21FC2"/>
    <w:rsid w:val="69CB7528"/>
    <w:rsid w:val="69CC5602"/>
    <w:rsid w:val="69DE1C53"/>
    <w:rsid w:val="69DE6F62"/>
    <w:rsid w:val="69DF0F70"/>
    <w:rsid w:val="69F431E5"/>
    <w:rsid w:val="69FB05D9"/>
    <w:rsid w:val="6A112F3A"/>
    <w:rsid w:val="6A21429B"/>
    <w:rsid w:val="6A317FEC"/>
    <w:rsid w:val="6A395739"/>
    <w:rsid w:val="6A667351"/>
    <w:rsid w:val="6A690452"/>
    <w:rsid w:val="6AA4150D"/>
    <w:rsid w:val="6AB14EEA"/>
    <w:rsid w:val="6AC16132"/>
    <w:rsid w:val="6AC86B5F"/>
    <w:rsid w:val="6AD5470C"/>
    <w:rsid w:val="6AE552AB"/>
    <w:rsid w:val="6AF1512E"/>
    <w:rsid w:val="6B372870"/>
    <w:rsid w:val="6B4C78DC"/>
    <w:rsid w:val="6B601303"/>
    <w:rsid w:val="6B6D4BD4"/>
    <w:rsid w:val="6B736C65"/>
    <w:rsid w:val="6B884223"/>
    <w:rsid w:val="6BA1219F"/>
    <w:rsid w:val="6BAE17F8"/>
    <w:rsid w:val="6BBE4E5F"/>
    <w:rsid w:val="6BCC6A33"/>
    <w:rsid w:val="6BE94680"/>
    <w:rsid w:val="6C1648A2"/>
    <w:rsid w:val="6C2B5B56"/>
    <w:rsid w:val="6C405A24"/>
    <w:rsid w:val="6C4630A7"/>
    <w:rsid w:val="6C4A06E6"/>
    <w:rsid w:val="6C4C1DDE"/>
    <w:rsid w:val="6C7360A2"/>
    <w:rsid w:val="6C98271E"/>
    <w:rsid w:val="6C9C1A7F"/>
    <w:rsid w:val="6CB357D4"/>
    <w:rsid w:val="6CC369D1"/>
    <w:rsid w:val="6CD6095A"/>
    <w:rsid w:val="6D09664F"/>
    <w:rsid w:val="6D0D7F2F"/>
    <w:rsid w:val="6D1A3ED2"/>
    <w:rsid w:val="6D1C5D45"/>
    <w:rsid w:val="6D203D6F"/>
    <w:rsid w:val="6D2052F1"/>
    <w:rsid w:val="6D2A1AE4"/>
    <w:rsid w:val="6D2C0363"/>
    <w:rsid w:val="6D4556BC"/>
    <w:rsid w:val="6D7C6B86"/>
    <w:rsid w:val="6D886D51"/>
    <w:rsid w:val="6D98425A"/>
    <w:rsid w:val="6D9C4CB2"/>
    <w:rsid w:val="6DAC52D8"/>
    <w:rsid w:val="6DCC4C0D"/>
    <w:rsid w:val="6DE52F24"/>
    <w:rsid w:val="6E0D5193"/>
    <w:rsid w:val="6E2B38B7"/>
    <w:rsid w:val="6E42100A"/>
    <w:rsid w:val="6E4341AC"/>
    <w:rsid w:val="6E6853A8"/>
    <w:rsid w:val="6E7C32EF"/>
    <w:rsid w:val="6E9D5BDB"/>
    <w:rsid w:val="6EB97128"/>
    <w:rsid w:val="6EC72318"/>
    <w:rsid w:val="6F1B7D4D"/>
    <w:rsid w:val="6F2E2390"/>
    <w:rsid w:val="6F436F8F"/>
    <w:rsid w:val="6F4D5562"/>
    <w:rsid w:val="6F5760B1"/>
    <w:rsid w:val="6F663712"/>
    <w:rsid w:val="6F6D69E8"/>
    <w:rsid w:val="6F824494"/>
    <w:rsid w:val="6F8B29B5"/>
    <w:rsid w:val="6F9B0752"/>
    <w:rsid w:val="6FD156E3"/>
    <w:rsid w:val="6FED75FB"/>
    <w:rsid w:val="70041560"/>
    <w:rsid w:val="70112BEB"/>
    <w:rsid w:val="703467FC"/>
    <w:rsid w:val="7040732E"/>
    <w:rsid w:val="70472107"/>
    <w:rsid w:val="705E44AE"/>
    <w:rsid w:val="7072604F"/>
    <w:rsid w:val="7086364B"/>
    <w:rsid w:val="70A42103"/>
    <w:rsid w:val="7100120D"/>
    <w:rsid w:val="710B27AB"/>
    <w:rsid w:val="71121CE9"/>
    <w:rsid w:val="712C6F85"/>
    <w:rsid w:val="71320E55"/>
    <w:rsid w:val="71321C7C"/>
    <w:rsid w:val="71340B64"/>
    <w:rsid w:val="71546F0E"/>
    <w:rsid w:val="716634A0"/>
    <w:rsid w:val="7170146E"/>
    <w:rsid w:val="717268C8"/>
    <w:rsid w:val="717D6B07"/>
    <w:rsid w:val="71802D0E"/>
    <w:rsid w:val="718F5890"/>
    <w:rsid w:val="719323BF"/>
    <w:rsid w:val="71940950"/>
    <w:rsid w:val="71BF5087"/>
    <w:rsid w:val="71C23C59"/>
    <w:rsid w:val="71C57971"/>
    <w:rsid w:val="71EC11CD"/>
    <w:rsid w:val="720506A4"/>
    <w:rsid w:val="72143E26"/>
    <w:rsid w:val="721447AC"/>
    <w:rsid w:val="722B6EAC"/>
    <w:rsid w:val="7235573F"/>
    <w:rsid w:val="723629FF"/>
    <w:rsid w:val="72434677"/>
    <w:rsid w:val="726C56B8"/>
    <w:rsid w:val="7288771C"/>
    <w:rsid w:val="728D4961"/>
    <w:rsid w:val="72911F34"/>
    <w:rsid w:val="72A458E1"/>
    <w:rsid w:val="72BB39A2"/>
    <w:rsid w:val="72CE592F"/>
    <w:rsid w:val="72F838AA"/>
    <w:rsid w:val="72FE2F74"/>
    <w:rsid w:val="73134385"/>
    <w:rsid w:val="731726EC"/>
    <w:rsid w:val="73197AE0"/>
    <w:rsid w:val="73221860"/>
    <w:rsid w:val="7338174B"/>
    <w:rsid w:val="733A4EF6"/>
    <w:rsid w:val="733D0234"/>
    <w:rsid w:val="733E33D3"/>
    <w:rsid w:val="733F0360"/>
    <w:rsid w:val="73510BCA"/>
    <w:rsid w:val="73773239"/>
    <w:rsid w:val="73835DC4"/>
    <w:rsid w:val="73C761B5"/>
    <w:rsid w:val="73C97C37"/>
    <w:rsid w:val="73D872D7"/>
    <w:rsid w:val="73E46361"/>
    <w:rsid w:val="73E607B4"/>
    <w:rsid w:val="73E62FFC"/>
    <w:rsid w:val="73ED3775"/>
    <w:rsid w:val="73F93FD8"/>
    <w:rsid w:val="73FA14E3"/>
    <w:rsid w:val="740A7F35"/>
    <w:rsid w:val="74211C9E"/>
    <w:rsid w:val="74235FBB"/>
    <w:rsid w:val="742D4CA1"/>
    <w:rsid w:val="74336AF3"/>
    <w:rsid w:val="74613585"/>
    <w:rsid w:val="747D3462"/>
    <w:rsid w:val="74812030"/>
    <w:rsid w:val="74886161"/>
    <w:rsid w:val="74A039B1"/>
    <w:rsid w:val="74E66F49"/>
    <w:rsid w:val="74EB245C"/>
    <w:rsid w:val="74F23563"/>
    <w:rsid w:val="75116393"/>
    <w:rsid w:val="753C15BB"/>
    <w:rsid w:val="754744F0"/>
    <w:rsid w:val="75585493"/>
    <w:rsid w:val="755E6626"/>
    <w:rsid w:val="75841DF5"/>
    <w:rsid w:val="758C4CA2"/>
    <w:rsid w:val="75BC0114"/>
    <w:rsid w:val="75D374F0"/>
    <w:rsid w:val="75D40046"/>
    <w:rsid w:val="75D96E3B"/>
    <w:rsid w:val="76271E95"/>
    <w:rsid w:val="762F29E5"/>
    <w:rsid w:val="763D7808"/>
    <w:rsid w:val="764374F1"/>
    <w:rsid w:val="76944E76"/>
    <w:rsid w:val="769A26CA"/>
    <w:rsid w:val="76C34928"/>
    <w:rsid w:val="76C645E8"/>
    <w:rsid w:val="76CA6BC2"/>
    <w:rsid w:val="76D17FE1"/>
    <w:rsid w:val="76DF15B8"/>
    <w:rsid w:val="76DF6BA8"/>
    <w:rsid w:val="76FB601C"/>
    <w:rsid w:val="7708778F"/>
    <w:rsid w:val="770B7BD2"/>
    <w:rsid w:val="7778661E"/>
    <w:rsid w:val="778364BE"/>
    <w:rsid w:val="7799548D"/>
    <w:rsid w:val="77CD6969"/>
    <w:rsid w:val="77ED1FBE"/>
    <w:rsid w:val="783C0F63"/>
    <w:rsid w:val="784D4EE1"/>
    <w:rsid w:val="78576D74"/>
    <w:rsid w:val="787764A6"/>
    <w:rsid w:val="7882318F"/>
    <w:rsid w:val="78867CFB"/>
    <w:rsid w:val="78D06FA5"/>
    <w:rsid w:val="78F044C0"/>
    <w:rsid w:val="793D3D59"/>
    <w:rsid w:val="795F47C4"/>
    <w:rsid w:val="795F4B87"/>
    <w:rsid w:val="799447B2"/>
    <w:rsid w:val="79993DEC"/>
    <w:rsid w:val="79BA2F1D"/>
    <w:rsid w:val="79D33A4B"/>
    <w:rsid w:val="79EA1578"/>
    <w:rsid w:val="79F9227E"/>
    <w:rsid w:val="7A03141B"/>
    <w:rsid w:val="7A047E52"/>
    <w:rsid w:val="7A291637"/>
    <w:rsid w:val="7A2F68CB"/>
    <w:rsid w:val="7A3D024C"/>
    <w:rsid w:val="7A532F6D"/>
    <w:rsid w:val="7A9E603E"/>
    <w:rsid w:val="7AA163B3"/>
    <w:rsid w:val="7AB01F3D"/>
    <w:rsid w:val="7ACE4950"/>
    <w:rsid w:val="7ADB04CF"/>
    <w:rsid w:val="7ADD1DF2"/>
    <w:rsid w:val="7AFE0D18"/>
    <w:rsid w:val="7B4B5341"/>
    <w:rsid w:val="7B5B1A0B"/>
    <w:rsid w:val="7B70050C"/>
    <w:rsid w:val="7B856E03"/>
    <w:rsid w:val="7BB31608"/>
    <w:rsid w:val="7BD95DD9"/>
    <w:rsid w:val="7BE07285"/>
    <w:rsid w:val="7BE50BC8"/>
    <w:rsid w:val="7BF9716D"/>
    <w:rsid w:val="7C077508"/>
    <w:rsid w:val="7C1F4334"/>
    <w:rsid w:val="7C3835FD"/>
    <w:rsid w:val="7C42078B"/>
    <w:rsid w:val="7C443295"/>
    <w:rsid w:val="7C5713BA"/>
    <w:rsid w:val="7C695398"/>
    <w:rsid w:val="7C6D2C5C"/>
    <w:rsid w:val="7C867073"/>
    <w:rsid w:val="7C8D2D58"/>
    <w:rsid w:val="7CB302CB"/>
    <w:rsid w:val="7D0D4F8C"/>
    <w:rsid w:val="7D1948FD"/>
    <w:rsid w:val="7D2C6F9F"/>
    <w:rsid w:val="7D543264"/>
    <w:rsid w:val="7D6D7156"/>
    <w:rsid w:val="7D7115AD"/>
    <w:rsid w:val="7D926FDF"/>
    <w:rsid w:val="7DAE4568"/>
    <w:rsid w:val="7DC85A4E"/>
    <w:rsid w:val="7DEF767D"/>
    <w:rsid w:val="7DF53256"/>
    <w:rsid w:val="7DF550BA"/>
    <w:rsid w:val="7DF702B7"/>
    <w:rsid w:val="7E377211"/>
    <w:rsid w:val="7E5143F7"/>
    <w:rsid w:val="7E531FFF"/>
    <w:rsid w:val="7E5A1669"/>
    <w:rsid w:val="7E5C27F5"/>
    <w:rsid w:val="7E5E764B"/>
    <w:rsid w:val="7E656EF8"/>
    <w:rsid w:val="7EA72608"/>
    <w:rsid w:val="7ECB55B8"/>
    <w:rsid w:val="7EE626A2"/>
    <w:rsid w:val="7EEA60C1"/>
    <w:rsid w:val="7EF54C4F"/>
    <w:rsid w:val="7EFB3937"/>
    <w:rsid w:val="7EFC417F"/>
    <w:rsid w:val="7F020EC4"/>
    <w:rsid w:val="7F121FA0"/>
    <w:rsid w:val="7F381A2F"/>
    <w:rsid w:val="7F5957B0"/>
    <w:rsid w:val="7F9846AE"/>
    <w:rsid w:val="7F9A7F46"/>
    <w:rsid w:val="7FAD0277"/>
    <w:rsid w:val="7FBD28C5"/>
    <w:rsid w:val="7FC50214"/>
    <w:rsid w:val="7FD731FF"/>
    <w:rsid w:val="7FEF71EF"/>
    <w:rsid w:val="D5EDDD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iPriority="99" w:semiHidden="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0"/>
    <w:autoRedefine/>
    <w:qFormat/>
    <w:uiPriority w:val="0"/>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61"/>
    <w:autoRedefine/>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4">
    <w:name w:val="heading 3"/>
    <w:basedOn w:val="1"/>
    <w:next w:val="1"/>
    <w:link w:val="62"/>
    <w:autoRedefine/>
    <w:unhideWhenUsed/>
    <w:qFormat/>
    <w:uiPriority w:val="0"/>
    <w:pPr>
      <w:keepNext/>
      <w:keepLines/>
      <w:tabs>
        <w:tab w:val="left" w:pos="8280"/>
      </w:tabs>
      <w:spacing w:before="260" w:after="260" w:line="416" w:lineRule="auto"/>
      <w:outlineLvl w:val="2"/>
    </w:pPr>
    <w:rPr>
      <w:bCs/>
      <w:szCs w:val="32"/>
    </w:rPr>
  </w:style>
  <w:style w:type="paragraph" w:styleId="5">
    <w:name w:val="heading 4"/>
    <w:basedOn w:val="1"/>
    <w:next w:val="1"/>
    <w:link w:val="63"/>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64"/>
    <w:autoRedefine/>
    <w:unhideWhenUsed/>
    <w:qFormat/>
    <w:uiPriority w:val="0"/>
    <w:pPr>
      <w:keepNext/>
      <w:keepLines/>
      <w:spacing w:line="376" w:lineRule="auto"/>
      <w:ind w:left="2125" w:hanging="425"/>
      <w:outlineLvl w:val="4"/>
    </w:pPr>
    <w:rPr>
      <w:rFonts w:ascii="宋体" w:hAnsi="宋体" w:cs="宋体"/>
      <w:b/>
      <w:bCs/>
      <w:kern w:val="0"/>
      <w:sz w:val="28"/>
      <w:szCs w:val="28"/>
    </w:rPr>
  </w:style>
  <w:style w:type="paragraph" w:styleId="7">
    <w:name w:val="heading 6"/>
    <w:basedOn w:val="1"/>
    <w:next w:val="1"/>
    <w:link w:val="65"/>
    <w:autoRedefine/>
    <w:unhideWhenUsed/>
    <w:qFormat/>
    <w:uiPriority w:val="0"/>
    <w:pPr>
      <w:keepNext/>
      <w:keepLines/>
      <w:spacing w:line="320" w:lineRule="auto"/>
      <w:ind w:left="2550" w:hanging="425"/>
      <w:outlineLvl w:val="5"/>
    </w:pPr>
    <w:rPr>
      <w:rFonts w:asciiTheme="majorHAnsi" w:hAnsiTheme="majorHAnsi" w:cstheme="majorBidi"/>
      <w:b/>
      <w:bCs/>
      <w:kern w:val="0"/>
      <w:sz w:val="24"/>
    </w:rPr>
  </w:style>
  <w:style w:type="paragraph" w:styleId="8">
    <w:name w:val="heading 7"/>
    <w:basedOn w:val="1"/>
    <w:next w:val="1"/>
    <w:link w:val="66"/>
    <w:autoRedefine/>
    <w:unhideWhenUsed/>
    <w:qFormat/>
    <w:uiPriority w:val="0"/>
    <w:pPr>
      <w:keepNext/>
      <w:keepLines/>
      <w:spacing w:line="320" w:lineRule="auto"/>
      <w:ind w:left="2975" w:hanging="425"/>
      <w:outlineLvl w:val="6"/>
    </w:pPr>
    <w:rPr>
      <w:rFonts w:ascii="宋体" w:hAnsi="宋体" w:cs="宋体"/>
      <w:b/>
      <w:bCs/>
      <w:kern w:val="0"/>
      <w:sz w:val="24"/>
    </w:rPr>
  </w:style>
  <w:style w:type="paragraph" w:styleId="9">
    <w:name w:val="heading 8"/>
    <w:basedOn w:val="1"/>
    <w:next w:val="1"/>
    <w:link w:val="67"/>
    <w:autoRedefine/>
    <w:unhideWhenUsed/>
    <w:qFormat/>
    <w:uiPriority w:val="0"/>
    <w:pPr>
      <w:keepNext/>
      <w:keepLines/>
      <w:spacing w:line="320" w:lineRule="auto"/>
      <w:ind w:left="3400" w:hanging="425"/>
      <w:outlineLvl w:val="7"/>
    </w:pPr>
    <w:rPr>
      <w:rFonts w:asciiTheme="majorHAnsi" w:hAnsiTheme="majorHAnsi" w:cstheme="majorBidi"/>
      <w:b/>
      <w:kern w:val="0"/>
      <w:sz w:val="24"/>
    </w:rPr>
  </w:style>
  <w:style w:type="paragraph" w:styleId="10">
    <w:name w:val="heading 9"/>
    <w:basedOn w:val="1"/>
    <w:next w:val="1"/>
    <w:link w:val="68"/>
    <w:autoRedefine/>
    <w:unhideWhenUsed/>
    <w:qFormat/>
    <w:uiPriority w:val="0"/>
    <w:pPr>
      <w:keepNext/>
      <w:keepLines/>
      <w:spacing w:line="320" w:lineRule="auto"/>
      <w:ind w:left="3825" w:hanging="425"/>
      <w:outlineLvl w:val="8"/>
    </w:pPr>
    <w:rPr>
      <w:rFonts w:asciiTheme="majorHAnsi" w:hAnsiTheme="majorHAnsi" w:cstheme="majorBidi"/>
      <w:b/>
      <w:kern w:val="0"/>
      <w:sz w:val="24"/>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widowControl/>
      <w:ind w:left="2520" w:leftChars="1200"/>
      <w:jc w:val="left"/>
    </w:pPr>
    <w:rPr>
      <w:rFonts w:ascii="宋体" w:hAnsi="宋体" w:cs="宋体"/>
      <w:kern w:val="0"/>
      <w:sz w:val="24"/>
    </w:rPr>
  </w:style>
  <w:style w:type="paragraph" w:styleId="12">
    <w:name w:val="List Number"/>
    <w:basedOn w:val="1"/>
    <w:link w:val="569"/>
    <w:autoRedefine/>
    <w:qFormat/>
    <w:uiPriority w:val="0"/>
    <w:pPr>
      <w:tabs>
        <w:tab w:val="left" w:pos="360"/>
      </w:tabs>
      <w:ind w:left="360" w:hanging="360"/>
    </w:pPr>
  </w:style>
  <w:style w:type="paragraph" w:styleId="13">
    <w:name w:val="Normal Indent"/>
    <w:basedOn w:val="1"/>
    <w:next w:val="14"/>
    <w:link w:val="562"/>
    <w:autoRedefine/>
    <w:qFormat/>
    <w:uiPriority w:val="0"/>
    <w:pPr>
      <w:ind w:firstLine="420"/>
    </w:pPr>
    <w:rPr>
      <w:szCs w:val="20"/>
    </w:rPr>
  </w:style>
  <w:style w:type="paragraph" w:styleId="14">
    <w:name w:val="Body Text Indent"/>
    <w:basedOn w:val="1"/>
    <w:next w:val="1"/>
    <w:link w:val="75"/>
    <w:autoRedefine/>
    <w:qFormat/>
    <w:uiPriority w:val="0"/>
    <w:pPr>
      <w:spacing w:after="120"/>
      <w:ind w:left="420" w:leftChars="200"/>
    </w:pPr>
  </w:style>
  <w:style w:type="paragraph" w:styleId="15">
    <w:name w:val="caption"/>
    <w:basedOn w:val="1"/>
    <w:next w:val="1"/>
    <w:link w:val="69"/>
    <w:autoRedefine/>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6">
    <w:name w:val="index 5"/>
    <w:basedOn w:val="1"/>
    <w:next w:val="1"/>
    <w:autoRedefine/>
    <w:qFormat/>
    <w:uiPriority w:val="0"/>
    <w:pPr>
      <w:ind w:left="798" w:leftChars="380"/>
      <w:jc w:val="left"/>
    </w:pPr>
    <w:rPr>
      <w:rFonts w:ascii="Calibri" w:hAnsi="Calibri"/>
    </w:rPr>
  </w:style>
  <w:style w:type="paragraph" w:styleId="17">
    <w:name w:val="Document Map"/>
    <w:basedOn w:val="1"/>
    <w:link w:val="70"/>
    <w:autoRedefine/>
    <w:unhideWhenUsed/>
    <w:qFormat/>
    <w:uiPriority w:val="99"/>
    <w:pPr>
      <w:widowControl/>
      <w:jc w:val="left"/>
    </w:pPr>
    <w:rPr>
      <w:rFonts w:ascii="宋体" w:hAnsi="宋体" w:cs="宋体"/>
      <w:kern w:val="0"/>
      <w:sz w:val="18"/>
      <w:szCs w:val="18"/>
    </w:rPr>
  </w:style>
  <w:style w:type="paragraph" w:styleId="18">
    <w:name w:val="annotation text"/>
    <w:basedOn w:val="1"/>
    <w:link w:val="71"/>
    <w:autoRedefine/>
    <w:qFormat/>
    <w:uiPriority w:val="99"/>
    <w:pPr>
      <w:jc w:val="left"/>
    </w:pPr>
  </w:style>
  <w:style w:type="paragraph" w:styleId="19">
    <w:name w:val="Closing"/>
    <w:basedOn w:val="1"/>
    <w:link w:val="444"/>
    <w:autoRedefine/>
    <w:unhideWhenUsed/>
    <w:qFormat/>
    <w:uiPriority w:val="99"/>
    <w:pPr>
      <w:spacing w:line="360" w:lineRule="auto"/>
      <w:ind w:left="4320" w:firstLine="200" w:firstLineChars="200"/>
      <w:jc w:val="left"/>
    </w:pPr>
    <w:rPr>
      <w:rFonts w:ascii="宋体" w:hAnsi="宋体" w:cs="Calibri"/>
      <w:sz w:val="24"/>
      <w:szCs w:val="21"/>
    </w:rPr>
  </w:style>
  <w:style w:type="paragraph" w:styleId="20">
    <w:name w:val="Body Text"/>
    <w:basedOn w:val="1"/>
    <w:next w:val="21"/>
    <w:link w:val="73"/>
    <w:autoRedefine/>
    <w:qFormat/>
    <w:uiPriority w:val="99"/>
    <w:pPr>
      <w:spacing w:line="360" w:lineRule="exact"/>
    </w:pPr>
    <w:rPr>
      <w:sz w:val="24"/>
    </w:rPr>
  </w:style>
  <w:style w:type="paragraph" w:styleId="21">
    <w:name w:val="Body Text First Indent"/>
    <w:basedOn w:val="20"/>
    <w:next w:val="22"/>
    <w:link w:val="72"/>
    <w:autoRedefine/>
    <w:qFormat/>
    <w:uiPriority w:val="99"/>
    <w:pPr>
      <w:ind w:firstLine="200" w:firstLineChars="200"/>
    </w:pPr>
  </w:style>
  <w:style w:type="paragraph" w:styleId="22">
    <w:name w:val="toc 6"/>
    <w:basedOn w:val="1"/>
    <w:next w:val="1"/>
    <w:autoRedefine/>
    <w:unhideWhenUsed/>
    <w:qFormat/>
    <w:uiPriority w:val="39"/>
    <w:pPr>
      <w:widowControl/>
      <w:ind w:left="2100" w:leftChars="1000"/>
      <w:jc w:val="left"/>
    </w:pPr>
    <w:rPr>
      <w:rFonts w:ascii="宋体" w:hAnsi="宋体" w:cs="宋体"/>
      <w:kern w:val="0"/>
      <w:sz w:val="24"/>
    </w:rPr>
  </w:style>
  <w:style w:type="paragraph" w:styleId="23">
    <w:name w:val="Block Text"/>
    <w:basedOn w:val="1"/>
    <w:next w:val="5"/>
    <w:autoRedefine/>
    <w:qFormat/>
    <w:uiPriority w:val="0"/>
    <w:pPr>
      <w:spacing w:after="120"/>
    </w:pPr>
    <w:rPr>
      <w:rFonts w:asciiTheme="minorHAnsi" w:hAnsiTheme="minorHAnsi" w:eastAsiaTheme="minorEastAsia" w:cstheme="minorBidi"/>
    </w:rPr>
  </w:style>
  <w:style w:type="paragraph" w:styleId="24">
    <w:name w:val="toc 5"/>
    <w:basedOn w:val="1"/>
    <w:next w:val="1"/>
    <w:autoRedefine/>
    <w:unhideWhenUsed/>
    <w:qFormat/>
    <w:uiPriority w:val="39"/>
    <w:pPr>
      <w:widowControl/>
      <w:ind w:left="1680" w:leftChars="800"/>
      <w:jc w:val="left"/>
    </w:pPr>
    <w:rPr>
      <w:rFonts w:ascii="宋体" w:hAnsi="宋体" w:cs="宋体"/>
      <w:kern w:val="0"/>
      <w:sz w:val="24"/>
    </w:rPr>
  </w:style>
  <w:style w:type="paragraph" w:styleId="25">
    <w:name w:val="toc 3"/>
    <w:basedOn w:val="1"/>
    <w:next w:val="1"/>
    <w:autoRedefine/>
    <w:unhideWhenUsed/>
    <w:qFormat/>
    <w:uiPriority w:val="39"/>
    <w:pPr>
      <w:widowControl/>
      <w:spacing w:line="360" w:lineRule="auto"/>
      <w:ind w:firstLine="400" w:firstLineChars="400"/>
      <w:jc w:val="left"/>
    </w:pPr>
    <w:rPr>
      <w:rFonts w:cs="宋体"/>
      <w:kern w:val="0"/>
      <w:sz w:val="24"/>
    </w:rPr>
  </w:style>
  <w:style w:type="paragraph" w:styleId="26">
    <w:name w:val="Plain Text"/>
    <w:basedOn w:val="1"/>
    <w:next w:val="27"/>
    <w:link w:val="77"/>
    <w:autoRedefine/>
    <w:qFormat/>
    <w:uiPriority w:val="0"/>
    <w:rPr>
      <w:rFonts w:ascii="宋体" w:hAnsi="Courier New" w:cstheme="minorBidi"/>
    </w:rPr>
  </w:style>
  <w:style w:type="paragraph" w:styleId="27">
    <w:name w:val="Date"/>
    <w:basedOn w:val="1"/>
    <w:next w:val="1"/>
    <w:link w:val="76"/>
    <w:autoRedefine/>
    <w:qFormat/>
    <w:uiPriority w:val="99"/>
    <w:pPr>
      <w:ind w:left="2500" w:leftChars="2500"/>
    </w:pPr>
    <w:rPr>
      <w:rFonts w:eastAsia="楷体_GB2312" w:asciiTheme="minorHAnsi" w:hAnsiTheme="minorHAnsi" w:cstheme="minorBidi"/>
      <w:sz w:val="32"/>
      <w:szCs w:val="22"/>
    </w:rPr>
  </w:style>
  <w:style w:type="paragraph" w:styleId="28">
    <w:name w:val="toc 8"/>
    <w:basedOn w:val="1"/>
    <w:next w:val="1"/>
    <w:autoRedefine/>
    <w:unhideWhenUsed/>
    <w:qFormat/>
    <w:uiPriority w:val="39"/>
    <w:pPr>
      <w:widowControl/>
      <w:ind w:left="2940" w:leftChars="1400"/>
      <w:jc w:val="left"/>
    </w:pPr>
    <w:rPr>
      <w:rFonts w:ascii="宋体" w:hAnsi="宋体" w:cs="宋体"/>
      <w:kern w:val="0"/>
      <w:sz w:val="24"/>
    </w:rPr>
  </w:style>
  <w:style w:type="paragraph" w:styleId="29">
    <w:name w:val="Body Text Indent 2"/>
    <w:basedOn w:val="1"/>
    <w:link w:val="78"/>
    <w:autoRedefine/>
    <w:unhideWhenUsed/>
    <w:qFormat/>
    <w:uiPriority w:val="0"/>
    <w:pPr>
      <w:widowControl/>
      <w:spacing w:after="120" w:line="480" w:lineRule="auto"/>
      <w:ind w:left="420" w:leftChars="200"/>
      <w:jc w:val="left"/>
    </w:pPr>
    <w:rPr>
      <w:rFonts w:ascii="宋体" w:hAnsi="宋体" w:cs="宋体"/>
      <w:kern w:val="0"/>
      <w:sz w:val="24"/>
    </w:rPr>
  </w:style>
  <w:style w:type="paragraph" w:styleId="30">
    <w:name w:val="endnote text"/>
    <w:basedOn w:val="1"/>
    <w:link w:val="445"/>
    <w:autoRedefine/>
    <w:qFormat/>
    <w:uiPriority w:val="0"/>
    <w:pPr>
      <w:widowControl/>
      <w:adjustRightInd w:val="0"/>
      <w:snapToGrid w:val="0"/>
      <w:spacing w:line="360" w:lineRule="auto"/>
      <w:ind w:firstLine="480" w:firstLineChars="200"/>
      <w:jc w:val="left"/>
    </w:pPr>
    <w:rPr>
      <w:rFonts w:ascii="微软雅黑" w:hAnsi="微软雅黑" w:eastAsia="微软雅黑" w:cs="微软雅黑"/>
      <w:sz w:val="24"/>
    </w:rPr>
  </w:style>
  <w:style w:type="paragraph" w:styleId="31">
    <w:name w:val="Balloon Text"/>
    <w:basedOn w:val="1"/>
    <w:link w:val="79"/>
    <w:autoRedefine/>
    <w:qFormat/>
    <w:uiPriority w:val="0"/>
    <w:rPr>
      <w:sz w:val="18"/>
      <w:szCs w:val="18"/>
    </w:rPr>
  </w:style>
  <w:style w:type="paragraph" w:styleId="32">
    <w:name w:val="footer"/>
    <w:basedOn w:val="1"/>
    <w:link w:val="59"/>
    <w:autoRedefine/>
    <w:qFormat/>
    <w:uiPriority w:val="99"/>
    <w:pPr>
      <w:tabs>
        <w:tab w:val="center" w:pos="4153"/>
        <w:tab w:val="right" w:pos="8306"/>
      </w:tabs>
      <w:snapToGrid w:val="0"/>
      <w:jc w:val="left"/>
    </w:pPr>
    <w:rPr>
      <w:sz w:val="18"/>
    </w:rPr>
  </w:style>
  <w:style w:type="paragraph" w:styleId="33">
    <w:name w:val="header"/>
    <w:basedOn w:val="1"/>
    <w:link w:val="8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4">
    <w:name w:val="toc 1"/>
    <w:basedOn w:val="1"/>
    <w:next w:val="1"/>
    <w:autoRedefine/>
    <w:qFormat/>
    <w:uiPriority w:val="39"/>
    <w:pPr>
      <w:tabs>
        <w:tab w:val="right" w:leader="dot" w:pos="8640"/>
      </w:tabs>
      <w:adjustRightInd w:val="0"/>
      <w:spacing w:line="540" w:lineRule="exact"/>
      <w:ind w:firstLine="600" w:firstLineChars="200"/>
      <w:jc w:val="left"/>
    </w:pPr>
    <w:rPr>
      <w:rFonts w:eastAsia="楷体_GB2312"/>
      <w:sz w:val="24"/>
      <w:szCs w:val="20"/>
    </w:rPr>
  </w:style>
  <w:style w:type="paragraph" w:styleId="35">
    <w:name w:val="toc 4"/>
    <w:basedOn w:val="1"/>
    <w:next w:val="1"/>
    <w:autoRedefine/>
    <w:unhideWhenUsed/>
    <w:qFormat/>
    <w:uiPriority w:val="39"/>
    <w:pPr>
      <w:widowControl/>
      <w:ind w:left="1260" w:leftChars="600"/>
      <w:jc w:val="left"/>
    </w:pPr>
    <w:rPr>
      <w:rFonts w:ascii="宋体" w:hAnsi="宋体" w:cs="宋体"/>
      <w:kern w:val="0"/>
      <w:sz w:val="24"/>
    </w:rPr>
  </w:style>
  <w:style w:type="paragraph" w:styleId="36">
    <w:name w:val="Subtitle"/>
    <w:basedOn w:val="1"/>
    <w:next w:val="1"/>
    <w:link w:val="81"/>
    <w:autoRedefine/>
    <w:qFormat/>
    <w:uiPriority w:val="0"/>
    <w:pPr>
      <w:spacing w:before="240" w:after="60" w:line="312" w:lineRule="auto"/>
      <w:jc w:val="center"/>
      <w:outlineLvl w:val="1"/>
    </w:pPr>
    <w:rPr>
      <w:rFonts w:ascii="Cambria" w:hAnsi="Cambria"/>
      <w:b/>
      <w:bCs/>
      <w:kern w:val="28"/>
      <w:szCs w:val="32"/>
    </w:rPr>
  </w:style>
  <w:style w:type="paragraph" w:styleId="37">
    <w:name w:val="footnote text"/>
    <w:basedOn w:val="1"/>
    <w:link w:val="82"/>
    <w:autoRedefine/>
    <w:unhideWhenUsed/>
    <w:qFormat/>
    <w:uiPriority w:val="99"/>
    <w:pPr>
      <w:widowControl/>
      <w:snapToGrid w:val="0"/>
      <w:jc w:val="left"/>
    </w:pPr>
    <w:rPr>
      <w:rFonts w:ascii="宋体" w:hAnsi="宋体" w:cs="宋体"/>
      <w:kern w:val="0"/>
      <w:sz w:val="18"/>
      <w:szCs w:val="18"/>
    </w:rPr>
  </w:style>
  <w:style w:type="paragraph" w:styleId="38">
    <w:name w:val="Body Text Indent 3"/>
    <w:basedOn w:val="1"/>
    <w:link w:val="83"/>
    <w:autoRedefine/>
    <w:qFormat/>
    <w:uiPriority w:val="0"/>
    <w:pPr>
      <w:spacing w:after="120"/>
      <w:ind w:left="420" w:leftChars="200"/>
    </w:pPr>
    <w:rPr>
      <w:sz w:val="16"/>
      <w:szCs w:val="16"/>
    </w:rPr>
  </w:style>
  <w:style w:type="paragraph" w:styleId="39">
    <w:name w:val="toc 2"/>
    <w:basedOn w:val="1"/>
    <w:next w:val="1"/>
    <w:autoRedefine/>
    <w:unhideWhenUsed/>
    <w:qFormat/>
    <w:uiPriority w:val="39"/>
    <w:pPr>
      <w:widowControl/>
      <w:spacing w:line="360" w:lineRule="auto"/>
      <w:ind w:firstLine="200" w:firstLineChars="200"/>
      <w:jc w:val="left"/>
    </w:pPr>
    <w:rPr>
      <w:rFonts w:cs="宋体"/>
      <w:kern w:val="0"/>
      <w:sz w:val="24"/>
    </w:rPr>
  </w:style>
  <w:style w:type="paragraph" w:styleId="40">
    <w:name w:val="toc 9"/>
    <w:basedOn w:val="1"/>
    <w:next w:val="1"/>
    <w:autoRedefine/>
    <w:unhideWhenUsed/>
    <w:qFormat/>
    <w:uiPriority w:val="39"/>
    <w:pPr>
      <w:widowControl/>
      <w:ind w:left="3360" w:leftChars="1600"/>
      <w:jc w:val="left"/>
    </w:pPr>
    <w:rPr>
      <w:rFonts w:ascii="宋体" w:hAnsi="宋体" w:cs="宋体"/>
      <w:kern w:val="0"/>
      <w:sz w:val="24"/>
    </w:rPr>
  </w:style>
  <w:style w:type="paragraph" w:styleId="41">
    <w:name w:val="HTML Preformatted"/>
    <w:basedOn w:val="1"/>
    <w:link w:val="8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2">
    <w:name w:val="Normal (Web)"/>
    <w:basedOn w:val="1"/>
    <w:link w:val="563"/>
    <w:autoRedefine/>
    <w:qFormat/>
    <w:uiPriority w:val="0"/>
    <w:pPr>
      <w:widowControl/>
      <w:spacing w:before="100" w:beforeAutospacing="1" w:after="100" w:afterAutospacing="1"/>
      <w:jc w:val="left"/>
    </w:pPr>
    <w:rPr>
      <w:rFonts w:hint="eastAsia" w:ascii="宋体" w:hAnsi="宋体"/>
      <w:kern w:val="0"/>
      <w:sz w:val="24"/>
    </w:rPr>
  </w:style>
  <w:style w:type="paragraph" w:styleId="43">
    <w:name w:val="Title"/>
    <w:basedOn w:val="1"/>
    <w:next w:val="1"/>
    <w:link w:val="85"/>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44">
    <w:name w:val="annotation subject"/>
    <w:basedOn w:val="18"/>
    <w:next w:val="18"/>
    <w:link w:val="86"/>
    <w:autoRedefine/>
    <w:unhideWhenUsed/>
    <w:qFormat/>
    <w:uiPriority w:val="0"/>
    <w:rPr>
      <w:b/>
      <w:bCs/>
    </w:rPr>
  </w:style>
  <w:style w:type="paragraph" w:styleId="45">
    <w:name w:val="Body Text First Indent 2"/>
    <w:basedOn w:val="14"/>
    <w:next w:val="1"/>
    <w:link w:val="74"/>
    <w:autoRedefine/>
    <w:qFormat/>
    <w:uiPriority w:val="0"/>
    <w:pPr>
      <w:ind w:firstLine="420"/>
    </w:pPr>
  </w:style>
  <w:style w:type="table" w:styleId="47">
    <w:name w:val="Table Grid"/>
    <w:basedOn w:val="46"/>
    <w:autoRedefine/>
    <w:qFormat/>
    <w:uiPriority w:val="5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49">
    <w:name w:val="Strong"/>
    <w:basedOn w:val="48"/>
    <w:autoRedefine/>
    <w:qFormat/>
    <w:uiPriority w:val="0"/>
    <w:rPr>
      <w:b/>
    </w:rPr>
  </w:style>
  <w:style w:type="character" w:styleId="50">
    <w:name w:val="endnote reference"/>
    <w:autoRedefine/>
    <w:qFormat/>
    <w:uiPriority w:val="0"/>
    <w:rPr>
      <w:vertAlign w:val="superscript"/>
    </w:rPr>
  </w:style>
  <w:style w:type="character" w:styleId="51">
    <w:name w:val="page number"/>
    <w:basedOn w:val="48"/>
    <w:autoRedefine/>
    <w:unhideWhenUsed/>
    <w:qFormat/>
    <w:uiPriority w:val="0"/>
  </w:style>
  <w:style w:type="character" w:styleId="52">
    <w:name w:val="FollowedHyperlink"/>
    <w:basedOn w:val="48"/>
    <w:autoRedefine/>
    <w:unhideWhenUsed/>
    <w:qFormat/>
    <w:uiPriority w:val="99"/>
    <w:rPr>
      <w:color w:val="800080"/>
      <w:u w:val="single"/>
    </w:rPr>
  </w:style>
  <w:style w:type="character" w:styleId="53">
    <w:name w:val="Emphasis"/>
    <w:basedOn w:val="48"/>
    <w:autoRedefine/>
    <w:qFormat/>
    <w:uiPriority w:val="20"/>
    <w:rPr>
      <w:i/>
      <w:iCs/>
    </w:rPr>
  </w:style>
  <w:style w:type="character" w:styleId="54">
    <w:name w:val="Hyperlink"/>
    <w:basedOn w:val="48"/>
    <w:autoRedefine/>
    <w:qFormat/>
    <w:uiPriority w:val="99"/>
    <w:rPr>
      <w:color w:val="0000FF"/>
      <w:u w:val="single"/>
    </w:rPr>
  </w:style>
  <w:style w:type="character" w:styleId="55">
    <w:name w:val="annotation reference"/>
    <w:basedOn w:val="48"/>
    <w:autoRedefine/>
    <w:qFormat/>
    <w:uiPriority w:val="99"/>
    <w:rPr>
      <w:sz w:val="21"/>
      <w:szCs w:val="21"/>
    </w:rPr>
  </w:style>
  <w:style w:type="character" w:styleId="56">
    <w:name w:val="footnote reference"/>
    <w:basedOn w:val="48"/>
    <w:autoRedefine/>
    <w:unhideWhenUsed/>
    <w:qFormat/>
    <w:uiPriority w:val="99"/>
    <w:rPr>
      <w:vertAlign w:val="superscript"/>
    </w:rPr>
  </w:style>
  <w:style w:type="paragraph" w:customStyle="1" w:styleId="57">
    <w:name w:val="正文-正文"/>
    <w:basedOn w:val="1"/>
    <w:next w:val="1"/>
    <w:autoRedefine/>
    <w:qFormat/>
    <w:uiPriority w:val="0"/>
    <w:pPr>
      <w:spacing w:line="360" w:lineRule="auto"/>
      <w:ind w:firstLine="200" w:firstLineChars="200"/>
      <w:jc w:val="left"/>
    </w:pPr>
    <w:rPr>
      <w:rFonts w:cs="Calibri"/>
      <w:sz w:val="24"/>
      <w:szCs w:val="21"/>
    </w:rPr>
  </w:style>
  <w:style w:type="paragraph" w:customStyle="1" w:styleId="58">
    <w:name w:val="样式3"/>
    <w:basedOn w:val="1"/>
    <w:next w:val="1"/>
    <w:autoRedefine/>
    <w:qFormat/>
    <w:uiPriority w:val="0"/>
    <w:pPr>
      <w:numPr>
        <w:ilvl w:val="0"/>
        <w:numId w:val="3"/>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59">
    <w:name w:val="页脚 字符"/>
    <w:basedOn w:val="48"/>
    <w:link w:val="32"/>
    <w:autoRedefine/>
    <w:qFormat/>
    <w:uiPriority w:val="99"/>
    <w:rPr>
      <w:kern w:val="2"/>
      <w:sz w:val="18"/>
      <w:szCs w:val="24"/>
    </w:rPr>
  </w:style>
  <w:style w:type="character" w:customStyle="1" w:styleId="60">
    <w:name w:val="标题 1 字符"/>
    <w:basedOn w:val="48"/>
    <w:link w:val="2"/>
    <w:autoRedefine/>
    <w:qFormat/>
    <w:uiPriority w:val="0"/>
    <w:rPr>
      <w:b/>
      <w:bCs/>
      <w:kern w:val="44"/>
      <w:sz w:val="44"/>
      <w:szCs w:val="44"/>
    </w:rPr>
  </w:style>
  <w:style w:type="character" w:customStyle="1" w:styleId="61">
    <w:name w:val="标题 2 字符"/>
    <w:basedOn w:val="48"/>
    <w:link w:val="3"/>
    <w:autoRedefine/>
    <w:qFormat/>
    <w:uiPriority w:val="0"/>
    <w:rPr>
      <w:rFonts w:ascii="宋体" w:hAnsi="宋体"/>
      <w:b/>
      <w:kern w:val="2"/>
      <w:sz w:val="32"/>
      <w:szCs w:val="28"/>
    </w:rPr>
  </w:style>
  <w:style w:type="character" w:customStyle="1" w:styleId="62">
    <w:name w:val="标题 3 字符"/>
    <w:basedOn w:val="48"/>
    <w:link w:val="4"/>
    <w:autoRedefine/>
    <w:qFormat/>
    <w:uiPriority w:val="0"/>
    <w:rPr>
      <w:bCs/>
      <w:kern w:val="2"/>
      <w:sz w:val="21"/>
      <w:szCs w:val="32"/>
    </w:rPr>
  </w:style>
  <w:style w:type="character" w:customStyle="1" w:styleId="63">
    <w:name w:val="标题 4 字符"/>
    <w:basedOn w:val="48"/>
    <w:link w:val="5"/>
    <w:autoRedefine/>
    <w:qFormat/>
    <w:uiPriority w:val="0"/>
    <w:rPr>
      <w:rFonts w:asciiTheme="majorHAnsi" w:hAnsiTheme="majorHAnsi" w:eastAsiaTheme="majorEastAsia" w:cstheme="majorBidi"/>
      <w:b/>
      <w:bCs/>
      <w:kern w:val="2"/>
      <w:sz w:val="28"/>
      <w:szCs w:val="28"/>
    </w:rPr>
  </w:style>
  <w:style w:type="character" w:customStyle="1" w:styleId="64">
    <w:name w:val="标题 5 字符"/>
    <w:basedOn w:val="48"/>
    <w:link w:val="6"/>
    <w:autoRedefine/>
    <w:qFormat/>
    <w:uiPriority w:val="0"/>
    <w:rPr>
      <w:rFonts w:ascii="宋体" w:hAnsi="宋体" w:cs="宋体"/>
      <w:b/>
      <w:bCs/>
      <w:sz w:val="28"/>
      <w:szCs w:val="28"/>
    </w:rPr>
  </w:style>
  <w:style w:type="character" w:customStyle="1" w:styleId="65">
    <w:name w:val="标题 6 字符"/>
    <w:basedOn w:val="48"/>
    <w:link w:val="7"/>
    <w:autoRedefine/>
    <w:qFormat/>
    <w:uiPriority w:val="0"/>
    <w:rPr>
      <w:rFonts w:asciiTheme="majorHAnsi" w:hAnsiTheme="majorHAnsi" w:cstheme="majorBidi"/>
      <w:b/>
      <w:bCs/>
      <w:sz w:val="24"/>
      <w:szCs w:val="24"/>
    </w:rPr>
  </w:style>
  <w:style w:type="character" w:customStyle="1" w:styleId="66">
    <w:name w:val="标题 7 字符"/>
    <w:basedOn w:val="48"/>
    <w:link w:val="8"/>
    <w:autoRedefine/>
    <w:qFormat/>
    <w:uiPriority w:val="0"/>
    <w:rPr>
      <w:rFonts w:ascii="宋体" w:hAnsi="宋体" w:cs="宋体"/>
      <w:b/>
      <w:bCs/>
      <w:sz w:val="24"/>
      <w:szCs w:val="24"/>
    </w:rPr>
  </w:style>
  <w:style w:type="character" w:customStyle="1" w:styleId="67">
    <w:name w:val="标题 8 字符"/>
    <w:basedOn w:val="48"/>
    <w:link w:val="9"/>
    <w:autoRedefine/>
    <w:qFormat/>
    <w:uiPriority w:val="0"/>
    <w:rPr>
      <w:rFonts w:asciiTheme="majorHAnsi" w:hAnsiTheme="majorHAnsi" w:cstheme="majorBidi"/>
      <w:b/>
      <w:sz w:val="24"/>
      <w:szCs w:val="24"/>
    </w:rPr>
  </w:style>
  <w:style w:type="character" w:customStyle="1" w:styleId="68">
    <w:name w:val="标题 9 字符"/>
    <w:basedOn w:val="48"/>
    <w:link w:val="10"/>
    <w:autoRedefine/>
    <w:qFormat/>
    <w:uiPriority w:val="0"/>
    <w:rPr>
      <w:rFonts w:asciiTheme="majorHAnsi" w:hAnsiTheme="majorHAnsi" w:cstheme="majorBidi"/>
      <w:b/>
      <w:sz w:val="24"/>
      <w:szCs w:val="21"/>
    </w:rPr>
  </w:style>
  <w:style w:type="character" w:customStyle="1" w:styleId="69">
    <w:name w:val="题注 字符"/>
    <w:link w:val="15"/>
    <w:autoRedefine/>
    <w:qFormat/>
    <w:uiPriority w:val="35"/>
    <w:rPr>
      <w:rFonts w:ascii="Arial Unicode MS" w:hAnsi="Arial Unicode MS" w:cs="宋体"/>
      <w:sz w:val="24"/>
    </w:rPr>
  </w:style>
  <w:style w:type="character" w:customStyle="1" w:styleId="70">
    <w:name w:val="文档结构图 字符"/>
    <w:basedOn w:val="48"/>
    <w:link w:val="17"/>
    <w:autoRedefine/>
    <w:qFormat/>
    <w:uiPriority w:val="99"/>
    <w:rPr>
      <w:rFonts w:ascii="宋体" w:hAnsi="宋体" w:cs="宋体"/>
      <w:sz w:val="18"/>
      <w:szCs w:val="18"/>
    </w:rPr>
  </w:style>
  <w:style w:type="character" w:customStyle="1" w:styleId="71">
    <w:name w:val="批注文字 字符"/>
    <w:basedOn w:val="48"/>
    <w:link w:val="18"/>
    <w:autoRedefine/>
    <w:qFormat/>
    <w:uiPriority w:val="99"/>
    <w:rPr>
      <w:kern w:val="2"/>
      <w:sz w:val="21"/>
      <w:szCs w:val="24"/>
    </w:rPr>
  </w:style>
  <w:style w:type="character" w:customStyle="1" w:styleId="72">
    <w:name w:val="正文文本首行缩进 字符"/>
    <w:basedOn w:val="48"/>
    <w:link w:val="21"/>
    <w:autoRedefine/>
    <w:qFormat/>
    <w:uiPriority w:val="99"/>
    <w:rPr>
      <w:kern w:val="2"/>
      <w:sz w:val="21"/>
      <w:szCs w:val="24"/>
    </w:rPr>
  </w:style>
  <w:style w:type="character" w:customStyle="1" w:styleId="73">
    <w:name w:val="正文文本 字符"/>
    <w:basedOn w:val="48"/>
    <w:link w:val="20"/>
    <w:autoRedefine/>
    <w:qFormat/>
    <w:uiPriority w:val="99"/>
    <w:rPr>
      <w:kern w:val="2"/>
      <w:sz w:val="24"/>
      <w:szCs w:val="24"/>
    </w:rPr>
  </w:style>
  <w:style w:type="character" w:customStyle="1" w:styleId="74">
    <w:name w:val="正文文本首行缩进 2 字符"/>
    <w:basedOn w:val="75"/>
    <w:link w:val="45"/>
    <w:autoRedefine/>
    <w:qFormat/>
    <w:uiPriority w:val="0"/>
    <w:rPr>
      <w:kern w:val="2"/>
      <w:sz w:val="21"/>
      <w:szCs w:val="24"/>
    </w:rPr>
  </w:style>
  <w:style w:type="character" w:customStyle="1" w:styleId="75">
    <w:name w:val="正文文本缩进 字符"/>
    <w:basedOn w:val="48"/>
    <w:link w:val="14"/>
    <w:autoRedefine/>
    <w:qFormat/>
    <w:uiPriority w:val="0"/>
    <w:rPr>
      <w:kern w:val="2"/>
      <w:sz w:val="21"/>
      <w:szCs w:val="24"/>
    </w:rPr>
  </w:style>
  <w:style w:type="character" w:customStyle="1" w:styleId="76">
    <w:name w:val="日期 字符"/>
    <w:basedOn w:val="48"/>
    <w:link w:val="27"/>
    <w:autoRedefine/>
    <w:qFormat/>
    <w:uiPriority w:val="99"/>
    <w:rPr>
      <w:rFonts w:eastAsia="楷体_GB2312" w:asciiTheme="minorHAnsi" w:hAnsiTheme="minorHAnsi" w:cstheme="minorBidi"/>
      <w:kern w:val="2"/>
      <w:sz w:val="32"/>
      <w:szCs w:val="22"/>
    </w:rPr>
  </w:style>
  <w:style w:type="character" w:customStyle="1" w:styleId="77">
    <w:name w:val="纯文本 字符"/>
    <w:link w:val="26"/>
    <w:autoRedefine/>
    <w:qFormat/>
    <w:uiPriority w:val="0"/>
    <w:rPr>
      <w:rFonts w:ascii="宋体" w:hAnsi="Courier New" w:cstheme="minorBidi"/>
      <w:kern w:val="2"/>
      <w:sz w:val="21"/>
      <w:szCs w:val="24"/>
    </w:rPr>
  </w:style>
  <w:style w:type="character" w:customStyle="1" w:styleId="78">
    <w:name w:val="正文文本缩进 2 字符"/>
    <w:basedOn w:val="48"/>
    <w:link w:val="29"/>
    <w:autoRedefine/>
    <w:qFormat/>
    <w:uiPriority w:val="0"/>
    <w:rPr>
      <w:rFonts w:ascii="宋体" w:hAnsi="宋体" w:cs="宋体"/>
      <w:sz w:val="24"/>
      <w:szCs w:val="24"/>
    </w:rPr>
  </w:style>
  <w:style w:type="character" w:customStyle="1" w:styleId="79">
    <w:name w:val="批注框文本 字符"/>
    <w:basedOn w:val="48"/>
    <w:link w:val="31"/>
    <w:autoRedefine/>
    <w:qFormat/>
    <w:uiPriority w:val="0"/>
    <w:rPr>
      <w:kern w:val="2"/>
      <w:sz w:val="18"/>
      <w:szCs w:val="18"/>
    </w:rPr>
  </w:style>
  <w:style w:type="character" w:customStyle="1" w:styleId="80">
    <w:name w:val="页眉 字符"/>
    <w:basedOn w:val="48"/>
    <w:link w:val="33"/>
    <w:autoRedefine/>
    <w:qFormat/>
    <w:uiPriority w:val="99"/>
    <w:rPr>
      <w:kern w:val="2"/>
      <w:sz w:val="18"/>
      <w:szCs w:val="24"/>
    </w:rPr>
  </w:style>
  <w:style w:type="character" w:customStyle="1" w:styleId="81">
    <w:name w:val="副标题 字符"/>
    <w:basedOn w:val="48"/>
    <w:link w:val="36"/>
    <w:autoRedefine/>
    <w:qFormat/>
    <w:uiPriority w:val="0"/>
    <w:rPr>
      <w:rFonts w:ascii="Cambria" w:hAnsi="Cambria"/>
      <w:b/>
      <w:bCs/>
      <w:kern w:val="28"/>
      <w:sz w:val="21"/>
      <w:szCs w:val="32"/>
    </w:rPr>
  </w:style>
  <w:style w:type="character" w:customStyle="1" w:styleId="82">
    <w:name w:val="脚注文本 字符"/>
    <w:basedOn w:val="48"/>
    <w:link w:val="37"/>
    <w:autoRedefine/>
    <w:qFormat/>
    <w:uiPriority w:val="99"/>
    <w:rPr>
      <w:rFonts w:ascii="宋体" w:hAnsi="宋体" w:cs="宋体"/>
      <w:sz w:val="18"/>
      <w:szCs w:val="18"/>
    </w:rPr>
  </w:style>
  <w:style w:type="character" w:customStyle="1" w:styleId="83">
    <w:name w:val="正文文本缩进 3 字符"/>
    <w:basedOn w:val="48"/>
    <w:link w:val="38"/>
    <w:autoRedefine/>
    <w:qFormat/>
    <w:uiPriority w:val="0"/>
    <w:rPr>
      <w:kern w:val="2"/>
      <w:sz w:val="16"/>
      <w:szCs w:val="16"/>
    </w:rPr>
  </w:style>
  <w:style w:type="character" w:customStyle="1" w:styleId="84">
    <w:name w:val="HTML 预设格式 字符"/>
    <w:basedOn w:val="48"/>
    <w:link w:val="41"/>
    <w:autoRedefine/>
    <w:qFormat/>
    <w:uiPriority w:val="0"/>
    <w:rPr>
      <w:rFonts w:ascii="宋体" w:hAnsi="宋体" w:cs="宋体"/>
      <w:sz w:val="24"/>
      <w:szCs w:val="24"/>
    </w:rPr>
  </w:style>
  <w:style w:type="character" w:customStyle="1" w:styleId="85">
    <w:name w:val="标题 字符"/>
    <w:basedOn w:val="48"/>
    <w:link w:val="43"/>
    <w:autoRedefine/>
    <w:qFormat/>
    <w:uiPriority w:val="0"/>
    <w:rPr>
      <w:rFonts w:ascii="Cambria" w:hAnsi="Cambria"/>
      <w:b/>
      <w:color w:val="000000"/>
      <w:sz w:val="32"/>
      <w:szCs w:val="32"/>
    </w:rPr>
  </w:style>
  <w:style w:type="character" w:customStyle="1" w:styleId="86">
    <w:name w:val="批注主题 字符"/>
    <w:basedOn w:val="71"/>
    <w:link w:val="44"/>
    <w:autoRedefine/>
    <w:qFormat/>
    <w:uiPriority w:val="0"/>
    <w:rPr>
      <w:b/>
      <w:bCs/>
      <w:kern w:val="2"/>
      <w:sz w:val="21"/>
      <w:szCs w:val="24"/>
    </w:rPr>
  </w:style>
  <w:style w:type="paragraph" w:customStyle="1" w:styleId="87">
    <w:name w:val="无间隔1"/>
    <w:autoRedefine/>
    <w:qFormat/>
    <w:uiPriority w:val="99"/>
    <w:pPr>
      <w:adjustRightInd w:val="0"/>
      <w:snapToGrid w:val="0"/>
    </w:pPr>
    <w:rPr>
      <w:rFonts w:ascii="Tahoma" w:hAnsi="Tahoma" w:eastAsia="微软雅黑" w:cstheme="minorBidi"/>
      <w:sz w:val="22"/>
      <w:szCs w:val="22"/>
      <w:lang w:val="en-US" w:eastAsia="zh-CN" w:bidi="ar-SA"/>
    </w:rPr>
  </w:style>
  <w:style w:type="paragraph" w:styleId="88">
    <w:name w:val="List Paragraph"/>
    <w:basedOn w:val="1"/>
    <w:link w:val="89"/>
    <w:autoRedefine/>
    <w:qFormat/>
    <w:uiPriority w:val="99"/>
    <w:pPr>
      <w:ind w:firstLine="420" w:firstLineChars="200"/>
    </w:pPr>
    <w:rPr>
      <w:rFonts w:ascii="Calibri" w:hAnsi="Calibri"/>
      <w:szCs w:val="22"/>
    </w:rPr>
  </w:style>
  <w:style w:type="character" w:customStyle="1" w:styleId="89">
    <w:name w:val="列表段落 字符"/>
    <w:link w:val="88"/>
    <w:autoRedefine/>
    <w:qFormat/>
    <w:locked/>
    <w:uiPriority w:val="99"/>
    <w:rPr>
      <w:rFonts w:ascii="Calibri" w:hAnsi="Calibri"/>
      <w:kern w:val="2"/>
      <w:sz w:val="21"/>
      <w:szCs w:val="22"/>
    </w:rPr>
  </w:style>
  <w:style w:type="paragraph" w:customStyle="1" w:styleId="90">
    <w:name w:val="_Style 2"/>
    <w:autoRedefine/>
    <w:qFormat/>
    <w:uiPriority w:val="99"/>
    <w:pPr>
      <w:adjustRightInd w:val="0"/>
      <w:snapToGrid w:val="0"/>
    </w:pPr>
    <w:rPr>
      <w:rFonts w:ascii="Tahoma" w:hAnsi="Tahoma" w:eastAsia="微软雅黑" w:cs="Tahoma"/>
      <w:sz w:val="22"/>
      <w:szCs w:val="22"/>
      <w:lang w:val="en-US" w:eastAsia="zh-CN" w:bidi="ar-SA"/>
    </w:rPr>
  </w:style>
  <w:style w:type="paragraph" w:customStyle="1" w:styleId="91">
    <w:name w:val="无间隔11"/>
    <w:autoRedefine/>
    <w:qFormat/>
    <w:uiPriority w:val="0"/>
    <w:pPr>
      <w:adjustRightInd w:val="0"/>
      <w:snapToGrid w:val="0"/>
    </w:pPr>
    <w:rPr>
      <w:rFonts w:ascii="Tahoma" w:hAnsi="Tahoma" w:eastAsia="微软雅黑" w:cstheme="minorBidi"/>
      <w:sz w:val="22"/>
      <w:szCs w:val="22"/>
      <w:lang w:val="en-US" w:eastAsia="zh-CN" w:bidi="ar-SA"/>
    </w:rPr>
  </w:style>
  <w:style w:type="paragraph" w:customStyle="1" w:styleId="92">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3">
    <w:name w:val="正文_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_14"/>
    <w:autoRedefine/>
    <w:qFormat/>
    <w:uiPriority w:val="0"/>
    <w:rPr>
      <w:rFonts w:ascii="Times New Roman" w:hAnsi="Times New Roman" w:eastAsia="宋体" w:cs="Times New Roman"/>
      <w:sz w:val="21"/>
      <w:szCs w:val="22"/>
      <w:lang w:val="en-US" w:eastAsia="zh-CN" w:bidi="ar-SA"/>
    </w:rPr>
  </w:style>
  <w:style w:type="paragraph" w:customStyle="1" w:styleId="95">
    <w:name w:val="正文_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正文_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_1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纯文本_3"/>
    <w:basedOn w:val="97"/>
    <w:autoRedefine/>
    <w:qFormat/>
    <w:uiPriority w:val="0"/>
    <w:pPr>
      <w:widowControl/>
      <w:jc w:val="left"/>
    </w:pPr>
    <w:rPr>
      <w:rFonts w:ascii="宋体" w:hAnsi="Courier New" w:eastAsiaTheme="minorEastAsia" w:cstheme="minorBidi"/>
      <w:szCs w:val="21"/>
    </w:rPr>
  </w:style>
  <w:style w:type="paragraph" w:customStyle="1" w:styleId="99">
    <w:name w:val="纯文本_0_1"/>
    <w:basedOn w:val="1"/>
    <w:autoRedefine/>
    <w:qFormat/>
    <w:uiPriority w:val="0"/>
    <w:pPr>
      <w:widowControl/>
      <w:jc w:val="left"/>
    </w:pPr>
    <w:rPr>
      <w:rFonts w:ascii="宋体" w:hAnsi="Courier New" w:eastAsiaTheme="minorEastAsia" w:cstheme="minorBidi"/>
      <w:szCs w:val="21"/>
    </w:rPr>
  </w:style>
  <w:style w:type="paragraph" w:customStyle="1" w:styleId="100">
    <w:name w:val="正文_1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Normal_15"/>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4">
    <w:name w:val="font21"/>
    <w:basedOn w:val="48"/>
    <w:autoRedefine/>
    <w:qFormat/>
    <w:uiPriority w:val="0"/>
    <w:rPr>
      <w:rFonts w:hint="default" w:ascii="Arial" w:hAnsi="Arial" w:cs="Arial"/>
      <w:color w:val="000000"/>
      <w:sz w:val="20"/>
      <w:szCs w:val="20"/>
      <w:u w:val="none"/>
    </w:rPr>
  </w:style>
  <w:style w:type="character" w:customStyle="1" w:styleId="105">
    <w:name w:val="font01"/>
    <w:basedOn w:val="48"/>
    <w:autoRedefine/>
    <w:qFormat/>
    <w:uiPriority w:val="0"/>
    <w:rPr>
      <w:rFonts w:hint="eastAsia" w:ascii="宋体" w:hAnsi="宋体" w:eastAsia="宋体" w:cs="宋体"/>
      <w:color w:val="000000"/>
      <w:sz w:val="20"/>
      <w:szCs w:val="20"/>
      <w:u w:val="none"/>
    </w:rPr>
  </w:style>
  <w:style w:type="paragraph" w:customStyle="1" w:styleId="106">
    <w:name w:val="纯文本1"/>
    <w:basedOn w:val="107"/>
    <w:autoRedefine/>
    <w:qFormat/>
    <w:uiPriority w:val="0"/>
    <w:pPr>
      <w:widowControl/>
      <w:jc w:val="left"/>
    </w:pPr>
    <w:rPr>
      <w:rFonts w:ascii="宋体" w:hAnsi="Courier New"/>
    </w:rPr>
  </w:style>
  <w:style w:type="paragraph" w:customStyle="1" w:styleId="107">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8">
    <w:name w:val="Table Paragraph"/>
    <w:basedOn w:val="1"/>
    <w:autoRedefine/>
    <w:qFormat/>
    <w:uiPriority w:val="1"/>
    <w:rPr>
      <w:rFonts w:ascii="宋体" w:hAnsi="宋体" w:cs="宋体"/>
    </w:rPr>
  </w:style>
  <w:style w:type="paragraph" w:customStyle="1" w:styleId="109">
    <w:name w:val="WPSOffice手动目录 1"/>
    <w:autoRedefine/>
    <w:qFormat/>
    <w:uiPriority w:val="0"/>
    <w:rPr>
      <w:rFonts w:ascii="Times New Roman" w:hAnsi="Times New Roman" w:eastAsia="宋体" w:cs="Times New Roman"/>
      <w:lang w:val="en-US" w:eastAsia="zh-CN" w:bidi="ar-SA"/>
    </w:rPr>
  </w:style>
  <w:style w:type="paragraph" w:customStyle="1" w:styleId="110">
    <w:name w:val="默认段落字体 Para Char Char Char Char Char Char Char Char Char1 Char Char Char Char"/>
    <w:basedOn w:val="1"/>
    <w:autoRedefine/>
    <w:qFormat/>
    <w:uiPriority w:val="0"/>
    <w:rPr>
      <w:rFonts w:ascii="Tahoma" w:hAnsi="Tahoma"/>
      <w:sz w:val="24"/>
      <w:szCs w:val="20"/>
    </w:rPr>
  </w:style>
  <w:style w:type="paragraph" w:customStyle="1" w:styleId="111">
    <w:name w:val="Default"/>
    <w:next w:val="112"/>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2">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13">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14">
    <w:name w:val="样式1"/>
    <w:basedOn w:val="1"/>
    <w:autoRedefine/>
    <w:qFormat/>
    <w:uiPriority w:val="0"/>
    <w:pPr>
      <w:widowControl/>
      <w:snapToGrid w:val="0"/>
      <w:ind w:firstLine="200" w:firstLineChars="200"/>
      <w:jc w:val="left"/>
    </w:pPr>
    <w:rPr>
      <w:rFonts w:ascii="宋体" w:hAnsi="宋体"/>
      <w:szCs w:val="28"/>
    </w:rPr>
  </w:style>
  <w:style w:type="paragraph" w:customStyle="1" w:styleId="115">
    <w:name w:val="[Normal]"/>
    <w:autoRedefine/>
    <w:qFormat/>
    <w:uiPriority w:val="0"/>
    <w:rPr>
      <w:rFonts w:ascii="宋体" w:hAnsi="宋体" w:eastAsia="宋体" w:cs="Times New Roman"/>
      <w:sz w:val="24"/>
      <w:szCs w:val="22"/>
      <w:lang w:val="zh-CN" w:eastAsia="zh-CN" w:bidi="ar-SA"/>
    </w:rPr>
  </w:style>
  <w:style w:type="paragraph" w:customStyle="1" w:styleId="116">
    <w:name w:val="正文 A"/>
    <w:next w:val="1"/>
    <w:autoRedefine/>
    <w:qFormat/>
    <w:uiPriority w:val="0"/>
    <w:pPr>
      <w:framePr w:wrap="around" w:vAnchor="margin" w:hAnchor="text" w:y="1"/>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17">
    <w:name w:val="pa-3"/>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8">
    <w:name w:val="pa-4"/>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19">
    <w:name w:val="ca-12"/>
    <w:basedOn w:val="48"/>
    <w:autoRedefine/>
    <w:qFormat/>
    <w:uiPriority w:val="0"/>
  </w:style>
  <w:style w:type="character" w:customStyle="1" w:styleId="120">
    <w:name w:val="ca-42"/>
    <w:basedOn w:val="48"/>
    <w:autoRedefine/>
    <w:qFormat/>
    <w:uiPriority w:val="0"/>
  </w:style>
  <w:style w:type="character" w:customStyle="1" w:styleId="121">
    <w:name w:val="ca-52"/>
    <w:basedOn w:val="48"/>
    <w:autoRedefine/>
    <w:qFormat/>
    <w:uiPriority w:val="0"/>
  </w:style>
  <w:style w:type="character" w:customStyle="1" w:styleId="122">
    <w:name w:val="*正文 Char"/>
    <w:link w:val="123"/>
    <w:autoRedefine/>
    <w:qFormat/>
    <w:uiPriority w:val="0"/>
    <w:rPr>
      <w:rFonts w:ascii="宋体" w:hAnsi="宋体"/>
      <w:sz w:val="24"/>
      <w:szCs w:val="24"/>
    </w:rPr>
  </w:style>
  <w:style w:type="paragraph" w:customStyle="1" w:styleId="123">
    <w:name w:val="*正文"/>
    <w:basedOn w:val="1"/>
    <w:link w:val="122"/>
    <w:autoRedefine/>
    <w:qFormat/>
    <w:uiPriority w:val="99"/>
    <w:pPr>
      <w:spacing w:line="360" w:lineRule="auto"/>
      <w:ind w:firstLine="200" w:firstLineChars="200"/>
    </w:pPr>
    <w:rPr>
      <w:rFonts w:ascii="宋体" w:hAnsi="宋体"/>
      <w:kern w:val="0"/>
      <w:sz w:val="24"/>
    </w:rPr>
  </w:style>
  <w:style w:type="character" w:customStyle="1" w:styleId="124">
    <w:name w:val="标题 1 Char Char"/>
    <w:basedOn w:val="48"/>
    <w:autoRedefine/>
    <w:qFormat/>
    <w:uiPriority w:val="0"/>
    <w:rPr>
      <w:rFonts w:eastAsia="宋体"/>
      <w:b/>
      <w:spacing w:val="-2"/>
      <w:sz w:val="24"/>
      <w:lang w:val="en-US" w:eastAsia="zh-CN" w:bidi="ar-SA"/>
    </w:rPr>
  </w:style>
  <w:style w:type="paragraph" w:customStyle="1" w:styleId="125">
    <w:name w:val="font5"/>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26">
    <w:name w:val="font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27">
    <w:name w:val="font7"/>
    <w:basedOn w:val="1"/>
    <w:autoRedefine/>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28">
    <w:name w:val="font8"/>
    <w:basedOn w:val="1"/>
    <w:autoRedefine/>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29">
    <w:name w:val="font9"/>
    <w:basedOn w:val="1"/>
    <w:autoRedefine/>
    <w:qFormat/>
    <w:uiPriority w:val="0"/>
    <w:pPr>
      <w:widowControl/>
      <w:spacing w:before="100" w:beforeAutospacing="1" w:after="100" w:afterAutospacing="1"/>
      <w:jc w:val="left"/>
    </w:pPr>
    <w:rPr>
      <w:rFonts w:ascii="宋体" w:hAnsi="宋体" w:cs="宋体"/>
      <w:b/>
      <w:bCs/>
      <w:color w:val="0070C0"/>
      <w:kern w:val="0"/>
      <w:sz w:val="20"/>
      <w:szCs w:val="20"/>
    </w:rPr>
  </w:style>
  <w:style w:type="paragraph" w:customStyle="1" w:styleId="130">
    <w:name w:val="xl66"/>
    <w:basedOn w:val="1"/>
    <w:autoRedefine/>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131">
    <w:name w:val="xl67"/>
    <w:basedOn w:val="1"/>
    <w:autoRedefine/>
    <w:qFormat/>
    <w:uiPriority w:val="0"/>
    <w:pPr>
      <w:widowControl/>
      <w:pBdr>
        <w:top w:val="single" w:color="000000" w:sz="8" w:space="0"/>
        <w:left w:val="single" w:color="000000" w:sz="8" w:space="0"/>
        <w:bottom w:val="single" w:color="000000" w:sz="8" w:space="0"/>
        <w:right w:val="single" w:color="000000" w:sz="8" w:space="0"/>
      </w:pBdr>
      <w:shd w:val="clear" w:color="000000" w:fill="BFBFBF"/>
      <w:spacing w:before="100" w:beforeAutospacing="1" w:after="100" w:afterAutospacing="1"/>
      <w:jc w:val="center"/>
    </w:pPr>
    <w:rPr>
      <w:rFonts w:ascii="宋体" w:hAnsi="宋体" w:cs="宋体"/>
      <w:b/>
      <w:bCs/>
      <w:color w:val="000000"/>
      <w:kern w:val="0"/>
      <w:sz w:val="20"/>
      <w:szCs w:val="20"/>
    </w:rPr>
  </w:style>
  <w:style w:type="paragraph" w:customStyle="1" w:styleId="132">
    <w:name w:val="xl68"/>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33">
    <w:name w:val="xl69"/>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34">
    <w:name w:val="xl70"/>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35">
    <w:name w:val="xl71"/>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 w:val="20"/>
      <w:szCs w:val="20"/>
    </w:rPr>
  </w:style>
  <w:style w:type="paragraph" w:customStyle="1" w:styleId="136">
    <w:name w:val="xl72"/>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70C0"/>
      <w:kern w:val="0"/>
      <w:sz w:val="20"/>
      <w:szCs w:val="20"/>
    </w:rPr>
  </w:style>
  <w:style w:type="paragraph" w:customStyle="1" w:styleId="137">
    <w:name w:val="xl73"/>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70C0"/>
      <w:kern w:val="0"/>
      <w:sz w:val="20"/>
      <w:szCs w:val="20"/>
    </w:rPr>
  </w:style>
  <w:style w:type="paragraph" w:customStyle="1" w:styleId="138">
    <w:name w:val="xl74"/>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70C0"/>
      <w:kern w:val="0"/>
      <w:sz w:val="20"/>
      <w:szCs w:val="20"/>
    </w:rPr>
  </w:style>
  <w:style w:type="paragraph" w:customStyle="1" w:styleId="139">
    <w:name w:val="xl7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FF0000"/>
      <w:kern w:val="0"/>
      <w:sz w:val="20"/>
      <w:szCs w:val="20"/>
    </w:rPr>
  </w:style>
  <w:style w:type="paragraph" w:customStyle="1" w:styleId="140">
    <w:name w:val="xl76"/>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FF0000"/>
      <w:kern w:val="0"/>
      <w:sz w:val="20"/>
      <w:szCs w:val="20"/>
    </w:rPr>
  </w:style>
  <w:style w:type="paragraph" w:customStyle="1" w:styleId="141">
    <w:name w:val="xl77"/>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FF0000"/>
      <w:kern w:val="0"/>
      <w:sz w:val="20"/>
      <w:szCs w:val="20"/>
    </w:rPr>
  </w:style>
  <w:style w:type="paragraph" w:customStyle="1" w:styleId="142">
    <w:name w:val="xl78"/>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FF"/>
      <w:kern w:val="0"/>
      <w:sz w:val="20"/>
      <w:szCs w:val="20"/>
    </w:rPr>
  </w:style>
  <w:style w:type="paragraph" w:customStyle="1" w:styleId="143">
    <w:name w:val="xl79"/>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FF"/>
      <w:kern w:val="0"/>
      <w:sz w:val="20"/>
      <w:szCs w:val="20"/>
    </w:rPr>
  </w:style>
  <w:style w:type="paragraph" w:customStyle="1" w:styleId="144">
    <w:name w:val="xl80"/>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宋体" w:hAnsi="宋体" w:cs="宋体"/>
      <w:color w:val="000000"/>
      <w:kern w:val="0"/>
      <w:sz w:val="20"/>
      <w:szCs w:val="20"/>
    </w:rPr>
  </w:style>
  <w:style w:type="paragraph" w:customStyle="1" w:styleId="145">
    <w:name w:val="xl81"/>
    <w:basedOn w:val="1"/>
    <w:autoRedefine/>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46">
    <w:name w:val="xl82"/>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宋体" w:hAnsi="宋体" w:cs="宋体"/>
      <w:color w:val="0000FF"/>
      <w:kern w:val="0"/>
      <w:sz w:val="20"/>
      <w:szCs w:val="20"/>
    </w:rPr>
  </w:style>
  <w:style w:type="paragraph" w:customStyle="1" w:styleId="147">
    <w:name w:val="xl83"/>
    <w:basedOn w:val="1"/>
    <w:autoRedefine/>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148">
    <w:name w:val="xl84"/>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top"/>
    </w:pPr>
    <w:rPr>
      <w:rFonts w:ascii="宋体" w:hAnsi="宋体" w:cs="宋体"/>
      <w:color w:val="000000"/>
      <w:kern w:val="0"/>
      <w:sz w:val="20"/>
      <w:szCs w:val="20"/>
    </w:rPr>
  </w:style>
  <w:style w:type="paragraph" w:customStyle="1" w:styleId="149">
    <w:name w:val="xl85"/>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0">
    <w:name w:val="xl86"/>
    <w:basedOn w:val="1"/>
    <w:autoRedefine/>
    <w:qFormat/>
    <w:uiPriority w:val="0"/>
    <w:pPr>
      <w:widowControl/>
      <w:pBdr>
        <w:top w:val="single" w:color="000000" w:sz="8" w:space="0"/>
        <w:left w:val="single" w:color="000000" w:sz="8" w:space="0"/>
        <w:bottom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1">
    <w:name w:val="xl87"/>
    <w:basedOn w:val="1"/>
    <w:autoRedefine/>
    <w:qFormat/>
    <w:uiPriority w:val="0"/>
    <w:pPr>
      <w:widowControl/>
      <w:pBdr>
        <w:top w:val="single" w:color="000000" w:sz="8" w:space="0"/>
        <w:bottom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2">
    <w:name w:val="xl88"/>
    <w:basedOn w:val="1"/>
    <w:autoRedefine/>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b/>
      <w:bCs/>
      <w:color w:val="000000"/>
      <w:kern w:val="0"/>
      <w:sz w:val="20"/>
      <w:szCs w:val="20"/>
    </w:rPr>
  </w:style>
  <w:style w:type="paragraph" w:customStyle="1" w:styleId="153">
    <w:name w:val="xl89"/>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Cs w:val="21"/>
    </w:rPr>
  </w:style>
  <w:style w:type="paragraph" w:customStyle="1" w:styleId="154">
    <w:name w:val="xl90"/>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color w:val="000000"/>
      <w:kern w:val="0"/>
      <w:szCs w:val="21"/>
    </w:rPr>
  </w:style>
  <w:style w:type="paragraph" w:customStyle="1" w:styleId="155">
    <w:name w:val="xl91"/>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b/>
      <w:bCs/>
      <w:color w:val="000000"/>
      <w:kern w:val="0"/>
      <w:szCs w:val="21"/>
    </w:rPr>
  </w:style>
  <w:style w:type="paragraph" w:customStyle="1" w:styleId="156">
    <w:name w:val="xl92"/>
    <w:basedOn w:val="1"/>
    <w:autoRedefine/>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pPr>
    <w:rPr>
      <w:rFonts w:ascii="宋体" w:hAnsi="宋体" w:cs="宋体"/>
      <w:b/>
      <w:bCs/>
      <w:color w:val="000000"/>
      <w:kern w:val="0"/>
      <w:szCs w:val="21"/>
    </w:rPr>
  </w:style>
  <w:style w:type="paragraph" w:customStyle="1" w:styleId="157">
    <w:name w:val="xl93"/>
    <w:basedOn w:val="1"/>
    <w:autoRedefine/>
    <w:qFormat/>
    <w:uiPriority w:val="0"/>
    <w:pPr>
      <w:widowControl/>
      <w:pBdr>
        <w:top w:val="single" w:color="000000" w:sz="8" w:space="0"/>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58">
    <w:name w:val="xl94"/>
    <w:basedOn w:val="1"/>
    <w:autoRedefine/>
    <w:qFormat/>
    <w:uiPriority w:val="0"/>
    <w:pPr>
      <w:widowControl/>
      <w:pBdr>
        <w:left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159">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0">
    <w:name w:val="_Style 3"/>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1">
    <w:name w:val="zw"/>
    <w:basedOn w:val="1"/>
    <w:autoRedefine/>
    <w:qFormat/>
    <w:uiPriority w:val="0"/>
    <w:pPr>
      <w:widowControl/>
      <w:spacing w:before="30"/>
      <w:ind w:left="100" w:right="100"/>
    </w:pPr>
    <w:rPr>
      <w:rFonts w:ascii="方正书宋简体" w:hAnsi="宋体" w:eastAsia="方正书宋简体"/>
      <w:color w:val="000000"/>
      <w:kern w:val="0"/>
      <w:szCs w:val="21"/>
    </w:rPr>
  </w:style>
  <w:style w:type="paragraph" w:customStyle="1" w:styleId="162">
    <w:name w:val="列出段落1"/>
    <w:basedOn w:val="1"/>
    <w:autoRedefine/>
    <w:qFormat/>
    <w:uiPriority w:val="34"/>
    <w:pPr>
      <w:ind w:firstLine="420" w:firstLineChars="200"/>
    </w:pPr>
    <w:rPr>
      <w:rFonts w:ascii="Calibri" w:hAnsi="Calibri"/>
      <w:kern w:val="0"/>
      <w:szCs w:val="20"/>
    </w:rPr>
  </w:style>
  <w:style w:type="paragraph" w:customStyle="1" w:styleId="163">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深信服）"/>
    <w:link w:val="165"/>
    <w:autoRedefine/>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165">
    <w:name w:val="正文（深信服） 字符"/>
    <w:link w:val="164"/>
    <w:autoRedefine/>
    <w:qFormat/>
    <w:uiPriority w:val="0"/>
    <w:rPr>
      <w:sz w:val="24"/>
      <w:szCs w:val="21"/>
    </w:rPr>
  </w:style>
  <w:style w:type="paragraph" w:customStyle="1" w:styleId="166">
    <w:name w:val="内容文本"/>
    <w:basedOn w:val="1"/>
    <w:autoRedefine/>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167">
    <w:name w:val="SANGFOR_2_标题2"/>
    <w:basedOn w:val="3"/>
    <w:next w:val="1"/>
    <w:autoRedefine/>
    <w:qFormat/>
    <w:uiPriority w:val="0"/>
    <w:pPr>
      <w:keepNext/>
      <w:keepLines/>
      <w:numPr>
        <w:ilvl w:val="1"/>
        <w:numId w:val="4"/>
      </w:numPr>
      <w:tabs>
        <w:tab w:val="left" w:pos="360"/>
        <w:tab w:val="left" w:pos="426"/>
        <w:tab w:val="left" w:pos="567"/>
        <w:tab w:val="left" w:pos="1206"/>
        <w:tab w:val="clear" w:pos="993"/>
        <w:tab w:val="clear" w:pos="8280"/>
      </w:tabs>
      <w:autoSpaceDE/>
      <w:autoSpaceDN/>
      <w:adjustRightInd/>
      <w:snapToGrid w:val="0"/>
      <w:spacing w:before="260" w:beforeLines="50" w:after="260" w:afterLines="50" w:line="240" w:lineRule="auto"/>
      <w:ind w:left="0" w:right="0"/>
    </w:pPr>
    <w:rPr>
      <w:rFonts w:eastAsia="微软雅黑" w:asciiTheme="majorHAnsi" w:hAnsiTheme="majorHAnsi"/>
      <w:bCs/>
      <w:kern w:val="0"/>
      <w:sz w:val="30"/>
      <w:szCs w:val="30"/>
    </w:rPr>
  </w:style>
  <w:style w:type="paragraph" w:customStyle="1" w:styleId="168">
    <w:name w:val="SANGFOR_3_标题3"/>
    <w:basedOn w:val="4"/>
    <w:next w:val="1"/>
    <w:autoRedefine/>
    <w:qFormat/>
    <w:uiPriority w:val="0"/>
    <w:pPr>
      <w:numPr>
        <w:ilvl w:val="2"/>
        <w:numId w:val="4"/>
      </w:numPr>
      <w:tabs>
        <w:tab w:val="left" w:pos="0"/>
        <w:tab w:val="left" w:pos="360"/>
        <w:tab w:val="left" w:pos="426"/>
        <w:tab w:val="left" w:pos="567"/>
        <w:tab w:val="left" w:pos="1206"/>
        <w:tab w:val="clear" w:pos="8280"/>
      </w:tabs>
      <w:snapToGrid w:val="0"/>
      <w:spacing w:beforeLines="50" w:afterLines="50" w:line="240" w:lineRule="auto"/>
    </w:pPr>
    <w:rPr>
      <w:rFonts w:ascii="宋体" w:hAnsi="宋体" w:eastAsia="微软雅黑"/>
      <w:b/>
      <w:kern w:val="0"/>
      <w:sz w:val="32"/>
    </w:rPr>
  </w:style>
  <w:style w:type="paragraph" w:customStyle="1" w:styleId="169">
    <w:name w:val="SANGFOR_4_标题4"/>
    <w:basedOn w:val="5"/>
    <w:next w:val="1"/>
    <w:autoRedefine/>
    <w:qFormat/>
    <w:uiPriority w:val="0"/>
    <w:pPr>
      <w:numPr>
        <w:ilvl w:val="3"/>
        <w:numId w:val="4"/>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170">
    <w:name w:val="正文文本 Char1"/>
    <w:basedOn w:val="48"/>
    <w:autoRedefine/>
    <w:qFormat/>
    <w:uiPriority w:val="99"/>
    <w:rPr>
      <w:kern w:val="2"/>
      <w:sz w:val="24"/>
      <w:szCs w:val="24"/>
    </w:rPr>
  </w:style>
  <w:style w:type="paragraph" w:styleId="171">
    <w:name w:val="No Spacing"/>
    <w:link w:val="172"/>
    <w:autoRedefine/>
    <w:qFormat/>
    <w:uiPriority w:val="1"/>
    <w:rPr>
      <w:rFonts w:asciiTheme="minorHAnsi" w:hAnsiTheme="minorHAnsi" w:eastAsiaTheme="minorEastAsia" w:cstheme="minorBidi"/>
      <w:sz w:val="22"/>
      <w:szCs w:val="22"/>
      <w:lang w:val="en-US" w:eastAsia="zh-CN" w:bidi="ar-SA"/>
    </w:rPr>
  </w:style>
  <w:style w:type="character" w:customStyle="1" w:styleId="172">
    <w:name w:val="无间隔 字符"/>
    <w:basedOn w:val="48"/>
    <w:link w:val="171"/>
    <w:autoRedefine/>
    <w:qFormat/>
    <w:uiPriority w:val="1"/>
    <w:rPr>
      <w:rFonts w:asciiTheme="minorHAnsi" w:hAnsiTheme="minorHAnsi" w:eastAsiaTheme="minorEastAsia" w:cstheme="minorBidi"/>
      <w:sz w:val="22"/>
      <w:szCs w:val="22"/>
    </w:rPr>
  </w:style>
  <w:style w:type="character" w:customStyle="1" w:styleId="173">
    <w:name w:val="font31"/>
    <w:basedOn w:val="48"/>
    <w:autoRedefine/>
    <w:qFormat/>
    <w:uiPriority w:val="0"/>
    <w:rPr>
      <w:rFonts w:hint="eastAsia" w:ascii="宋体" w:hAnsi="宋体" w:eastAsia="宋体" w:cs="宋体"/>
      <w:color w:val="FF0000"/>
      <w:kern w:val="0"/>
      <w:sz w:val="21"/>
      <w:szCs w:val="21"/>
      <w:u w:val="none"/>
      <w:lang w:eastAsia="en-US"/>
    </w:rPr>
  </w:style>
  <w:style w:type="character" w:customStyle="1" w:styleId="174">
    <w:name w:val="font11"/>
    <w:basedOn w:val="48"/>
    <w:autoRedefine/>
    <w:qFormat/>
    <w:uiPriority w:val="0"/>
    <w:rPr>
      <w:rFonts w:hint="eastAsia" w:ascii="微软雅黑" w:hAnsi="微软雅黑" w:eastAsia="微软雅黑" w:cs="微软雅黑"/>
      <w:color w:val="000000"/>
      <w:kern w:val="0"/>
      <w:sz w:val="20"/>
      <w:szCs w:val="20"/>
      <w:u w:val="single"/>
      <w:lang w:eastAsia="en-US"/>
    </w:rPr>
  </w:style>
  <w:style w:type="character" w:customStyle="1" w:styleId="175">
    <w:name w:val="font61"/>
    <w:basedOn w:val="48"/>
    <w:autoRedefine/>
    <w:qFormat/>
    <w:uiPriority w:val="0"/>
    <w:rPr>
      <w:rFonts w:hint="eastAsia" w:ascii="仿宋" w:hAnsi="仿宋" w:eastAsia="仿宋" w:cs="仿宋"/>
      <w:color w:val="000000"/>
      <w:kern w:val="0"/>
      <w:sz w:val="20"/>
      <w:szCs w:val="20"/>
      <w:u w:val="none"/>
      <w:lang w:eastAsia="en-US"/>
    </w:rPr>
  </w:style>
  <w:style w:type="character" w:customStyle="1" w:styleId="176">
    <w:name w:val="font41"/>
    <w:basedOn w:val="48"/>
    <w:autoRedefine/>
    <w:qFormat/>
    <w:uiPriority w:val="0"/>
    <w:rPr>
      <w:rFonts w:hint="eastAsia" w:ascii="微软雅黑" w:hAnsi="微软雅黑" w:eastAsia="微软雅黑" w:cs="微软雅黑"/>
      <w:color w:val="000000"/>
      <w:kern w:val="0"/>
      <w:sz w:val="24"/>
      <w:szCs w:val="24"/>
      <w:u w:val="single"/>
      <w:lang w:eastAsia="en-US"/>
    </w:rPr>
  </w:style>
  <w:style w:type="paragraph" w:customStyle="1" w:styleId="177">
    <w:name w:val="正文 样式"/>
    <w:basedOn w:val="1"/>
    <w:link w:val="178"/>
    <w:autoRedefine/>
    <w:qFormat/>
    <w:uiPriority w:val="0"/>
    <w:pPr>
      <w:widowControl/>
      <w:spacing w:before="260" w:line="360" w:lineRule="auto"/>
      <w:ind w:firstLine="480" w:firstLineChars="200"/>
      <w:jc w:val="left"/>
    </w:pPr>
    <w:rPr>
      <w:rFonts w:ascii="宋体" w:hAnsi="宋体" w:cs="宋体"/>
      <w:kern w:val="0"/>
      <w:sz w:val="24"/>
    </w:rPr>
  </w:style>
  <w:style w:type="character" w:customStyle="1" w:styleId="178">
    <w:name w:val="正文 样式 Char"/>
    <w:link w:val="177"/>
    <w:autoRedefine/>
    <w:qFormat/>
    <w:locked/>
    <w:uiPriority w:val="0"/>
    <w:rPr>
      <w:rFonts w:ascii="宋体" w:hAnsi="宋体" w:cs="宋体"/>
      <w:sz w:val="24"/>
      <w:szCs w:val="24"/>
    </w:rPr>
  </w:style>
  <w:style w:type="paragraph" w:customStyle="1" w:styleId="179">
    <w:name w:val="p17"/>
    <w:basedOn w:val="1"/>
    <w:autoRedefine/>
    <w:qFormat/>
    <w:uiPriority w:val="0"/>
    <w:pPr>
      <w:widowControl/>
      <w:spacing w:before="260" w:after="120" w:line="415" w:lineRule="auto"/>
      <w:ind w:firstLine="420"/>
      <w:jc w:val="left"/>
    </w:pPr>
    <w:rPr>
      <w:rFonts w:cs="宋体"/>
      <w:kern w:val="0"/>
      <w:sz w:val="28"/>
      <w:szCs w:val="28"/>
    </w:rPr>
  </w:style>
  <w:style w:type="character" w:customStyle="1" w:styleId="180">
    <w:name w:val="apple-converted-space"/>
    <w:basedOn w:val="48"/>
    <w:autoRedefine/>
    <w:qFormat/>
    <w:uiPriority w:val="0"/>
  </w:style>
  <w:style w:type="paragraph" w:customStyle="1" w:styleId="181">
    <w:name w:val="序号1."/>
    <w:basedOn w:val="1"/>
    <w:autoRedefine/>
    <w:qFormat/>
    <w:uiPriority w:val="0"/>
    <w:pPr>
      <w:widowControl/>
      <w:tabs>
        <w:tab w:val="left" w:pos="720"/>
      </w:tabs>
      <w:adjustRightInd w:val="0"/>
      <w:snapToGrid w:val="0"/>
      <w:spacing w:line="360" w:lineRule="auto"/>
      <w:ind w:left="720" w:hanging="720" w:firstLineChars="200"/>
      <w:jc w:val="left"/>
    </w:pPr>
    <w:rPr>
      <w:kern w:val="0"/>
      <w:sz w:val="24"/>
    </w:rPr>
  </w:style>
  <w:style w:type="character" w:customStyle="1" w:styleId="182">
    <w:name w:val="15"/>
    <w:basedOn w:val="48"/>
    <w:autoRedefine/>
    <w:qFormat/>
    <w:uiPriority w:val="0"/>
    <w:rPr>
      <w:rFonts w:hint="eastAsia" w:ascii="宋体" w:hAnsi="宋体" w:eastAsia="宋体" w:cs="Times New Roman"/>
      <w:b/>
      <w:bCs/>
      <w:sz w:val="32"/>
      <w:szCs w:val="32"/>
    </w:rPr>
  </w:style>
  <w:style w:type="paragraph" w:customStyle="1" w:styleId="183">
    <w:name w:val="文章正文"/>
    <w:basedOn w:val="1"/>
    <w:autoRedefine/>
    <w:qFormat/>
    <w:uiPriority w:val="0"/>
    <w:pPr>
      <w:widowControl/>
      <w:spacing w:line="360" w:lineRule="auto"/>
      <w:ind w:firstLine="560" w:firstLineChars="200"/>
      <w:jc w:val="left"/>
    </w:pPr>
    <w:rPr>
      <w:rFonts w:eastAsia="仿宋_GB2312"/>
      <w:kern w:val="0"/>
      <w:sz w:val="28"/>
    </w:rPr>
  </w:style>
  <w:style w:type="paragraph" w:customStyle="1" w:styleId="184">
    <w:name w:val="列出段落2"/>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185">
    <w:name w:val="列出段落3"/>
    <w:basedOn w:val="1"/>
    <w:next w:val="1"/>
    <w:autoRedefine/>
    <w:qFormat/>
    <w:uiPriority w:val="34"/>
    <w:pPr>
      <w:widowControl/>
      <w:spacing w:beforeLines="20" w:afterLines="20"/>
      <w:jc w:val="left"/>
      <w:outlineLvl w:val="4"/>
    </w:pPr>
    <w:rPr>
      <w:rFonts w:eastAsia="黑体"/>
      <w:b/>
      <w:kern w:val="0"/>
      <w:sz w:val="24"/>
    </w:rPr>
  </w:style>
  <w:style w:type="paragraph" w:customStyle="1" w:styleId="186">
    <w:name w:val="表格表头"/>
    <w:basedOn w:val="1"/>
    <w:autoRedefine/>
    <w:qFormat/>
    <w:uiPriority w:val="0"/>
    <w:pPr>
      <w:widowControl/>
      <w:spacing w:beforeLines="50" w:afterLines="50" w:line="360" w:lineRule="auto"/>
      <w:jc w:val="center"/>
    </w:pPr>
    <w:rPr>
      <w:b/>
      <w:kern w:val="0"/>
      <w:sz w:val="24"/>
      <w:szCs w:val="21"/>
    </w:rPr>
  </w:style>
  <w:style w:type="paragraph" w:customStyle="1" w:styleId="187">
    <w:name w:val="表格正文"/>
    <w:basedOn w:val="1"/>
    <w:link w:val="188"/>
    <w:autoRedefine/>
    <w:qFormat/>
    <w:uiPriority w:val="0"/>
    <w:pPr>
      <w:widowControl/>
      <w:spacing w:line="360" w:lineRule="auto"/>
      <w:jc w:val="left"/>
    </w:pPr>
    <w:rPr>
      <w:kern w:val="0"/>
      <w:sz w:val="24"/>
      <w:lang w:val="zh-CN"/>
    </w:rPr>
  </w:style>
  <w:style w:type="character" w:customStyle="1" w:styleId="188">
    <w:name w:val="表格正文 Char"/>
    <w:link w:val="187"/>
    <w:autoRedefine/>
    <w:qFormat/>
    <w:uiPriority w:val="0"/>
    <w:rPr>
      <w:sz w:val="24"/>
      <w:szCs w:val="24"/>
      <w:lang w:val="zh-CN"/>
    </w:rPr>
  </w:style>
  <w:style w:type="paragraph" w:customStyle="1" w:styleId="189">
    <w:name w:val="TOC 标题1"/>
    <w:basedOn w:val="2"/>
    <w:next w:val="1"/>
    <w:autoRedefine/>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90">
    <w:name w:val="表格文字（居左）"/>
    <w:basedOn w:val="191"/>
    <w:autoRedefine/>
    <w:qFormat/>
    <w:uiPriority w:val="0"/>
    <w:pPr>
      <w:jc w:val="left"/>
    </w:pPr>
  </w:style>
  <w:style w:type="paragraph" w:customStyle="1" w:styleId="191">
    <w:name w:val="表格文字（居中）"/>
    <w:basedOn w:val="1"/>
    <w:autoRedefine/>
    <w:qFormat/>
    <w:uiPriority w:val="0"/>
    <w:pPr>
      <w:widowControl/>
      <w:jc w:val="center"/>
    </w:pPr>
    <w:rPr>
      <w:kern w:val="0"/>
      <w:sz w:val="24"/>
    </w:rPr>
  </w:style>
  <w:style w:type="paragraph" w:customStyle="1" w:styleId="192">
    <w:name w:val="表格标题/图片标题/日期格式/图片居中"/>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93">
    <w:name w:val="font10"/>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94">
    <w:name w:val="font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95">
    <w:name w:val="font13"/>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6">
    <w:name w:val="font14"/>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97">
    <w:name w:val="font15"/>
    <w:basedOn w:val="1"/>
    <w:autoRedefine/>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98">
    <w:name w:val="font16"/>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99">
    <w:name w:val="font17"/>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00">
    <w:name w:val="font18"/>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0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2">
    <w:name w:val="xl105"/>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20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4">
    <w:name w:val="xl107"/>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20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0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7">
    <w:name w:val="xl110"/>
    <w:basedOn w:val="1"/>
    <w:autoRedefine/>
    <w:qFormat/>
    <w:uiPriority w:val="0"/>
    <w:pPr>
      <w:widowControl/>
      <w:spacing w:before="100" w:beforeAutospacing="1" w:after="100" w:afterAutospacing="1"/>
      <w:jc w:val="left"/>
    </w:pPr>
    <w:rPr>
      <w:rFonts w:ascii="Arial" w:hAnsi="Arial" w:cs="Arial"/>
      <w:kern w:val="0"/>
      <w:sz w:val="20"/>
      <w:szCs w:val="20"/>
    </w:rPr>
  </w:style>
  <w:style w:type="paragraph" w:customStyle="1" w:styleId="208">
    <w:name w:val="xl111"/>
    <w:basedOn w:val="1"/>
    <w:autoRedefine/>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209">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210">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11">
    <w:name w:val="xl1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1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14">
    <w:name w:val="xl1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15">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1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7">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1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0">
    <w:name w:val="xl1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1">
    <w:name w:val="xl1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2">
    <w:name w:val="xl1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1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4">
    <w:name w:val="xl1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xl1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6">
    <w:name w:val="xl1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7">
    <w:name w:val="xl1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8">
    <w:name w:val="xl1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29">
    <w:name w:val="xl1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0">
    <w:name w:val="xl1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1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2">
    <w:name w:val="xl1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3">
    <w:name w:val="xl1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4">
    <w:name w:val="xl1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1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6">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37">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38">
    <w:name w:val="xl1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9">
    <w:name w:val="xl1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xl1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1">
    <w:name w:val="xl144"/>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42">
    <w:name w:val="xl14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43">
    <w:name w:val="xl146"/>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44">
    <w:name w:val="列出段落4"/>
    <w:basedOn w:val="1"/>
    <w:autoRedefine/>
    <w:unhideWhenUsed/>
    <w:qFormat/>
    <w:uiPriority w:val="99"/>
    <w:pPr>
      <w:widowControl/>
      <w:spacing w:line="360" w:lineRule="auto"/>
      <w:ind w:firstLine="420" w:firstLineChars="200"/>
      <w:jc w:val="left"/>
    </w:pPr>
    <w:rPr>
      <w:rFonts w:cs="宋体"/>
      <w:kern w:val="0"/>
      <w:sz w:val="24"/>
    </w:rPr>
  </w:style>
  <w:style w:type="paragraph" w:customStyle="1" w:styleId="245">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6">
    <w:name w:val="xl103"/>
    <w:basedOn w:val="1"/>
    <w:autoRedefine/>
    <w:qFormat/>
    <w:uiPriority w:val="0"/>
    <w:pPr>
      <w:widowControl/>
      <w:spacing w:before="100" w:beforeAutospacing="1" w:after="100" w:afterAutospacing="1"/>
      <w:jc w:val="center"/>
    </w:pPr>
    <w:rPr>
      <w:rFonts w:ascii="Arial" w:hAnsi="Arial" w:cs="Arial"/>
      <w:kern w:val="0"/>
      <w:sz w:val="20"/>
      <w:szCs w:val="20"/>
    </w:rPr>
  </w:style>
  <w:style w:type="paragraph" w:customStyle="1" w:styleId="247">
    <w:name w:val="xl1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8">
    <w:name w:val="xl1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9">
    <w:name w:val="xl1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0">
    <w:name w:val="xl1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1">
    <w:name w:val="xl1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2">
    <w:name w:val="xl1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3">
    <w:name w:val="xl1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4">
    <w:name w:val="xl1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5">
    <w:name w:val="xl1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56">
    <w:name w:val="xl1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57">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8">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9">
    <w:name w:val="xl15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60">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1">
    <w:name w:val="xl16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2">
    <w:name w:val="xl16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63">
    <w:name w:val="xl163"/>
    <w:basedOn w:val="1"/>
    <w:autoRedefine/>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64">
    <w:name w:val="xl164"/>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65">
    <w:name w:val="xl165"/>
    <w:basedOn w:val="1"/>
    <w:autoRedefine/>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66">
    <w:name w:val="font19"/>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67">
    <w:name w:val="font20"/>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68">
    <w:name w:val="font22"/>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69">
    <w:name w:val="font23"/>
    <w:basedOn w:val="1"/>
    <w:autoRedefine/>
    <w:qFormat/>
    <w:uiPriority w:val="0"/>
    <w:pPr>
      <w:widowControl/>
      <w:spacing w:before="100" w:beforeAutospacing="1" w:after="100" w:afterAutospacing="1"/>
      <w:jc w:val="left"/>
    </w:pPr>
    <w:rPr>
      <w:kern w:val="0"/>
      <w:sz w:val="18"/>
      <w:szCs w:val="18"/>
    </w:rPr>
  </w:style>
  <w:style w:type="paragraph" w:customStyle="1" w:styleId="270">
    <w:name w:val="font24"/>
    <w:basedOn w:val="1"/>
    <w:autoRedefine/>
    <w:qFormat/>
    <w:uiPriority w:val="0"/>
    <w:pPr>
      <w:widowControl/>
      <w:spacing w:before="100" w:beforeAutospacing="1" w:after="100" w:afterAutospacing="1"/>
      <w:jc w:val="left"/>
    </w:pPr>
    <w:rPr>
      <w:kern w:val="0"/>
      <w:sz w:val="18"/>
      <w:szCs w:val="18"/>
    </w:rPr>
  </w:style>
  <w:style w:type="paragraph" w:customStyle="1" w:styleId="271">
    <w:name w:val="font25"/>
    <w:basedOn w:val="1"/>
    <w:autoRedefine/>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72">
    <w:name w:val="font26"/>
    <w:basedOn w:val="1"/>
    <w:autoRedefine/>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73">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4">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75">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76">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7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78">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79">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0">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1">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82">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3">
    <w:name w:val="xl1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85">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6">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7">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9">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0">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1">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3">
    <w:name w:val="xl1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4">
    <w:name w:val="xl1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5">
    <w:name w:val="xl1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96">
    <w:name w:val="xl1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7">
    <w:name w:val="xl18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8">
    <w:name w:val="xl1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99">
    <w:name w:val="xl18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0">
    <w:name w:val="xl1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01">
    <w:name w:val="xl187"/>
    <w:basedOn w:val="1"/>
    <w:autoRedefine/>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302">
    <w:name w:val="xl1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303">
    <w:name w:val="xl1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4">
    <w:name w:val="xl1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05">
    <w:name w:val="xl1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306">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7">
    <w:name w:val="xl19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8">
    <w:name w:val="xl1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9">
    <w:name w:val="xl1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1">
    <w:name w:val="xl1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1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13">
    <w:name w:val="xl1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14">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5">
    <w:name w:val="TOC 标题2"/>
    <w:basedOn w:val="2"/>
    <w:next w:val="1"/>
    <w:autoRedefine/>
    <w:unhideWhenUsed/>
    <w:qFormat/>
    <w:uiPriority w:val="39"/>
    <w:pPr>
      <w:widowControl/>
      <w:numPr>
        <w:numId w:val="0"/>
      </w:numPr>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316">
    <w:name w:val="font0"/>
    <w:basedOn w:val="1"/>
    <w:autoRedefine/>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317">
    <w:name w:val="font27"/>
    <w:basedOn w:val="1"/>
    <w:autoRedefine/>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318">
    <w:name w:val="font28"/>
    <w:basedOn w:val="1"/>
    <w:autoRedefine/>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319">
    <w:name w:val="font29"/>
    <w:basedOn w:val="1"/>
    <w:autoRedefine/>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320">
    <w:name w:val="xl2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321">
    <w:name w:val="xl2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322">
    <w:name w:val="xl2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323">
    <w:name w:val="xl2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4">
    <w:name w:val="xl2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25">
    <w:name w:val="xl2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26">
    <w:name w:val="xl20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7">
    <w:name w:val="xl208"/>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8">
    <w:name w:val="xl20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2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0">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2">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333">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4">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35">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6">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7">
    <w:name w:val="xl2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38">
    <w:name w:val="xl2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39">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340">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41">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42">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43">
    <w:name w:val="xl2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44">
    <w:name w:val="xl2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45">
    <w:name w:val="xl2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46">
    <w:name w:val="xl2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47">
    <w:name w:val="xl2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48">
    <w:name w:val="xl22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49">
    <w:name w:val="xl2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50">
    <w:name w:val="xl23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xl23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2">
    <w:name w:val="xl23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3">
    <w:name w:val="xl2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4">
    <w:name w:val="xl23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5">
    <w:name w:val="xl23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6">
    <w:name w:val="xl23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57">
    <w:name w:val="xl238"/>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58">
    <w:name w:val="xl23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59">
    <w:name w:val="xl24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0">
    <w:name w:val="xl241"/>
    <w:basedOn w:val="1"/>
    <w:autoRedefine/>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1">
    <w:name w:val="xl24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62">
    <w:name w:val="xl2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3">
    <w:name w:val="xl244"/>
    <w:basedOn w:val="1"/>
    <w:autoRedefine/>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64">
    <w:name w:val="xl2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65">
    <w:name w:val="xl2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66">
    <w:name w:val="xl2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67">
    <w:name w:val="xl2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68">
    <w:name w:val="xl2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69">
    <w:name w:val="xl2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0">
    <w:name w:val="xl2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71">
    <w:name w:val="xl2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2">
    <w:name w:val="xl2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73">
    <w:name w:val="xl25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4">
    <w:name w:val="xl25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75">
    <w:name w:val="xl25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76">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7">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character" w:customStyle="1" w:styleId="378">
    <w:name w:val="font191"/>
    <w:basedOn w:val="48"/>
    <w:autoRedefine/>
    <w:qFormat/>
    <w:uiPriority w:val="0"/>
    <w:rPr>
      <w:rFonts w:hint="eastAsia" w:ascii="宋体" w:hAnsi="宋体" w:eastAsia="宋体" w:cs="宋体"/>
      <w:b/>
      <w:color w:val="000000"/>
      <w:sz w:val="20"/>
      <w:szCs w:val="20"/>
      <w:u w:val="none"/>
    </w:rPr>
  </w:style>
  <w:style w:type="character" w:customStyle="1" w:styleId="379">
    <w:name w:val="font161"/>
    <w:basedOn w:val="48"/>
    <w:autoRedefine/>
    <w:qFormat/>
    <w:uiPriority w:val="0"/>
    <w:rPr>
      <w:rFonts w:hint="default" w:ascii="Arial" w:hAnsi="Arial" w:cs="Arial"/>
      <w:b/>
      <w:color w:val="000000"/>
      <w:sz w:val="20"/>
      <w:szCs w:val="20"/>
      <w:u w:val="none"/>
    </w:rPr>
  </w:style>
  <w:style w:type="character" w:customStyle="1" w:styleId="380">
    <w:name w:val="font181"/>
    <w:basedOn w:val="48"/>
    <w:autoRedefine/>
    <w:qFormat/>
    <w:uiPriority w:val="0"/>
    <w:rPr>
      <w:rFonts w:hint="eastAsia" w:ascii="宋体" w:hAnsi="宋体" w:eastAsia="宋体" w:cs="宋体"/>
      <w:color w:val="000000"/>
      <w:sz w:val="20"/>
      <w:szCs w:val="20"/>
      <w:u w:val="none"/>
    </w:rPr>
  </w:style>
  <w:style w:type="character" w:customStyle="1" w:styleId="381">
    <w:name w:val="font171"/>
    <w:basedOn w:val="48"/>
    <w:autoRedefine/>
    <w:qFormat/>
    <w:uiPriority w:val="0"/>
    <w:rPr>
      <w:rFonts w:hint="default" w:ascii="Arial" w:hAnsi="Arial" w:cs="Arial"/>
      <w:color w:val="000000"/>
      <w:sz w:val="20"/>
      <w:szCs w:val="20"/>
      <w:u w:val="none"/>
    </w:rPr>
  </w:style>
  <w:style w:type="character" w:customStyle="1" w:styleId="382">
    <w:name w:val="font112"/>
    <w:basedOn w:val="48"/>
    <w:autoRedefine/>
    <w:qFormat/>
    <w:uiPriority w:val="0"/>
    <w:rPr>
      <w:rFonts w:hint="default" w:ascii="Arial" w:hAnsi="Arial" w:cs="Arial"/>
      <w:color w:val="000000"/>
      <w:sz w:val="16"/>
      <w:szCs w:val="16"/>
      <w:u w:val="none"/>
    </w:rPr>
  </w:style>
  <w:style w:type="character" w:customStyle="1" w:styleId="383">
    <w:name w:val="font101"/>
    <w:basedOn w:val="48"/>
    <w:autoRedefine/>
    <w:qFormat/>
    <w:uiPriority w:val="0"/>
    <w:rPr>
      <w:rFonts w:hint="eastAsia" w:ascii="宋体" w:hAnsi="宋体" w:eastAsia="宋体" w:cs="宋体"/>
      <w:b/>
      <w:color w:val="000000"/>
      <w:sz w:val="20"/>
      <w:szCs w:val="20"/>
      <w:u w:val="none"/>
    </w:rPr>
  </w:style>
  <w:style w:type="character" w:customStyle="1" w:styleId="384">
    <w:name w:val="font91"/>
    <w:basedOn w:val="48"/>
    <w:autoRedefine/>
    <w:qFormat/>
    <w:uiPriority w:val="0"/>
    <w:rPr>
      <w:rFonts w:ascii="Segoe UI Symbol" w:hAnsi="Segoe UI Symbol" w:eastAsia="Segoe UI Symbol" w:cs="Segoe UI Symbol"/>
      <w:color w:val="000000"/>
      <w:sz w:val="20"/>
      <w:szCs w:val="20"/>
      <w:u w:val="none"/>
    </w:rPr>
  </w:style>
  <w:style w:type="character" w:customStyle="1" w:styleId="385">
    <w:name w:val="font81"/>
    <w:basedOn w:val="48"/>
    <w:autoRedefine/>
    <w:qFormat/>
    <w:uiPriority w:val="0"/>
    <w:rPr>
      <w:rFonts w:hint="default" w:ascii="Arial" w:hAnsi="Arial" w:cs="Arial"/>
      <w:color w:val="000000"/>
      <w:sz w:val="24"/>
      <w:szCs w:val="24"/>
      <w:u w:val="none"/>
      <w:vertAlign w:val="superscript"/>
    </w:rPr>
  </w:style>
  <w:style w:type="character" w:customStyle="1" w:styleId="386">
    <w:name w:val="font212"/>
    <w:basedOn w:val="48"/>
    <w:autoRedefine/>
    <w:qFormat/>
    <w:uiPriority w:val="0"/>
    <w:rPr>
      <w:rFonts w:hint="default" w:ascii="Arial" w:hAnsi="Arial" w:cs="Arial"/>
      <w:color w:val="000000"/>
      <w:sz w:val="20"/>
      <w:szCs w:val="20"/>
      <w:u w:val="none"/>
    </w:rPr>
  </w:style>
  <w:style w:type="character" w:customStyle="1" w:styleId="387">
    <w:name w:val="font131"/>
    <w:basedOn w:val="48"/>
    <w:autoRedefine/>
    <w:qFormat/>
    <w:uiPriority w:val="0"/>
    <w:rPr>
      <w:rFonts w:hint="eastAsia" w:ascii="宋体" w:hAnsi="宋体" w:eastAsia="宋体" w:cs="宋体"/>
      <w:color w:val="000000"/>
      <w:sz w:val="20"/>
      <w:szCs w:val="20"/>
      <w:u w:val="none"/>
    </w:rPr>
  </w:style>
  <w:style w:type="character" w:customStyle="1" w:styleId="388">
    <w:name w:val="font241"/>
    <w:basedOn w:val="48"/>
    <w:autoRedefine/>
    <w:qFormat/>
    <w:uiPriority w:val="0"/>
    <w:rPr>
      <w:rFonts w:hint="eastAsia" w:ascii="宋体" w:hAnsi="宋体" w:eastAsia="宋体" w:cs="宋体"/>
      <w:color w:val="000000"/>
      <w:sz w:val="20"/>
      <w:szCs w:val="20"/>
      <w:u w:val="none"/>
    </w:rPr>
  </w:style>
  <w:style w:type="character" w:customStyle="1" w:styleId="389">
    <w:name w:val="font231"/>
    <w:basedOn w:val="48"/>
    <w:autoRedefine/>
    <w:qFormat/>
    <w:uiPriority w:val="0"/>
    <w:rPr>
      <w:rFonts w:hint="default" w:ascii="Arial" w:hAnsi="Arial" w:cs="Arial"/>
      <w:color w:val="000000"/>
      <w:sz w:val="20"/>
      <w:szCs w:val="20"/>
      <w:u w:val="none"/>
    </w:rPr>
  </w:style>
  <w:style w:type="character" w:customStyle="1" w:styleId="390">
    <w:name w:val="font71"/>
    <w:basedOn w:val="48"/>
    <w:autoRedefine/>
    <w:qFormat/>
    <w:uiPriority w:val="0"/>
    <w:rPr>
      <w:rFonts w:ascii="微软雅黑" w:hAnsi="微软雅黑" w:eastAsia="微软雅黑" w:cs="微软雅黑"/>
      <w:color w:val="000000"/>
      <w:sz w:val="20"/>
      <w:szCs w:val="20"/>
      <w:u w:val="none"/>
    </w:rPr>
  </w:style>
  <w:style w:type="character" w:customStyle="1" w:styleId="391">
    <w:name w:val="font51"/>
    <w:basedOn w:val="48"/>
    <w:autoRedefine/>
    <w:qFormat/>
    <w:uiPriority w:val="0"/>
    <w:rPr>
      <w:rFonts w:hint="eastAsia" w:ascii="宋体" w:hAnsi="宋体" w:eastAsia="宋体" w:cs="宋体"/>
      <w:color w:val="000000"/>
      <w:sz w:val="20"/>
      <w:szCs w:val="20"/>
      <w:u w:val="none"/>
    </w:rPr>
  </w:style>
  <w:style w:type="character" w:customStyle="1" w:styleId="392">
    <w:name w:val="font121"/>
    <w:basedOn w:val="48"/>
    <w:autoRedefine/>
    <w:qFormat/>
    <w:uiPriority w:val="0"/>
    <w:rPr>
      <w:rFonts w:hint="default" w:ascii="Arial" w:hAnsi="Arial" w:cs="Arial"/>
      <w:color w:val="000000"/>
      <w:sz w:val="20"/>
      <w:szCs w:val="20"/>
      <w:u w:val="none"/>
    </w:rPr>
  </w:style>
  <w:style w:type="character" w:customStyle="1" w:styleId="393">
    <w:name w:val="font132"/>
    <w:basedOn w:val="48"/>
    <w:autoRedefine/>
    <w:qFormat/>
    <w:uiPriority w:val="0"/>
    <w:rPr>
      <w:rFonts w:hint="eastAsia" w:ascii="宋体" w:hAnsi="宋体" w:eastAsia="宋体" w:cs="宋体"/>
      <w:color w:val="000000"/>
      <w:sz w:val="20"/>
      <w:szCs w:val="20"/>
      <w:u w:val="none"/>
    </w:rPr>
  </w:style>
  <w:style w:type="character" w:customStyle="1" w:styleId="394">
    <w:name w:val="font111"/>
    <w:basedOn w:val="48"/>
    <w:autoRedefine/>
    <w:qFormat/>
    <w:uiPriority w:val="0"/>
    <w:rPr>
      <w:rFonts w:hint="default" w:ascii="Arial" w:hAnsi="Arial" w:cs="Arial"/>
      <w:color w:val="000000"/>
      <w:sz w:val="20"/>
      <w:szCs w:val="20"/>
      <w:u w:val="none"/>
    </w:rPr>
  </w:style>
  <w:style w:type="character" w:customStyle="1" w:styleId="395">
    <w:name w:val="font122"/>
    <w:basedOn w:val="48"/>
    <w:autoRedefine/>
    <w:qFormat/>
    <w:uiPriority w:val="0"/>
    <w:rPr>
      <w:rFonts w:hint="eastAsia" w:ascii="宋体" w:hAnsi="宋体" w:eastAsia="宋体" w:cs="宋体"/>
      <w:color w:val="000000"/>
      <w:sz w:val="20"/>
      <w:szCs w:val="20"/>
      <w:u w:val="none"/>
    </w:rPr>
  </w:style>
  <w:style w:type="character" w:customStyle="1" w:styleId="396">
    <w:name w:val="font222"/>
    <w:basedOn w:val="48"/>
    <w:autoRedefine/>
    <w:qFormat/>
    <w:uiPriority w:val="0"/>
    <w:rPr>
      <w:rFonts w:hint="eastAsia" w:ascii="宋体" w:hAnsi="宋体" w:eastAsia="宋体" w:cs="宋体"/>
      <w:b/>
      <w:color w:val="000000"/>
      <w:sz w:val="20"/>
      <w:szCs w:val="20"/>
      <w:u w:val="none"/>
    </w:rPr>
  </w:style>
  <w:style w:type="character" w:customStyle="1" w:styleId="397">
    <w:name w:val="font211"/>
    <w:basedOn w:val="48"/>
    <w:autoRedefine/>
    <w:qFormat/>
    <w:uiPriority w:val="0"/>
    <w:rPr>
      <w:rFonts w:hint="default" w:ascii="Arial" w:hAnsi="Arial" w:cs="Arial"/>
      <w:color w:val="000000"/>
      <w:sz w:val="20"/>
      <w:szCs w:val="20"/>
      <w:u w:val="none"/>
    </w:rPr>
  </w:style>
  <w:style w:type="character" w:customStyle="1" w:styleId="398">
    <w:name w:val="font201"/>
    <w:basedOn w:val="48"/>
    <w:autoRedefine/>
    <w:qFormat/>
    <w:uiPriority w:val="0"/>
    <w:rPr>
      <w:rFonts w:hint="default" w:ascii="Arial" w:hAnsi="Arial" w:cs="Arial"/>
      <w:color w:val="000000"/>
      <w:sz w:val="20"/>
      <w:szCs w:val="20"/>
      <w:u w:val="none"/>
    </w:rPr>
  </w:style>
  <w:style w:type="character" w:customStyle="1" w:styleId="399">
    <w:name w:val="font151"/>
    <w:basedOn w:val="48"/>
    <w:autoRedefine/>
    <w:qFormat/>
    <w:uiPriority w:val="0"/>
    <w:rPr>
      <w:rFonts w:hint="eastAsia" w:ascii="宋体" w:hAnsi="宋体" w:eastAsia="宋体" w:cs="宋体"/>
      <w:color w:val="000000"/>
      <w:sz w:val="16"/>
      <w:szCs w:val="16"/>
      <w:u w:val="none"/>
    </w:rPr>
  </w:style>
  <w:style w:type="character" w:customStyle="1" w:styleId="400">
    <w:name w:val="font141"/>
    <w:basedOn w:val="48"/>
    <w:autoRedefine/>
    <w:qFormat/>
    <w:uiPriority w:val="0"/>
    <w:rPr>
      <w:rFonts w:hint="eastAsia" w:ascii="宋体" w:hAnsi="宋体" w:eastAsia="宋体" w:cs="宋体"/>
      <w:b/>
      <w:color w:val="000000"/>
      <w:sz w:val="20"/>
      <w:szCs w:val="20"/>
      <w:u w:val="none"/>
    </w:rPr>
  </w:style>
  <w:style w:type="paragraph" w:customStyle="1" w:styleId="401">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02">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03">
    <w:name w:val="编号，小四"/>
    <w:basedOn w:val="1"/>
    <w:autoRedefine/>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404">
    <w:name w:val="标准正文"/>
    <w:basedOn w:val="1"/>
    <w:autoRedefine/>
    <w:qFormat/>
    <w:uiPriority w:val="0"/>
    <w:pPr>
      <w:widowControl/>
      <w:spacing w:before="156" w:after="156" w:line="360" w:lineRule="auto"/>
      <w:ind w:firstLine="480" w:firstLineChars="200"/>
      <w:jc w:val="left"/>
    </w:pPr>
    <w:rPr>
      <w:kern w:val="0"/>
      <w:sz w:val="24"/>
      <w:szCs w:val="20"/>
      <w:lang w:val="zh-CN"/>
    </w:rPr>
  </w:style>
  <w:style w:type="paragraph" w:customStyle="1" w:styleId="405">
    <w:name w:val="首行缩进"/>
    <w:basedOn w:val="1"/>
    <w:autoRedefine/>
    <w:qFormat/>
    <w:uiPriority w:val="0"/>
    <w:pPr>
      <w:widowControl/>
      <w:ind w:firstLine="480" w:firstLineChars="200"/>
      <w:jc w:val="left"/>
    </w:pPr>
    <w:rPr>
      <w:rFonts w:ascii="宋体" w:hAnsi="宋体" w:cs="宋体"/>
      <w:kern w:val="0"/>
      <w:sz w:val="24"/>
      <w:lang w:val="zh-CN"/>
    </w:rPr>
  </w:style>
  <w:style w:type="paragraph" w:customStyle="1" w:styleId="406">
    <w:name w:val="SANGFOR_6_正文"/>
    <w:basedOn w:val="1"/>
    <w:autoRedefine/>
    <w:qFormat/>
    <w:uiPriority w:val="0"/>
    <w:pPr>
      <w:widowControl/>
      <w:spacing w:line="360" w:lineRule="auto"/>
      <w:jc w:val="left"/>
    </w:pPr>
    <w:rPr>
      <w:rFonts w:ascii="宋体" w:hAnsi="宋体" w:cs="宋体"/>
      <w:kern w:val="0"/>
      <w:sz w:val="24"/>
      <w:szCs w:val="21"/>
    </w:rPr>
  </w:style>
  <w:style w:type="paragraph" w:customStyle="1" w:styleId="407">
    <w:name w:val="列表段落1"/>
    <w:basedOn w:val="1"/>
    <w:autoRedefine/>
    <w:qFormat/>
    <w:uiPriority w:val="34"/>
    <w:pPr>
      <w:widowControl/>
      <w:ind w:firstLine="420" w:firstLineChars="200"/>
      <w:jc w:val="left"/>
    </w:pPr>
    <w:rPr>
      <w:rFonts w:ascii="宋体" w:hAnsi="宋体" w:cs="宋体"/>
      <w:kern w:val="0"/>
      <w:sz w:val="24"/>
    </w:rPr>
  </w:style>
  <w:style w:type="character" w:customStyle="1" w:styleId="408">
    <w:name w:val="样式2 Char Char"/>
    <w:link w:val="409"/>
    <w:autoRedefine/>
    <w:qFormat/>
    <w:uiPriority w:val="0"/>
    <w:rPr>
      <w:rFonts w:ascii="Calibri" w:hAnsi="Calibri" w:eastAsia="微软雅黑"/>
      <w:b/>
      <w:color w:val="FF6600"/>
      <w:sz w:val="24"/>
    </w:rPr>
  </w:style>
  <w:style w:type="paragraph" w:customStyle="1" w:styleId="409">
    <w:name w:val="样式2"/>
    <w:basedOn w:val="1"/>
    <w:link w:val="408"/>
    <w:autoRedefine/>
    <w:qFormat/>
    <w:uiPriority w:val="1"/>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410">
    <w:name w:val="样式4"/>
    <w:basedOn w:val="1"/>
    <w:autoRedefine/>
    <w:qFormat/>
    <w:uiPriority w:val="0"/>
    <w:pPr>
      <w:numPr>
        <w:ilvl w:val="0"/>
        <w:numId w:val="5"/>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character" w:customStyle="1" w:styleId="411">
    <w:name w:val="3zw1"/>
    <w:autoRedefine/>
    <w:qFormat/>
    <w:uiPriority w:val="0"/>
    <w:rPr>
      <w:rFonts w:ascii="Times New Roman"/>
    </w:rPr>
  </w:style>
  <w:style w:type="paragraph" w:customStyle="1" w:styleId="412">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13">
    <w:name w:val="正文首行缩进（深信服）"/>
    <w:basedOn w:val="1"/>
    <w:autoRedefine/>
    <w:qFormat/>
    <w:uiPriority w:val="0"/>
    <w:pPr>
      <w:widowControl/>
      <w:spacing w:after="50" w:line="360" w:lineRule="auto"/>
      <w:ind w:firstLine="480" w:firstLineChars="200"/>
      <w:jc w:val="left"/>
    </w:pPr>
    <w:rPr>
      <w:rFonts w:ascii="Arial" w:hAnsi="Arial"/>
      <w:kern w:val="0"/>
      <w:sz w:val="24"/>
      <w:szCs w:val="21"/>
    </w:rPr>
  </w:style>
  <w:style w:type="paragraph" w:customStyle="1" w:styleId="414">
    <w:name w:val="正文首行缩进1"/>
    <w:basedOn w:val="20"/>
    <w:autoRedefine/>
    <w:qFormat/>
    <w:uiPriority w:val="0"/>
    <w:pPr>
      <w:widowControl/>
      <w:spacing w:line="360" w:lineRule="auto"/>
      <w:ind w:firstLine="200" w:firstLineChars="200"/>
      <w:jc w:val="left"/>
    </w:pPr>
    <w:rPr>
      <w:rFonts w:eastAsia="仿宋_GB2312"/>
      <w:kern w:val="0"/>
      <w:sz w:val="28"/>
    </w:rPr>
  </w:style>
  <w:style w:type="paragraph" w:customStyle="1" w:styleId="415">
    <w:name w:val="4级标题"/>
    <w:basedOn w:val="162"/>
    <w:autoRedefine/>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416">
    <w:name w:val="3级标题"/>
    <w:basedOn w:val="162"/>
    <w:link w:val="417"/>
    <w:autoRedefine/>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character" w:customStyle="1" w:styleId="417">
    <w:name w:val="3级标题 Char"/>
    <w:link w:val="416"/>
    <w:autoRedefine/>
    <w:qFormat/>
    <w:uiPriority w:val="0"/>
    <w:rPr>
      <w:rFonts w:ascii="黑体" w:hAnsi="黑体" w:eastAsia="黑体"/>
      <w:sz w:val="28"/>
      <w:szCs w:val="36"/>
      <w:lang w:eastAsia="en-US" w:bidi="en-US"/>
    </w:rPr>
  </w:style>
  <w:style w:type="paragraph" w:customStyle="1" w:styleId="418">
    <w:name w:val="样式 首行缩进:  0 字符"/>
    <w:basedOn w:val="1"/>
    <w:link w:val="419"/>
    <w:autoRedefine/>
    <w:qFormat/>
    <w:uiPriority w:val="0"/>
    <w:pPr>
      <w:widowControl/>
      <w:spacing w:line="360" w:lineRule="auto"/>
      <w:ind w:firstLine="200" w:firstLineChars="200"/>
      <w:jc w:val="left"/>
    </w:pPr>
    <w:rPr>
      <w:rFonts w:cs="宋体"/>
      <w:kern w:val="0"/>
      <w:sz w:val="24"/>
      <w:szCs w:val="20"/>
    </w:rPr>
  </w:style>
  <w:style w:type="character" w:customStyle="1" w:styleId="419">
    <w:name w:val="样式 首行缩进:  0 字符 Char"/>
    <w:link w:val="418"/>
    <w:autoRedefine/>
    <w:qFormat/>
    <w:locked/>
    <w:uiPriority w:val="0"/>
    <w:rPr>
      <w:rFonts w:cs="宋体"/>
      <w:sz w:val="24"/>
    </w:rPr>
  </w:style>
  <w:style w:type="paragraph" w:customStyle="1" w:styleId="420">
    <w:name w:val="正文 A A"/>
    <w:autoRedefine/>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21">
    <w:name w:val="列表段落11"/>
    <w:basedOn w:val="1"/>
    <w:autoRedefine/>
    <w:qFormat/>
    <w:uiPriority w:val="34"/>
    <w:pPr>
      <w:ind w:firstLine="420" w:firstLineChars="200"/>
    </w:pPr>
    <w:rPr>
      <w:rFonts w:ascii="Calibri" w:hAnsi="Calibri"/>
      <w:szCs w:val="22"/>
    </w:rPr>
  </w:style>
  <w:style w:type="paragraph" w:customStyle="1" w:styleId="422">
    <w:name w:val="0表格样式"/>
    <w:autoRedefine/>
    <w:qFormat/>
    <w:uiPriority w:val="0"/>
    <w:rPr>
      <w:rFonts w:ascii="Calibri" w:hAnsi="Calibri" w:eastAsia="仿宋" w:cs="仿宋_GB2312"/>
      <w:kern w:val="2"/>
      <w:sz w:val="21"/>
      <w:szCs w:val="28"/>
      <w:lang w:val="en-US" w:eastAsia="zh-CN" w:bidi="ar-SA"/>
    </w:rPr>
  </w:style>
  <w:style w:type="paragraph" w:customStyle="1" w:styleId="423">
    <w:name w:val="修订3"/>
    <w:autoRedefine/>
    <w:hidden/>
    <w:semiHidden/>
    <w:qFormat/>
    <w:uiPriority w:val="99"/>
    <w:rPr>
      <w:rFonts w:ascii="宋体" w:hAnsi="宋体" w:eastAsia="宋体" w:cs="宋体"/>
      <w:sz w:val="24"/>
      <w:szCs w:val="24"/>
      <w:lang w:val="en-US" w:eastAsia="zh-CN" w:bidi="ar-SA"/>
    </w:rPr>
  </w:style>
  <w:style w:type="character" w:customStyle="1" w:styleId="424">
    <w:name w:val="方案正文 Char"/>
    <w:link w:val="425"/>
    <w:autoRedefine/>
    <w:qFormat/>
    <w:locked/>
    <w:uiPriority w:val="0"/>
    <w:rPr>
      <w:rFonts w:ascii="宋体" w:hAnsi="宋体" w:eastAsia="微软雅黑" w:cs="宋体"/>
      <w:color w:val="000000"/>
      <w:sz w:val="24"/>
    </w:rPr>
  </w:style>
  <w:style w:type="paragraph" w:customStyle="1" w:styleId="425">
    <w:name w:val="方案正文"/>
    <w:basedOn w:val="1"/>
    <w:link w:val="424"/>
    <w:autoRedefine/>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26">
    <w:name w:val="技术文档正文"/>
    <w:basedOn w:val="1"/>
    <w:autoRedefine/>
    <w:qFormat/>
    <w:uiPriority w:val="0"/>
    <w:pPr>
      <w:spacing w:line="360" w:lineRule="auto"/>
      <w:ind w:firstLine="200" w:firstLineChars="200"/>
    </w:pPr>
    <w:rPr>
      <w:rFonts w:cstheme="minorBidi"/>
      <w:sz w:val="24"/>
      <w:szCs w:val="21"/>
    </w:rPr>
  </w:style>
  <w:style w:type="character" w:customStyle="1" w:styleId="427">
    <w:name w:val="未处理的提及1"/>
    <w:basedOn w:val="48"/>
    <w:autoRedefine/>
    <w:semiHidden/>
    <w:unhideWhenUsed/>
    <w:qFormat/>
    <w:uiPriority w:val="99"/>
    <w:rPr>
      <w:color w:val="605E5C"/>
      <w:shd w:val="clear" w:color="auto" w:fill="E1DFDD"/>
    </w:rPr>
  </w:style>
  <w:style w:type="character" w:customStyle="1" w:styleId="428">
    <w:name w:val="param-explain"/>
    <w:basedOn w:val="48"/>
    <w:autoRedefine/>
    <w:qFormat/>
    <w:uiPriority w:val="0"/>
  </w:style>
  <w:style w:type="paragraph" w:customStyle="1" w:styleId="429">
    <w:name w:val="Char1"/>
    <w:basedOn w:val="1"/>
    <w:autoRedefine/>
    <w:qFormat/>
    <w:uiPriority w:val="0"/>
    <w:rPr>
      <w:rFonts w:ascii="Tahoma" w:hAnsi="Tahoma"/>
      <w:sz w:val="24"/>
      <w:szCs w:val="20"/>
    </w:rPr>
  </w:style>
  <w:style w:type="paragraph" w:customStyle="1" w:styleId="430">
    <w:name w:val="正文（首行缩进2字符）"/>
    <w:basedOn w:val="1"/>
    <w:autoRedefine/>
    <w:qFormat/>
    <w:uiPriority w:val="0"/>
    <w:pPr>
      <w:ind w:firstLine="480" w:firstLineChars="200"/>
    </w:pPr>
    <w:rPr>
      <w:sz w:val="24"/>
      <w:szCs w:val="20"/>
    </w:rPr>
  </w:style>
  <w:style w:type="paragraph" w:customStyle="1" w:styleId="431">
    <w:name w:val="表格内文"/>
    <w:basedOn w:val="1"/>
    <w:autoRedefine/>
    <w:qFormat/>
    <w:uiPriority w:val="99"/>
    <w:pPr>
      <w:spacing w:line="400" w:lineRule="exact"/>
    </w:pPr>
    <w:rPr>
      <w:rFonts w:ascii="Arial" w:hAnsi="Arial" w:cs="宋体"/>
      <w:szCs w:val="20"/>
    </w:rPr>
  </w:style>
  <w:style w:type="paragraph" w:customStyle="1" w:styleId="432">
    <w:name w:val="_Style 1"/>
    <w:autoRedefine/>
    <w:qFormat/>
    <w:uiPriority w:val="99"/>
    <w:rPr>
      <w:rFonts w:ascii="Calibri" w:hAnsi="Calibri" w:eastAsia="宋体" w:cs="Times New Roman"/>
      <w:kern w:val="2"/>
      <w:sz w:val="28"/>
      <w:szCs w:val="22"/>
      <w:lang w:val="en-US" w:eastAsia="zh-CN" w:bidi="ar-SA"/>
    </w:rPr>
  </w:style>
  <w:style w:type="character" w:customStyle="1" w:styleId="433">
    <w:name w:val="NormalCharacter"/>
    <w:autoRedefine/>
    <w:semiHidden/>
    <w:qFormat/>
    <w:uiPriority w:val="0"/>
  </w:style>
  <w:style w:type="paragraph" w:customStyle="1" w:styleId="434">
    <w:name w:val="msolistparagraph"/>
    <w:basedOn w:val="1"/>
    <w:autoRedefine/>
    <w:qFormat/>
    <w:uiPriority w:val="0"/>
    <w:pPr>
      <w:widowControl/>
      <w:spacing w:after="160" w:line="256" w:lineRule="auto"/>
      <w:ind w:left="720"/>
      <w:contextualSpacing/>
      <w:jc w:val="left"/>
    </w:pPr>
    <w:rPr>
      <w:rFonts w:eastAsia="Times New Roman"/>
      <w:kern w:val="0"/>
      <w:sz w:val="24"/>
    </w:rPr>
  </w:style>
  <w:style w:type="paragraph" w:customStyle="1" w:styleId="435">
    <w:name w:val="hc正文1.5"/>
    <w:basedOn w:val="1"/>
    <w:autoRedefine/>
    <w:qFormat/>
    <w:uiPriority w:val="0"/>
    <w:pPr>
      <w:tabs>
        <w:tab w:val="left" w:pos="3265"/>
      </w:tabs>
      <w:spacing w:beforeLines="20" w:line="460" w:lineRule="exact"/>
      <w:ind w:firstLine="480" w:firstLineChars="200"/>
    </w:pPr>
    <w:rPr>
      <w:rFonts w:hint="eastAsia" w:ascii="宋体" w:hAnsi="宋体"/>
    </w:rPr>
  </w:style>
  <w:style w:type="paragraph" w:customStyle="1" w:styleId="436">
    <w:name w:val="正文 + 宋体"/>
    <w:basedOn w:val="1"/>
    <w:autoRedefine/>
    <w:qFormat/>
    <w:uiPriority w:val="0"/>
    <w:pPr>
      <w:spacing w:line="360" w:lineRule="auto"/>
    </w:pPr>
    <w:rPr>
      <w:rFonts w:ascii="宋体" w:hAnsi="宋体"/>
      <w:kern w:val="0"/>
      <w:sz w:val="28"/>
      <w:szCs w:val="28"/>
    </w:rPr>
  </w:style>
  <w:style w:type="paragraph" w:customStyle="1" w:styleId="437">
    <w:name w:val="p0"/>
    <w:basedOn w:val="1"/>
    <w:autoRedefine/>
    <w:qFormat/>
    <w:uiPriority w:val="0"/>
    <w:pPr>
      <w:widowControl/>
    </w:pPr>
    <w:rPr>
      <w:kern w:val="0"/>
      <w:szCs w:val="21"/>
    </w:rPr>
  </w:style>
  <w:style w:type="character" w:customStyle="1" w:styleId="438">
    <w:name w:val="font261"/>
    <w:basedOn w:val="48"/>
    <w:autoRedefine/>
    <w:qFormat/>
    <w:uiPriority w:val="0"/>
    <w:rPr>
      <w:rFonts w:hint="eastAsia" w:ascii="宋体" w:hAnsi="宋体" w:eastAsia="宋体" w:cs="宋体"/>
      <w:color w:val="0D0D0D"/>
      <w:sz w:val="18"/>
      <w:szCs w:val="18"/>
      <w:u w:val="none"/>
      <w:vertAlign w:val="superscript"/>
    </w:rPr>
  </w:style>
  <w:style w:type="character" w:customStyle="1" w:styleId="439">
    <w:name w:val="font271"/>
    <w:basedOn w:val="48"/>
    <w:autoRedefine/>
    <w:qFormat/>
    <w:uiPriority w:val="0"/>
    <w:rPr>
      <w:rFonts w:hint="eastAsia" w:ascii="宋体" w:hAnsi="宋体" w:eastAsia="宋体" w:cs="宋体"/>
      <w:color w:val="000000"/>
      <w:sz w:val="24"/>
      <w:szCs w:val="24"/>
      <w:u w:val="none"/>
    </w:rPr>
  </w:style>
  <w:style w:type="character" w:customStyle="1" w:styleId="440">
    <w:name w:val="font251"/>
    <w:basedOn w:val="48"/>
    <w:autoRedefine/>
    <w:qFormat/>
    <w:uiPriority w:val="0"/>
    <w:rPr>
      <w:rFonts w:hint="eastAsia" w:ascii="宋体" w:hAnsi="宋体" w:eastAsia="宋体" w:cs="宋体"/>
      <w:color w:val="0D0D0D"/>
      <w:sz w:val="24"/>
      <w:szCs w:val="24"/>
      <w:u w:val="none"/>
    </w:rPr>
  </w:style>
  <w:style w:type="paragraph" w:customStyle="1" w:styleId="441">
    <w:name w:val="1"/>
    <w:basedOn w:val="1"/>
    <w:next w:val="1"/>
    <w:autoRedefine/>
    <w:qFormat/>
    <w:uiPriority w:val="0"/>
  </w:style>
  <w:style w:type="paragraph" w:customStyle="1" w:styleId="442">
    <w:name w:val="慧尔视正文"/>
    <w:basedOn w:val="1"/>
    <w:autoRedefine/>
    <w:qFormat/>
    <w:uiPriority w:val="0"/>
    <w:pPr>
      <w:spacing w:beforeLines="50" w:afterLines="50" w:line="360" w:lineRule="auto"/>
      <w:ind w:firstLine="480" w:firstLineChars="200"/>
    </w:pPr>
    <w:rPr>
      <w:sz w:val="24"/>
    </w:rPr>
  </w:style>
  <w:style w:type="paragraph" w:customStyle="1" w:styleId="443">
    <w:name w:val="表格文字"/>
    <w:basedOn w:val="1"/>
    <w:next w:val="20"/>
    <w:autoRedefine/>
    <w:unhideWhenUsed/>
    <w:qFormat/>
    <w:uiPriority w:val="0"/>
    <w:pPr>
      <w:jc w:val="left"/>
    </w:pPr>
    <w:rPr>
      <w:rFonts w:hint="eastAsia"/>
    </w:rPr>
  </w:style>
  <w:style w:type="character" w:customStyle="1" w:styleId="444">
    <w:name w:val="结束语 字符"/>
    <w:basedOn w:val="48"/>
    <w:link w:val="19"/>
    <w:autoRedefine/>
    <w:qFormat/>
    <w:uiPriority w:val="99"/>
    <w:rPr>
      <w:rFonts w:ascii="宋体" w:hAnsi="宋体" w:cs="Calibri"/>
      <w:kern w:val="2"/>
      <w:sz w:val="24"/>
      <w:szCs w:val="21"/>
    </w:rPr>
  </w:style>
  <w:style w:type="character" w:customStyle="1" w:styleId="445">
    <w:name w:val="尾注文本 字符"/>
    <w:basedOn w:val="48"/>
    <w:link w:val="30"/>
    <w:autoRedefine/>
    <w:qFormat/>
    <w:uiPriority w:val="0"/>
    <w:rPr>
      <w:rFonts w:ascii="微软雅黑" w:hAnsi="微软雅黑" w:eastAsia="微软雅黑" w:cs="微软雅黑"/>
      <w:kern w:val="2"/>
      <w:sz w:val="24"/>
      <w:szCs w:val="24"/>
    </w:rPr>
  </w:style>
  <w:style w:type="paragraph" w:customStyle="1" w:styleId="446">
    <w:name w:val="标题1"/>
    <w:basedOn w:val="2"/>
    <w:autoRedefine/>
    <w:qFormat/>
    <w:uiPriority w:val="0"/>
    <w:pPr>
      <w:keepLines w:val="0"/>
      <w:widowControl/>
      <w:numPr>
        <w:ilvl w:val="0"/>
        <w:numId w:val="7"/>
      </w:numPr>
      <w:tabs>
        <w:tab w:val="left" w:pos="360"/>
        <w:tab w:val="clear" w:pos="1247"/>
      </w:tabs>
      <w:spacing w:before="720" w:after="240"/>
      <w:ind w:left="0" w:firstLine="0"/>
      <w:jc w:val="left"/>
    </w:pPr>
    <w:rPr>
      <w:rFonts w:ascii="Arial" w:hAnsi="Arial"/>
      <w:spacing w:val="20"/>
      <w:kern w:val="20"/>
      <w:sz w:val="36"/>
    </w:rPr>
  </w:style>
  <w:style w:type="paragraph" w:customStyle="1" w:styleId="447">
    <w:name w:val="标题2"/>
    <w:basedOn w:val="3"/>
    <w:autoRedefine/>
    <w:qFormat/>
    <w:uiPriority w:val="0"/>
    <w:pPr>
      <w:keepNext/>
      <w:widowControl/>
      <w:numPr>
        <w:ilvl w:val="1"/>
        <w:numId w:val="7"/>
      </w:numPr>
      <w:tabs>
        <w:tab w:val="left" w:pos="360"/>
        <w:tab w:val="clear" w:pos="1247"/>
        <w:tab w:val="clear" w:pos="8280"/>
      </w:tabs>
      <w:autoSpaceDE/>
      <w:autoSpaceDN/>
      <w:adjustRightInd/>
      <w:spacing w:before="320" w:after="160" w:line="240" w:lineRule="auto"/>
      <w:ind w:left="0" w:right="0" w:firstLine="0"/>
      <w:jc w:val="left"/>
    </w:pPr>
    <w:rPr>
      <w:rFonts w:ascii="Arial" w:hAnsi="Arial" w:cs="Arial"/>
      <w:bCs/>
      <w:spacing w:val="20"/>
      <w:kern w:val="28"/>
      <w:sz w:val="28"/>
      <w:lang w:eastAsia="en-US"/>
    </w:rPr>
  </w:style>
  <w:style w:type="paragraph" w:customStyle="1" w:styleId="448">
    <w:name w:val="标题3"/>
    <w:basedOn w:val="4"/>
    <w:link w:val="449"/>
    <w:autoRedefine/>
    <w:qFormat/>
    <w:uiPriority w:val="0"/>
    <w:pPr>
      <w:keepLines w:val="0"/>
      <w:widowControl/>
      <w:numPr>
        <w:ilvl w:val="2"/>
        <w:numId w:val="7"/>
      </w:numPr>
      <w:tabs>
        <w:tab w:val="clear" w:pos="8280"/>
      </w:tabs>
      <w:spacing w:before="240" w:after="120" w:line="240" w:lineRule="auto"/>
      <w:jc w:val="left"/>
    </w:pPr>
    <w:rPr>
      <w:rFonts w:ascii="Arial" w:hAnsi="Arial"/>
      <w:b/>
      <w:spacing w:val="20"/>
      <w:kern w:val="0"/>
      <w:sz w:val="24"/>
      <w:szCs w:val="24"/>
      <w:lang w:val="pt-BR"/>
    </w:rPr>
  </w:style>
  <w:style w:type="character" w:customStyle="1" w:styleId="449">
    <w:name w:val="标题3 Char"/>
    <w:basedOn w:val="48"/>
    <w:link w:val="448"/>
    <w:autoRedefine/>
    <w:qFormat/>
    <w:uiPriority w:val="0"/>
    <w:rPr>
      <w:rFonts w:ascii="Arial" w:hAnsi="Arial"/>
      <w:b/>
      <w:bCs/>
      <w:spacing w:val="20"/>
      <w:sz w:val="24"/>
      <w:szCs w:val="24"/>
      <w:lang w:val="pt-BR"/>
    </w:rPr>
  </w:style>
  <w:style w:type="paragraph" w:customStyle="1" w:styleId="450">
    <w:name w:val="标题4"/>
    <w:basedOn w:val="1"/>
    <w:next w:val="1"/>
    <w:link w:val="451"/>
    <w:autoRedefine/>
    <w:qFormat/>
    <w:uiPriority w:val="0"/>
    <w:pPr>
      <w:widowControl/>
      <w:numPr>
        <w:ilvl w:val="3"/>
        <w:numId w:val="7"/>
      </w:numPr>
      <w:spacing w:before="120"/>
      <w:jc w:val="left"/>
      <w:outlineLvl w:val="3"/>
    </w:pPr>
    <w:rPr>
      <w:rFonts w:ascii="宋体" w:hAnsi="宋体" w:cs="MS Mincho"/>
      <w:b/>
      <w:bCs/>
      <w:iCs/>
      <w:kern w:val="0"/>
      <w:sz w:val="28"/>
      <w:lang w:val="pt-BR" w:eastAsia="en-US"/>
    </w:rPr>
  </w:style>
  <w:style w:type="character" w:customStyle="1" w:styleId="451">
    <w:name w:val="标题4 字符"/>
    <w:link w:val="450"/>
    <w:autoRedefine/>
    <w:qFormat/>
    <w:uiPriority w:val="0"/>
    <w:rPr>
      <w:rFonts w:ascii="宋体" w:hAnsi="宋体" w:cs="MS Mincho"/>
      <w:b/>
      <w:bCs/>
      <w:iCs/>
      <w:sz w:val="28"/>
      <w:szCs w:val="24"/>
      <w:lang w:val="pt-BR" w:eastAsia="en-US"/>
    </w:rPr>
  </w:style>
  <w:style w:type="character" w:customStyle="1" w:styleId="452">
    <w:name w:val="页脚 Char1"/>
    <w:basedOn w:val="48"/>
    <w:autoRedefine/>
    <w:qFormat/>
    <w:uiPriority w:val="99"/>
    <w:rPr>
      <w:kern w:val="2"/>
      <w:sz w:val="18"/>
      <w:szCs w:val="24"/>
    </w:rPr>
  </w:style>
  <w:style w:type="character" w:customStyle="1" w:styleId="453">
    <w:name w:val="页眉 Char1"/>
    <w:basedOn w:val="48"/>
    <w:autoRedefine/>
    <w:qFormat/>
    <w:uiPriority w:val="99"/>
    <w:rPr>
      <w:kern w:val="2"/>
      <w:sz w:val="18"/>
      <w:szCs w:val="24"/>
    </w:rPr>
  </w:style>
  <w:style w:type="paragraph" w:customStyle="1" w:styleId="454">
    <w:name w:val="！正文"/>
    <w:basedOn w:val="1"/>
    <w:autoRedefine/>
    <w:qFormat/>
    <w:uiPriority w:val="0"/>
    <w:pPr>
      <w:spacing w:line="360" w:lineRule="auto"/>
      <w:ind w:firstLine="200" w:firstLineChars="200"/>
      <w:jc w:val="left"/>
    </w:pPr>
    <w:rPr>
      <w:rFonts w:ascii="宋体" w:hAnsi="宋体" w:eastAsia="仿宋" w:cs="Calibri"/>
      <w:sz w:val="28"/>
      <w:szCs w:val="21"/>
    </w:rPr>
  </w:style>
  <w:style w:type="paragraph" w:customStyle="1" w:styleId="455">
    <w:name w:val="正文首行缩进 21"/>
    <w:autoRedefine/>
    <w:qFormat/>
    <w:uiPriority w:val="0"/>
    <w:pPr>
      <w:ind w:firstLine="420"/>
    </w:pPr>
    <w:rPr>
      <w:rFonts w:ascii="Times New Roman" w:hAnsi="Times New Roman" w:eastAsia="Times New Roman" w:cs="Times New Roman"/>
      <w:lang w:val="en-US" w:eastAsia="zh-CN" w:bidi="ar-SA"/>
    </w:rPr>
  </w:style>
  <w:style w:type="paragraph" w:customStyle="1" w:styleId="456">
    <w:name w:val="Heading1"/>
    <w:basedOn w:val="1"/>
    <w:next w:val="1"/>
    <w:autoRedefine/>
    <w:qFormat/>
    <w:uiPriority w:val="0"/>
    <w:pPr>
      <w:spacing w:before="100" w:beforeAutospacing="1" w:after="100" w:afterAutospacing="1" w:line="360" w:lineRule="auto"/>
      <w:ind w:firstLine="200" w:firstLineChars="200"/>
      <w:jc w:val="left"/>
    </w:pPr>
    <w:rPr>
      <w:rFonts w:ascii="宋体" w:hAnsi="宋体" w:cs="Calibri"/>
      <w:kern w:val="44"/>
      <w:sz w:val="48"/>
      <w:szCs w:val="48"/>
    </w:rPr>
  </w:style>
  <w:style w:type="character" w:customStyle="1" w:styleId="457">
    <w:name w:val="my正文 Char"/>
    <w:link w:val="458"/>
    <w:autoRedefine/>
    <w:qFormat/>
    <w:uiPriority w:val="0"/>
    <w:rPr>
      <w:sz w:val="24"/>
      <w:szCs w:val="24"/>
    </w:rPr>
  </w:style>
  <w:style w:type="paragraph" w:customStyle="1" w:styleId="458">
    <w:name w:val="my正文"/>
    <w:basedOn w:val="1"/>
    <w:link w:val="457"/>
    <w:autoRedefine/>
    <w:qFormat/>
    <w:uiPriority w:val="0"/>
    <w:pPr>
      <w:spacing w:line="360" w:lineRule="auto"/>
      <w:ind w:firstLine="480" w:firstLineChars="200"/>
      <w:jc w:val="left"/>
    </w:pPr>
    <w:rPr>
      <w:kern w:val="0"/>
      <w:sz w:val="24"/>
    </w:rPr>
  </w:style>
  <w:style w:type="character" w:customStyle="1" w:styleId="459">
    <w:name w:val="HS 正文 字符"/>
    <w:link w:val="460"/>
    <w:autoRedefine/>
    <w:qFormat/>
    <w:uiPriority w:val="0"/>
    <w:rPr>
      <w:rFonts w:ascii="宋体" w:hAnsi="宋体"/>
      <w:sz w:val="24"/>
      <w:szCs w:val="24"/>
    </w:rPr>
  </w:style>
  <w:style w:type="paragraph" w:customStyle="1" w:styleId="460">
    <w:name w:val="HS 正文"/>
    <w:link w:val="459"/>
    <w:autoRedefine/>
    <w:qFormat/>
    <w:uiPriority w:val="0"/>
    <w:pPr>
      <w:spacing w:line="360" w:lineRule="auto"/>
      <w:ind w:firstLine="200" w:firstLineChars="200"/>
      <w:jc w:val="both"/>
    </w:pPr>
    <w:rPr>
      <w:rFonts w:ascii="宋体" w:hAnsi="宋体" w:eastAsia="宋体" w:cs="Times New Roman"/>
      <w:sz w:val="24"/>
      <w:szCs w:val="24"/>
      <w:lang w:val="en-US" w:eastAsia="zh-CN" w:bidi="ar-SA"/>
    </w:rPr>
  </w:style>
  <w:style w:type="paragraph" w:customStyle="1" w:styleId="461">
    <w:name w:val="星一、"/>
    <w:basedOn w:val="3"/>
    <w:next w:val="1"/>
    <w:autoRedefine/>
    <w:qFormat/>
    <w:uiPriority w:val="0"/>
    <w:pPr>
      <w:keepNext/>
      <w:keepLines/>
      <w:tabs>
        <w:tab w:val="clear" w:pos="8280"/>
      </w:tabs>
      <w:autoSpaceDE/>
      <w:autoSpaceDN/>
      <w:spacing w:before="50" w:beforeLines="50" w:after="50" w:afterLines="50" w:line="240" w:lineRule="auto"/>
      <w:ind w:right="0"/>
      <w:jc w:val="left"/>
      <w:textAlignment w:val="baseline"/>
    </w:pPr>
    <w:rPr>
      <w:bCs/>
      <w:kern w:val="0"/>
      <w:sz w:val="44"/>
      <w:szCs w:val="40"/>
    </w:rPr>
  </w:style>
  <w:style w:type="paragraph" w:customStyle="1" w:styleId="462">
    <w:name w:val="首行缩进:  0.85 厘米"/>
    <w:basedOn w:val="1"/>
    <w:autoRedefine/>
    <w:qFormat/>
    <w:uiPriority w:val="0"/>
    <w:pPr>
      <w:spacing w:line="360" w:lineRule="auto"/>
      <w:ind w:firstLine="482" w:firstLineChars="200"/>
      <w:jc w:val="left"/>
    </w:pPr>
    <w:rPr>
      <w:rFonts w:ascii="宋体" w:hAnsi="宋体" w:cs="Calibri"/>
      <w:sz w:val="24"/>
      <w:szCs w:val="20"/>
    </w:rPr>
  </w:style>
  <w:style w:type="paragraph" w:customStyle="1" w:styleId="463">
    <w:name w:val="A正文小四"/>
    <w:basedOn w:val="1"/>
    <w:autoRedefine/>
    <w:qFormat/>
    <w:uiPriority w:val="0"/>
    <w:pPr>
      <w:spacing w:line="360" w:lineRule="auto"/>
      <w:ind w:firstLine="200" w:firstLineChars="200"/>
      <w:jc w:val="left"/>
    </w:pPr>
    <w:rPr>
      <w:rFonts w:ascii="宋体" w:hAnsi="宋体" w:eastAsia="仿宋_GB2312" w:cs="Calibri"/>
      <w:sz w:val="28"/>
      <w:szCs w:val="21"/>
    </w:rPr>
  </w:style>
  <w:style w:type="paragraph" w:customStyle="1" w:styleId="464">
    <w:name w:val="正文标准格式"/>
    <w:autoRedefine/>
    <w:qFormat/>
    <w:uiPriority w:val="0"/>
    <w:pPr>
      <w:spacing w:line="360" w:lineRule="auto"/>
    </w:pPr>
    <w:rPr>
      <w:rFonts w:ascii="宋体" w:hAnsi="宋体" w:eastAsia="宋体" w:cs="Times New Roman"/>
      <w:b/>
      <w:snapToGrid w:val="0"/>
      <w:color w:val="000000"/>
      <w:kern w:val="2"/>
      <w:sz w:val="21"/>
      <w:szCs w:val="21"/>
      <w:u w:val="single"/>
      <w:lang w:val="en-US" w:eastAsia="zh-CN" w:bidi="ar-SA"/>
    </w:rPr>
  </w:style>
  <w:style w:type="paragraph" w:customStyle="1" w:styleId="465">
    <w:name w:val="YS图文"/>
    <w:autoRedefine/>
    <w:qFormat/>
    <w:uiPriority w:val="0"/>
    <w:pPr>
      <w:spacing w:line="360" w:lineRule="auto"/>
      <w:jc w:val="center"/>
    </w:pPr>
    <w:rPr>
      <w:rFonts w:ascii="宋体" w:hAnsi="Calibri" w:eastAsia="宋体" w:cs="Times New Roman"/>
      <w:kern w:val="2"/>
      <w:sz w:val="24"/>
      <w:szCs w:val="22"/>
      <w:lang w:val="en-US" w:eastAsia="zh-CN" w:bidi="ar-SA"/>
    </w:rPr>
  </w:style>
  <w:style w:type="paragraph" w:customStyle="1" w:styleId="466">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cs="宋体"/>
      <w:kern w:val="0"/>
      <w:sz w:val="24"/>
    </w:rPr>
  </w:style>
  <w:style w:type="paragraph" w:customStyle="1" w:styleId="467">
    <w:name w:val="正文缩进1"/>
    <w:basedOn w:val="1"/>
    <w:autoRedefine/>
    <w:qFormat/>
    <w:uiPriority w:val="0"/>
    <w:pPr>
      <w:spacing w:line="360" w:lineRule="auto"/>
      <w:ind w:firstLine="454" w:firstLineChars="200"/>
      <w:jc w:val="left"/>
    </w:pPr>
    <w:rPr>
      <w:rFonts w:ascii="宋体" w:hAnsi="宋体" w:cs="Calibri"/>
      <w:sz w:val="24"/>
      <w:szCs w:val="21"/>
    </w:rPr>
  </w:style>
  <w:style w:type="paragraph" w:customStyle="1" w:styleId="468">
    <w:name w:val="报告正文"/>
    <w:basedOn w:val="1"/>
    <w:autoRedefine/>
    <w:qFormat/>
    <w:uiPriority w:val="0"/>
    <w:pPr>
      <w:widowControl/>
      <w:autoSpaceDE w:val="0"/>
      <w:autoSpaceDN w:val="0"/>
      <w:spacing w:line="480" w:lineRule="exact"/>
      <w:ind w:firstLine="200" w:firstLineChars="200"/>
      <w:jc w:val="left"/>
    </w:pPr>
    <w:rPr>
      <w:rFonts w:ascii="宋体" w:hAnsi="宋体" w:cs="Calibri"/>
      <w:sz w:val="28"/>
    </w:rPr>
  </w:style>
  <w:style w:type="paragraph" w:customStyle="1" w:styleId="469">
    <w:name w:val="样式 首行缩进:  2.25 字符"/>
    <w:basedOn w:val="1"/>
    <w:autoRedefine/>
    <w:qFormat/>
    <w:uiPriority w:val="0"/>
    <w:pPr>
      <w:spacing w:line="360" w:lineRule="auto"/>
      <w:ind w:firstLine="425" w:firstLineChars="177"/>
      <w:jc w:val="left"/>
    </w:pPr>
    <w:rPr>
      <w:rFonts w:ascii="宋体" w:hAnsi="宋体" w:cs="Calibri"/>
      <w:sz w:val="24"/>
      <w:szCs w:val="21"/>
    </w:rPr>
  </w:style>
  <w:style w:type="paragraph" w:customStyle="1" w:styleId="470">
    <w:name w:val="正文小四"/>
    <w:basedOn w:val="1"/>
    <w:autoRedefine/>
    <w:qFormat/>
    <w:uiPriority w:val="0"/>
    <w:pPr>
      <w:widowControl/>
      <w:spacing w:line="360" w:lineRule="auto"/>
      <w:ind w:firstLine="200" w:firstLineChars="200"/>
      <w:jc w:val="left"/>
    </w:pPr>
    <w:rPr>
      <w:rFonts w:ascii="等线" w:hAnsi="等线" w:eastAsia="等线"/>
      <w:sz w:val="24"/>
      <w:szCs w:val="21"/>
    </w:rPr>
  </w:style>
  <w:style w:type="paragraph" w:customStyle="1" w:styleId="471">
    <w:name w:val="正文段落"/>
    <w:basedOn w:val="1"/>
    <w:autoRedefine/>
    <w:qFormat/>
    <w:uiPriority w:val="0"/>
    <w:pPr>
      <w:spacing w:line="360" w:lineRule="auto"/>
      <w:ind w:firstLine="480" w:firstLineChars="200"/>
      <w:jc w:val="left"/>
    </w:pPr>
    <w:rPr>
      <w:rFonts w:ascii="Arial" w:hAnsi="Arial" w:cs="Angsana New"/>
      <w:sz w:val="24"/>
      <w:lang w:val="en-GB" w:eastAsia="en-US"/>
    </w:rPr>
  </w:style>
  <w:style w:type="paragraph" w:customStyle="1" w:styleId="472">
    <w:name w:val="YT 正文"/>
    <w:autoRedefine/>
    <w:qFormat/>
    <w:uiPriority w:val="0"/>
    <w:pPr>
      <w:spacing w:line="360" w:lineRule="auto"/>
      <w:ind w:firstLine="397"/>
      <w:jc w:val="both"/>
    </w:pPr>
    <w:rPr>
      <w:rFonts w:ascii="仿宋" w:hAnsi="仿宋" w:eastAsia="仿宋" w:cs="仿宋"/>
      <w:kern w:val="2"/>
      <w:sz w:val="24"/>
      <w:szCs w:val="22"/>
      <w:lang w:val="en-US" w:eastAsia="zh-CN" w:bidi="ar-SA"/>
    </w:rPr>
  </w:style>
  <w:style w:type="paragraph" w:customStyle="1" w:styleId="473">
    <w:name w:val="WW-纯文本"/>
    <w:basedOn w:val="1"/>
    <w:autoRedefine/>
    <w:qFormat/>
    <w:uiPriority w:val="0"/>
    <w:pPr>
      <w:widowControl/>
      <w:suppressAutoHyphens/>
      <w:spacing w:after="200" w:line="360" w:lineRule="auto"/>
      <w:ind w:firstLine="420" w:firstLineChars="200"/>
      <w:jc w:val="left"/>
    </w:pPr>
    <w:rPr>
      <w:rFonts w:ascii="宋体" w:hAnsi="宋体" w:cs="Courier New"/>
      <w:kern w:val="1"/>
      <w:sz w:val="24"/>
      <w:szCs w:val="21"/>
      <w:lang w:eastAsia="ar-SA" w:bidi="en-US"/>
    </w:rPr>
  </w:style>
  <w:style w:type="paragraph" w:customStyle="1" w:styleId="474">
    <w:name w:val="黑点"/>
    <w:basedOn w:val="1"/>
    <w:autoRedefine/>
    <w:qFormat/>
    <w:uiPriority w:val="0"/>
    <w:pPr>
      <w:spacing w:after="120" w:line="360" w:lineRule="auto"/>
      <w:ind w:firstLine="200" w:firstLineChars="200"/>
      <w:jc w:val="left"/>
    </w:pPr>
    <w:rPr>
      <w:rFonts w:ascii="Arial" w:hAnsi="Arial" w:eastAsia="Arial" w:cs="Arial"/>
      <w:sz w:val="24"/>
      <w:szCs w:val="21"/>
    </w:rPr>
  </w:style>
  <w:style w:type="paragraph" w:customStyle="1" w:styleId="475">
    <w:name w:val="￥正文"/>
    <w:basedOn w:val="1"/>
    <w:autoRedefine/>
    <w:qFormat/>
    <w:uiPriority w:val="0"/>
    <w:pPr>
      <w:spacing w:line="360" w:lineRule="auto"/>
      <w:ind w:firstLine="200" w:firstLineChars="200"/>
      <w:jc w:val="left"/>
    </w:pPr>
    <w:rPr>
      <w:rFonts w:ascii="宋体" w:hAnsi="宋体" w:cs="Calibri"/>
      <w:kern w:val="0"/>
      <w:sz w:val="34"/>
      <w:szCs w:val="20"/>
    </w:rPr>
  </w:style>
  <w:style w:type="paragraph" w:customStyle="1" w:styleId="476">
    <w:name w:val="正文空格"/>
    <w:basedOn w:val="1"/>
    <w:next w:val="1"/>
    <w:autoRedefine/>
    <w:qFormat/>
    <w:uiPriority w:val="0"/>
    <w:pPr>
      <w:numPr>
        <w:ilvl w:val="0"/>
        <w:numId w:val="8"/>
      </w:numPr>
      <w:spacing w:line="400" w:lineRule="exact"/>
      <w:ind w:left="0" w:firstLine="200" w:firstLineChars="200"/>
      <w:jc w:val="left"/>
    </w:pPr>
    <w:rPr>
      <w:rFonts w:ascii="宋体" w:hAnsi="宋体" w:cs="Calibri"/>
      <w:sz w:val="24"/>
      <w:szCs w:val="22"/>
    </w:rPr>
  </w:style>
  <w:style w:type="paragraph" w:customStyle="1" w:styleId="477">
    <w:name w:val="普通文本"/>
    <w:basedOn w:val="1"/>
    <w:autoRedefine/>
    <w:qFormat/>
    <w:uiPriority w:val="0"/>
    <w:pPr>
      <w:spacing w:line="360" w:lineRule="auto"/>
      <w:ind w:firstLine="480" w:firstLineChars="200"/>
      <w:jc w:val="left"/>
    </w:pPr>
    <w:rPr>
      <w:rFonts w:ascii="宋体" w:hAnsi="宋体" w:cs="宋体"/>
      <w:sz w:val="24"/>
      <w:szCs w:val="21"/>
    </w:rPr>
  </w:style>
  <w:style w:type="paragraph" w:customStyle="1" w:styleId="478">
    <w:name w:val="正文内容"/>
    <w:basedOn w:val="1"/>
    <w:autoRedefine/>
    <w:qFormat/>
    <w:uiPriority w:val="0"/>
    <w:pPr>
      <w:spacing w:line="360" w:lineRule="auto"/>
      <w:ind w:firstLine="200" w:firstLineChars="200"/>
      <w:jc w:val="left"/>
    </w:pPr>
    <w:rPr>
      <w:rFonts w:eastAsia="仿宋" w:cs="Calibri"/>
      <w:sz w:val="24"/>
    </w:rPr>
  </w:style>
  <w:style w:type="paragraph" w:customStyle="1" w:styleId="479">
    <w:name w:val="正文 首行缩进:  2 字符 Char"/>
    <w:basedOn w:val="1"/>
    <w:autoRedefine/>
    <w:qFormat/>
    <w:uiPriority w:val="0"/>
    <w:pPr>
      <w:spacing w:line="360" w:lineRule="auto"/>
      <w:ind w:firstLine="480" w:firstLineChars="200"/>
      <w:jc w:val="left"/>
    </w:pPr>
    <w:rPr>
      <w:sz w:val="24"/>
      <w:szCs w:val="20"/>
    </w:rPr>
  </w:style>
  <w:style w:type="paragraph" w:customStyle="1" w:styleId="480">
    <w:name w:val="*GS-正文"/>
    <w:basedOn w:val="1"/>
    <w:autoRedefine/>
    <w:qFormat/>
    <w:uiPriority w:val="0"/>
    <w:pPr>
      <w:widowControl/>
      <w:spacing w:line="360" w:lineRule="auto"/>
      <w:ind w:firstLine="200" w:firstLineChars="200"/>
      <w:contextualSpacing/>
      <w:jc w:val="left"/>
    </w:pPr>
    <w:rPr>
      <w:rFonts w:eastAsia="新宋体"/>
      <w:kern w:val="0"/>
      <w:sz w:val="24"/>
      <w:lang w:bidi="en-US"/>
    </w:rPr>
  </w:style>
  <w:style w:type="paragraph" w:customStyle="1" w:styleId="481">
    <w:name w:val="WPSOffice手动目录 2"/>
    <w:autoRedefine/>
    <w:qFormat/>
    <w:uiPriority w:val="0"/>
    <w:pPr>
      <w:ind w:left="200" w:leftChars="200"/>
    </w:pPr>
    <w:rPr>
      <w:rFonts w:ascii="等线" w:hAnsi="等线" w:eastAsia="等线" w:cs="Times New Roman"/>
      <w:lang w:val="en-US" w:eastAsia="zh-CN" w:bidi="ar-SA"/>
    </w:rPr>
  </w:style>
  <w:style w:type="paragraph" w:customStyle="1" w:styleId="482">
    <w:name w:val="文本正文"/>
    <w:next w:val="1"/>
    <w:autoRedefine/>
    <w:qFormat/>
    <w:uiPriority w:val="0"/>
    <w:rPr>
      <w:rFonts w:ascii="Times New Roman" w:hAnsi="Times New Roman" w:eastAsia="宋体" w:cs="Times New Roman"/>
      <w:lang w:val="en-US" w:eastAsia="zh-CN" w:bidi="ar-SA"/>
    </w:rPr>
  </w:style>
  <w:style w:type="paragraph" w:customStyle="1" w:styleId="483">
    <w:name w:val="样式 首行缩进:  0.85 厘米"/>
    <w:basedOn w:val="1"/>
    <w:autoRedefine/>
    <w:qFormat/>
    <w:uiPriority w:val="0"/>
    <w:pPr>
      <w:spacing w:line="360" w:lineRule="auto"/>
      <w:ind w:firstLine="482" w:firstLineChars="200"/>
      <w:jc w:val="left"/>
    </w:pPr>
    <w:rPr>
      <w:rFonts w:ascii="宋体" w:hAnsi="宋体" w:cs="Calibri"/>
      <w:sz w:val="24"/>
      <w:szCs w:val="20"/>
    </w:rPr>
  </w:style>
  <w:style w:type="paragraph" w:customStyle="1" w:styleId="484">
    <w:name w:val="我的正文1"/>
    <w:basedOn w:val="1"/>
    <w:autoRedefine/>
    <w:qFormat/>
    <w:uiPriority w:val="0"/>
    <w:pPr>
      <w:spacing w:line="360" w:lineRule="auto"/>
      <w:ind w:firstLine="480" w:firstLineChars="200"/>
      <w:jc w:val="left"/>
    </w:pPr>
    <w:rPr>
      <w:rFonts w:cs="Calibri"/>
      <w:kern w:val="0"/>
      <w:sz w:val="24"/>
      <w:szCs w:val="20"/>
      <w:lang w:val="zh-CN"/>
    </w:rPr>
  </w:style>
  <w:style w:type="paragraph" w:customStyle="1" w:styleId="485">
    <w:name w:val="cont"/>
    <w:basedOn w:val="1"/>
    <w:autoRedefine/>
    <w:qFormat/>
    <w:uiPriority w:val="0"/>
    <w:pPr>
      <w:adjustRightInd w:val="0"/>
      <w:spacing w:before="100" w:after="100" w:line="360" w:lineRule="auto"/>
      <w:ind w:firstLine="200" w:firstLineChars="200"/>
      <w:jc w:val="left"/>
    </w:pPr>
    <w:rPr>
      <w:rFonts w:ascii="Arial" w:hAnsi="Arial"/>
      <w:kern w:val="0"/>
      <w:sz w:val="20"/>
      <w:szCs w:val="20"/>
    </w:rPr>
  </w:style>
  <w:style w:type="paragraph" w:customStyle="1" w:styleId="486">
    <w:name w:val="tytytyty"/>
    <w:basedOn w:val="1"/>
    <w:autoRedefine/>
    <w:qFormat/>
    <w:uiPriority w:val="0"/>
    <w:pPr>
      <w:spacing w:line="360" w:lineRule="auto"/>
      <w:ind w:left="359" w:leftChars="171" w:firstLine="480" w:firstLineChars="200"/>
      <w:jc w:val="left"/>
    </w:pPr>
    <w:rPr>
      <w:rFonts w:cs="Calibri"/>
      <w:sz w:val="24"/>
      <w:szCs w:val="21"/>
    </w:rPr>
  </w:style>
  <w:style w:type="paragraph" w:customStyle="1" w:styleId="487">
    <w:name w:val="段"/>
    <w:autoRedefine/>
    <w:qFormat/>
    <w:uiPriority w:val="0"/>
    <w:pPr>
      <w:ind w:firstLine="200" w:firstLineChars="200"/>
      <w:jc w:val="both"/>
    </w:pPr>
    <w:rPr>
      <w:rFonts w:ascii="宋体" w:hAnsi="Times New Roman" w:eastAsia="宋体" w:cs="Times New Roman"/>
      <w:sz w:val="21"/>
      <w:szCs w:val="22"/>
      <w:lang w:val="en-US" w:eastAsia="zh-CN" w:bidi="ar-SA"/>
    </w:rPr>
  </w:style>
  <w:style w:type="paragraph" w:customStyle="1" w:styleId="488">
    <w:name w:val="[正文行首缩进]"/>
    <w:autoRedefine/>
    <w:qFormat/>
    <w:uiPriority w:val="0"/>
    <w:pPr>
      <w:widowControl w:val="0"/>
      <w:spacing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489">
    <w:name w:val="WPSOffice手动目录 3"/>
    <w:autoRedefine/>
    <w:qFormat/>
    <w:uiPriority w:val="0"/>
    <w:pPr>
      <w:ind w:left="400" w:leftChars="400"/>
    </w:pPr>
    <w:rPr>
      <w:rFonts w:ascii="等线" w:hAnsi="等线" w:eastAsia="等线" w:cs="Times New Roman"/>
      <w:lang w:val="en-US" w:eastAsia="zh-CN" w:bidi="ar-SA"/>
    </w:rPr>
  </w:style>
  <w:style w:type="paragraph" w:customStyle="1" w:styleId="490">
    <w:name w:val="正文文本首行缩进 21"/>
    <w:basedOn w:val="491"/>
    <w:autoRedefine/>
    <w:qFormat/>
    <w:uiPriority w:val="0"/>
    <w:pPr>
      <w:spacing w:line="240" w:lineRule="auto"/>
      <w:ind w:left="420" w:leftChars="200" w:firstLine="420"/>
    </w:pPr>
    <w:rPr>
      <w:rFonts w:cs="宋体"/>
      <w:sz w:val="21"/>
    </w:rPr>
  </w:style>
  <w:style w:type="paragraph" w:customStyle="1" w:styleId="491">
    <w:name w:val="正文文本缩进1"/>
    <w:basedOn w:val="1"/>
    <w:autoRedefine/>
    <w:qFormat/>
    <w:uiPriority w:val="0"/>
    <w:pPr>
      <w:spacing w:line="200" w:lineRule="exact"/>
      <w:ind w:firstLine="301" w:firstLineChars="200"/>
      <w:jc w:val="left"/>
    </w:pPr>
    <w:rPr>
      <w:rFonts w:ascii="??" w:hAnsi="??" w:cs="Calibri"/>
      <w:spacing w:val="-4"/>
      <w:sz w:val="18"/>
      <w:szCs w:val="21"/>
    </w:rPr>
  </w:style>
  <w:style w:type="paragraph" w:customStyle="1" w:styleId="492">
    <w:name w:val="Normal Indent1"/>
    <w:basedOn w:val="1"/>
    <w:autoRedefine/>
    <w:qFormat/>
    <w:uiPriority w:val="99"/>
    <w:pPr>
      <w:spacing w:line="360" w:lineRule="auto"/>
      <w:ind w:firstLine="200" w:firstLineChars="200"/>
      <w:jc w:val="left"/>
    </w:pPr>
    <w:rPr>
      <w:rFonts w:cs="Calibri"/>
      <w:sz w:val="24"/>
      <w:szCs w:val="21"/>
    </w:rPr>
  </w:style>
  <w:style w:type="paragraph" w:customStyle="1" w:styleId="493">
    <w:name w:val="自定正文"/>
    <w:basedOn w:val="1"/>
    <w:autoRedefine/>
    <w:qFormat/>
    <w:uiPriority w:val="0"/>
    <w:pPr>
      <w:widowControl/>
      <w:spacing w:line="360" w:lineRule="auto"/>
      <w:ind w:firstLine="200" w:firstLineChars="200"/>
      <w:jc w:val="left"/>
    </w:pPr>
    <w:rPr>
      <w:rFonts w:ascii="宋体" w:hAnsi="宋体"/>
      <w:kern w:val="0"/>
      <w:sz w:val="24"/>
      <w:szCs w:val="28"/>
      <w:lang w:bidi="en-US"/>
    </w:rPr>
  </w:style>
  <w:style w:type="paragraph" w:customStyle="1" w:styleId="494">
    <w:name w:val="样式 首行缩进:  0.74 厘米"/>
    <w:basedOn w:val="1"/>
    <w:autoRedefine/>
    <w:qFormat/>
    <w:uiPriority w:val="0"/>
    <w:pPr>
      <w:spacing w:line="360" w:lineRule="auto"/>
      <w:ind w:firstLine="200" w:firstLineChars="200"/>
      <w:jc w:val="left"/>
    </w:pPr>
    <w:rPr>
      <w:rFonts w:cs="Calibri"/>
      <w:sz w:val="24"/>
      <w:szCs w:val="20"/>
    </w:rPr>
  </w:style>
  <w:style w:type="paragraph" w:customStyle="1" w:styleId="495">
    <w:name w:val="正文小四号"/>
    <w:basedOn w:val="496"/>
    <w:autoRedefine/>
    <w:qFormat/>
    <w:uiPriority w:val="0"/>
    <w:pPr>
      <w:ind w:firstLine="512"/>
    </w:pPr>
    <w:rPr>
      <w:sz w:val="24"/>
      <w:szCs w:val="24"/>
    </w:rPr>
  </w:style>
  <w:style w:type="paragraph" w:customStyle="1" w:styleId="496">
    <w:name w:val="正文四号"/>
    <w:basedOn w:val="1"/>
    <w:autoRedefine/>
    <w:qFormat/>
    <w:uiPriority w:val="0"/>
    <w:pPr>
      <w:widowControl/>
      <w:spacing w:line="360" w:lineRule="auto"/>
      <w:ind w:firstLine="592" w:firstLineChars="200"/>
      <w:jc w:val="left"/>
    </w:pPr>
    <w:rPr>
      <w:rFonts w:ascii="宋体" w:hAnsi="宋体" w:cs="Calibri"/>
      <w:color w:val="222222"/>
      <w:spacing w:val="8"/>
      <w:sz w:val="28"/>
      <w:szCs w:val="28"/>
      <w:shd w:val="clear" w:color="auto" w:fill="FFFFFF"/>
    </w:rPr>
  </w:style>
  <w:style w:type="paragraph" w:customStyle="1" w:styleId="497">
    <w:name w:val="文件正文"/>
    <w:basedOn w:val="1"/>
    <w:link w:val="565"/>
    <w:autoRedefine/>
    <w:qFormat/>
    <w:uiPriority w:val="0"/>
    <w:pPr>
      <w:spacing w:line="360" w:lineRule="auto"/>
      <w:ind w:firstLine="200" w:firstLineChars="200"/>
      <w:jc w:val="left"/>
    </w:pPr>
    <w:rPr>
      <w:rFonts w:ascii="宋体" w:hAnsi="宋体" w:cs="Calibri"/>
      <w:sz w:val="24"/>
      <w:szCs w:val="21"/>
    </w:rPr>
  </w:style>
  <w:style w:type="paragraph" w:customStyle="1" w:styleId="498">
    <w:name w:val="表格居中"/>
    <w:basedOn w:val="497"/>
    <w:autoRedefine/>
    <w:qFormat/>
    <w:uiPriority w:val="0"/>
    <w:pPr>
      <w:spacing w:line="240" w:lineRule="auto"/>
      <w:ind w:firstLine="0" w:firstLineChars="0"/>
      <w:jc w:val="center"/>
    </w:pPr>
    <w:rPr>
      <w:sz w:val="21"/>
    </w:rPr>
  </w:style>
  <w:style w:type="paragraph" w:customStyle="1" w:styleId="499">
    <w:name w:val="**正文"/>
    <w:basedOn w:val="1"/>
    <w:autoRedefine/>
    <w:qFormat/>
    <w:uiPriority w:val="0"/>
    <w:pPr>
      <w:numPr>
        <w:ilvl w:val="0"/>
        <w:numId w:val="9"/>
      </w:numPr>
      <w:adjustRightInd w:val="0"/>
      <w:snapToGrid w:val="0"/>
      <w:spacing w:line="520" w:lineRule="exact"/>
      <w:ind w:left="0" w:firstLine="560" w:firstLineChars="200"/>
      <w:jc w:val="left"/>
    </w:pPr>
    <w:rPr>
      <w:rFonts w:ascii="宋体" w:hAnsi="宋体" w:cs="宋体"/>
      <w:sz w:val="28"/>
      <w:szCs w:val="28"/>
    </w:rPr>
  </w:style>
  <w:style w:type="paragraph" w:customStyle="1" w:styleId="500">
    <w:name w:val="6级半括号"/>
    <w:basedOn w:val="1"/>
    <w:autoRedefine/>
    <w:qFormat/>
    <w:uiPriority w:val="0"/>
    <w:pPr>
      <w:numPr>
        <w:ilvl w:val="0"/>
        <w:numId w:val="10"/>
      </w:numPr>
      <w:spacing w:line="360" w:lineRule="auto"/>
      <w:ind w:left="0" w:firstLine="200" w:firstLineChars="200"/>
      <w:jc w:val="center"/>
    </w:pPr>
    <w:rPr>
      <w:rFonts w:ascii="仿宋" w:hAnsi="仿宋" w:eastAsia="仿宋" w:cs="宋体"/>
      <w:sz w:val="24"/>
    </w:rPr>
  </w:style>
  <w:style w:type="paragraph" w:customStyle="1" w:styleId="501">
    <w:name w:val="图-hc"/>
    <w:autoRedefine/>
    <w:qFormat/>
    <w:uiPriority w:val="0"/>
    <w:pPr>
      <w:autoSpaceDE w:val="0"/>
      <w:autoSpaceDN w:val="0"/>
      <w:adjustRightInd w:val="0"/>
      <w:spacing w:line="360" w:lineRule="auto"/>
      <w:jc w:val="center"/>
    </w:pPr>
    <w:rPr>
      <w:rFonts w:ascii="Arial" w:hAnsi="Arial" w:eastAsia="仿宋" w:cs="Times New Roman"/>
      <w:bCs/>
      <w:sz w:val="22"/>
      <w:szCs w:val="18"/>
      <w:lang w:val="en-GB" w:eastAsia="zh-Hans" w:bidi="ar-SA"/>
    </w:rPr>
  </w:style>
  <w:style w:type="paragraph" w:customStyle="1" w:styleId="502">
    <w:name w:val="表1"/>
    <w:basedOn w:val="1"/>
    <w:autoRedefine/>
    <w:qFormat/>
    <w:uiPriority w:val="0"/>
    <w:pPr>
      <w:spacing w:line="360" w:lineRule="auto"/>
      <w:ind w:firstLine="200" w:firstLineChars="200"/>
      <w:jc w:val="center"/>
    </w:pPr>
    <w:rPr>
      <w:rFonts w:ascii="宋体" w:hAnsi="宋体" w:cs="Calibri"/>
      <w:sz w:val="24"/>
      <w:szCs w:val="21"/>
    </w:rPr>
  </w:style>
  <w:style w:type="paragraph" w:customStyle="1" w:styleId="503">
    <w:name w:val="样式 首行缩进:  2 字符"/>
    <w:basedOn w:val="1"/>
    <w:autoRedefine/>
    <w:qFormat/>
    <w:uiPriority w:val="0"/>
    <w:pPr>
      <w:spacing w:line="360" w:lineRule="auto"/>
      <w:ind w:firstLine="480" w:firstLineChars="200"/>
      <w:jc w:val="left"/>
    </w:pPr>
    <w:rPr>
      <w:rFonts w:ascii="宋体" w:hAnsi="宋体" w:cs="宋体"/>
      <w:sz w:val="24"/>
    </w:rPr>
  </w:style>
  <w:style w:type="paragraph" w:customStyle="1" w:styleId="504">
    <w:name w:val="yyw正文内容"/>
    <w:basedOn w:val="1"/>
    <w:autoRedefine/>
    <w:qFormat/>
    <w:uiPriority w:val="0"/>
    <w:pPr>
      <w:spacing w:line="300" w:lineRule="auto"/>
      <w:ind w:firstLine="420" w:firstLineChars="200"/>
      <w:jc w:val="left"/>
    </w:pPr>
    <w:rPr>
      <w:rFonts w:ascii="宋体" w:hAnsi="宋体"/>
    </w:rPr>
  </w:style>
  <w:style w:type="paragraph" w:customStyle="1" w:styleId="505">
    <w:name w:val="段落"/>
    <w:autoRedefine/>
    <w:qFormat/>
    <w:uiPriority w:val="0"/>
    <w:pPr>
      <w:adjustRightInd w:val="0"/>
      <w:snapToGrid w:val="0"/>
      <w:spacing w:before="120" w:after="120" w:line="360" w:lineRule="auto"/>
      <w:ind w:firstLine="560" w:firstLineChars="200"/>
      <w:jc w:val="both"/>
    </w:pPr>
    <w:rPr>
      <w:rFonts w:ascii="Cambria" w:hAnsi="Cambria" w:eastAsia="Cambria" w:cs="Calibri"/>
      <w:kern w:val="2"/>
      <w:sz w:val="28"/>
      <w:szCs w:val="24"/>
      <w:lang w:val="en-US" w:eastAsia="zh-CN" w:bidi="ar-SA"/>
    </w:rPr>
  </w:style>
  <w:style w:type="character" w:customStyle="1" w:styleId="506">
    <w:name w:val="*正文 Char Char"/>
    <w:autoRedefine/>
    <w:qFormat/>
    <w:uiPriority w:val="99"/>
    <w:rPr>
      <w:rFonts w:ascii="宋体" w:hAnsi="宋体" w:eastAsia="仿宋_GB2312"/>
      <w:b/>
      <w:color w:val="000000"/>
      <w:kern w:val="2"/>
      <w:sz w:val="24"/>
      <w:szCs w:val="22"/>
    </w:rPr>
  </w:style>
  <w:style w:type="paragraph" w:customStyle="1" w:styleId="507">
    <w:name w:val="表格"/>
    <w:basedOn w:val="1"/>
    <w:autoRedefine/>
    <w:qFormat/>
    <w:uiPriority w:val="0"/>
    <w:pPr>
      <w:spacing w:line="560" w:lineRule="exact"/>
      <w:jc w:val="center"/>
    </w:pPr>
    <w:rPr>
      <w:rFonts w:ascii="微软雅黑" w:hAnsi="微软雅黑" w:eastAsia="微软雅黑" w:cs="Calibri"/>
      <w:szCs w:val="21"/>
    </w:rPr>
  </w:style>
  <w:style w:type="paragraph" w:customStyle="1" w:styleId="508">
    <w:name w:val="图片"/>
    <w:basedOn w:val="13"/>
    <w:autoRedefine/>
    <w:qFormat/>
    <w:uiPriority w:val="0"/>
    <w:pPr>
      <w:spacing w:before="160" w:after="120" w:line="360" w:lineRule="auto"/>
      <w:ind w:firstLine="0"/>
      <w:jc w:val="center"/>
    </w:pPr>
    <w:rPr>
      <w:rFonts w:ascii="宋体" w:hAnsi="宋体" w:eastAsia="微软雅黑" w:cs="Calibri"/>
      <w:sz w:val="28"/>
      <w:szCs w:val="28"/>
      <w:lang w:val="zh-CN"/>
    </w:rPr>
  </w:style>
  <w:style w:type="paragraph" w:customStyle="1" w:styleId="509">
    <w:name w:val="Figure Description"/>
    <w:next w:val="510"/>
    <w:autoRedefine/>
    <w:qFormat/>
    <w:uiPriority w:val="0"/>
    <w:pPr>
      <w:keepNext/>
      <w:adjustRightInd w:val="0"/>
      <w:snapToGrid w:val="0"/>
      <w:spacing w:before="320" w:after="80" w:line="240" w:lineRule="atLeast"/>
      <w:outlineLvl w:val="7"/>
    </w:pPr>
    <w:rPr>
      <w:rFonts w:ascii="Calibri" w:hAnsi="Calibri" w:eastAsia="黑体" w:cs="Arial"/>
      <w:spacing w:val="-4"/>
      <w:kern w:val="2"/>
      <w:sz w:val="21"/>
      <w:szCs w:val="21"/>
      <w:lang w:val="en-US" w:eastAsia="en-US" w:bidi="en-US"/>
    </w:rPr>
  </w:style>
  <w:style w:type="paragraph" w:customStyle="1" w:styleId="510">
    <w:name w:val="Figure"/>
    <w:basedOn w:val="1"/>
    <w:next w:val="1"/>
    <w:autoRedefine/>
    <w:qFormat/>
    <w:uiPriority w:val="0"/>
    <w:pPr>
      <w:keepNext/>
      <w:widowControl/>
      <w:topLinePunct/>
      <w:adjustRightInd w:val="0"/>
      <w:snapToGrid w:val="0"/>
      <w:spacing w:before="160" w:after="160" w:line="240" w:lineRule="atLeast"/>
      <w:ind w:left="1701"/>
      <w:jc w:val="left"/>
    </w:pPr>
    <w:rPr>
      <w:rFonts w:ascii="Calibri" w:hAnsi="Calibri" w:cs="Arial"/>
      <w:kern w:val="0"/>
      <w:sz w:val="22"/>
      <w:szCs w:val="21"/>
      <w:lang w:eastAsia="en-US" w:bidi="en-US"/>
    </w:rPr>
  </w:style>
  <w:style w:type="paragraph" w:customStyle="1" w:styleId="511">
    <w:name w:val="Table Description"/>
    <w:next w:val="1"/>
    <w:autoRedefine/>
    <w:qFormat/>
    <w:uiPriority w:val="0"/>
    <w:pPr>
      <w:keepNext/>
      <w:snapToGrid w:val="0"/>
      <w:spacing w:before="160" w:after="80"/>
      <w:jc w:val="center"/>
    </w:pPr>
    <w:rPr>
      <w:rFonts w:ascii="Arial" w:hAnsi="Arial" w:eastAsia="黑体" w:cs="Arial"/>
      <w:sz w:val="18"/>
      <w:szCs w:val="18"/>
      <w:lang w:val="en-US" w:eastAsia="en-US" w:bidi="en-US"/>
    </w:rPr>
  </w:style>
  <w:style w:type="paragraph" w:customStyle="1" w:styleId="512">
    <w:name w:val="Table Heading"/>
    <w:autoRedefine/>
    <w:qFormat/>
    <w:uiPriority w:val="0"/>
    <w:pPr>
      <w:keepNext/>
      <w:numPr>
        <w:ilvl w:val="0"/>
        <w:numId w:val="11"/>
      </w:numPr>
      <w:snapToGrid w:val="0"/>
      <w:spacing w:before="80" w:after="80"/>
      <w:jc w:val="center"/>
    </w:pPr>
    <w:rPr>
      <w:rFonts w:ascii="Arial" w:hAnsi="Arial" w:eastAsia="黑体" w:cs="黑体"/>
      <w:sz w:val="18"/>
      <w:szCs w:val="22"/>
      <w:lang w:val="en-US" w:eastAsia="en-US" w:bidi="en-US"/>
    </w:rPr>
  </w:style>
  <w:style w:type="paragraph" w:customStyle="1" w:styleId="513">
    <w:name w:val="Table Text"/>
    <w:basedOn w:val="1"/>
    <w:autoRedefine/>
    <w:qFormat/>
    <w:uiPriority w:val="0"/>
    <w:pPr>
      <w:widowControl/>
      <w:tabs>
        <w:tab w:val="decimal" w:pos="0"/>
      </w:tabs>
      <w:autoSpaceDE w:val="0"/>
      <w:autoSpaceDN w:val="0"/>
      <w:adjustRightInd w:val="0"/>
      <w:spacing w:after="200" w:line="276" w:lineRule="auto"/>
      <w:jc w:val="left"/>
    </w:pPr>
    <w:rPr>
      <w:rFonts w:ascii="Calibri" w:hAnsi="Calibri" w:cs="黑体"/>
      <w:kern w:val="0"/>
      <w:sz w:val="24"/>
      <w:szCs w:val="21"/>
      <w:lang w:eastAsia="en-US" w:bidi="en-US"/>
    </w:rPr>
  </w:style>
  <w:style w:type="paragraph" w:customStyle="1" w:styleId="514">
    <w:name w:val="Item List in Table"/>
    <w:autoRedefine/>
    <w:qFormat/>
    <w:uiPriority w:val="0"/>
    <w:pPr>
      <w:spacing w:before="40" w:after="40"/>
      <w:jc w:val="both"/>
    </w:pPr>
    <w:rPr>
      <w:rFonts w:ascii="Arial" w:hAnsi="Arial" w:eastAsia="宋体" w:cs="Arial"/>
      <w:sz w:val="18"/>
      <w:szCs w:val="18"/>
      <w:lang w:val="en-US" w:eastAsia="zh-CN" w:bidi="ar-SA"/>
    </w:rPr>
  </w:style>
  <w:style w:type="paragraph" w:customStyle="1" w:styleId="515">
    <w:name w:val="z正文"/>
    <w:basedOn w:val="1"/>
    <w:autoRedefine/>
    <w:qFormat/>
    <w:uiPriority w:val="0"/>
    <w:pPr>
      <w:spacing w:line="360" w:lineRule="auto"/>
      <w:ind w:firstLine="200" w:firstLineChars="200"/>
      <w:jc w:val="left"/>
    </w:pPr>
    <w:rPr>
      <w:rFonts w:ascii="宋体" w:hAnsi="宋体"/>
      <w:kern w:val="0"/>
      <w:sz w:val="24"/>
      <w:szCs w:val="20"/>
      <w:lang w:val="zh-CN"/>
    </w:rPr>
  </w:style>
  <w:style w:type="paragraph" w:customStyle="1" w:styleId="516">
    <w:name w:val="表"/>
    <w:basedOn w:val="1"/>
    <w:autoRedefine/>
    <w:qFormat/>
    <w:uiPriority w:val="0"/>
    <w:pPr>
      <w:widowControl/>
      <w:spacing w:line="600" w:lineRule="exact"/>
      <w:jc w:val="left"/>
      <w:textAlignment w:val="center"/>
    </w:pPr>
    <w:rPr>
      <w:rFonts w:hint="eastAsia" w:ascii="宋体" w:hAnsi="宋体"/>
      <w:color w:val="000000"/>
      <w:kern w:val="0"/>
      <w:sz w:val="22"/>
      <w:szCs w:val="21"/>
    </w:rPr>
  </w:style>
  <w:style w:type="character" w:customStyle="1" w:styleId="517">
    <w:name w:val="列出段落 Char1"/>
    <w:autoRedefine/>
    <w:qFormat/>
    <w:locked/>
    <w:uiPriority w:val="99"/>
    <w:rPr>
      <w:rFonts w:ascii="Calibri" w:hAnsi="Calibri"/>
      <w:kern w:val="2"/>
      <w:sz w:val="21"/>
      <w:szCs w:val="22"/>
    </w:rPr>
  </w:style>
  <w:style w:type="character" w:customStyle="1" w:styleId="518">
    <w:name w:val="批注框文本 字符1"/>
    <w:autoRedefine/>
    <w:qFormat/>
    <w:uiPriority w:val="99"/>
    <w:rPr>
      <w:rFonts w:ascii="Times New Roman" w:hAnsi="Times New Roman" w:eastAsia="宋体" w:cs="Times New Roman"/>
      <w:kern w:val="0"/>
      <w:sz w:val="18"/>
      <w:szCs w:val="18"/>
    </w:rPr>
  </w:style>
  <w:style w:type="paragraph" w:customStyle="1" w:styleId="519">
    <w:name w:val="编号"/>
    <w:basedOn w:val="1"/>
    <w:next w:val="1"/>
    <w:autoRedefine/>
    <w:unhideWhenUsed/>
    <w:qFormat/>
    <w:uiPriority w:val="34"/>
    <w:pPr>
      <w:tabs>
        <w:tab w:val="right" w:leader="dot" w:pos="8630"/>
      </w:tabs>
      <w:spacing w:line="360" w:lineRule="auto"/>
      <w:ind w:left="3840" w:leftChars="1600" w:firstLine="480" w:firstLineChars="200"/>
    </w:pPr>
    <w:rPr>
      <w:rFonts w:asciiTheme="minorHAnsi" w:hAnsiTheme="minorHAnsi" w:eastAsiaTheme="minorEastAsia" w:cstheme="minorBidi"/>
    </w:rPr>
  </w:style>
  <w:style w:type="paragraph" w:customStyle="1" w:styleId="520">
    <w:name w:val="TOC 标题11"/>
    <w:basedOn w:val="2"/>
    <w:next w:val="1"/>
    <w:autoRedefine/>
    <w:unhideWhenUsed/>
    <w:qFormat/>
    <w:uiPriority w:val="39"/>
    <w:pPr>
      <w:widowControl/>
      <w:tabs>
        <w:tab w:val="left" w:pos="431"/>
      </w:tabs>
      <w:spacing w:before="480" w:after="0" w:line="276" w:lineRule="auto"/>
      <w:ind w:left="0" w:hanging="432" w:firstLineChars="200"/>
      <w:jc w:val="left"/>
      <w:outlineLvl w:val="9"/>
    </w:pPr>
    <w:rPr>
      <w:rFonts w:ascii="Cambria" w:hAnsi="Cambria"/>
      <w:color w:val="365F91"/>
      <w:kern w:val="0"/>
      <w:sz w:val="28"/>
      <w:szCs w:val="28"/>
    </w:rPr>
  </w:style>
  <w:style w:type="paragraph" w:customStyle="1" w:styleId="521">
    <w:name w:val="Body"/>
    <w:basedOn w:val="1"/>
    <w:link w:val="522"/>
    <w:autoRedefine/>
    <w:qFormat/>
    <w:uiPriority w:val="0"/>
    <w:pPr>
      <w:widowControl/>
      <w:tabs>
        <w:tab w:val="left" w:pos="1247"/>
      </w:tabs>
      <w:spacing w:before="120" w:line="288" w:lineRule="auto"/>
      <w:ind w:firstLine="560" w:firstLineChars="200"/>
      <w:jc w:val="left"/>
    </w:pPr>
    <w:rPr>
      <w:rFonts w:ascii="仿宋" w:hAnsi="仿宋" w:eastAsia="仿宋"/>
      <w:sz w:val="28"/>
      <w:szCs w:val="28"/>
    </w:rPr>
  </w:style>
  <w:style w:type="character" w:customStyle="1" w:styleId="522">
    <w:name w:val="Body Char"/>
    <w:link w:val="521"/>
    <w:autoRedefine/>
    <w:qFormat/>
    <w:uiPriority w:val="0"/>
    <w:rPr>
      <w:rFonts w:ascii="仿宋" w:hAnsi="仿宋" w:eastAsia="仿宋"/>
      <w:kern w:val="2"/>
      <w:sz w:val="28"/>
      <w:szCs w:val="28"/>
    </w:rPr>
  </w:style>
  <w:style w:type="paragraph" w:customStyle="1" w:styleId="523">
    <w:name w:val="正文2"/>
    <w:basedOn w:val="1"/>
    <w:link w:val="524"/>
    <w:autoRedefine/>
    <w:qFormat/>
    <w:uiPriority w:val="0"/>
    <w:pPr>
      <w:spacing w:line="360" w:lineRule="auto"/>
      <w:ind w:firstLine="200" w:firstLineChars="200"/>
    </w:pPr>
    <w:rPr>
      <w:rFonts w:eastAsia="仿宋" w:asciiTheme="minorHAnsi" w:hAnsiTheme="minorHAnsi" w:cstheme="minorBidi"/>
      <w:sz w:val="28"/>
      <w:szCs w:val="21"/>
    </w:rPr>
  </w:style>
  <w:style w:type="character" w:customStyle="1" w:styleId="524">
    <w:name w:val="正文2 Char"/>
    <w:basedOn w:val="48"/>
    <w:link w:val="523"/>
    <w:autoRedefine/>
    <w:qFormat/>
    <w:uiPriority w:val="0"/>
    <w:rPr>
      <w:rFonts w:eastAsia="仿宋" w:asciiTheme="minorHAnsi" w:hAnsiTheme="minorHAnsi" w:cstheme="minorBidi"/>
      <w:kern w:val="2"/>
      <w:sz w:val="28"/>
      <w:szCs w:val="21"/>
    </w:rPr>
  </w:style>
  <w:style w:type="paragraph" w:customStyle="1" w:styleId="525">
    <w:name w:val="T - 文档正文"/>
    <w:basedOn w:val="1"/>
    <w:autoRedefine/>
    <w:qFormat/>
    <w:uiPriority w:val="0"/>
    <w:pPr>
      <w:spacing w:beforeLines="50" w:afterLines="50" w:line="360" w:lineRule="auto"/>
      <w:ind w:firstLine="200" w:firstLineChars="200"/>
    </w:pPr>
    <w:rPr>
      <w:rFonts w:ascii="Verdana" w:hAnsi="Verdana" w:eastAsia="仿宋"/>
      <w:sz w:val="28"/>
      <w:szCs w:val="22"/>
    </w:rPr>
  </w:style>
  <w:style w:type="paragraph" w:customStyle="1" w:styleId="526">
    <w:name w:val="表格样式"/>
    <w:link w:val="527"/>
    <w:autoRedefine/>
    <w:qFormat/>
    <w:uiPriority w:val="0"/>
    <w:rPr>
      <w:rFonts w:asciiTheme="minorEastAsia" w:hAnsiTheme="minorEastAsia" w:eastAsiaTheme="minorEastAsia" w:cstheme="minorBidi"/>
      <w:kern w:val="2"/>
      <w:sz w:val="21"/>
      <w:szCs w:val="21"/>
      <w:lang w:val="en-US" w:eastAsia="zh-CN" w:bidi="ar-SA"/>
    </w:rPr>
  </w:style>
  <w:style w:type="character" w:customStyle="1" w:styleId="527">
    <w:name w:val="表格样式 Char"/>
    <w:basedOn w:val="48"/>
    <w:link w:val="526"/>
    <w:autoRedefine/>
    <w:qFormat/>
    <w:uiPriority w:val="0"/>
    <w:rPr>
      <w:rFonts w:asciiTheme="minorEastAsia" w:hAnsiTheme="minorEastAsia" w:eastAsiaTheme="minorEastAsia" w:cstheme="minorBidi"/>
      <w:kern w:val="2"/>
      <w:sz w:val="21"/>
      <w:szCs w:val="21"/>
    </w:rPr>
  </w:style>
  <w:style w:type="character" w:customStyle="1" w:styleId="528">
    <w:name w:val="表格1 Char Char"/>
    <w:link w:val="529"/>
    <w:autoRedefine/>
    <w:qFormat/>
    <w:locked/>
    <w:uiPriority w:val="0"/>
  </w:style>
  <w:style w:type="paragraph" w:customStyle="1" w:styleId="529">
    <w:name w:val="表格1"/>
    <w:basedOn w:val="1"/>
    <w:link w:val="528"/>
    <w:autoRedefine/>
    <w:qFormat/>
    <w:uiPriority w:val="0"/>
    <w:pPr>
      <w:widowControl/>
      <w:numPr>
        <w:ilvl w:val="0"/>
        <w:numId w:val="12"/>
      </w:numPr>
      <w:spacing w:line="360" w:lineRule="auto"/>
      <w:ind w:left="0" w:firstLine="480" w:firstLineChars="200"/>
      <w:jc w:val="center"/>
    </w:pPr>
    <w:rPr>
      <w:kern w:val="0"/>
      <w:sz w:val="20"/>
      <w:szCs w:val="20"/>
    </w:rPr>
  </w:style>
  <w:style w:type="paragraph" w:customStyle="1" w:styleId="530">
    <w:name w:val="无间距"/>
    <w:autoRedefine/>
    <w:qFormat/>
    <w:uiPriority w:val="1"/>
    <w:pPr>
      <w:widowControl w:val="0"/>
      <w:jc w:val="both"/>
    </w:pPr>
    <w:rPr>
      <w:rFonts w:ascii="Calibri" w:hAnsi="Calibri" w:eastAsia="宋体" w:cs="Times New Roman"/>
      <w:kern w:val="2"/>
      <w:sz w:val="24"/>
      <w:szCs w:val="22"/>
      <w:lang w:val="en-US" w:eastAsia="zh-CN" w:bidi="ar-SA"/>
    </w:rPr>
  </w:style>
  <w:style w:type="paragraph" w:customStyle="1" w:styleId="531">
    <w:name w:val="四号正文"/>
    <w:basedOn w:val="1"/>
    <w:autoRedefine/>
    <w:qFormat/>
    <w:uiPriority w:val="0"/>
    <w:pPr>
      <w:spacing w:line="360" w:lineRule="auto"/>
      <w:ind w:firstLine="560" w:firstLineChars="200"/>
    </w:pPr>
    <w:rPr>
      <w:sz w:val="24"/>
      <w:szCs w:val="28"/>
    </w:rPr>
  </w:style>
  <w:style w:type="paragraph" w:customStyle="1" w:styleId="532">
    <w:name w:val="音视-一级标题"/>
    <w:basedOn w:val="2"/>
    <w:next w:val="1"/>
    <w:link w:val="533"/>
    <w:autoRedefine/>
    <w:qFormat/>
    <w:uiPriority w:val="0"/>
    <w:pPr>
      <w:tabs>
        <w:tab w:val="left" w:pos="431"/>
      </w:tabs>
      <w:spacing w:before="340" w:after="330" w:line="360" w:lineRule="auto"/>
      <w:ind w:left="0" w:hanging="432" w:firstLineChars="200"/>
      <w:jc w:val="left"/>
    </w:pPr>
    <w:rPr>
      <w:bCs w:val="0"/>
      <w:sz w:val="30"/>
      <w:szCs w:val="24"/>
    </w:rPr>
  </w:style>
  <w:style w:type="character" w:customStyle="1" w:styleId="533">
    <w:name w:val="音视-一级标题 字符"/>
    <w:basedOn w:val="48"/>
    <w:link w:val="532"/>
    <w:autoRedefine/>
    <w:qFormat/>
    <w:uiPriority w:val="0"/>
    <w:rPr>
      <w:b/>
      <w:kern w:val="44"/>
      <w:sz w:val="30"/>
      <w:szCs w:val="24"/>
    </w:rPr>
  </w:style>
  <w:style w:type="paragraph" w:customStyle="1" w:styleId="534">
    <w:name w:val="音视-二级标题"/>
    <w:basedOn w:val="532"/>
    <w:next w:val="1"/>
    <w:link w:val="535"/>
    <w:autoRedefine/>
    <w:qFormat/>
    <w:uiPriority w:val="0"/>
    <w:pPr>
      <w:outlineLvl w:val="1"/>
    </w:pPr>
    <w:rPr>
      <w:sz w:val="28"/>
    </w:rPr>
  </w:style>
  <w:style w:type="character" w:customStyle="1" w:styleId="535">
    <w:name w:val="音视-二级标题 字符"/>
    <w:basedOn w:val="533"/>
    <w:link w:val="534"/>
    <w:autoRedefine/>
    <w:qFormat/>
    <w:uiPriority w:val="0"/>
    <w:rPr>
      <w:kern w:val="44"/>
      <w:sz w:val="28"/>
      <w:szCs w:val="24"/>
    </w:rPr>
  </w:style>
  <w:style w:type="paragraph" w:customStyle="1" w:styleId="536">
    <w:name w:val="音视-三级标题"/>
    <w:basedOn w:val="532"/>
    <w:next w:val="1"/>
    <w:link w:val="537"/>
    <w:autoRedefine/>
    <w:qFormat/>
    <w:uiPriority w:val="0"/>
    <w:pPr>
      <w:outlineLvl w:val="2"/>
    </w:pPr>
    <w:rPr>
      <w:rFonts w:ascii="Arial" w:hAnsi="Arial" w:cs="Arial"/>
      <w:sz w:val="24"/>
    </w:rPr>
  </w:style>
  <w:style w:type="character" w:customStyle="1" w:styleId="537">
    <w:name w:val="音视-三级标题 字符"/>
    <w:basedOn w:val="62"/>
    <w:link w:val="536"/>
    <w:autoRedefine/>
    <w:qFormat/>
    <w:uiPriority w:val="0"/>
    <w:rPr>
      <w:rFonts w:ascii="Arial" w:hAnsi="Arial" w:cs="Arial"/>
      <w:b/>
      <w:bCs w:val="0"/>
      <w:kern w:val="44"/>
      <w:sz w:val="24"/>
      <w:szCs w:val="24"/>
    </w:rPr>
  </w:style>
  <w:style w:type="paragraph" w:customStyle="1" w:styleId="538">
    <w:name w:val="音视-四级标题"/>
    <w:basedOn w:val="536"/>
    <w:next w:val="1"/>
    <w:link w:val="539"/>
    <w:autoRedefine/>
    <w:qFormat/>
    <w:uiPriority w:val="0"/>
    <w:pPr>
      <w:numPr>
        <w:ilvl w:val="0"/>
        <w:numId w:val="13"/>
      </w:numPr>
      <w:outlineLvl w:val="3"/>
    </w:pPr>
  </w:style>
  <w:style w:type="character" w:customStyle="1" w:styleId="539">
    <w:name w:val="音视-四级标题 字符"/>
    <w:basedOn w:val="537"/>
    <w:link w:val="538"/>
    <w:autoRedefine/>
    <w:qFormat/>
    <w:uiPriority w:val="0"/>
    <w:rPr>
      <w:rFonts w:ascii="Arial" w:hAnsi="Arial" w:cs="Arial"/>
      <w:kern w:val="44"/>
      <w:sz w:val="24"/>
      <w:szCs w:val="24"/>
    </w:rPr>
  </w:style>
  <w:style w:type="paragraph" w:customStyle="1" w:styleId="540">
    <w:name w:val="2级标题"/>
    <w:basedOn w:val="88"/>
    <w:autoRedefine/>
    <w:qFormat/>
    <w:uiPriority w:val="0"/>
    <w:pPr>
      <w:keepLines/>
      <w:widowControl/>
      <w:adjustRightInd w:val="0"/>
      <w:spacing w:before="240" w:after="120" w:line="276" w:lineRule="auto"/>
      <w:ind w:firstLine="0" w:firstLineChars="0"/>
      <w:contextualSpacing/>
      <w:jc w:val="left"/>
      <w:outlineLvl w:val="1"/>
    </w:pPr>
    <w:rPr>
      <w:rFonts w:ascii="黑体" w:hAnsi="黑体" w:eastAsia="黑体" w:cstheme="minorBidi"/>
      <w:color w:val="000000"/>
      <w:kern w:val="0"/>
      <w:sz w:val="32"/>
      <w:szCs w:val="36"/>
      <w:lang w:eastAsia="en-US" w:bidi="en-US"/>
    </w:rPr>
  </w:style>
  <w:style w:type="paragraph" w:customStyle="1" w:styleId="541">
    <w:name w:val="Char Char1 Char2"/>
    <w:basedOn w:val="1"/>
    <w:autoRedefine/>
    <w:qFormat/>
    <w:uiPriority w:val="0"/>
    <w:rPr>
      <w:sz w:val="24"/>
    </w:rPr>
  </w:style>
  <w:style w:type="character" w:customStyle="1" w:styleId="542">
    <w:name w:val="标题6 字符"/>
    <w:link w:val="543"/>
    <w:autoRedefine/>
    <w:qFormat/>
    <w:uiPriority w:val="0"/>
    <w:rPr>
      <w:b/>
      <w:sz w:val="24"/>
      <w:szCs w:val="24"/>
    </w:rPr>
  </w:style>
  <w:style w:type="paragraph" w:customStyle="1" w:styleId="543">
    <w:name w:val="标题6"/>
    <w:basedOn w:val="1"/>
    <w:link w:val="542"/>
    <w:autoRedefine/>
    <w:qFormat/>
    <w:uiPriority w:val="0"/>
    <w:pPr>
      <w:widowControl/>
      <w:adjustRightInd w:val="0"/>
      <w:snapToGrid w:val="0"/>
      <w:spacing w:line="360" w:lineRule="auto"/>
      <w:ind w:firstLine="480" w:firstLineChars="200"/>
      <w:jc w:val="left"/>
    </w:pPr>
    <w:rPr>
      <w:b/>
      <w:kern w:val="0"/>
      <w:sz w:val="24"/>
    </w:rPr>
  </w:style>
  <w:style w:type="character" w:customStyle="1" w:styleId="544">
    <w:name w:val="副标题 字符1"/>
    <w:basedOn w:val="48"/>
    <w:autoRedefine/>
    <w:qFormat/>
    <w:uiPriority w:val="0"/>
    <w:rPr>
      <w:rFonts w:asciiTheme="minorHAnsi" w:hAnsiTheme="minorHAnsi" w:eastAsiaTheme="minorEastAsia" w:cstheme="minorBidi"/>
      <w:b/>
      <w:bCs/>
      <w:kern w:val="28"/>
      <w:sz w:val="32"/>
      <w:szCs w:val="32"/>
    </w:rPr>
  </w:style>
  <w:style w:type="character" w:customStyle="1" w:styleId="545">
    <w:name w:val="标题5 字符"/>
    <w:link w:val="546"/>
    <w:autoRedefine/>
    <w:qFormat/>
    <w:uiPriority w:val="0"/>
    <w:rPr>
      <w:b/>
      <w:sz w:val="24"/>
      <w:szCs w:val="30"/>
    </w:rPr>
  </w:style>
  <w:style w:type="paragraph" w:customStyle="1" w:styleId="546">
    <w:name w:val="标题5"/>
    <w:basedOn w:val="1"/>
    <w:link w:val="545"/>
    <w:autoRedefine/>
    <w:qFormat/>
    <w:uiPriority w:val="0"/>
    <w:pPr>
      <w:widowControl/>
      <w:adjustRightInd w:val="0"/>
      <w:snapToGrid w:val="0"/>
      <w:spacing w:line="360" w:lineRule="auto"/>
      <w:ind w:left="1008" w:hanging="1008" w:firstLineChars="200"/>
      <w:jc w:val="left"/>
    </w:pPr>
    <w:rPr>
      <w:b/>
      <w:kern w:val="0"/>
      <w:sz w:val="24"/>
      <w:szCs w:val="30"/>
    </w:rPr>
  </w:style>
  <w:style w:type="character" w:customStyle="1" w:styleId="547">
    <w:name w:val="第一标题 字符"/>
    <w:link w:val="548"/>
    <w:autoRedefine/>
    <w:qFormat/>
    <w:uiPriority w:val="0"/>
  </w:style>
  <w:style w:type="paragraph" w:customStyle="1" w:styleId="548">
    <w:name w:val="第一标题"/>
    <w:basedOn w:val="2"/>
    <w:link w:val="547"/>
    <w:autoRedefine/>
    <w:qFormat/>
    <w:uiPriority w:val="0"/>
    <w:pPr>
      <w:widowControl/>
      <w:numPr>
        <w:numId w:val="0"/>
      </w:numPr>
      <w:adjustRightInd w:val="0"/>
      <w:snapToGrid w:val="0"/>
      <w:spacing w:before="240" w:after="240" w:line="360" w:lineRule="auto"/>
      <w:ind w:left="431"/>
    </w:pPr>
    <w:rPr>
      <w:b w:val="0"/>
      <w:bCs w:val="0"/>
      <w:kern w:val="0"/>
      <w:sz w:val="20"/>
      <w:szCs w:val="20"/>
    </w:rPr>
  </w:style>
  <w:style w:type="paragraph" w:customStyle="1" w:styleId="549">
    <w:name w:val="图表名"/>
    <w:basedOn w:val="1"/>
    <w:autoRedefine/>
    <w:qFormat/>
    <w:uiPriority w:val="0"/>
    <w:pPr>
      <w:widowControl/>
      <w:adjustRightInd w:val="0"/>
      <w:snapToGrid w:val="0"/>
      <w:spacing w:line="360" w:lineRule="auto"/>
      <w:ind w:firstLine="480" w:firstLineChars="200"/>
      <w:jc w:val="center"/>
    </w:pPr>
    <w:rPr>
      <w:rFonts w:ascii="微软雅黑" w:hAnsi="微软雅黑" w:eastAsia="黑体" w:cs="微软雅黑"/>
    </w:rPr>
  </w:style>
  <w:style w:type="paragraph" w:customStyle="1" w:styleId="550">
    <w:name w:val="目次、标准名称标题"/>
    <w:autoRedefine/>
    <w:qFormat/>
    <w:uiPriority w:val="0"/>
    <w:pPr>
      <w:spacing w:line="460" w:lineRule="exact"/>
    </w:pPr>
    <w:rPr>
      <w:rFonts w:ascii="Times New Roman" w:hAnsi="Times New Roman" w:eastAsia="宋体" w:cs="Times New Roman"/>
      <w:lang w:val="en-US" w:eastAsia="zh-CN" w:bidi="ar-SA"/>
    </w:rPr>
  </w:style>
  <w:style w:type="paragraph" w:customStyle="1" w:styleId="551">
    <w:name w:val="FC正文"/>
    <w:basedOn w:val="1"/>
    <w:autoRedefine/>
    <w:qFormat/>
    <w:uiPriority w:val="99"/>
    <w:pPr>
      <w:widowControl/>
      <w:adjustRightInd w:val="0"/>
      <w:snapToGrid w:val="0"/>
      <w:spacing w:before="218" w:beforeLines="50" w:after="218" w:afterLines="50" w:line="360" w:lineRule="auto"/>
      <w:ind w:firstLine="482" w:firstLineChars="200"/>
      <w:jc w:val="left"/>
    </w:pPr>
    <w:rPr>
      <w:rFonts w:ascii="微软雅黑" w:hAnsi="微软雅黑" w:eastAsia="微软雅黑" w:cs="微软雅黑"/>
      <w:sz w:val="24"/>
    </w:rPr>
  </w:style>
  <w:style w:type="paragraph" w:customStyle="1" w:styleId="552">
    <w:name w:val="市数办正文"/>
    <w:basedOn w:val="1"/>
    <w:autoRedefine/>
    <w:qFormat/>
    <w:uiPriority w:val="0"/>
    <w:pPr>
      <w:widowControl/>
      <w:adjustRightInd w:val="0"/>
      <w:snapToGrid w:val="0"/>
      <w:spacing w:line="360" w:lineRule="auto"/>
      <w:ind w:firstLine="560" w:firstLineChars="200"/>
      <w:jc w:val="left"/>
    </w:pPr>
    <w:rPr>
      <w:rFonts w:ascii="宋体" w:hAnsi="宋体" w:eastAsia="微软雅黑" w:cs="Arial"/>
      <w:sz w:val="24"/>
      <w:szCs w:val="28"/>
    </w:rPr>
  </w:style>
  <w:style w:type="character" w:customStyle="1" w:styleId="553">
    <w:name w:val="标题 字符1"/>
    <w:basedOn w:val="48"/>
    <w:autoRedefine/>
    <w:qFormat/>
    <w:uiPriority w:val="0"/>
    <w:rPr>
      <w:rFonts w:asciiTheme="majorHAnsi" w:hAnsiTheme="majorHAnsi" w:eastAsiaTheme="majorEastAsia" w:cstheme="majorBidi"/>
      <w:b/>
      <w:bCs/>
      <w:kern w:val="2"/>
      <w:sz w:val="32"/>
      <w:szCs w:val="32"/>
    </w:rPr>
  </w:style>
  <w:style w:type="paragraph" w:customStyle="1" w:styleId="554">
    <w:name w:val="!正文"/>
    <w:basedOn w:val="1"/>
    <w:autoRedefine/>
    <w:qFormat/>
    <w:uiPriority w:val="0"/>
    <w:pPr>
      <w:spacing w:line="360" w:lineRule="auto"/>
      <w:ind w:firstLine="480" w:firstLineChars="200"/>
      <w:jc w:val="left"/>
    </w:pPr>
    <w:rPr>
      <w:rFonts w:ascii="Calibri" w:hAnsi="Calibri" w:cs="Calibri"/>
      <w:sz w:val="24"/>
      <w:szCs w:val="21"/>
    </w:rPr>
  </w:style>
  <w:style w:type="character" w:customStyle="1" w:styleId="555">
    <w:name w:val="列表段落 字符1"/>
    <w:autoRedefine/>
    <w:qFormat/>
    <w:locked/>
    <w:uiPriority w:val="34"/>
    <w:rPr>
      <w:rFonts w:ascii="宋体" w:hAnsi="宋体" w:cs="Calibri"/>
      <w:kern w:val="2"/>
      <w:sz w:val="24"/>
      <w:szCs w:val="21"/>
    </w:rPr>
  </w:style>
  <w:style w:type="character" w:customStyle="1" w:styleId="556">
    <w:name w:val="_正文段落 Char"/>
    <w:link w:val="557"/>
    <w:autoRedefine/>
    <w:qFormat/>
    <w:locked/>
    <w:uiPriority w:val="0"/>
    <w:rPr>
      <w:rFonts w:ascii="宋体" w:hAnsi="宋体"/>
      <w:szCs w:val="28"/>
    </w:rPr>
  </w:style>
  <w:style w:type="paragraph" w:customStyle="1" w:styleId="557">
    <w:name w:val="_正文段落"/>
    <w:basedOn w:val="1"/>
    <w:link w:val="556"/>
    <w:autoRedefine/>
    <w:qFormat/>
    <w:uiPriority w:val="0"/>
    <w:pPr>
      <w:spacing w:before="15" w:beforeLines="15" w:after="15" w:afterLines="15" w:line="288" w:lineRule="auto"/>
      <w:ind w:firstLine="200" w:firstLineChars="200"/>
    </w:pPr>
    <w:rPr>
      <w:rFonts w:ascii="宋体" w:hAnsi="宋体"/>
      <w:kern w:val="0"/>
      <w:sz w:val="20"/>
      <w:szCs w:val="28"/>
    </w:rPr>
  </w:style>
  <w:style w:type="paragraph" w:customStyle="1" w:styleId="558">
    <w:name w:val="（空）多级符号"/>
    <w:basedOn w:val="1"/>
    <w:autoRedefine/>
    <w:qFormat/>
    <w:uiPriority w:val="0"/>
    <w:pPr>
      <w:adjustRightInd w:val="0"/>
      <w:snapToGrid w:val="0"/>
      <w:spacing w:line="360" w:lineRule="auto"/>
    </w:pPr>
    <w:rPr>
      <w:rFonts w:ascii="宋体" w:hAnsi="宋体"/>
      <w:b/>
      <w:sz w:val="24"/>
    </w:rPr>
  </w:style>
  <w:style w:type="paragraph" w:customStyle="1" w:styleId="559">
    <w:name w:val="标题五"/>
    <w:basedOn w:val="6"/>
    <w:autoRedefine/>
    <w:qFormat/>
    <w:uiPriority w:val="0"/>
    <w:pPr>
      <w:tabs>
        <w:tab w:val="left" w:pos="0"/>
      </w:tabs>
      <w:spacing w:before="156" w:after="156" w:line="377" w:lineRule="auto"/>
      <w:ind w:left="992" w:hanging="992"/>
    </w:pPr>
    <w:rPr>
      <w:rFonts w:ascii="仿宋" w:hAnsi="仿宋" w:eastAsia="仿宋" w:cs="Times New Roman (正文 CS 字体)"/>
      <w:b w:val="0"/>
      <w:kern w:val="2"/>
      <w:sz w:val="24"/>
      <w:szCs w:val="24"/>
    </w:rPr>
  </w:style>
  <w:style w:type="paragraph" w:customStyle="1" w:styleId="560">
    <w:name w:val="__正文"/>
    <w:autoRedefine/>
    <w:qFormat/>
    <w:uiPriority w:val="0"/>
    <w:pPr>
      <w:spacing w:line="360" w:lineRule="auto"/>
      <w:ind w:firstLine="560" w:firstLineChars="200"/>
    </w:pPr>
    <w:rPr>
      <w:rFonts w:ascii="仿宋_GB2312" w:hAnsi="仿宋" w:eastAsia="仿宋_GB2312" w:cs="Times New Roman"/>
      <w:kern w:val="2"/>
      <w:sz w:val="28"/>
      <w:szCs w:val="24"/>
      <w:lang w:val="en-US" w:eastAsia="zh-CN" w:bidi="ar-SA"/>
    </w:rPr>
  </w:style>
  <w:style w:type="character" w:customStyle="1" w:styleId="561">
    <w:name w:val="纯文本 Char1"/>
    <w:autoRedefine/>
    <w:qFormat/>
    <w:uiPriority w:val="0"/>
    <w:rPr>
      <w:rFonts w:ascii="宋体" w:hAnsi="Courier New" w:eastAsia="宋体"/>
      <w:szCs w:val="24"/>
    </w:rPr>
  </w:style>
  <w:style w:type="character" w:customStyle="1" w:styleId="562">
    <w:name w:val="正文缩进 字符"/>
    <w:link w:val="13"/>
    <w:autoRedefine/>
    <w:qFormat/>
    <w:uiPriority w:val="0"/>
    <w:rPr>
      <w:kern w:val="2"/>
      <w:sz w:val="21"/>
    </w:rPr>
  </w:style>
  <w:style w:type="character" w:customStyle="1" w:styleId="563">
    <w:name w:val="普通(网站) 字符"/>
    <w:link w:val="42"/>
    <w:autoRedefine/>
    <w:qFormat/>
    <w:uiPriority w:val="0"/>
    <w:rPr>
      <w:rFonts w:ascii="宋体" w:hAnsi="宋体"/>
      <w:sz w:val="24"/>
      <w:szCs w:val="24"/>
    </w:rPr>
  </w:style>
  <w:style w:type="paragraph" w:customStyle="1" w:styleId="564">
    <w:name w:val="正文0"/>
    <w:basedOn w:val="1"/>
    <w:autoRedefine/>
    <w:qFormat/>
    <w:uiPriority w:val="99"/>
    <w:pPr>
      <w:autoSpaceDE w:val="0"/>
      <w:autoSpaceDN w:val="0"/>
      <w:adjustRightInd w:val="0"/>
      <w:spacing w:before="240" w:after="60" w:line="360" w:lineRule="atLeast"/>
    </w:pPr>
    <w:rPr>
      <w:b/>
      <w:kern w:val="0"/>
      <w:sz w:val="24"/>
      <w:szCs w:val="20"/>
    </w:rPr>
  </w:style>
  <w:style w:type="character" w:customStyle="1" w:styleId="565">
    <w:name w:val="文件正文 字符"/>
    <w:basedOn w:val="48"/>
    <w:link w:val="497"/>
    <w:autoRedefine/>
    <w:qFormat/>
    <w:uiPriority w:val="0"/>
    <w:rPr>
      <w:rFonts w:ascii="宋体" w:hAnsi="宋体" w:cs="Calibri"/>
      <w:kern w:val="2"/>
      <w:sz w:val="24"/>
      <w:szCs w:val="21"/>
    </w:rPr>
  </w:style>
  <w:style w:type="paragraph" w:customStyle="1" w:styleId="566">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567">
    <w:name w:val="列出段落11"/>
    <w:basedOn w:val="1"/>
    <w:autoRedefine/>
    <w:qFormat/>
    <w:uiPriority w:val="0"/>
    <w:pPr>
      <w:ind w:firstLine="420"/>
    </w:pPr>
    <w:rPr>
      <w:rFonts w:ascii="Calibri" w:hAnsi="Calibri"/>
      <w:szCs w:val="22"/>
    </w:rPr>
  </w:style>
  <w:style w:type="character" w:customStyle="1" w:styleId="568">
    <w:name w:val="标题 4 Char1"/>
    <w:autoRedefine/>
    <w:qFormat/>
    <w:uiPriority w:val="0"/>
    <w:rPr>
      <w:rFonts w:ascii="微软雅黑" w:hAnsi="微软雅黑" w:eastAsia="微软雅黑" w:cs="微软雅黑"/>
      <w:kern w:val="2"/>
      <w:sz w:val="24"/>
      <w:szCs w:val="24"/>
      <w:lang w:val="en-US" w:eastAsia="zh-CN" w:bidi="ar-SA"/>
    </w:rPr>
  </w:style>
  <w:style w:type="character" w:customStyle="1" w:styleId="569">
    <w:name w:val="列表编号 字符"/>
    <w:link w:val="12"/>
    <w:autoRedefine/>
    <w:qFormat/>
    <w:uiPriority w:val="0"/>
  </w:style>
  <w:style w:type="paragraph" w:customStyle="1" w:styleId="570">
    <w:name w:val="表格内正文"/>
    <w:basedOn w:val="20"/>
    <w:autoRedefine/>
    <w:qFormat/>
    <w:uiPriority w:val="0"/>
    <w:pPr>
      <w:spacing w:after="120"/>
    </w:pPr>
  </w:style>
  <w:style w:type="paragraph" w:customStyle="1" w:styleId="571">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1.bin"/><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93</Pages>
  <Words>54744</Words>
  <Characters>60595</Characters>
  <Lines>484</Lines>
  <Paragraphs>136</Paragraphs>
  <TotalTime>17</TotalTime>
  <ScaleCrop>false</ScaleCrop>
  <LinksUpToDate>false</LinksUpToDate>
  <CharactersWithSpaces>62562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2022-11-07T06:23:00Z</dcterms:created>
  <dc:creator>Thorpe521</dc:creator>
  <cp:lastModifiedBy>洗尽铅华</cp:lastModifiedBy>
  <cp:lastPrinted>2024-07-19T07:08:00Z</cp:lastPrinted>
  <dcterms:modified xsi:type="dcterms:W3CDTF">2024-07-19T08:49:01Z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091B7A0692E6480EA6C14958C75D1F42_13</vt:lpwstr>
  </property>
  <property fmtid="{D5CDD505-2E9C-101B-9397-08002B2CF9AE}" pid="4" name="_2015_ms_pID_725343">
    <vt:lpwstr>(3)5cySEzkRUE4ardiakd41jVoQNjosvo3M/RbiCfRNI9z1y/3GGLxhyejUxb9hhWGwig2y3iwB
1j1zEkJEbZSay/59H8UJCK/CsxGME8o8RKGQhR0v3bqbD1lteXQjdolnUwHCZdaLadrBG6xK
vdrYmKhnqLpQcA5ad+/FTU4ClVRK4AEAhLfxMy8JCNX74FpRJsh2NOxwvR1ZR0SyhzLpzxEP
4N9F/gymsSJrAE2UcA</vt:lpwstr>
  </property>
  <property fmtid="{D5CDD505-2E9C-101B-9397-08002B2CF9AE}" pid="5" name="_2015_ms_pID_7253431">
    <vt:lpwstr>PEbl/BqKZsTy7/Sw2f1PWG4esyAobXdb4wrXER0D3UY1QLFsg5sAhJ
KETzBl6CaRKJr5UaDPNKFELXpRFDN2O1zvmwtdQLPnovw+6fS2lJw/+UeNBcqKpzbu1s5wNm
MuCDkZIbDwSghEw2aAOrhhAMqx8cgO4IqSXO7Q9hbXFbhFrMym5zszkEdfzRe02p4cgUhjQd
0P0pPF+miO5L29CoIjt6MvxBU8VmAaKAgo8d</vt:lpwstr>
  </property>
  <property fmtid="{D5CDD505-2E9C-101B-9397-08002B2CF9AE}" pid="6" name="GSEDS_HWMT_d46a6755">
    <vt:lpwstr>f2456815_mFV3wD85Iik3NspOl3v8r/U1bj0=_8QYrr0VBXClAWKk+6Hn80HCXspgHFj/JFg9O1BpXBfMiva11HBcR1LPywmF+VNaZ0p79/e4Aoueum+cvMbygD/5BdjT/Lg==_c1235641</vt:lpwstr>
  </property>
  <property fmtid="{D5CDD505-2E9C-101B-9397-08002B2CF9AE}" pid="7" name="_2015_ms_pID_7253432">
    <vt:lpwstr>5ugLR8bdu+uEe53lMY0xZYM=</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1666443890</vt:lpwstr>
  </property>
</Properties>
</file>