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b/>
          <w:kern w:val="0"/>
          <w:sz w:val="52"/>
          <w:szCs w:val="52"/>
        </w:rPr>
      </w:pPr>
      <w:r>
        <w:rPr>
          <w:rFonts w:hint="eastAsia" w:ascii="宋体"/>
          <w:b/>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2"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b/>
          <w:kern w:val="0"/>
          <w:sz w:val="52"/>
          <w:szCs w:val="52"/>
        </w:rPr>
      </w:pPr>
      <w:r>
        <w:rPr>
          <w:rFonts w:hint="eastAsia" w:ascii="宋体"/>
          <w:b/>
          <w:kern w:val="0"/>
          <w:sz w:val="52"/>
          <w:szCs w:val="52"/>
        </w:rPr>
        <w:t>台州市政府采购招标文件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kern w:val="0"/>
          <w:sz w:val="32"/>
        </w:rPr>
      </w:pPr>
      <w:r>
        <w:rPr>
          <w:rFonts w:hint="eastAsia" w:ascii="宋体"/>
          <w:b/>
          <w:kern w:val="0"/>
          <w:sz w:val="32"/>
        </w:rPr>
        <w:t>TZCG-202</w:t>
      </w:r>
      <w:r>
        <w:rPr>
          <w:rFonts w:hint="eastAsia" w:ascii="宋体"/>
          <w:b/>
          <w:kern w:val="0"/>
          <w:sz w:val="32"/>
          <w:lang w:val="en-US" w:eastAsia="zh-CN"/>
        </w:rPr>
        <w:t>4</w:t>
      </w:r>
      <w:r>
        <w:rPr>
          <w:rFonts w:hint="eastAsia" w:ascii="宋体"/>
          <w:b/>
          <w:kern w:val="0"/>
          <w:sz w:val="32"/>
        </w:rPr>
        <w:t>-GK</w:t>
      </w:r>
      <w:r>
        <w:rPr>
          <w:rFonts w:hint="eastAsia" w:ascii="宋体"/>
          <w:b/>
          <w:kern w:val="0"/>
          <w:sz w:val="32"/>
          <w:lang w:val="en-US" w:eastAsia="zh-CN"/>
        </w:rPr>
        <w:t>038</w:t>
      </w:r>
      <w:r>
        <w:rPr>
          <w:rFonts w:hint="eastAsia" w:ascii="宋体"/>
          <w:b/>
          <w:kern w:val="0"/>
          <w:sz w:val="32"/>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tabs>
          <w:tab w:val="left" w:pos="5747"/>
        </w:tabs>
        <w:autoSpaceDE w:val="0"/>
        <w:autoSpaceDN w:val="0"/>
        <w:adjustRightInd w:val="0"/>
        <w:spacing w:line="360" w:lineRule="auto"/>
        <w:jc w:val="left"/>
        <w:rPr>
          <w:rFonts w:hint="eastAsia" w:ascii="宋体" w:hAnsi="Times New Roman" w:eastAsia="宋体" w:cs="Times New Roman"/>
          <w:kern w:val="0"/>
          <w:sz w:val="28"/>
          <w:lang w:eastAsia="zh-CN"/>
        </w:rPr>
      </w:pPr>
      <w:r>
        <w:rPr>
          <w:rFonts w:hint="eastAsia" w:ascii="宋体" w:cs="Times New Roman"/>
          <w:kern w:val="0"/>
          <w:sz w:val="28"/>
          <w:lang w:eastAsia="zh-CN"/>
        </w:rPr>
        <w:tab/>
      </w:r>
    </w:p>
    <w:p>
      <w:pPr>
        <w:autoSpaceDE w:val="0"/>
        <w:autoSpaceDN w:val="0"/>
        <w:adjustRightInd w:val="0"/>
        <w:spacing w:line="360" w:lineRule="auto"/>
        <w:jc w:val="center"/>
        <w:rPr>
          <w:rFonts w:hint="eastAsia" w:ascii="宋体" w:hAnsi="Times New Roman" w:eastAsia="宋体" w:cs="Times New Roman"/>
          <w:kern w:val="0"/>
          <w:sz w:val="28"/>
        </w:rPr>
      </w:pPr>
      <w:r>
        <w:rPr>
          <w:rFonts w:hint="eastAsia" w:ascii="宋体" w:hAnsi="Times New Roman" w:eastAsia="宋体" w:cs="Times New Roman"/>
          <w:kern w:val="0"/>
          <w:sz w:val="28"/>
        </w:rPr>
        <w:t>采购项目：台州市自然灾害应急能力提升工程基层防灾项目</w:t>
      </w:r>
    </w:p>
    <w:p>
      <w:pPr>
        <w:autoSpaceDE w:val="0"/>
        <w:autoSpaceDN w:val="0"/>
        <w:adjustRightInd w:val="0"/>
        <w:spacing w:line="360" w:lineRule="auto"/>
        <w:jc w:val="center"/>
        <w:rPr>
          <w:rFonts w:hint="eastAsia" w:ascii="宋体" w:hAnsi="Times New Roman" w:eastAsia="宋体" w:cs="Times New Roman"/>
          <w:kern w:val="0"/>
          <w:sz w:val="28"/>
          <w:lang w:val="en-US" w:eastAsia="zh-CN"/>
        </w:rPr>
      </w:pPr>
      <w:r>
        <w:rPr>
          <w:rFonts w:hint="eastAsia" w:ascii="宋体" w:hAnsi="Times New Roman" w:eastAsia="宋体" w:cs="Times New Roman"/>
          <w:kern w:val="0"/>
          <w:sz w:val="28"/>
          <w:lang w:eastAsia="zh-CN"/>
        </w:rPr>
        <w:t>（</w:t>
      </w:r>
      <w:r>
        <w:rPr>
          <w:rFonts w:hint="eastAsia" w:ascii="宋体" w:cs="Times New Roman"/>
          <w:kern w:val="0"/>
          <w:sz w:val="28"/>
          <w:lang w:eastAsia="zh-CN"/>
        </w:rPr>
        <w:t>侦检</w:t>
      </w:r>
      <w:r>
        <w:rPr>
          <w:rFonts w:hint="eastAsia" w:ascii="宋体" w:hAnsi="Times New Roman" w:eastAsia="宋体" w:cs="Times New Roman"/>
          <w:kern w:val="0"/>
          <w:sz w:val="28"/>
        </w:rPr>
        <w:t>仪器呼吸器类</w:t>
      </w:r>
      <w:r>
        <w:rPr>
          <w:rFonts w:hint="eastAsia" w:ascii="宋体" w:cs="Times New Roman"/>
          <w:kern w:val="0"/>
          <w:sz w:val="28"/>
          <w:lang w:eastAsia="zh-CN"/>
        </w:rPr>
        <w:t>设备</w:t>
      </w:r>
      <w:r>
        <w:rPr>
          <w:rFonts w:hint="eastAsia" w:ascii="宋体" w:hAnsi="Times New Roman" w:eastAsia="宋体" w:cs="Times New Roman"/>
          <w:kern w:val="0"/>
          <w:sz w:val="28"/>
          <w:lang w:eastAsia="zh-CN"/>
        </w:rPr>
        <w:t>）</w:t>
      </w:r>
    </w:p>
    <w:p>
      <w:pPr>
        <w:autoSpaceDE w:val="0"/>
        <w:autoSpaceDN w:val="0"/>
        <w:adjustRightInd w:val="0"/>
        <w:spacing w:line="360" w:lineRule="auto"/>
        <w:jc w:val="center"/>
        <w:rPr>
          <w:rFonts w:hint="eastAsia" w:ascii="宋体" w:hAnsi="Times New Roman" w:eastAsia="宋体" w:cs="Times New Roman"/>
          <w:kern w:val="0"/>
          <w:sz w:val="28"/>
        </w:rPr>
      </w:pPr>
      <w:r>
        <w:rPr>
          <w:rFonts w:hint="eastAsia" w:ascii="宋体" w:hAnsi="Times New Roman" w:eastAsia="宋体" w:cs="Times New Roman"/>
          <w:kern w:val="0"/>
          <w:sz w:val="28"/>
        </w:rPr>
        <w:t>采 购 人：台州市应急管理局</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rPr>
        <w:t>台州市政府采购中心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rPr>
        <w:t>202</w:t>
      </w:r>
      <w:r>
        <w:rPr>
          <w:rFonts w:hint="eastAsia" w:ascii="宋体" w:hAnsi="宋体" w:cs="宋体"/>
          <w:kern w:val="0"/>
          <w:sz w:val="28"/>
          <w:szCs w:val="28"/>
          <w:lang w:val="en-US" w:eastAsia="zh-CN"/>
        </w:rPr>
        <w:t>4</w:t>
      </w:r>
      <w:r>
        <w:rPr>
          <w:rFonts w:hint="eastAsia" w:ascii="宋体" w:hAnsi="宋体" w:cs="宋体"/>
          <w:kern w:val="0"/>
          <w:sz w:val="28"/>
          <w:szCs w:val="28"/>
        </w:rPr>
        <w:t xml:space="preserve">年 </w:t>
      </w:r>
      <w:r>
        <w:rPr>
          <w:rFonts w:hint="eastAsia" w:ascii="宋体" w:hAnsi="宋体" w:cs="宋体"/>
          <w:kern w:val="0"/>
          <w:sz w:val="28"/>
          <w:szCs w:val="28"/>
          <w:lang w:val="en-US" w:eastAsia="zh-CN"/>
        </w:rPr>
        <w:t xml:space="preserve">6 </w:t>
      </w:r>
      <w:r>
        <w:rPr>
          <w:rFonts w:hint="eastAsia" w:ascii="宋体" w:hAnsi="宋体" w:cs="宋体"/>
          <w:kern w:val="0"/>
          <w:sz w:val="28"/>
          <w:szCs w:val="28"/>
        </w:rPr>
        <w:t xml:space="preserve">月 </w:t>
      </w:r>
      <w:r>
        <w:rPr>
          <w:rFonts w:hint="eastAsia" w:ascii="宋体" w:hAnsi="宋体" w:cs="宋体"/>
          <w:kern w:val="0"/>
          <w:sz w:val="28"/>
          <w:szCs w:val="28"/>
          <w:lang w:val="en-US" w:eastAsia="zh-CN"/>
        </w:rPr>
        <w:t xml:space="preserve">21 </w:t>
      </w:r>
      <w:r>
        <w:rPr>
          <w:rFonts w:hint="eastAsia" w:ascii="宋体" w:hAnsi="宋体" w:cs="宋体"/>
          <w:kern w:val="0"/>
          <w:sz w:val="28"/>
          <w:szCs w:val="28"/>
        </w:rPr>
        <w:t>日</w:t>
      </w:r>
    </w:p>
    <w:p>
      <w:pPr>
        <w:spacing w:line="360" w:lineRule="auto"/>
      </w:pPr>
    </w:p>
    <w:p>
      <w:pPr>
        <w:pStyle w:val="21"/>
      </w:pPr>
    </w:p>
    <w:p>
      <w:pPr>
        <w:pStyle w:val="21"/>
      </w:pPr>
    </w:p>
    <w:p>
      <w:pPr>
        <w:pStyle w:val="21"/>
      </w:pPr>
    </w:p>
    <w:p>
      <w:pPr>
        <w:pStyle w:val="21"/>
      </w:pPr>
    </w:p>
    <w:p>
      <w:pPr>
        <w:pStyle w:val="21"/>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pPr>
            <w:spacing w:line="480" w:lineRule="auto"/>
            <w:rPr>
              <w:rFonts w:ascii="宋体" w:hAnsi="宋体"/>
              <w:kern w:val="0"/>
              <w:sz w:val="28"/>
              <w:szCs w:val="28"/>
            </w:rPr>
          </w:pPr>
          <w:bookmarkStart w:id="0" w:name="_Toc25017_WPSOffice_Type1"/>
        </w:p>
        <w:p>
          <w:pPr>
            <w:pStyle w:val="21"/>
          </w:pPr>
        </w:p>
        <w:p>
          <w:pPr>
            <w:spacing w:line="480" w:lineRule="auto"/>
            <w:jc w:val="center"/>
            <w:rPr>
              <w:rFonts w:ascii="宋体" w:hAnsi="宋体"/>
              <w:b/>
              <w:bCs/>
              <w:sz w:val="36"/>
              <w:szCs w:val="36"/>
            </w:rPr>
          </w:pPr>
          <w:r>
            <w:rPr>
              <w:rFonts w:hint="eastAsia" w:ascii="宋体" w:hAnsi="宋体"/>
              <w:b/>
              <w:bCs/>
              <w:sz w:val="36"/>
              <w:szCs w:val="36"/>
            </w:rPr>
            <w:t>目  录</w:t>
          </w:r>
        </w:p>
        <w:p>
          <w:pPr>
            <w:pStyle w:val="16"/>
            <w:tabs>
              <w:tab w:val="right" w:leader="dot" w:pos="8620"/>
            </w:tabs>
            <w:rPr>
              <w:rFonts w:eastAsiaTheme="minorEastAsia" w:cstheme="minorBidi"/>
              <w:sz w:val="28"/>
              <w:szCs w:val="28"/>
            </w:rPr>
          </w:pPr>
          <w:r>
            <w:fldChar w:fldCharType="begin"/>
          </w:r>
          <w:r>
            <w:instrText xml:space="preserve"> HYPERLINK \l "_Toc4350_WPSOffice_Level1" </w:instrText>
          </w:r>
          <w:r>
            <w:fldChar w:fldCharType="separate"/>
          </w:r>
          <w:r>
            <w:rPr>
              <w:rFonts w:hint="eastAsia" w:eastAsiaTheme="minorEastAsia" w:cstheme="minorBidi"/>
              <w:sz w:val="28"/>
              <w:szCs w:val="28"/>
            </w:rPr>
            <w:t>第一章 投标邀请</w:t>
          </w:r>
          <w:r>
            <w:rPr>
              <w:rFonts w:hint="eastAsia" w:eastAsiaTheme="minorEastAsia" w:cstheme="minorBidi"/>
              <w:sz w:val="28"/>
              <w:szCs w:val="28"/>
            </w:rPr>
            <w:tab/>
          </w:r>
          <w:bookmarkStart w:id="1" w:name="_Toc4350_WPSOffice_Level1Page"/>
          <w:r>
            <w:rPr>
              <w:rFonts w:hint="eastAsia" w:eastAsiaTheme="minorEastAsia" w:cstheme="minorBidi"/>
              <w:sz w:val="28"/>
              <w:szCs w:val="28"/>
            </w:rPr>
            <w:t>3</w:t>
          </w:r>
          <w:bookmarkEnd w:id="1"/>
          <w:r>
            <w:rPr>
              <w:rFonts w:hint="eastAsia" w:eastAsiaTheme="minorEastAsia" w:cstheme="minorBidi"/>
              <w:sz w:val="28"/>
              <w:szCs w:val="28"/>
            </w:rPr>
            <w:fldChar w:fldCharType="end"/>
          </w:r>
        </w:p>
        <w:p>
          <w:pPr>
            <w:pStyle w:val="16"/>
            <w:tabs>
              <w:tab w:val="right" w:leader="dot" w:pos="8620"/>
            </w:tabs>
            <w:rPr>
              <w:rFonts w:eastAsiaTheme="minorEastAsia" w:cstheme="minorBidi"/>
              <w:sz w:val="28"/>
              <w:szCs w:val="28"/>
            </w:rPr>
          </w:pPr>
          <w:r>
            <w:fldChar w:fldCharType="begin"/>
          </w:r>
          <w:r>
            <w:instrText xml:space="preserve"> HYPERLINK \l "_Toc25017_WPSOffice_Level1" </w:instrText>
          </w:r>
          <w:r>
            <w:fldChar w:fldCharType="separate"/>
          </w:r>
          <w:r>
            <w:rPr>
              <w:rFonts w:hint="eastAsia" w:eastAsiaTheme="minorEastAsia" w:cstheme="minorBidi"/>
              <w:sz w:val="28"/>
              <w:szCs w:val="28"/>
            </w:rPr>
            <w:t>第二章 投标人须知</w:t>
          </w:r>
          <w:r>
            <w:rPr>
              <w:rFonts w:hint="eastAsia"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6"/>
            <w:tabs>
              <w:tab w:val="right" w:leader="dot" w:pos="8620"/>
            </w:tabs>
            <w:rPr>
              <w:rFonts w:eastAsiaTheme="minorEastAsia" w:cstheme="minorBidi"/>
              <w:sz w:val="28"/>
              <w:szCs w:val="28"/>
            </w:rPr>
          </w:pPr>
          <w:r>
            <w:fldChar w:fldCharType="begin"/>
          </w:r>
          <w:r>
            <w:instrText xml:space="preserve"> HYPERLINK \l "_Toc13072_WPSOffice_Level1" </w:instrText>
          </w:r>
          <w:r>
            <w:fldChar w:fldCharType="separate"/>
          </w:r>
          <w:r>
            <w:rPr>
              <w:rFonts w:hint="eastAsia" w:eastAsiaTheme="minorEastAsia" w:cstheme="minorBidi"/>
              <w:sz w:val="28"/>
              <w:szCs w:val="28"/>
            </w:rPr>
            <w:t>第三章 招标需求</w:t>
          </w:r>
          <w:r>
            <w:rPr>
              <w:rFonts w:hint="eastAsia"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4</w:t>
          </w:r>
        </w:p>
        <w:p>
          <w:pPr>
            <w:pStyle w:val="16"/>
            <w:tabs>
              <w:tab w:val="right" w:leader="dot" w:pos="8620"/>
            </w:tabs>
            <w:rPr>
              <w:rFonts w:eastAsiaTheme="minorEastAsia" w:cstheme="minorBidi"/>
              <w:sz w:val="28"/>
              <w:szCs w:val="28"/>
            </w:rPr>
          </w:pPr>
          <w:r>
            <w:fldChar w:fldCharType="begin"/>
          </w:r>
          <w:r>
            <w:instrText xml:space="preserve"> HYPERLINK \l "_Toc31173_WPSOffice_Level1" </w:instrText>
          </w:r>
          <w:r>
            <w:fldChar w:fldCharType="separate"/>
          </w:r>
          <w:r>
            <w:rPr>
              <w:rFonts w:hint="eastAsia" w:eastAsiaTheme="minorEastAsia" w:cstheme="minorBidi"/>
              <w:sz w:val="28"/>
              <w:szCs w:val="28"/>
            </w:rPr>
            <w:t>第四章 评标</w:t>
          </w:r>
          <w:r>
            <w:rPr>
              <w:rFonts w:hint="eastAsia" w:eastAsiaTheme="minorEastAsia" w:cstheme="minorBidi"/>
              <w:sz w:val="28"/>
              <w:szCs w:val="28"/>
            </w:rPr>
            <w:tab/>
          </w:r>
          <w:bookmarkStart w:id="2" w:name="_Toc31173_WPSOffice_Level1Page"/>
          <w:r>
            <w:rPr>
              <w:rFonts w:hint="eastAsia" w:eastAsiaTheme="minorEastAsia" w:cstheme="minorBidi"/>
              <w:sz w:val="28"/>
              <w:szCs w:val="28"/>
            </w:rPr>
            <w:t>22</w:t>
          </w:r>
          <w:bookmarkEnd w:id="2"/>
          <w:r>
            <w:rPr>
              <w:rFonts w:hint="eastAsia" w:eastAsiaTheme="minorEastAsia" w:cstheme="minorBidi"/>
              <w:sz w:val="28"/>
              <w:szCs w:val="28"/>
            </w:rPr>
            <w:fldChar w:fldCharType="end"/>
          </w:r>
        </w:p>
        <w:p>
          <w:pPr>
            <w:pStyle w:val="16"/>
            <w:tabs>
              <w:tab w:val="right" w:leader="dot" w:pos="8620"/>
            </w:tabs>
            <w:rPr>
              <w:rFonts w:eastAsiaTheme="minorEastAsia" w:cstheme="minorBidi"/>
              <w:sz w:val="28"/>
              <w:szCs w:val="28"/>
            </w:rPr>
          </w:pPr>
          <w:r>
            <w:fldChar w:fldCharType="begin"/>
          </w:r>
          <w:r>
            <w:instrText xml:space="preserve"> HYPERLINK \l "_Toc27944_WPSOffice_Level1" </w:instrText>
          </w:r>
          <w:r>
            <w:fldChar w:fldCharType="separate"/>
          </w:r>
          <w:r>
            <w:rPr>
              <w:rFonts w:hint="eastAsia" w:eastAsiaTheme="minorEastAsia" w:cstheme="minorBidi"/>
              <w:sz w:val="28"/>
              <w:szCs w:val="28"/>
            </w:rPr>
            <w:t>第五章 拟签订的合同文本</w:t>
          </w:r>
          <w:r>
            <w:rPr>
              <w:rFonts w:hint="eastAsia" w:eastAsiaTheme="minorEastAsia" w:cstheme="minorBidi"/>
              <w:sz w:val="28"/>
              <w:szCs w:val="28"/>
            </w:rPr>
            <w:tab/>
          </w:r>
          <w:bookmarkStart w:id="3" w:name="_Toc27944_WPSOffice_Level1Page"/>
          <w:r>
            <w:rPr>
              <w:rFonts w:hint="eastAsia" w:eastAsiaTheme="minorEastAsia" w:cstheme="minorBidi"/>
              <w:sz w:val="28"/>
              <w:szCs w:val="28"/>
            </w:rPr>
            <w:t>35</w:t>
          </w:r>
          <w:bookmarkEnd w:id="3"/>
          <w:r>
            <w:rPr>
              <w:rFonts w:hint="eastAsia" w:eastAsiaTheme="minorEastAsia" w:cstheme="minorBidi"/>
              <w:sz w:val="28"/>
              <w:szCs w:val="28"/>
            </w:rPr>
            <w:fldChar w:fldCharType="end"/>
          </w:r>
        </w:p>
        <w:p>
          <w:pPr>
            <w:pStyle w:val="16"/>
            <w:tabs>
              <w:tab w:val="right" w:leader="dot" w:pos="8620"/>
            </w:tabs>
          </w:pPr>
          <w:r>
            <w:fldChar w:fldCharType="begin"/>
          </w:r>
          <w:r>
            <w:instrText xml:space="preserve"> HYPERLINK \l "_Toc5481_WPSOffice_Level1" </w:instrText>
          </w:r>
          <w:r>
            <w:fldChar w:fldCharType="separate"/>
          </w:r>
          <w:r>
            <w:rPr>
              <w:rFonts w:hint="eastAsia" w:eastAsiaTheme="minorEastAsia" w:cstheme="minorBidi"/>
              <w:sz w:val="28"/>
              <w:szCs w:val="28"/>
            </w:rPr>
            <w:t>第六章 投标文件格式</w:t>
          </w:r>
          <w:r>
            <w:rPr>
              <w:rFonts w:hint="eastAsia" w:eastAsiaTheme="minorEastAsia" w:cstheme="minorBidi"/>
              <w:sz w:val="28"/>
              <w:szCs w:val="28"/>
            </w:rPr>
            <w:tab/>
          </w:r>
          <w:bookmarkStart w:id="4" w:name="_Toc5481_WPSOffice_Level1Page"/>
          <w:r>
            <w:rPr>
              <w:rFonts w:hint="eastAsia" w:eastAsiaTheme="minorEastAsia" w:cstheme="minorBidi"/>
              <w:sz w:val="28"/>
              <w:szCs w:val="28"/>
            </w:rPr>
            <w:t>41</w:t>
          </w:r>
          <w:bookmarkEnd w:id="4"/>
          <w:r>
            <w:rPr>
              <w:rFonts w:hint="eastAsia" w:eastAsiaTheme="minorEastAsia" w:cstheme="minorBidi"/>
              <w:sz w:val="28"/>
              <w:szCs w:val="28"/>
            </w:rPr>
            <w:fldChar w:fldCharType="end"/>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sz w:val="36"/>
          <w:szCs w:val="36"/>
        </w:rPr>
      </w:pPr>
      <w:bookmarkStart w:id="5" w:name="_Toc4350_WPSOffice_Level1"/>
      <w:r>
        <w:rPr>
          <w:rFonts w:hint="eastAsia" w:ascii="宋体" w:hAnsi="宋体" w:cs="宋体"/>
          <w:b/>
          <w:kern w:val="0"/>
          <w:sz w:val="36"/>
          <w:szCs w:val="36"/>
          <w:lang w:val="en-US" w:eastAsia="zh-CN"/>
        </w:rPr>
        <w:t xml:space="preserve"> </w:t>
      </w:r>
      <w:r>
        <w:rPr>
          <w:rFonts w:hint="eastAsia" w:ascii="宋体" w:hAnsi="宋体" w:cs="宋体"/>
          <w:b/>
          <w:kern w:val="0"/>
          <w:sz w:val="36"/>
          <w:szCs w:val="36"/>
        </w:rPr>
        <w:t>投标邀请</w:t>
      </w:r>
      <w:bookmarkEnd w:id="5"/>
    </w:p>
    <w:p>
      <w:pPr>
        <w:autoSpaceDE w:val="0"/>
        <w:autoSpaceDN w:val="0"/>
        <w:adjustRightInd w:val="0"/>
        <w:spacing w:line="360" w:lineRule="auto"/>
        <w:ind w:firstLine="420" w:firstLineChars="0"/>
        <w:jc w:val="left"/>
        <w:rPr>
          <w:rFonts w:hint="eastAsia" w:ascii="宋体" w:hAnsi="宋体" w:cs="宋体"/>
          <w:sz w:val="24"/>
        </w:rPr>
      </w:pPr>
      <w:bookmarkStart w:id="6" w:name="_Toc35393621"/>
      <w:bookmarkStart w:id="7" w:name="_Toc28359002"/>
      <w:bookmarkStart w:id="8" w:name="_Toc28359079"/>
      <w:bookmarkStart w:id="9" w:name="_Toc35393790"/>
      <w:bookmarkStart w:id="10" w:name="_Hlk24379207"/>
      <w:r>
        <w:rPr>
          <w:rFonts w:hint="eastAsia" w:ascii="宋体" w:hAnsi="宋体" w:cs="宋体"/>
          <w:sz w:val="24"/>
        </w:rPr>
        <w:t>台州市政府采购中心受台州市应急管理局委托，就台州市自然灾害应急能力提升工程基层防灾项目</w:t>
      </w:r>
      <w:r>
        <w:rPr>
          <w:rFonts w:hint="eastAsia" w:ascii="宋体" w:hAnsi="宋体" w:cs="宋体"/>
          <w:sz w:val="24"/>
          <w:lang w:eastAsia="zh-CN"/>
        </w:rPr>
        <w:t>（侦检</w:t>
      </w:r>
      <w:r>
        <w:rPr>
          <w:rFonts w:hint="eastAsia" w:ascii="宋体" w:hAnsi="宋体" w:cs="宋体"/>
          <w:sz w:val="24"/>
        </w:rPr>
        <w:t>仪器呼吸器类</w:t>
      </w:r>
      <w:r>
        <w:rPr>
          <w:rFonts w:hint="eastAsia" w:ascii="宋体" w:hAnsi="宋体" w:cs="宋体"/>
          <w:sz w:val="24"/>
          <w:lang w:eastAsia="zh-CN"/>
        </w:rPr>
        <w:t>设备）</w:t>
      </w:r>
      <w:r>
        <w:rPr>
          <w:rFonts w:hint="eastAsia" w:ascii="宋体" w:hAnsi="宋体" w:cs="宋体"/>
          <w:sz w:val="24"/>
        </w:rPr>
        <w:t>进行公开招标，欢迎符合资格条件的国内投标人参加投标。</w:t>
      </w:r>
    </w:p>
    <w:p>
      <w:pPr>
        <w:tabs>
          <w:tab w:val="left" w:pos="8280"/>
        </w:tabs>
        <w:ind w:firstLine="482" w:firstLineChars="200"/>
        <w:outlineLvl w:val="9"/>
        <w:rPr>
          <w:rFonts w:cs="宋体"/>
          <w:b/>
          <w:bCs w:val="0"/>
          <w:sz w:val="24"/>
          <w:szCs w:val="24"/>
        </w:rPr>
      </w:pPr>
      <w:r>
        <w:rPr>
          <w:rFonts w:hint="eastAsia" w:cs="宋体"/>
          <w:b/>
          <w:bCs w:val="0"/>
          <w:sz w:val="24"/>
          <w:szCs w:val="24"/>
        </w:rPr>
        <w:t>一、项目基本情况</w:t>
      </w:r>
      <w:bookmarkEnd w:id="6"/>
      <w:bookmarkEnd w:id="7"/>
      <w:bookmarkEnd w:id="8"/>
      <w:bookmarkEnd w:id="9"/>
    </w:p>
    <w:p>
      <w:pPr>
        <w:spacing w:line="360" w:lineRule="auto"/>
        <w:ind w:firstLine="480" w:firstLineChars="200"/>
        <w:rPr>
          <w:rFonts w:ascii="宋体" w:hAnsi="宋体" w:cs="宋体"/>
          <w:sz w:val="24"/>
        </w:rPr>
      </w:pPr>
      <w:r>
        <w:rPr>
          <w:rFonts w:hint="eastAsia" w:ascii="宋体" w:hAnsi="宋体" w:cs="宋体"/>
          <w:sz w:val="24"/>
        </w:rPr>
        <w:t>项目编号：TZCG-20</w:t>
      </w:r>
      <w:r>
        <w:rPr>
          <w:rFonts w:hint="eastAsia" w:ascii="宋体" w:hAnsi="宋体" w:cs="宋体"/>
          <w:sz w:val="24"/>
          <w:lang w:val="en-US" w:eastAsia="zh-CN"/>
        </w:rPr>
        <w:t>24</w:t>
      </w:r>
      <w:r>
        <w:rPr>
          <w:rFonts w:hint="eastAsia" w:ascii="宋体" w:hAnsi="宋体" w:cs="宋体"/>
          <w:sz w:val="24"/>
        </w:rPr>
        <w:t>-GK0</w:t>
      </w:r>
      <w:r>
        <w:rPr>
          <w:rFonts w:hint="eastAsia" w:ascii="宋体" w:hAnsi="宋体" w:cs="宋体"/>
          <w:sz w:val="24"/>
          <w:lang w:val="en-US" w:eastAsia="zh-CN"/>
        </w:rPr>
        <w:t>38</w:t>
      </w:r>
      <w:r>
        <w:rPr>
          <w:rFonts w:hint="eastAsia" w:asciiTheme="minorEastAsia" w:hAnsiTheme="minorEastAsia" w:eastAsiaTheme="minorEastAsia" w:cstheme="minorEastAsia"/>
          <w:sz w:val="24"/>
        </w:rPr>
        <w:t>号</w:t>
      </w:r>
    </w:p>
    <w:bookmarkEnd w:id="10"/>
    <w:p>
      <w:pPr>
        <w:spacing w:line="360" w:lineRule="auto"/>
        <w:ind w:firstLine="480" w:firstLineChars="200"/>
        <w:rPr>
          <w:rFonts w:hint="default" w:ascii="宋体" w:hAnsi="宋体" w:cs="宋体"/>
          <w:sz w:val="24"/>
          <w:lang w:val="en-US"/>
        </w:rPr>
      </w:pPr>
      <w:r>
        <w:rPr>
          <w:rFonts w:hint="eastAsia" w:ascii="宋体" w:hAnsi="宋体" w:cs="宋体"/>
          <w:sz w:val="24"/>
        </w:rPr>
        <w:t>项目名称：台州市自然灾害应急能力提升工程基层防灾项目</w:t>
      </w:r>
      <w:r>
        <w:rPr>
          <w:rFonts w:hint="eastAsia" w:ascii="宋体" w:hAnsi="宋体" w:cs="宋体"/>
          <w:sz w:val="24"/>
          <w:lang w:eastAsia="zh-CN"/>
        </w:rPr>
        <w:t>（侦检</w:t>
      </w:r>
      <w:r>
        <w:rPr>
          <w:rFonts w:hint="eastAsia" w:ascii="宋体" w:hAnsi="宋体" w:cs="宋体"/>
          <w:sz w:val="24"/>
        </w:rPr>
        <w:t>仪器呼吸器类</w:t>
      </w:r>
      <w:r>
        <w:rPr>
          <w:rFonts w:hint="eastAsia" w:ascii="宋体" w:hAnsi="宋体" w:cs="宋体"/>
          <w:sz w:val="24"/>
          <w:lang w:eastAsia="zh-CN"/>
        </w:rPr>
        <w:t>设备）</w:t>
      </w:r>
    </w:p>
    <w:tbl>
      <w:tblPr>
        <w:tblStyle w:val="22"/>
        <w:tblpPr w:leftFromText="181" w:rightFromText="181" w:bottomFromText="170" w:vertAnchor="text" w:tblpXSpec="center" w:tblpY="1"/>
        <w:tblOverlap w:val="never"/>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149"/>
        <w:gridCol w:w="800"/>
        <w:gridCol w:w="914"/>
        <w:gridCol w:w="1750"/>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22"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标项号</w:t>
            </w:r>
          </w:p>
        </w:tc>
        <w:tc>
          <w:tcPr>
            <w:tcW w:w="2149" w:type="dxa"/>
            <w:vAlign w:val="center"/>
          </w:tcPr>
          <w:p>
            <w:pPr>
              <w:tabs>
                <w:tab w:val="left" w:pos="8280"/>
              </w:tabs>
              <w:autoSpaceDE w:val="0"/>
              <w:autoSpaceDN w:val="0"/>
              <w:adjustRightInd w:val="0"/>
              <w:ind w:firstLine="105" w:firstLineChars="50"/>
              <w:jc w:val="center"/>
              <w:rPr>
                <w:rFonts w:ascii="宋体" w:hAnsi="宋体" w:cs="宋体"/>
                <w:b/>
                <w:szCs w:val="21"/>
              </w:rPr>
            </w:pPr>
            <w:r>
              <w:rPr>
                <w:rFonts w:hint="eastAsia" w:ascii="宋体" w:hAnsi="宋体" w:cs="宋体"/>
                <w:b/>
                <w:szCs w:val="21"/>
              </w:rPr>
              <w:t>标项名称</w:t>
            </w:r>
          </w:p>
        </w:tc>
        <w:tc>
          <w:tcPr>
            <w:tcW w:w="800"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kern w:val="0"/>
                <w:szCs w:val="21"/>
              </w:rPr>
              <w:t>数量</w:t>
            </w:r>
          </w:p>
        </w:tc>
        <w:tc>
          <w:tcPr>
            <w:tcW w:w="914"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单位</w:t>
            </w:r>
          </w:p>
        </w:tc>
        <w:tc>
          <w:tcPr>
            <w:tcW w:w="1750" w:type="dxa"/>
            <w:vAlign w:val="center"/>
          </w:tcPr>
          <w:p>
            <w:pPr>
              <w:tabs>
                <w:tab w:val="left" w:pos="8280"/>
              </w:tabs>
              <w:autoSpaceDE w:val="0"/>
              <w:autoSpaceDN w:val="0"/>
              <w:adjustRightInd w:val="0"/>
              <w:jc w:val="center"/>
              <w:rPr>
                <w:rFonts w:hint="eastAsia" w:ascii="宋体" w:hAnsi="宋体"/>
                <w:b/>
                <w:szCs w:val="21"/>
              </w:rPr>
            </w:pPr>
            <w:r>
              <w:rPr>
                <w:rFonts w:hint="eastAsia" w:ascii="宋体" w:hAnsi="宋体"/>
                <w:b/>
                <w:szCs w:val="21"/>
              </w:rPr>
              <w:t>总预算</w:t>
            </w:r>
          </w:p>
          <w:p>
            <w:pPr>
              <w:tabs>
                <w:tab w:val="left" w:pos="8280"/>
              </w:tabs>
              <w:autoSpaceDE w:val="0"/>
              <w:autoSpaceDN w:val="0"/>
              <w:adjustRightInd w:val="0"/>
              <w:jc w:val="center"/>
              <w:rPr>
                <w:rFonts w:ascii="宋体" w:hAnsi="宋体" w:cs="宋体"/>
                <w:b/>
                <w:szCs w:val="21"/>
              </w:rPr>
            </w:pPr>
            <w:r>
              <w:rPr>
                <w:rFonts w:hint="eastAsia" w:ascii="宋体" w:hAnsi="宋体"/>
                <w:b/>
                <w:szCs w:val="21"/>
              </w:rPr>
              <w:t>（万元）</w:t>
            </w:r>
          </w:p>
        </w:tc>
        <w:tc>
          <w:tcPr>
            <w:tcW w:w="1861" w:type="dxa"/>
            <w:vAlign w:val="center"/>
          </w:tcPr>
          <w:p>
            <w:pPr>
              <w:tabs>
                <w:tab w:val="left" w:pos="8280"/>
              </w:tabs>
              <w:autoSpaceDE w:val="0"/>
              <w:autoSpaceDN w:val="0"/>
              <w:adjustRightInd w:val="0"/>
              <w:jc w:val="center"/>
              <w:rPr>
                <w:rFonts w:hint="eastAsia" w:ascii="宋体" w:hAnsi="宋体"/>
                <w:b/>
                <w:szCs w:val="21"/>
                <w:lang w:val="en-US" w:eastAsia="zh-CN"/>
              </w:rPr>
            </w:pPr>
            <w:r>
              <w:rPr>
                <w:rFonts w:hint="eastAsia" w:ascii="宋体" w:hAnsi="宋体"/>
                <w:b/>
                <w:szCs w:val="21"/>
                <w:lang w:val="en-US" w:eastAsia="zh-CN"/>
              </w:rPr>
              <w:t>最高限价</w:t>
            </w:r>
          </w:p>
          <w:p>
            <w:pPr>
              <w:tabs>
                <w:tab w:val="left" w:pos="8280"/>
              </w:tabs>
              <w:autoSpaceDE w:val="0"/>
              <w:autoSpaceDN w:val="0"/>
              <w:adjustRightInd w:val="0"/>
              <w:jc w:val="center"/>
              <w:rPr>
                <w:rFonts w:ascii="宋体" w:hAnsi="宋体" w:cs="宋体"/>
                <w:b/>
                <w:szCs w:val="21"/>
              </w:rPr>
            </w:pPr>
            <w:r>
              <w:rPr>
                <w:rFonts w:hint="eastAsia" w:ascii="宋体" w:hAnsi="宋体"/>
                <w:b/>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22" w:type="dxa"/>
            <w:vAlign w:val="center"/>
          </w:tcPr>
          <w:p>
            <w:pPr>
              <w:tabs>
                <w:tab w:val="left" w:pos="8280"/>
              </w:tabs>
              <w:autoSpaceDE w:val="0"/>
              <w:autoSpaceDN w:val="0"/>
              <w:adjustRightInd w:val="0"/>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1</w:t>
            </w:r>
          </w:p>
        </w:tc>
        <w:tc>
          <w:tcPr>
            <w:tcW w:w="2149" w:type="dxa"/>
            <w:vAlign w:val="center"/>
          </w:tcPr>
          <w:p>
            <w:pPr>
              <w:tabs>
                <w:tab w:val="left" w:pos="8280"/>
              </w:tabs>
              <w:autoSpaceDE w:val="0"/>
              <w:autoSpaceDN w:val="0"/>
              <w:adjustRightInd w:val="0"/>
              <w:jc w:val="center"/>
              <w:rPr>
                <w:rFonts w:hint="eastAsia" w:ascii="Times New Roman" w:hAnsi="Times New Roman" w:eastAsia="宋体" w:cs="Times New Roman"/>
                <w:bCs/>
                <w:sz w:val="24"/>
                <w:lang w:val="en-US" w:eastAsia="zh-CN"/>
              </w:rPr>
            </w:pPr>
            <w:r>
              <w:rPr>
                <w:rFonts w:hint="eastAsia" w:ascii="宋体" w:hAnsi="宋体" w:cs="宋体"/>
                <w:kern w:val="0"/>
                <w:sz w:val="24"/>
                <w:lang w:eastAsia="zh-CN"/>
              </w:rPr>
              <w:t>侦检</w:t>
            </w:r>
            <w:r>
              <w:rPr>
                <w:rFonts w:hint="eastAsia" w:ascii="宋体" w:hAnsi="宋体" w:cs="宋体"/>
                <w:kern w:val="0"/>
                <w:sz w:val="24"/>
              </w:rPr>
              <w:t>仪器呼吸器</w:t>
            </w:r>
            <w:r>
              <w:rPr>
                <w:rFonts w:hint="eastAsia" w:ascii="宋体" w:hAnsi="宋体" w:cs="宋体"/>
                <w:kern w:val="0"/>
                <w:sz w:val="24"/>
                <w:lang w:eastAsia="zh-CN"/>
              </w:rPr>
              <w:t>类</w:t>
            </w:r>
            <w:r>
              <w:rPr>
                <w:rFonts w:hint="eastAsia" w:ascii="宋体" w:hAnsi="宋体" w:cs="宋体"/>
                <w:kern w:val="0"/>
                <w:sz w:val="24"/>
                <w:lang w:val="en-US" w:eastAsia="zh-CN"/>
              </w:rPr>
              <w:t>设备</w:t>
            </w:r>
          </w:p>
        </w:tc>
        <w:tc>
          <w:tcPr>
            <w:tcW w:w="800" w:type="dxa"/>
            <w:vAlign w:val="center"/>
          </w:tcPr>
          <w:p>
            <w:pPr>
              <w:tabs>
                <w:tab w:val="left" w:pos="8280"/>
              </w:tabs>
              <w:autoSpaceDE w:val="0"/>
              <w:autoSpaceDN w:val="0"/>
              <w:adjustRightInd w:val="0"/>
              <w:jc w:val="center"/>
              <w:rPr>
                <w:rFonts w:hint="eastAsia" w:ascii="宋体" w:hAnsi="宋体" w:cs="宋体"/>
                <w:sz w:val="24"/>
              </w:rPr>
            </w:pPr>
            <w:r>
              <w:rPr>
                <w:rFonts w:hint="eastAsia" w:ascii="宋体" w:hAnsi="宋体" w:cs="宋体"/>
                <w:sz w:val="24"/>
              </w:rPr>
              <w:t>1</w:t>
            </w:r>
          </w:p>
        </w:tc>
        <w:tc>
          <w:tcPr>
            <w:tcW w:w="914" w:type="dxa"/>
            <w:vAlign w:val="center"/>
          </w:tcPr>
          <w:p>
            <w:pPr>
              <w:tabs>
                <w:tab w:val="left" w:pos="8280"/>
              </w:tabs>
              <w:autoSpaceDE w:val="0"/>
              <w:autoSpaceDN w:val="0"/>
              <w:adjustRightInd w:val="0"/>
              <w:jc w:val="center"/>
              <w:rPr>
                <w:rFonts w:hint="eastAsia" w:ascii="宋体" w:hAnsi="宋体" w:cs="宋体"/>
                <w:sz w:val="24"/>
                <w:lang w:val="en-US" w:eastAsia="zh-CN"/>
              </w:rPr>
            </w:pPr>
            <w:r>
              <w:rPr>
                <w:rFonts w:hint="eastAsia" w:ascii="宋体" w:hAnsi="宋体" w:cs="宋体"/>
                <w:sz w:val="24"/>
              </w:rPr>
              <w:t>项</w:t>
            </w:r>
          </w:p>
        </w:tc>
        <w:tc>
          <w:tcPr>
            <w:tcW w:w="1750" w:type="dxa"/>
            <w:vAlign w:val="center"/>
          </w:tcPr>
          <w:p>
            <w:pPr>
              <w:tabs>
                <w:tab w:val="left" w:pos="8280"/>
              </w:tabs>
              <w:autoSpaceDE w:val="0"/>
              <w:autoSpaceDN w:val="0"/>
              <w:adjustRightInd w:val="0"/>
              <w:jc w:val="center"/>
              <w:rPr>
                <w:rFonts w:hint="default" w:ascii="宋体" w:hAnsi="宋体" w:cs="宋体"/>
                <w:sz w:val="24"/>
                <w:lang w:val="en-US" w:eastAsia="zh-CN"/>
              </w:rPr>
            </w:pPr>
            <w:r>
              <w:rPr>
                <w:rFonts w:hint="eastAsia" w:ascii="宋体" w:hAnsi="宋体" w:cs="宋体"/>
                <w:color w:val="0070C0"/>
                <w:sz w:val="24"/>
              </w:rPr>
              <w:t>406.4</w:t>
            </w:r>
          </w:p>
        </w:tc>
        <w:tc>
          <w:tcPr>
            <w:tcW w:w="1861" w:type="dxa"/>
            <w:vAlign w:val="center"/>
          </w:tcPr>
          <w:p>
            <w:pPr>
              <w:tabs>
                <w:tab w:val="left" w:pos="8280"/>
              </w:tabs>
              <w:autoSpaceDE w:val="0"/>
              <w:autoSpaceDN w:val="0"/>
              <w:adjustRightInd w:val="0"/>
              <w:jc w:val="center"/>
              <w:rPr>
                <w:rFonts w:hint="default" w:ascii="宋体" w:hAnsi="宋体" w:eastAsia="宋体" w:cs="宋体"/>
                <w:sz w:val="24"/>
                <w:lang w:val="en-US" w:eastAsia="zh-CN"/>
              </w:rPr>
            </w:pPr>
            <w:r>
              <w:rPr>
                <w:rFonts w:hint="eastAsia" w:ascii="宋体" w:hAnsi="宋体" w:cs="宋体"/>
                <w:color w:val="0070C0"/>
                <w:sz w:val="24"/>
              </w:rPr>
              <w:t>406.</w:t>
            </w:r>
            <w:r>
              <w:rPr>
                <w:rFonts w:hint="eastAsia" w:ascii="宋体" w:hAnsi="宋体" w:cs="宋体"/>
                <w:color w:val="0070C0"/>
                <w:sz w:val="24"/>
                <w:lang w:val="en-US" w:eastAsia="zh-CN"/>
              </w:rPr>
              <w:t>16</w:t>
            </w:r>
          </w:p>
        </w:tc>
      </w:tr>
    </w:tbl>
    <w:p>
      <w:pPr>
        <w:tabs>
          <w:tab w:val="left" w:pos="8280"/>
        </w:tabs>
        <w:ind w:firstLine="482" w:firstLineChars="200"/>
        <w:outlineLvl w:val="9"/>
        <w:rPr>
          <w:rFonts w:hint="eastAsia" w:cs="宋体"/>
          <w:b/>
          <w:bCs w:val="0"/>
          <w:sz w:val="24"/>
          <w:szCs w:val="24"/>
        </w:rPr>
      </w:pPr>
      <w:bookmarkStart w:id="11" w:name="_Toc28359080"/>
      <w:bookmarkStart w:id="12" w:name="_Toc35393622"/>
      <w:bookmarkStart w:id="13" w:name="_Toc28359003"/>
      <w:bookmarkStart w:id="14" w:name="_Toc35393791"/>
      <w:r>
        <w:rPr>
          <w:rFonts w:hint="eastAsia" w:cs="宋体"/>
          <w:b/>
          <w:bCs w:val="0"/>
          <w:sz w:val="24"/>
          <w:szCs w:val="24"/>
        </w:rPr>
        <w:t>二、投标人的资格要求</w:t>
      </w:r>
      <w:bookmarkEnd w:id="11"/>
      <w:bookmarkEnd w:id="12"/>
      <w:bookmarkEnd w:id="13"/>
      <w:bookmarkEnd w:id="14"/>
    </w:p>
    <w:p>
      <w:pPr>
        <w:spacing w:line="360" w:lineRule="auto"/>
        <w:ind w:firstLine="480" w:firstLineChars="200"/>
        <w:rPr>
          <w:rFonts w:ascii="宋体" w:hAnsi="宋体" w:cs="宋体"/>
          <w:sz w:val="24"/>
        </w:rPr>
      </w:pPr>
      <w:r>
        <w:rPr>
          <w:rFonts w:hint="eastAsia" w:ascii="宋体" w:hAnsi="宋体" w:cs="宋体"/>
          <w:sz w:val="24"/>
        </w:rPr>
        <w:t>（一）满足《中华人民共和国政府采购法》第二十二条规定</w:t>
      </w:r>
      <w:bookmarkStart w:id="15" w:name="_Toc35393623"/>
      <w:bookmarkStart w:id="16" w:name="_Toc35393792"/>
      <w:bookmarkStart w:id="17" w:name="_Toc28359081"/>
      <w:bookmarkStart w:id="18" w:name="_Toc28359004"/>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（二）本项目的特定资格要求：</w:t>
      </w:r>
      <w:r>
        <w:rPr>
          <w:rFonts w:hint="eastAsia" w:ascii="宋体" w:hAnsi="宋体" w:cs="宋体"/>
          <w:color w:val="0000FF"/>
          <w:sz w:val="24"/>
        </w:rPr>
        <w:t>无</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rPr>
          <w:rFonts w:hint="eastAsia"/>
        </w:rPr>
        <w:fldChar w:fldCharType="begin"/>
      </w:r>
      <w:r>
        <w:instrText xml:space="preserve"> HYPERLINK "http://www.ccgp.gov.cn）政府采购严重违法失信行为信息记录中的禁止参加政府采购活动期间。" </w:instrText>
      </w:r>
      <w:r>
        <w:rPr>
          <w:rFonts w:hint="eastAsia"/>
        </w:rP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spacing w:line="360" w:lineRule="auto"/>
        <w:ind w:firstLine="480" w:firstLineChars="200"/>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tabs>
          <w:tab w:val="left" w:pos="8280"/>
        </w:tabs>
        <w:ind w:firstLine="482" w:firstLineChars="200"/>
        <w:outlineLvl w:val="9"/>
        <w:rPr>
          <w:rFonts w:hint="eastAsia" w:cs="宋体"/>
          <w:b/>
          <w:bCs w:val="0"/>
          <w:sz w:val="24"/>
          <w:szCs w:val="24"/>
        </w:rPr>
      </w:pPr>
      <w:r>
        <w:rPr>
          <w:rFonts w:hint="eastAsia" w:cs="宋体"/>
          <w:b/>
          <w:bCs w:val="0"/>
          <w:sz w:val="24"/>
          <w:szCs w:val="24"/>
        </w:rPr>
        <w:t>三、获取招标文件</w:t>
      </w:r>
      <w:bookmarkEnd w:id="15"/>
      <w:bookmarkEnd w:id="16"/>
      <w:bookmarkEnd w:id="17"/>
      <w:bookmarkEnd w:id="18"/>
    </w:p>
    <w:p>
      <w:pPr>
        <w:spacing w:line="360" w:lineRule="auto"/>
        <w:ind w:firstLine="480" w:firstLineChars="200"/>
        <w:rPr>
          <w:rFonts w:ascii="宋体" w:hAnsi="宋体" w:cs="宋体"/>
          <w:sz w:val="24"/>
          <w:highlight w:val="none"/>
        </w:rPr>
      </w:pPr>
      <w:r>
        <w:rPr>
          <w:rFonts w:hint="eastAsia" w:ascii="宋体" w:hAnsi="宋体" w:cs="宋体"/>
          <w:sz w:val="24"/>
        </w:rPr>
        <w:t>（一</w:t>
      </w:r>
      <w:r>
        <w:rPr>
          <w:rFonts w:hint="eastAsia" w:ascii="宋体" w:hAnsi="宋体" w:cs="宋体"/>
          <w:sz w:val="24"/>
          <w:highlight w:val="none"/>
        </w:rPr>
        <w:t>）时间：</w:t>
      </w:r>
      <w:r>
        <w:rPr>
          <w:rFonts w:hint="eastAsia" w:ascii="宋体" w:hAnsi="宋体" w:cs="宋体"/>
          <w:sz w:val="24"/>
          <w:highlight w:val="none"/>
          <w:u w:val="single"/>
        </w:rPr>
        <w:t>20</w:t>
      </w:r>
      <w:r>
        <w:rPr>
          <w:rFonts w:hint="eastAsia" w:ascii="宋体" w:hAnsi="宋体" w:cs="宋体"/>
          <w:sz w:val="24"/>
          <w:highlight w:val="none"/>
          <w:u w:val="single"/>
          <w:lang w:val="en-US" w:eastAsia="zh-CN"/>
        </w:rPr>
        <w:t>24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 xml:space="preserve"> 6</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 xml:space="preserve"> 28 </w:t>
      </w:r>
      <w:r>
        <w:rPr>
          <w:rFonts w:hint="eastAsia" w:ascii="宋体" w:hAnsi="宋体" w:cs="宋体"/>
          <w:sz w:val="24"/>
          <w:highlight w:val="none"/>
          <w:u w:val="single"/>
        </w:rPr>
        <w:t>日</w:t>
      </w:r>
      <w:r>
        <w:rPr>
          <w:rFonts w:hint="eastAsia" w:ascii="宋体" w:hAnsi="宋体" w:cs="宋体"/>
          <w:sz w:val="24"/>
          <w:highlight w:val="none"/>
        </w:rPr>
        <w:t>至</w:t>
      </w:r>
      <w:r>
        <w:rPr>
          <w:rFonts w:hint="eastAsia" w:ascii="宋体" w:hAnsi="宋体" w:cs="宋体"/>
          <w:sz w:val="24"/>
          <w:highlight w:val="none"/>
          <w:u w:val="single"/>
        </w:rPr>
        <w:t>20</w:t>
      </w:r>
      <w:r>
        <w:rPr>
          <w:rFonts w:hint="eastAsia" w:ascii="宋体" w:hAnsi="宋体" w:cs="宋体"/>
          <w:sz w:val="24"/>
          <w:highlight w:val="none"/>
          <w:u w:val="single"/>
          <w:lang w:val="en-US" w:eastAsia="zh-CN"/>
        </w:rPr>
        <w:t>24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 xml:space="preserve"> 7 </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 xml:space="preserve"> 4 </w:t>
      </w:r>
      <w:r>
        <w:rPr>
          <w:rFonts w:hint="eastAsia" w:ascii="宋体" w:hAnsi="宋体" w:cs="宋体"/>
          <w:sz w:val="24"/>
          <w:highlight w:val="none"/>
          <w:u w:val="single"/>
        </w:rPr>
        <w:t>日</w:t>
      </w:r>
    </w:p>
    <w:p>
      <w:pPr>
        <w:pStyle w:val="28"/>
        <w:spacing w:line="360" w:lineRule="auto"/>
        <w:ind w:firstLine="480" w:firstLineChars="200"/>
        <w:jc w:val="both"/>
        <w:rPr>
          <w:rFonts w:ascii="宋体" w:hAnsi="宋体" w:eastAsia="宋体" w:cs="宋体"/>
          <w:sz w:val="24"/>
          <w:szCs w:val="24"/>
          <w:highlight w:val="none"/>
        </w:rPr>
      </w:pPr>
      <w:r>
        <w:rPr>
          <w:rFonts w:hint="eastAsia" w:ascii="宋体" w:hAnsi="宋体" w:eastAsia="宋体" w:cs="宋体"/>
          <w:sz w:val="24"/>
          <w:szCs w:val="24"/>
          <w:highlight w:val="none"/>
        </w:rPr>
        <w:t>（二）方式：浙江政府采购网</w:t>
      </w:r>
      <w:r>
        <w:rPr>
          <w:rFonts w:hint="eastAsia" w:ascii="宋体" w:hAnsi="宋体" w:eastAsia="宋体" w:cs="宋体"/>
          <w:kern w:val="2"/>
          <w:sz w:val="24"/>
          <w:szCs w:val="24"/>
          <w:highlight w:val="none"/>
        </w:rPr>
        <w:t>（https://zfcg.czt.zj.gov.cn）</w:t>
      </w:r>
      <w:r>
        <w:rPr>
          <w:rFonts w:hint="eastAsia" w:ascii="宋体" w:hAnsi="宋体" w:eastAsia="宋体" w:cs="宋体"/>
          <w:sz w:val="24"/>
          <w:szCs w:val="24"/>
          <w:highlight w:val="none"/>
        </w:rPr>
        <w:t>免费下载</w:t>
      </w:r>
    </w:p>
    <w:p>
      <w:pPr>
        <w:tabs>
          <w:tab w:val="left" w:pos="8280"/>
        </w:tabs>
        <w:ind w:firstLine="482" w:firstLineChars="200"/>
        <w:outlineLvl w:val="9"/>
        <w:rPr>
          <w:rFonts w:hint="eastAsia" w:cs="宋体"/>
          <w:b/>
          <w:bCs w:val="0"/>
          <w:sz w:val="24"/>
          <w:szCs w:val="24"/>
        </w:rPr>
      </w:pPr>
      <w:bookmarkStart w:id="19" w:name="_Toc28359082"/>
      <w:bookmarkStart w:id="20" w:name="_Toc35393793"/>
      <w:bookmarkStart w:id="21" w:name="_Toc28359005"/>
      <w:bookmarkStart w:id="22" w:name="_Toc35393624"/>
      <w:r>
        <w:rPr>
          <w:rFonts w:hint="eastAsia" w:cs="宋体"/>
          <w:b/>
          <w:bCs w:val="0"/>
          <w:sz w:val="24"/>
          <w:szCs w:val="24"/>
        </w:rPr>
        <w:t>四、提交投标文件</w:t>
      </w:r>
      <w:bookmarkEnd w:id="19"/>
      <w:bookmarkEnd w:id="20"/>
      <w:bookmarkEnd w:id="21"/>
      <w:bookmarkEnd w:id="22"/>
    </w:p>
    <w:p>
      <w:pPr>
        <w:spacing w:line="360" w:lineRule="auto"/>
        <w:ind w:firstLine="480" w:firstLineChars="200"/>
        <w:rPr>
          <w:rFonts w:ascii="宋体" w:hAnsi="宋体" w:cs="宋体"/>
          <w:iCs/>
          <w:sz w:val="24"/>
          <w:u w:val="single"/>
        </w:rPr>
      </w:pPr>
      <w:bookmarkStart w:id="23" w:name="_Toc28359007"/>
      <w:bookmarkStart w:id="24" w:name="_Toc35393625"/>
      <w:bookmarkStart w:id="25" w:name="_Toc28359084"/>
      <w:bookmarkStart w:id="26" w:name="_Toc35393794"/>
      <w:r>
        <w:rPr>
          <w:rFonts w:hint="eastAsia" w:ascii="宋体" w:hAnsi="宋体" w:cs="宋体"/>
          <w:sz w:val="24"/>
          <w:highlight w:val="none"/>
        </w:rPr>
        <w:t>（一）截止时间（开标时间）：</w:t>
      </w:r>
      <w:r>
        <w:rPr>
          <w:rFonts w:hint="eastAsia" w:ascii="宋体" w:hAnsi="宋体" w:cs="宋体"/>
          <w:bCs/>
          <w:sz w:val="24"/>
          <w:highlight w:val="none"/>
          <w:u w:val="single"/>
        </w:rPr>
        <w:t>20</w:t>
      </w:r>
      <w:r>
        <w:rPr>
          <w:rFonts w:hint="eastAsia" w:ascii="宋体" w:hAnsi="宋体" w:cs="宋体"/>
          <w:bCs/>
          <w:sz w:val="24"/>
          <w:highlight w:val="none"/>
          <w:u w:val="single"/>
          <w:lang w:val="en-US" w:eastAsia="zh-CN"/>
        </w:rPr>
        <w:t>24</w:t>
      </w:r>
      <w:r>
        <w:rPr>
          <w:rFonts w:hint="eastAsia" w:ascii="宋体" w:hAnsi="宋体" w:cs="宋体"/>
          <w:bCs/>
          <w:sz w:val="24"/>
          <w:highlight w:val="none"/>
          <w:u w:val="single"/>
        </w:rPr>
        <w:t>年</w:t>
      </w:r>
      <w:r>
        <w:rPr>
          <w:rFonts w:hint="eastAsia" w:ascii="宋体" w:hAnsi="宋体" w:cs="宋体"/>
          <w:bCs/>
          <w:sz w:val="24"/>
          <w:highlight w:val="none"/>
          <w:u w:val="single"/>
          <w:lang w:val="en-US" w:eastAsia="zh-CN"/>
        </w:rPr>
        <w:t xml:space="preserve"> 7 </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 xml:space="preserve"> 26 </w:t>
      </w:r>
      <w:r>
        <w:rPr>
          <w:rFonts w:hint="eastAsia" w:ascii="宋体" w:hAnsi="宋体" w:cs="宋体"/>
          <w:bCs/>
          <w:sz w:val="24"/>
          <w:highlight w:val="none"/>
          <w:u w:val="single"/>
        </w:rPr>
        <w:t>日 9点整</w:t>
      </w:r>
      <w:r>
        <w:rPr>
          <w:rFonts w:hint="eastAsia" w:ascii="宋体" w:hAnsi="宋体" w:cs="宋体"/>
          <w:bCs/>
          <w:sz w:val="24"/>
          <w:highlight w:val="none"/>
        </w:rPr>
        <w:t>（</w:t>
      </w:r>
      <w:r>
        <w:rPr>
          <w:rFonts w:hint="eastAsia" w:ascii="宋体" w:hAnsi="宋体" w:cs="宋体"/>
          <w:bCs/>
          <w:sz w:val="24"/>
        </w:rPr>
        <w:t>北京时间）</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（二）投标网址：浙江政府采购云平台（http://www.zcygov.cn）</w:t>
      </w:r>
    </w:p>
    <w:bookmarkEnd w:id="23"/>
    <w:bookmarkEnd w:id="24"/>
    <w:bookmarkEnd w:id="25"/>
    <w:bookmarkEnd w:id="26"/>
    <w:p>
      <w:pPr>
        <w:tabs>
          <w:tab w:val="left" w:pos="8280"/>
        </w:tabs>
        <w:ind w:firstLine="482" w:firstLineChars="200"/>
        <w:outlineLvl w:val="9"/>
        <w:rPr>
          <w:rFonts w:hint="eastAsia" w:cs="宋体"/>
          <w:b/>
          <w:bCs w:val="0"/>
          <w:sz w:val="24"/>
          <w:szCs w:val="24"/>
        </w:rPr>
      </w:pPr>
      <w:r>
        <w:rPr>
          <w:rFonts w:hint="eastAsia" w:cs="宋体"/>
          <w:b/>
          <w:bCs w:val="0"/>
          <w:sz w:val="24"/>
          <w:szCs w:val="24"/>
        </w:rPr>
        <w:t>五、发布公告</w:t>
      </w:r>
    </w:p>
    <w:p>
      <w:pPr>
        <w:pStyle w:val="21"/>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）、台州市公共资源交易网（https://tzztb.zjtz.gov.cn）</w:t>
      </w:r>
    </w:p>
    <w:p>
      <w:pPr>
        <w:pStyle w:val="21"/>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tabs>
          <w:tab w:val="left" w:pos="8280"/>
        </w:tabs>
        <w:ind w:firstLine="482" w:firstLineChars="200"/>
        <w:outlineLvl w:val="9"/>
        <w:rPr>
          <w:rFonts w:hint="eastAsia" w:cs="宋体"/>
          <w:b/>
          <w:bCs w:val="0"/>
          <w:sz w:val="24"/>
          <w:szCs w:val="24"/>
        </w:rPr>
      </w:pPr>
      <w:bookmarkStart w:id="27" w:name="_Toc35393795"/>
      <w:bookmarkStart w:id="28" w:name="_Toc35393626"/>
      <w:r>
        <w:rPr>
          <w:rFonts w:hint="eastAsia" w:cs="宋体"/>
          <w:b/>
          <w:bCs w:val="0"/>
          <w:sz w:val="24"/>
          <w:szCs w:val="24"/>
        </w:rPr>
        <w:t>六、</w:t>
      </w:r>
      <w:bookmarkEnd w:id="27"/>
      <w:bookmarkEnd w:id="28"/>
      <w:r>
        <w:rPr>
          <w:rFonts w:hint="eastAsia" w:cs="宋体"/>
          <w:b/>
          <w:bCs w:val="0"/>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tabs>
          <w:tab w:val="left" w:pos="8280"/>
        </w:tabs>
        <w:ind w:firstLine="482" w:firstLineChars="200"/>
        <w:outlineLvl w:val="9"/>
        <w:rPr>
          <w:rFonts w:hint="eastAsia" w:cs="宋体"/>
          <w:b/>
          <w:bCs w:val="0"/>
          <w:sz w:val="24"/>
          <w:szCs w:val="24"/>
        </w:rPr>
      </w:pPr>
      <w:bookmarkStart w:id="29" w:name="_Toc35393627"/>
      <w:bookmarkStart w:id="30" w:name="_Toc28359085"/>
      <w:bookmarkStart w:id="31" w:name="_Toc28359008"/>
      <w:bookmarkStart w:id="32" w:name="_Toc35393796"/>
      <w:r>
        <w:rPr>
          <w:rFonts w:hint="eastAsia" w:cs="宋体"/>
          <w:b/>
          <w:bCs w:val="0"/>
          <w:sz w:val="24"/>
          <w:szCs w:val="24"/>
        </w:rPr>
        <w:t>七、联系</w:t>
      </w:r>
      <w:bookmarkEnd w:id="29"/>
      <w:bookmarkEnd w:id="30"/>
      <w:bookmarkEnd w:id="31"/>
      <w:bookmarkEnd w:id="32"/>
      <w:r>
        <w:rPr>
          <w:rFonts w:hint="eastAsia" w:cs="宋体"/>
          <w:b/>
          <w:bCs w:val="0"/>
          <w:sz w:val="24"/>
          <w:szCs w:val="24"/>
        </w:rPr>
        <w:t>方式</w:t>
      </w:r>
    </w:p>
    <w:p>
      <w:pPr>
        <w:snapToGrid w:val="0"/>
        <w:spacing w:line="360" w:lineRule="auto"/>
        <w:ind w:firstLine="482" w:firstLineChars="200"/>
        <w:rPr>
          <w:rFonts w:ascii="宋体" w:hAnsi="宋体" w:cs="宋体"/>
          <w:b/>
          <w:bCs/>
          <w:sz w:val="24"/>
        </w:rPr>
      </w:pPr>
      <w:bookmarkStart w:id="33" w:name="_Toc28359010"/>
      <w:bookmarkStart w:id="34" w:name="_Toc28359087"/>
      <w:r>
        <w:rPr>
          <w:rFonts w:hint="eastAsia" w:ascii="宋体" w:hAnsi="宋体" w:cs="宋体"/>
          <w:b/>
          <w:bCs/>
          <w:sz w:val="24"/>
        </w:rPr>
        <w:t xml:space="preserve">（一）采购人（受理招标文件相关质疑及答复） </w:t>
      </w:r>
    </w:p>
    <w:p>
      <w:pPr>
        <w:spacing w:line="360" w:lineRule="auto"/>
        <w:ind w:firstLine="480" w:firstLineChars="200"/>
        <w:rPr>
          <w:rFonts w:hint="eastAsia" w:ascii="宋体" w:hAnsi="宋体" w:cs="宋体"/>
          <w:sz w:val="24"/>
        </w:rPr>
      </w:pPr>
      <w:r>
        <w:rPr>
          <w:rFonts w:hint="eastAsia" w:ascii="宋体" w:hAnsi="宋体" w:cs="宋体"/>
          <w:sz w:val="24"/>
        </w:rPr>
        <w:t xml:space="preserve">名 称：台州市应急管理局         </w:t>
      </w:r>
      <w:r>
        <w:rPr>
          <w:rFonts w:hint="eastAsia" w:ascii="宋体" w:hAnsi="宋体" w:cs="宋体"/>
          <w:sz w:val="24"/>
          <w:lang w:val="en-US" w:eastAsia="zh-CN"/>
        </w:rPr>
        <w:t xml:space="preserve"> </w:t>
      </w: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址：台州市椒江区白云山西路300号         　</w:t>
      </w:r>
    </w:p>
    <w:p>
      <w:pPr>
        <w:spacing w:line="360" w:lineRule="auto"/>
        <w:ind w:firstLine="480" w:firstLineChars="200"/>
        <w:rPr>
          <w:rFonts w:hint="eastAsia" w:ascii="宋体" w:hAnsi="宋体" w:cs="宋体"/>
          <w:sz w:val="24"/>
        </w:rPr>
      </w:pPr>
      <w:r>
        <w:rPr>
          <w:rFonts w:hint="eastAsia" w:ascii="宋体" w:hAnsi="宋体" w:cs="宋体"/>
          <w:sz w:val="24"/>
        </w:rPr>
        <w:t>联系人：</w:t>
      </w:r>
      <w:r>
        <w:rPr>
          <w:rFonts w:hint="eastAsia" w:ascii="宋体" w:hAnsi="宋体" w:cs="宋体"/>
          <w:sz w:val="24"/>
          <w:lang w:val="en-US" w:eastAsia="zh-CN"/>
        </w:rPr>
        <w:t>丁先生</w:t>
      </w:r>
      <w:r>
        <w:rPr>
          <w:rFonts w:hint="eastAsia" w:ascii="宋体" w:hAnsi="宋体" w:cs="宋体"/>
          <w:sz w:val="24"/>
        </w:rPr>
        <w:t>　　　　　　　</w:t>
      </w:r>
      <w:r>
        <w:rPr>
          <w:rFonts w:hint="eastAsia" w:ascii="宋体" w:hAnsi="宋体" w:cs="宋体"/>
          <w:sz w:val="24"/>
          <w:lang w:val="en-US" w:eastAsia="zh-CN"/>
        </w:rPr>
        <w:t xml:space="preserve"> </w:t>
      </w:r>
      <w:r>
        <w:rPr>
          <w:rFonts w:hint="eastAsia" w:ascii="宋体" w:hAnsi="宋体" w:cs="宋体"/>
          <w:sz w:val="24"/>
        </w:rPr>
        <w:t>　　</w:t>
      </w:r>
    </w:p>
    <w:p>
      <w:pPr>
        <w:spacing w:line="360" w:lineRule="auto"/>
        <w:ind w:firstLine="480" w:firstLineChars="200"/>
        <w:rPr>
          <w:rFonts w:hint="eastAsia" w:ascii="宋体" w:hAnsi="宋体" w:cs="宋体"/>
          <w:sz w:val="24"/>
        </w:rPr>
      </w:pPr>
      <w:r>
        <w:rPr>
          <w:rFonts w:hint="eastAsia" w:ascii="宋体" w:hAnsi="宋体" w:cs="宋体"/>
          <w:sz w:val="24"/>
        </w:rPr>
        <w:t>联系电话：0576-</w:t>
      </w:r>
      <w:r>
        <w:rPr>
          <w:rFonts w:hint="eastAsia" w:ascii="宋体" w:hAnsi="宋体" w:cs="宋体"/>
          <w:sz w:val="24"/>
          <w:lang w:val="en-US" w:eastAsia="zh-CN"/>
        </w:rPr>
        <w:t>88519902</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（二）</w:t>
      </w:r>
      <w:r>
        <w:rPr>
          <w:rFonts w:hint="eastAsia" w:ascii="宋体" w:hAnsi="宋体" w:cs="宋体"/>
          <w:b/>
          <w:bCs/>
          <w:sz w:val="24"/>
        </w:rPr>
        <w:t>采购组织机构</w:t>
      </w:r>
    </w:p>
    <w:p>
      <w:pPr>
        <w:spacing w:line="360" w:lineRule="auto"/>
        <w:ind w:firstLine="480" w:firstLineChars="200"/>
        <w:jc w:val="left"/>
        <w:rPr>
          <w:rFonts w:ascii="宋体" w:hAnsi="宋体" w:cs="宋体"/>
          <w:sz w:val="24"/>
          <w:u w:val="none"/>
        </w:rPr>
      </w:pPr>
      <w:r>
        <w:rPr>
          <w:rFonts w:hint="eastAsia" w:ascii="宋体" w:hAnsi="宋体" w:cs="宋体"/>
          <w:sz w:val="24"/>
          <w:u w:val="none"/>
        </w:rPr>
        <w:t xml:space="preserve">名 称： 台州市公共资源交易中心  </w:t>
      </w:r>
    </w:p>
    <w:p>
      <w:pPr>
        <w:spacing w:line="360" w:lineRule="auto"/>
        <w:ind w:firstLine="480" w:firstLineChars="200"/>
        <w:jc w:val="left"/>
        <w:rPr>
          <w:rFonts w:ascii="宋体" w:hAnsi="宋体" w:cs="宋体"/>
          <w:sz w:val="24"/>
          <w:u w:val="none"/>
        </w:rPr>
      </w:pPr>
      <w:r>
        <w:rPr>
          <w:rFonts w:hint="eastAsia" w:ascii="宋体" w:hAnsi="宋体" w:cs="宋体"/>
          <w:sz w:val="24"/>
          <w:u w:val="none"/>
        </w:rPr>
        <w:t>地 址： 台州市市府大道777号  　</w:t>
      </w:r>
    </w:p>
    <w:p>
      <w:pPr>
        <w:spacing w:line="360" w:lineRule="auto"/>
        <w:ind w:firstLine="480" w:firstLineChars="200"/>
        <w:jc w:val="left"/>
        <w:rPr>
          <w:rFonts w:ascii="宋体" w:hAnsi="宋体" w:cs="宋体"/>
          <w:sz w:val="24"/>
          <w:u w:val="none"/>
        </w:rPr>
      </w:pPr>
      <w:r>
        <w:rPr>
          <w:rFonts w:hint="eastAsia" w:ascii="宋体" w:hAnsi="宋体" w:cs="宋体"/>
          <w:sz w:val="24"/>
          <w:u w:val="none"/>
        </w:rPr>
        <w:t xml:space="preserve">项目联系人：郑女士    　      </w:t>
      </w:r>
    </w:p>
    <w:p>
      <w:pPr>
        <w:spacing w:line="360" w:lineRule="auto"/>
        <w:ind w:firstLine="480" w:firstLineChars="200"/>
        <w:jc w:val="left"/>
        <w:rPr>
          <w:rFonts w:ascii="宋体" w:hAnsi="宋体" w:cs="宋体"/>
          <w:sz w:val="24"/>
          <w:u w:val="none"/>
        </w:rPr>
      </w:pPr>
      <w:r>
        <w:rPr>
          <w:rFonts w:hint="eastAsia" w:ascii="宋体" w:hAnsi="宋体" w:cs="宋体"/>
          <w:sz w:val="24"/>
          <w:u w:val="none"/>
        </w:rPr>
        <w:t xml:space="preserve">联系电话：0576-88685058          </w:t>
      </w:r>
    </w:p>
    <w:p>
      <w:pPr>
        <w:spacing w:line="360" w:lineRule="auto"/>
        <w:ind w:firstLine="480" w:firstLineChars="200"/>
        <w:jc w:val="left"/>
        <w:rPr>
          <w:rFonts w:ascii="宋体" w:hAnsi="宋体" w:cs="宋体"/>
          <w:sz w:val="24"/>
          <w:u w:val="none"/>
        </w:rPr>
      </w:pPr>
      <w:r>
        <w:rPr>
          <w:rFonts w:hint="eastAsia" w:ascii="宋体" w:hAnsi="宋体" w:cs="宋体"/>
          <w:sz w:val="24"/>
          <w:u w:val="none"/>
        </w:rPr>
        <w:t>受理联系人：侯女士（受理注册、成交结果相关质疑及答复）</w:t>
      </w:r>
    </w:p>
    <w:p>
      <w:pPr>
        <w:spacing w:line="360" w:lineRule="auto"/>
        <w:ind w:firstLine="480" w:firstLineChars="200"/>
        <w:jc w:val="left"/>
        <w:rPr>
          <w:rFonts w:ascii="宋体" w:hAnsi="宋体" w:cs="宋体"/>
          <w:sz w:val="24"/>
          <w:u w:val="none"/>
        </w:rPr>
      </w:pPr>
      <w:r>
        <w:rPr>
          <w:rFonts w:hint="eastAsia" w:ascii="宋体" w:hAnsi="宋体" w:cs="宋体"/>
          <w:sz w:val="24"/>
          <w:u w:val="none"/>
        </w:rPr>
        <w:t xml:space="preserve">联系电话：0576-88685121         </w:t>
      </w:r>
    </w:p>
    <w:p>
      <w:pPr>
        <w:spacing w:line="360" w:lineRule="auto"/>
        <w:ind w:firstLine="480" w:firstLineChars="200"/>
        <w:jc w:val="left"/>
        <w:rPr>
          <w:rFonts w:ascii="宋体" w:hAnsi="宋体" w:cs="宋体"/>
          <w:sz w:val="24"/>
          <w:u w:val="none"/>
        </w:rPr>
      </w:pPr>
      <w:r>
        <w:rPr>
          <w:rFonts w:hint="eastAsia" w:ascii="宋体" w:hAnsi="宋体" w:cs="宋体"/>
          <w:sz w:val="24"/>
          <w:u w:val="none"/>
        </w:rPr>
        <w:t xml:space="preserve">技术人员：徐女士                </w:t>
      </w:r>
    </w:p>
    <w:p>
      <w:pPr>
        <w:spacing w:line="360" w:lineRule="auto"/>
        <w:ind w:firstLine="480" w:firstLineChars="200"/>
        <w:jc w:val="left"/>
        <w:rPr>
          <w:rFonts w:ascii="宋体" w:hAnsi="宋体" w:cs="宋体"/>
          <w:sz w:val="24"/>
          <w:u w:val="none"/>
        </w:rPr>
      </w:pPr>
      <w:r>
        <w:rPr>
          <w:rFonts w:hint="eastAsia" w:ascii="宋体" w:hAnsi="宋体" w:cs="宋体"/>
          <w:sz w:val="24"/>
          <w:u w:val="none"/>
        </w:rPr>
        <w:t xml:space="preserve">联系电话：0576-88685161         </w:t>
      </w:r>
    </w:p>
    <w:p>
      <w:pPr>
        <w:spacing w:line="360" w:lineRule="auto"/>
        <w:ind w:firstLine="482" w:firstLineChars="200"/>
        <w:jc w:val="left"/>
        <w:rPr>
          <w:rFonts w:ascii="宋体" w:hAnsi="宋体" w:cs="宋体"/>
          <w:b/>
          <w:sz w:val="24"/>
          <w:u w:val="none"/>
        </w:rPr>
      </w:pPr>
      <w:r>
        <w:rPr>
          <w:rFonts w:hint="eastAsia" w:ascii="宋体" w:hAnsi="宋体" w:cs="宋体"/>
          <w:b/>
          <w:sz w:val="24"/>
          <w:u w:val="none"/>
        </w:rPr>
        <w:t>（三）同级政府采购监管机构</w:t>
      </w:r>
    </w:p>
    <w:p>
      <w:pPr>
        <w:spacing w:line="360" w:lineRule="auto"/>
        <w:ind w:firstLine="480" w:firstLineChars="200"/>
        <w:jc w:val="left"/>
        <w:rPr>
          <w:rFonts w:ascii="宋体" w:hAnsi="宋体" w:cs="宋体"/>
          <w:sz w:val="24"/>
          <w:u w:val="none"/>
        </w:rPr>
      </w:pPr>
      <w:r>
        <w:rPr>
          <w:rFonts w:hint="eastAsia" w:ascii="宋体" w:hAnsi="宋体" w:cs="宋体"/>
          <w:sz w:val="24"/>
          <w:u w:val="none"/>
        </w:rPr>
        <w:t xml:space="preserve">名 称：台州市采监处         </w:t>
      </w:r>
    </w:p>
    <w:p>
      <w:pPr>
        <w:spacing w:line="360" w:lineRule="auto"/>
        <w:ind w:firstLine="480" w:firstLineChars="200"/>
        <w:jc w:val="left"/>
        <w:rPr>
          <w:rFonts w:ascii="宋体" w:hAnsi="宋体" w:cs="宋体"/>
          <w:sz w:val="24"/>
          <w:u w:val="none"/>
        </w:rPr>
      </w:pPr>
      <w:r>
        <w:rPr>
          <w:rFonts w:hint="eastAsia" w:ascii="宋体" w:hAnsi="宋体" w:cs="宋体"/>
          <w:sz w:val="24"/>
          <w:u w:val="none"/>
        </w:rPr>
        <w:t xml:space="preserve">地 址：台州市财政局         </w:t>
      </w:r>
    </w:p>
    <w:p>
      <w:pPr>
        <w:spacing w:line="360" w:lineRule="auto"/>
        <w:ind w:firstLine="480" w:firstLineChars="200"/>
        <w:jc w:val="left"/>
        <w:rPr>
          <w:rFonts w:ascii="宋体" w:hAnsi="宋体" w:cs="宋体"/>
          <w:sz w:val="24"/>
          <w:u w:val="none"/>
        </w:rPr>
      </w:pPr>
      <w:r>
        <w:rPr>
          <w:rFonts w:hint="eastAsia" w:ascii="宋体" w:hAnsi="宋体" w:cs="宋体"/>
          <w:sz w:val="24"/>
          <w:u w:val="none"/>
        </w:rPr>
        <w:t xml:space="preserve">联系人：陈女士              </w:t>
      </w:r>
    </w:p>
    <w:p>
      <w:pPr>
        <w:spacing w:line="360" w:lineRule="auto"/>
        <w:ind w:firstLine="480" w:firstLineChars="200"/>
        <w:jc w:val="left"/>
        <w:rPr>
          <w:rFonts w:ascii="宋体" w:hAnsi="宋体" w:cs="宋体"/>
          <w:sz w:val="24"/>
          <w:u w:val="none"/>
        </w:rPr>
      </w:pPr>
      <w:r>
        <w:rPr>
          <w:rFonts w:hint="eastAsia" w:ascii="宋体" w:hAnsi="宋体" w:cs="宋体"/>
          <w:sz w:val="24"/>
          <w:u w:val="none"/>
        </w:rPr>
        <w:t xml:space="preserve">联系电话：0576-88206705     </w:t>
      </w:r>
    </w:p>
    <w:p>
      <w:pPr>
        <w:spacing w:line="360" w:lineRule="auto"/>
        <w:ind w:firstLine="482" w:firstLineChars="200"/>
        <w:jc w:val="left"/>
        <w:rPr>
          <w:rFonts w:ascii="宋体" w:hAnsi="宋体" w:cs="宋体"/>
          <w:b/>
          <w:sz w:val="24"/>
          <w:u w:val="none"/>
        </w:rPr>
      </w:pPr>
      <w:r>
        <w:rPr>
          <w:rFonts w:hint="eastAsia" w:ascii="宋体" w:hAnsi="宋体" w:cs="宋体"/>
          <w:b/>
          <w:sz w:val="24"/>
          <w:u w:val="none"/>
        </w:rPr>
        <w:t>（四）政采云平台</w:t>
      </w:r>
    </w:p>
    <w:p>
      <w:pPr>
        <w:spacing w:line="360" w:lineRule="auto"/>
        <w:ind w:firstLine="480" w:firstLineChars="200"/>
        <w:jc w:val="left"/>
        <w:rPr>
          <w:rFonts w:ascii="宋体" w:hAnsi="宋体" w:cs="宋体"/>
          <w:sz w:val="24"/>
          <w:u w:val="none"/>
        </w:rPr>
      </w:pPr>
      <w:r>
        <w:rPr>
          <w:rFonts w:hint="eastAsia" w:ascii="宋体" w:hAnsi="宋体" w:cs="宋体"/>
          <w:sz w:val="24"/>
          <w:u w:val="none"/>
        </w:rPr>
        <w:t xml:space="preserve">联系电话：95763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sz w:val="24"/>
        </w:rPr>
      </w:pPr>
      <w:r>
        <w:rPr>
          <w:rFonts w:hint="eastAsia" w:ascii="宋体" w:hAnsi="宋体" w:cs="宋体"/>
          <w:sz w:val="24"/>
          <w:shd w:val="clear" w:color="auto" w:fill="FFFFFF"/>
        </w:rPr>
        <w:t>台州市政府采购中心</w:t>
      </w:r>
      <w:r>
        <w:rPr>
          <w:rFonts w:hint="eastAsia" w:ascii="宋体" w:hAnsi="宋体" w:cs="宋体"/>
          <w:kern w:val="0"/>
          <w:sz w:val="24"/>
        </w:rPr>
        <w:t xml:space="preserve">  </w:t>
      </w:r>
    </w:p>
    <w:p>
      <w:pPr>
        <w:widowControl/>
        <w:spacing w:line="360" w:lineRule="auto"/>
        <w:jc w:val="right"/>
        <w:rPr>
          <w:rFonts w:ascii="宋体" w:hAnsi="宋体" w:cs="宋体"/>
          <w:kern w:val="0"/>
          <w:sz w:val="24"/>
        </w:rPr>
      </w:pPr>
      <w:r>
        <w:rPr>
          <w:rFonts w:hint="eastAsia" w:ascii="宋体" w:hAnsi="宋体" w:cs="宋体"/>
          <w:kern w:val="0"/>
          <w:sz w:val="24"/>
        </w:rPr>
        <w:t xml:space="preserve">                                    </w:t>
      </w:r>
      <w:r>
        <w:rPr>
          <w:rFonts w:hint="eastAsia" w:asciiTheme="minorEastAsia" w:hAnsiTheme="minorEastAsia" w:eastAsiaTheme="minorEastAsia" w:cstheme="minorEastAsia"/>
          <w:kern w:val="0"/>
          <w:sz w:val="24"/>
        </w:rPr>
        <w:t>202</w:t>
      </w:r>
      <w:r>
        <w:rPr>
          <w:rFonts w:hint="eastAsia" w:asciiTheme="minorEastAsia" w:hAnsiTheme="minorEastAsia" w:eastAsiaTheme="minorEastAsia" w:cstheme="minorEastAsia"/>
          <w:kern w:val="0"/>
          <w:sz w:val="24"/>
          <w:lang w:val="en-US" w:eastAsia="zh-CN"/>
        </w:rPr>
        <w:t>4</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sz w:val="24"/>
          <w:lang w:val="en-US" w:eastAsia="zh-CN"/>
        </w:rPr>
        <w:t xml:space="preserve"> 6 </w:t>
      </w:r>
      <w:r>
        <w:rPr>
          <w:rFonts w:hint="eastAsia" w:asciiTheme="minorEastAsia" w:hAnsiTheme="minorEastAsia" w:eastAsiaTheme="minorEastAsia" w:cstheme="minorEastAsia"/>
          <w:kern w:val="0"/>
          <w:sz w:val="24"/>
        </w:rPr>
        <w:t>月</w:t>
      </w:r>
      <w:r>
        <w:rPr>
          <w:rFonts w:hint="eastAsia" w:asciiTheme="minorEastAsia" w:hAnsiTheme="minorEastAsia" w:eastAsiaTheme="minorEastAsia" w:cstheme="minorEastAsia"/>
          <w:kern w:val="0"/>
          <w:sz w:val="24"/>
          <w:lang w:val="en-US" w:eastAsia="zh-CN"/>
        </w:rPr>
        <w:t xml:space="preserve"> 21 </w:t>
      </w:r>
      <w:r>
        <w:rPr>
          <w:rFonts w:hint="eastAsia" w:asciiTheme="minorEastAsia" w:hAnsiTheme="minorEastAsia" w:eastAsiaTheme="minorEastAsia" w:cstheme="minorEastAsia"/>
          <w:kern w:val="0"/>
          <w:sz w:val="24"/>
        </w:rPr>
        <w:t>日</w:t>
      </w:r>
    </w:p>
    <w:p>
      <w:pPr>
        <w:pStyle w:val="21"/>
      </w:pPr>
    </w:p>
    <w:bookmarkEnd w:id="33"/>
    <w:bookmarkEnd w:id="34"/>
    <w:p>
      <w:pPr>
        <w:rPr>
          <w:rFonts w:asciiTheme="minorEastAsia" w:hAnsiTheme="minorEastAsia" w:eastAsiaTheme="minorEastAsia"/>
          <w:b/>
          <w:sz w:val="36"/>
          <w:szCs w:val="36"/>
        </w:rPr>
      </w:pPr>
      <w:bookmarkStart w:id="35" w:name="_Toc25017_WPSOffice_Level1"/>
      <w:r>
        <w:rPr>
          <w:rFonts w:hint="eastAsia" w:asciiTheme="minorEastAsia" w:hAnsiTheme="minorEastAsia" w:eastAsiaTheme="minorEastAsia"/>
          <w:b/>
          <w:sz w:val="36"/>
          <w:szCs w:val="36"/>
          <w:lang w:val="en-US" w:eastAsia="zh-CN"/>
        </w:rPr>
        <w:br w:type="page"/>
      </w:r>
    </w:p>
    <w:p>
      <w:pPr>
        <w:numPr>
          <w:ilvl w:val="0"/>
          <w:numId w:val="4"/>
        </w:num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lang w:val="en-US" w:eastAsia="zh-CN"/>
        </w:rPr>
        <w:t xml:space="preserve"> </w:t>
      </w:r>
      <w:r>
        <w:rPr>
          <w:rFonts w:hint="eastAsia" w:asciiTheme="minorEastAsia" w:hAnsiTheme="minorEastAsia" w:eastAsiaTheme="minorEastAsia"/>
          <w:b/>
          <w:sz w:val="36"/>
          <w:szCs w:val="36"/>
        </w:rPr>
        <w:t>投标人须知</w:t>
      </w:r>
      <w:bookmarkEnd w:id="35"/>
    </w:p>
    <w:p>
      <w:pPr>
        <w:pStyle w:val="11"/>
        <w:snapToGrid w:val="0"/>
        <w:spacing w:line="360" w:lineRule="auto"/>
        <w:ind w:firstLine="482" w:firstLineChars="200"/>
        <w:outlineLvl w:val="9"/>
        <w:rPr>
          <w:rFonts w:hint="eastAsia"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2"/>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b/>
                <w:bCs/>
              </w:rPr>
              <w:t>序号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b/>
                <w:bCs/>
              </w:rPr>
              <w:t>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rPr>
            </w:pPr>
            <w:r>
              <w:rPr>
                <w:rFonts w:hint="eastAsia" w:ascii="宋体" w:hAnsi="宋体" w:cs="宋体"/>
                <w:color w:val="auto"/>
                <w:lang w:eastAsia="zh-CN"/>
              </w:rPr>
              <w:t>☑</w:t>
            </w:r>
            <w:r>
              <w:rPr>
                <w:rFonts w:hint="eastAsia" w:ascii="宋体" w:hAnsi="宋体" w:cs="宋体"/>
                <w:color w:val="auto"/>
              </w:rPr>
              <w:t>是 /</w:t>
            </w:r>
            <w:r>
              <w:rPr>
                <w:rFonts w:hint="eastAsia" w:ascii="宋体" w:hAnsi="宋体" w:cs="宋体"/>
                <w:color w:val="auto"/>
              </w:rPr>
              <w:sym w:font="Wingdings 2" w:char="00A3"/>
            </w:r>
            <w:r>
              <w:rPr>
                <w:rFonts w:hint="eastAsia" w:ascii="宋体" w:hAnsi="宋体" w:cs="宋体"/>
                <w:color w:val="auto"/>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rPr>
            </w:pPr>
            <w:r>
              <w:rPr>
                <w:rFonts w:hint="eastAsia" w:ascii="宋体" w:hAnsi="宋体" w:cs="宋体"/>
                <w:color w:val="auto"/>
                <w:lang w:eastAsia="zh-CN"/>
              </w:rPr>
              <w:t>□</w:t>
            </w:r>
            <w:r>
              <w:rPr>
                <w:rFonts w:hint="eastAsia" w:ascii="宋体" w:hAnsi="宋体" w:cs="宋体"/>
                <w:color w:val="auto"/>
              </w:rPr>
              <w:t>是（但主体部分不得分包，详见招标需求内容）/</w:t>
            </w:r>
            <w:r>
              <w:rPr>
                <w:rFonts w:hint="eastAsia" w:ascii="宋体" w:hAnsi="宋体" w:cs="宋体"/>
                <w:color w:val="auto"/>
              </w:rPr>
              <w:sym w:font="Wingdings 2" w:char="0052"/>
            </w:r>
            <w:r>
              <w:rPr>
                <w:rFonts w:hint="eastAsia" w:ascii="宋体" w:hAnsi="宋体" w:cs="宋体"/>
                <w:color w:val="auto"/>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highlight w:val="none"/>
              </w:rPr>
            </w:pPr>
            <w:r>
              <w:rPr>
                <w:rFonts w:hint="eastAsia" w:ascii="宋体" w:hAnsi="宋体" w:cs="宋体"/>
                <w:highlight w:val="none"/>
              </w:rPr>
              <w:t>是否需要提供预付款保函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yellow"/>
                <w:lang w:eastAsia="zh-CN"/>
              </w:rPr>
              <w:t>☑</w:t>
            </w:r>
            <w:r>
              <w:rPr>
                <w:rFonts w:hint="eastAsia" w:ascii="宋体" w:hAnsi="宋体" w:cs="宋体"/>
                <w:color w:val="auto"/>
                <w:highlight w:val="yellow"/>
              </w:rPr>
              <w:t xml:space="preserve"> 是/</w:t>
            </w:r>
            <w:r>
              <w:rPr>
                <w:rFonts w:hint="eastAsia" w:ascii="宋体" w:hAnsi="宋体" w:cs="宋体"/>
                <w:color w:val="auto"/>
                <w:highlight w:val="yellow"/>
              </w:rPr>
              <w:sym w:font="Wingdings 2" w:char="00A3"/>
            </w:r>
            <w:r>
              <w:rPr>
                <w:rFonts w:hint="eastAsia" w:ascii="宋体" w:hAnsi="宋体" w:cs="宋体"/>
                <w:color w:val="auto"/>
                <w:highlight w:val="yellow"/>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kern w:val="0"/>
                <w:szCs w:val="21"/>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□是（具体清单见招标需求）/</w:t>
            </w:r>
            <w:r>
              <w:rPr>
                <w:rFonts w:hint="eastAsia" w:ascii="宋体" w:hAnsi="宋体" w:cs="宋体"/>
              </w:rPr>
              <w:sym w:font="Wingdings 2" w:char="0052"/>
            </w:r>
            <w:r>
              <w:rPr>
                <w:rFonts w:hint="eastAsia" w:ascii="宋体" w:hAnsi="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kern w:val="0"/>
                <w:szCs w:val="21"/>
              </w:rPr>
              <w:t>答疑会或</w:t>
            </w:r>
          </w:p>
          <w:p>
            <w:pPr>
              <w:spacing w:line="300" w:lineRule="auto"/>
              <w:jc w:val="center"/>
              <w:rPr>
                <w:rFonts w:ascii="宋体" w:hAnsi="宋体" w:cs="宋体"/>
                <w:kern w:val="0"/>
                <w:szCs w:val="21"/>
              </w:rPr>
            </w:pPr>
            <w:r>
              <w:rPr>
                <w:rFonts w:hint="eastAsia" w:ascii="宋体" w:hAnsi="宋体" w:cs="宋体"/>
                <w:szCs w:val="21"/>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hint="eastAsia" w:ascii="宋体" w:hAnsi="宋体" w:eastAsia="宋体" w:cs="宋体"/>
                <w:kern w:val="0"/>
                <w:szCs w:val="21"/>
                <w:lang w:eastAsia="zh-CN"/>
              </w:rPr>
            </w:pPr>
            <w:r>
              <w:rPr>
                <w:rFonts w:hint="eastAsia" w:ascii="新宋体" w:hAnsi="新宋体" w:eastAsia="新宋体"/>
                <w:bCs/>
                <w:strike w:val="0"/>
                <w:dstrike w:val="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rPr>
              <w:t>投标文件的制作和投标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请投标人在投标前仔细阅读《政府采购项目电子交易操作指南》。</w:t>
            </w:r>
          </w:p>
          <w:p>
            <w:pPr>
              <w:spacing w:line="300" w:lineRule="auto"/>
              <w:ind w:firstLine="420" w:firstLineChars="200"/>
              <w:rPr>
                <w:rFonts w:ascii="宋体" w:hAnsi="宋体" w:cs="宋体"/>
              </w:rPr>
            </w:pPr>
            <w:r>
              <w:rPr>
                <w:rFonts w:hint="eastAsia" w:ascii="宋体" w:hAnsi="宋体" w:cs="宋体"/>
              </w:rPr>
              <w:t>1.投标文件的制作：投标人按照本项目招标文件和政采云平台的要求，通过“政采云电子交易客户端”编制、加密并递交投标文件（下载网址：</w:t>
            </w:r>
            <w:r>
              <w:rPr>
                <w:rFonts w:hint="eastAsia"/>
              </w:rPr>
              <w:fldChar w:fldCharType="begin"/>
            </w:r>
            <w:r>
              <w:instrText xml:space="preserve"> HYPERLINK "http://www.zjzfcg.gov.cn/bidClientTemplate/2019-09-24/12975.html）。" </w:instrText>
            </w:r>
            <w:r>
              <w:rPr>
                <w:rFonts w:hint="eastAsia"/>
              </w:rPr>
              <w:fldChar w:fldCharType="separate"/>
            </w:r>
            <w:r>
              <w:rPr>
                <w:rFonts w:hint="eastAsia" w:ascii="宋体" w:hAnsi="宋体" w:cs="宋体"/>
              </w:rPr>
              <w:t>https://zfcg.czt.zj.gov.cn/download/index.html）。</w:t>
            </w:r>
            <w:r>
              <w:rPr>
                <w:rFonts w:hint="eastAsia" w:ascii="宋体" w:hAnsi="宋体" w:cs="宋体"/>
              </w:rPr>
              <w:fldChar w:fldCharType="end"/>
            </w:r>
          </w:p>
          <w:p>
            <w:pPr>
              <w:spacing w:line="300" w:lineRule="auto"/>
              <w:ind w:firstLine="420" w:firstLineChars="200"/>
              <w:rPr>
                <w:rFonts w:ascii="宋体" w:hAnsi="宋体" w:cs="宋体"/>
              </w:rPr>
            </w:pPr>
            <w:r>
              <w:rPr>
                <w:rFonts w:hint="eastAsia" w:ascii="宋体" w:hAnsi="宋体" w:cs="宋体"/>
              </w:rPr>
              <w:t>2.投标：投标人应当在投标截止时间前（开标当天北京时间</w:t>
            </w:r>
            <w:r>
              <w:rPr>
                <w:rFonts w:hint="eastAsia" w:ascii="宋体" w:hAnsi="宋体" w:cs="宋体"/>
                <w:u w:val="single"/>
              </w:rPr>
              <w:t>09:00</w:t>
            </w:r>
            <w:r>
              <w:rPr>
                <w:rFonts w:hint="eastAsia" w:ascii="宋体" w:hAnsi="宋体" w:cs="宋体"/>
              </w:rPr>
              <w:t>）完成投标文件的传输递交，逾期上传的投标文件恕不接受。补充或者修改投标文件的，应当先行撤回原文件，补充、修改后重新传输递交。投标截止时间前未完成上传的，视为撤回投标文件。</w:t>
            </w:r>
          </w:p>
          <w:p>
            <w:pPr>
              <w:spacing w:line="300" w:lineRule="auto"/>
              <w:ind w:firstLine="420" w:firstLineChars="200"/>
              <w:rPr>
                <w:rFonts w:ascii="宋体" w:hAnsi="宋体" w:cs="宋体"/>
                <w:kern w:val="0"/>
                <w:szCs w:val="21"/>
              </w:rPr>
            </w:pPr>
            <w:r>
              <w:rPr>
                <w:rFonts w:hint="eastAsia" w:ascii="宋体" w:hAnsi="宋体" w:cs="宋体"/>
              </w:rPr>
              <w:t>3.投标文件解密：投标人应在开标当天北京时间</w:t>
            </w:r>
            <w:r>
              <w:rPr>
                <w:rFonts w:hint="eastAsia" w:ascii="宋体" w:hAnsi="宋体" w:cs="宋体"/>
                <w:u w:val="single"/>
              </w:rPr>
              <w:t>09:00</w:t>
            </w:r>
            <w:r>
              <w:rPr>
                <w:rFonts w:hint="eastAsia" w:ascii="宋体" w:hAnsi="宋体" w:cs="宋体"/>
              </w:rPr>
              <w:t>至</w:t>
            </w:r>
            <w:r>
              <w:rPr>
                <w:rFonts w:hint="eastAsia" w:ascii="宋体" w:hAnsi="宋体" w:cs="宋体"/>
                <w:u w:val="single"/>
              </w:rPr>
              <w:t>09:30</w:t>
            </w:r>
            <w:r>
              <w:rPr>
                <w:rFonts w:hint="eastAsia" w:ascii="宋体" w:hAnsi="宋体" w:cs="宋体"/>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rPr>
              <w:t>备份投标文件的递交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备份投标文件是通过政采云电子交易客户端制作投标文件产生的备份文件，请投标人自行妥善保管。</w:t>
            </w:r>
          </w:p>
          <w:p>
            <w:pPr>
              <w:spacing w:line="300" w:lineRule="auto"/>
              <w:ind w:firstLine="420" w:firstLineChars="200"/>
              <w:rPr>
                <w:rFonts w:ascii="宋体" w:hAnsi="宋体" w:cs="宋体"/>
                <w:szCs w:val="21"/>
              </w:rPr>
            </w:pPr>
            <w:r>
              <w:rPr>
                <w:rFonts w:hint="eastAsia" w:ascii="宋体" w:hAnsi="宋体" w:cs="宋体"/>
                <w:szCs w:val="21"/>
              </w:rPr>
              <w:t>1.使用前提：在解密截止时间前，投标人自行在线解密操作失败，又未能及时联系技术人员帮助解密，或者投标人寻求技术人员帮助仍无法完成解密。</w:t>
            </w:r>
          </w:p>
          <w:p>
            <w:pPr>
              <w:spacing w:line="300" w:lineRule="auto"/>
              <w:ind w:firstLine="420" w:firstLineChars="200"/>
              <w:rPr>
                <w:rFonts w:ascii="宋体" w:hAnsi="宋体" w:cs="宋体"/>
                <w:szCs w:val="21"/>
              </w:rPr>
            </w:pPr>
            <w:r>
              <w:rPr>
                <w:rFonts w:hint="eastAsia" w:ascii="宋体" w:hAnsi="宋体" w:cs="宋体"/>
                <w:szCs w:val="21"/>
              </w:rPr>
              <w:t>2.递交截止时间：开标当天</w:t>
            </w:r>
            <w:r>
              <w:rPr>
                <w:rFonts w:hint="eastAsia" w:ascii="宋体" w:hAnsi="宋体" w:cs="宋体"/>
                <w:szCs w:val="21"/>
                <w:u w:val="single"/>
              </w:rPr>
              <w:t>09:50</w:t>
            </w:r>
            <w:r>
              <w:rPr>
                <w:rFonts w:hint="eastAsia" w:ascii="宋体" w:hAnsi="宋体" w:cs="宋体"/>
                <w:szCs w:val="21"/>
              </w:rPr>
              <w:t>北京时间）。</w:t>
            </w:r>
          </w:p>
          <w:p>
            <w:pPr>
              <w:spacing w:line="300" w:lineRule="auto"/>
              <w:ind w:firstLine="420" w:firstLineChars="200"/>
              <w:rPr>
                <w:rFonts w:ascii="宋体" w:hAnsi="宋体" w:cs="宋体"/>
                <w:szCs w:val="21"/>
              </w:rPr>
            </w:pPr>
            <w:r>
              <w:rPr>
                <w:rFonts w:hint="eastAsia" w:ascii="宋体" w:hAnsi="宋体" w:cs="宋体"/>
                <w:szCs w:val="21"/>
              </w:rPr>
              <w:t>3.投递邮箱：开标当天公布的指定邮箱。</w:t>
            </w:r>
          </w:p>
          <w:p>
            <w:pPr>
              <w:spacing w:line="300" w:lineRule="auto"/>
              <w:ind w:firstLine="420" w:firstLineChars="200"/>
              <w:rPr>
                <w:rFonts w:ascii="宋体" w:hAnsi="宋体" w:cs="宋体"/>
                <w:szCs w:val="21"/>
              </w:rPr>
            </w:pPr>
            <w:r>
              <w:rPr>
                <w:rFonts w:hint="eastAsia" w:ascii="宋体" w:hAnsi="宋体" w:cs="宋体"/>
                <w:szCs w:val="21"/>
              </w:rPr>
              <w:t>4.未按上述要求递交备份投标文件或所提供的备份投标文件不符合要求的视同放弃投标，仅提交备份投标文件的，投标无效。</w:t>
            </w:r>
          </w:p>
          <w:p>
            <w:pPr>
              <w:spacing w:line="300" w:lineRule="auto"/>
              <w:ind w:firstLine="420" w:firstLineChars="200"/>
              <w:rPr>
                <w:rFonts w:ascii="宋体" w:hAnsi="宋体" w:cs="宋体"/>
                <w:szCs w:val="21"/>
              </w:rPr>
            </w:pPr>
            <w:r>
              <w:rPr>
                <w:rFonts w:hint="eastAsia" w:ascii="宋体" w:hAnsi="宋体" w:cs="宋体"/>
                <w:szCs w:val="21"/>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6"/>
              <w:spacing w:line="300" w:lineRule="auto"/>
              <w:ind w:firstLine="0"/>
              <w:jc w:val="center"/>
              <w:rPr>
                <w:rFonts w:ascii="宋体" w:hAnsi="宋体" w:cs="宋体"/>
                <w:szCs w:val="21"/>
              </w:rPr>
            </w:pPr>
            <w:r>
              <w:rPr>
                <w:rFonts w:hint="eastAsia" w:ascii="宋体" w:hAnsi="宋体" w:cs="宋体"/>
                <w:szCs w:val="21"/>
              </w:rPr>
              <w:t>不见面开标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8"/>
              <w:spacing w:before="0" w:beforeAutospacing="0" w:after="0" w:afterAutospacing="0" w:line="300" w:lineRule="auto"/>
              <w:ind w:firstLine="420" w:firstLineChars="200"/>
              <w:jc w:val="both"/>
              <w:rPr>
                <w:rFonts w:hint="default" w:cs="宋体"/>
                <w:sz w:val="21"/>
                <w:szCs w:val="21"/>
              </w:rPr>
            </w:pPr>
            <w:r>
              <w:rPr>
                <w:rFonts w:cs="宋体"/>
                <w:sz w:val="21"/>
                <w:szCs w:val="21"/>
              </w:rPr>
              <w:t>本项目开评标环节实行全流程电子化，采取政采云不见面开标大厅实现，投标人可自行登录政采云平台进入开标大厅观看现场直播画面。采购组织机构按照采购文件规定的时间通过电子交易平台组织开标、开启投标文件，所有投标人均应当准时在线参加。如未参加，造成无法响应或响应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szCs w:val="21"/>
              </w:rPr>
              <w:t>样品递交要求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8"/>
              <w:keepNext w:val="0"/>
              <w:keepLines w:val="0"/>
              <w:pageBreakBefore w:val="0"/>
              <w:kinsoku/>
              <w:wordWrap/>
              <w:overflowPunct/>
              <w:topLinePunct w:val="0"/>
              <w:bidi w:val="0"/>
              <w:adjustRightInd/>
              <w:snapToGrid/>
              <w:spacing w:line="30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1.截止时间：开标当天</w:t>
            </w:r>
            <w:r>
              <w:rPr>
                <w:rFonts w:hint="eastAsia" w:ascii="宋体" w:hAnsi="宋体" w:cs="宋体"/>
                <w:color w:val="auto"/>
                <w:sz w:val="21"/>
                <w:szCs w:val="21"/>
                <w:u w:val="single"/>
                <w:lang w:val="en-US" w:eastAsia="zh-CN"/>
              </w:rPr>
              <w:t>9</w:t>
            </w:r>
            <w:r>
              <w:rPr>
                <w:rFonts w:hint="eastAsia" w:ascii="宋体" w:hAnsi="宋体" w:eastAsia="宋体" w:cs="宋体"/>
                <w:color w:val="auto"/>
                <w:sz w:val="21"/>
                <w:szCs w:val="21"/>
                <w:u w:val="single"/>
              </w:rPr>
              <w:t>:</w:t>
            </w:r>
            <w:r>
              <w:rPr>
                <w:rFonts w:hint="eastAsia" w:ascii="宋体" w:hAnsi="宋体" w:cs="宋体"/>
                <w:color w:val="auto"/>
                <w:sz w:val="21"/>
                <w:szCs w:val="21"/>
                <w:u w:val="single"/>
                <w:lang w:val="en-US" w:eastAsia="zh-CN"/>
              </w:rPr>
              <w:t>30</w:t>
            </w:r>
            <w:r>
              <w:rPr>
                <w:rFonts w:hint="eastAsia" w:ascii="宋体" w:hAnsi="宋体" w:eastAsia="宋体" w:cs="宋体"/>
                <w:color w:val="auto"/>
                <w:sz w:val="21"/>
                <w:szCs w:val="21"/>
              </w:rPr>
              <w:t>-</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rPr>
              <w:t>:</w:t>
            </w:r>
            <w:r>
              <w:rPr>
                <w:rFonts w:hint="eastAsia" w:ascii="宋体" w:hAnsi="宋体" w:cs="宋体"/>
                <w:color w:val="auto"/>
                <w:sz w:val="21"/>
                <w:szCs w:val="21"/>
                <w:u w:val="single"/>
                <w:lang w:val="en-US" w:eastAsia="zh-CN"/>
              </w:rPr>
              <w:t>00</w:t>
            </w:r>
            <w:r>
              <w:rPr>
                <w:rFonts w:hint="eastAsia" w:ascii="宋体" w:hAnsi="宋体" w:eastAsia="宋体" w:cs="宋体"/>
                <w:color w:val="auto"/>
                <w:sz w:val="21"/>
                <w:szCs w:val="21"/>
              </w:rPr>
              <w:t>接收样品（投标人应提前留足时间，</w:t>
            </w:r>
            <w:r>
              <w:rPr>
                <w:rFonts w:hint="eastAsia" w:ascii="宋体" w:hAnsi="宋体" w:eastAsia="宋体" w:cs="宋体"/>
                <w:color w:val="auto"/>
                <w:kern w:val="0"/>
                <w:sz w:val="21"/>
                <w:szCs w:val="21"/>
              </w:rPr>
              <w:t>逾期的样品及小样恕不接受</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w:t>
            </w:r>
          </w:p>
          <w:p>
            <w:pPr>
              <w:pStyle w:val="8"/>
              <w:keepNext w:val="0"/>
              <w:keepLines w:val="0"/>
              <w:pageBreakBefore w:val="0"/>
              <w:kinsoku/>
              <w:wordWrap/>
              <w:overflowPunct/>
              <w:topLinePunct w:val="0"/>
              <w:bidi w:val="0"/>
              <w:adjustRightInd/>
              <w:snapToGrid/>
              <w:spacing w:line="300" w:lineRule="auto"/>
              <w:ind w:firstLine="420" w:firstLineChars="200"/>
              <w:jc w:val="both"/>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2.递交地点：台州市公共资源交易中心</w:t>
            </w:r>
            <w:r>
              <w:rPr>
                <w:rFonts w:hint="eastAsia" w:ascii="宋体" w:hAnsi="宋体" w:cs="宋体"/>
                <w:color w:val="auto"/>
                <w:sz w:val="21"/>
                <w:szCs w:val="21"/>
                <w:lang w:val="en-US" w:eastAsia="zh-CN"/>
              </w:rPr>
              <w:t>3楼4号开标室（市府大道777号民泰银行大楼）</w:t>
            </w:r>
            <w:r>
              <w:rPr>
                <w:rFonts w:hint="eastAsia" w:ascii="宋体" w:hAnsi="宋体" w:eastAsia="宋体" w:cs="宋体"/>
                <w:color w:val="auto"/>
                <w:kern w:val="0"/>
                <w:sz w:val="21"/>
                <w:szCs w:val="21"/>
              </w:rPr>
              <w:t>。</w:t>
            </w:r>
          </w:p>
          <w:p>
            <w:pPr>
              <w:pStyle w:val="8"/>
              <w:keepNext w:val="0"/>
              <w:keepLines w:val="0"/>
              <w:pageBreakBefore w:val="0"/>
              <w:kinsoku/>
              <w:wordWrap/>
              <w:overflowPunct/>
              <w:topLinePunct w:val="0"/>
              <w:bidi w:val="0"/>
              <w:adjustRightInd/>
              <w:snapToGrid/>
              <w:spacing w:line="30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3.接收人：</w:t>
            </w:r>
            <w:r>
              <w:rPr>
                <w:rFonts w:hint="eastAsia" w:ascii="宋体" w:hAnsi="宋体" w:cs="宋体"/>
                <w:color w:val="auto"/>
                <w:sz w:val="21"/>
                <w:szCs w:val="21"/>
                <w:lang w:val="en-US" w:eastAsia="zh-CN"/>
              </w:rPr>
              <w:t>叶</w:t>
            </w:r>
            <w:r>
              <w:rPr>
                <w:rFonts w:hint="eastAsia" w:ascii="宋体" w:hAnsi="宋体" w:eastAsia="宋体" w:cs="宋体"/>
                <w:color w:val="auto"/>
                <w:sz w:val="21"/>
                <w:szCs w:val="21"/>
              </w:rPr>
              <w:t>女士。</w:t>
            </w:r>
          </w:p>
          <w:p>
            <w:pPr>
              <w:pStyle w:val="8"/>
              <w:spacing w:line="300" w:lineRule="auto"/>
              <w:ind w:firstLine="420" w:firstLineChars="200"/>
              <w:jc w:val="both"/>
              <w:rPr>
                <w:rFonts w:ascii="宋体" w:hAnsi="宋体" w:cs="宋体"/>
                <w:kern w:val="0"/>
                <w:szCs w:val="21"/>
              </w:rPr>
            </w:pPr>
            <w:r>
              <w:rPr>
                <w:rFonts w:hint="eastAsia" w:ascii="宋体" w:hAnsi="宋体" w:eastAsia="宋体" w:cs="宋体"/>
                <w:color w:val="auto"/>
                <w:sz w:val="21"/>
                <w:szCs w:val="21"/>
              </w:rPr>
              <w:t>4.样品搭建要求：开标当天</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rPr>
              <w:t>:</w:t>
            </w:r>
            <w:r>
              <w:rPr>
                <w:rFonts w:hint="eastAsia" w:ascii="宋体" w:hAnsi="宋体" w:cs="宋体"/>
                <w:color w:val="auto"/>
                <w:sz w:val="21"/>
                <w:szCs w:val="21"/>
                <w:u w:val="single"/>
                <w:lang w:val="en-US" w:eastAsia="zh-CN"/>
              </w:rPr>
              <w:t>30</w:t>
            </w:r>
            <w:r>
              <w:rPr>
                <w:rFonts w:hint="eastAsia" w:ascii="宋体" w:hAnsi="宋体" w:eastAsia="宋体" w:cs="宋体"/>
                <w:color w:val="auto"/>
                <w:sz w:val="21"/>
                <w:szCs w:val="21"/>
              </w:rPr>
              <w:t>之前自行完成样品拆封、搭建。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远程询标/远程在线演示要求</w:t>
            </w:r>
          </w:p>
          <w:p>
            <w:pPr>
              <w:spacing w:line="300" w:lineRule="auto"/>
              <w:jc w:val="center"/>
              <w:rPr>
                <w:rFonts w:ascii="宋体" w:hAnsi="宋体" w:cs="宋体"/>
                <w:kern w:val="0"/>
                <w:szCs w:val="21"/>
              </w:rPr>
            </w:pPr>
            <w:r>
              <w:rPr>
                <w:rFonts w:hint="eastAsia" w:ascii="宋体" w:hAnsi="宋体" w:cs="宋体"/>
                <w:szCs w:val="21"/>
              </w:rPr>
              <w:t>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numPr>
                <w:ilvl w:val="0"/>
                <w:numId w:val="5"/>
              </w:numPr>
              <w:spacing w:line="300" w:lineRule="auto"/>
              <w:ind w:firstLine="420" w:firstLineChars="200"/>
              <w:rPr>
                <w:rFonts w:ascii="宋体" w:hAnsi="宋体" w:cs="宋体"/>
                <w:szCs w:val="21"/>
              </w:rPr>
            </w:pPr>
            <w:r>
              <w:rPr>
                <w:rFonts w:hint="eastAsia" w:ascii="宋体" w:hAnsi="宋体" w:cs="宋体"/>
                <w:szCs w:val="21"/>
              </w:rPr>
              <w:t>评审小组可能向投标人发起远程询标，投标人需提前做好准备。</w:t>
            </w:r>
          </w:p>
          <w:p>
            <w:pPr>
              <w:numPr>
                <w:ilvl w:val="0"/>
                <w:numId w:val="5"/>
              </w:numPr>
              <w:spacing w:line="300" w:lineRule="auto"/>
              <w:ind w:firstLine="420" w:firstLineChars="200"/>
              <w:rPr>
                <w:rFonts w:ascii="宋体" w:hAnsi="宋体" w:cs="宋体"/>
                <w:szCs w:val="21"/>
              </w:rPr>
            </w:pPr>
            <w:r>
              <w:rPr>
                <w:rFonts w:hint="eastAsia" w:ascii="宋体" w:hAnsi="宋体" w:cs="宋体"/>
                <w:szCs w:val="21"/>
              </w:rPr>
              <w:t>本项目是否需要远程在线演示要求详见采购需求。</w:t>
            </w:r>
          </w:p>
          <w:p>
            <w:pPr>
              <w:numPr>
                <w:ilvl w:val="0"/>
                <w:numId w:val="5"/>
              </w:numPr>
              <w:spacing w:line="300" w:lineRule="auto"/>
              <w:ind w:firstLine="420" w:firstLineChars="200"/>
              <w:rPr>
                <w:rFonts w:ascii="宋体" w:hAnsi="宋体" w:cs="宋体"/>
                <w:szCs w:val="21"/>
              </w:rPr>
            </w:pPr>
            <w:r>
              <w:rPr>
                <w:rFonts w:hint="eastAsia" w:ascii="宋体" w:hAnsi="宋体" w:cs="宋体"/>
                <w:szCs w:val="21"/>
              </w:rPr>
              <w:t>远程询标/远程在线演示要求通过“政采云视频讲标系统”进行线上问答，投标人在接到政采云信息推送后登录政采云系统--进入开标大厅--进入本项目进行操作，单方面视频下回答评委询问。</w:t>
            </w:r>
          </w:p>
          <w:p>
            <w:pPr>
              <w:numPr>
                <w:ilvl w:val="0"/>
                <w:numId w:val="5"/>
              </w:numPr>
              <w:spacing w:line="300" w:lineRule="auto"/>
              <w:ind w:firstLine="420" w:firstLineChars="200"/>
              <w:rPr>
                <w:rFonts w:ascii="宋体" w:hAnsi="宋体" w:cs="宋体"/>
                <w:szCs w:val="21"/>
              </w:rPr>
            </w:pPr>
            <w:r>
              <w:rPr>
                <w:rFonts w:hint="eastAsia" w:ascii="宋体" w:hAnsi="宋体" w:cs="宋体"/>
                <w:szCs w:val="21"/>
              </w:rPr>
              <w:t>投标人进行远程在线演示可通过共享桌面来实现，具体操作指南在《政府采购项目电子交易管理操作指南-供应商》2.4.4项。</w:t>
            </w:r>
          </w:p>
          <w:p>
            <w:pPr>
              <w:numPr>
                <w:ilvl w:val="0"/>
                <w:numId w:val="5"/>
              </w:numPr>
              <w:spacing w:line="300" w:lineRule="auto"/>
              <w:ind w:firstLine="420" w:firstLineChars="200"/>
              <w:rPr>
                <w:rFonts w:ascii="宋体" w:hAnsi="宋体" w:cs="宋体"/>
                <w:kern w:val="0"/>
                <w:szCs w:val="21"/>
              </w:rPr>
            </w:pPr>
            <w:r>
              <w:rPr>
                <w:rFonts w:hint="eastAsia" w:ascii="宋体" w:hAnsi="宋体" w:cs="宋体"/>
                <w:szCs w:val="21"/>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投标与开标注意事项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1"/>
              <w:spacing w:line="300" w:lineRule="auto"/>
              <w:ind w:firstLine="420" w:firstLineChars="200"/>
              <w:rPr>
                <w:rFonts w:hAnsi="宋体" w:cs="宋体"/>
                <w:bCs/>
                <w:szCs w:val="21"/>
              </w:rPr>
            </w:pPr>
            <w:r>
              <w:rPr>
                <w:rFonts w:hint="eastAsia" w:hAnsi="宋体" w:cs="宋体"/>
                <w:bCs/>
                <w:szCs w:val="21"/>
              </w:rPr>
              <w:t>1.本项目实行电子投标，投标人自行承担投标一切费用。</w:t>
            </w:r>
          </w:p>
          <w:p>
            <w:pPr>
              <w:pStyle w:val="11"/>
              <w:spacing w:line="300" w:lineRule="auto"/>
              <w:ind w:firstLine="420" w:firstLineChars="200"/>
            </w:pPr>
            <w:r>
              <w:rPr>
                <w:rFonts w:hint="eastAsia" w:hAnsi="宋体" w:cs="宋体"/>
                <w:bCs/>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信用信息查询渠道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信用中国（网址：</w:t>
            </w:r>
            <w:r>
              <w:rPr>
                <w:rFonts w:hint="eastAsia"/>
              </w:rPr>
              <w:fldChar w:fldCharType="begin"/>
            </w:r>
            <w:r>
              <w:instrText xml:space="preserve"> HYPERLINK "http://www.creditchina.gov.cn" </w:instrText>
            </w:r>
            <w:r>
              <w:rPr>
                <w:rFonts w:hint="eastAsia"/>
              </w:rPr>
              <w:fldChar w:fldCharType="separate"/>
            </w:r>
            <w:r>
              <w:rPr>
                <w:rFonts w:hint="eastAsia" w:ascii="宋体" w:hAnsi="宋体" w:cs="宋体"/>
                <w:szCs w:val="21"/>
              </w:rPr>
              <w:t>http://www.creditchina.gov.cn</w:t>
            </w:r>
            <w:r>
              <w:rPr>
                <w:rFonts w:hint="eastAsia" w:ascii="宋体" w:hAnsi="宋体" w:cs="宋体"/>
                <w:szCs w:val="21"/>
              </w:rPr>
              <w:fldChar w:fldCharType="end"/>
            </w:r>
            <w:r>
              <w:rPr>
                <w:rFonts w:hint="eastAsia" w:ascii="宋体" w:hAnsi="宋体" w:cs="宋体"/>
                <w:szCs w:val="21"/>
              </w:rPr>
              <w:t>）</w:t>
            </w:r>
          </w:p>
          <w:p>
            <w:pPr>
              <w:spacing w:line="300" w:lineRule="auto"/>
              <w:ind w:firstLine="420" w:firstLineChars="200"/>
              <w:rPr>
                <w:rFonts w:ascii="宋体" w:hAnsi="宋体" w:cs="宋体"/>
                <w:szCs w:val="21"/>
              </w:rPr>
            </w:pPr>
            <w:r>
              <w:rPr>
                <w:rFonts w:hint="eastAsia" w:ascii="宋体" w:hAnsi="宋体" w:cs="宋体"/>
                <w:szCs w:val="21"/>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根据《政府采购促进中小企业发展管理办法》（财库〔2020〕46号）文件的规定，本项目(□是 /</w:t>
            </w:r>
            <w:r>
              <w:rPr>
                <w:rFonts w:hint="eastAsia" w:ascii="宋体" w:hAnsi="宋体" w:cs="宋体"/>
                <w:szCs w:val="21"/>
              </w:rPr>
              <w:sym w:font="Wingdings 2" w:char="0052"/>
            </w:r>
            <w:r>
              <w:rPr>
                <w:rFonts w:hint="eastAsia" w:ascii="宋体" w:hAnsi="宋体" w:cs="宋体"/>
                <w:szCs w:val="21"/>
              </w:rPr>
              <w:t xml:space="preserve"> 否）属于专门面向中小企业采购的项目。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中小企业优惠措施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szCs w:val="21"/>
              </w:rPr>
              <w:t>1.项目属性：</w:t>
            </w:r>
            <w:r>
              <w:rPr>
                <w:rFonts w:hint="eastAsia" w:ascii="宋体" w:hAnsi="宋体" w:cs="宋体"/>
                <w:szCs w:val="21"/>
                <w:u w:val="single"/>
              </w:rPr>
              <w:t>货物类</w:t>
            </w:r>
            <w:r>
              <w:rPr>
                <w:rFonts w:hint="eastAsia" w:ascii="宋体" w:hAnsi="宋体" w:cs="宋体"/>
                <w:szCs w:val="21"/>
              </w:rPr>
              <w:t>。</w:t>
            </w:r>
          </w:p>
          <w:p>
            <w:pPr>
              <w:spacing w:line="300" w:lineRule="auto"/>
              <w:ind w:firstLine="420" w:firstLineChars="200"/>
              <w:rPr>
                <w:rFonts w:ascii="宋体" w:hAnsi="宋体" w:cs="宋体"/>
                <w:szCs w:val="21"/>
              </w:rPr>
            </w:pPr>
            <w:r>
              <w:rPr>
                <w:rFonts w:hint="eastAsia" w:ascii="宋体" w:hAnsi="宋体" w:cs="宋体"/>
                <w:szCs w:val="21"/>
              </w:rPr>
              <w:t>2.中小企业划分标准所属行业（具体根据《中小企业划型标准规定》执行）：</w:t>
            </w:r>
          </w:p>
          <w:p>
            <w:pPr>
              <w:spacing w:line="300" w:lineRule="auto"/>
              <w:ind w:firstLine="420" w:firstLineChars="200"/>
              <w:rPr>
                <w:rFonts w:ascii="宋体" w:hAnsi="宋体" w:cs="宋体"/>
                <w:szCs w:val="21"/>
              </w:rPr>
            </w:pPr>
            <w:r>
              <w:rPr>
                <w:rFonts w:hint="eastAsia" w:ascii="宋体" w:hAnsi="宋体" w:cs="宋体"/>
                <w:szCs w:val="21"/>
              </w:rPr>
              <w:t>采购标的：</w:t>
            </w:r>
            <w:r>
              <w:rPr>
                <w:rFonts w:hint="eastAsia" w:ascii="宋体" w:hAnsi="宋体" w:eastAsia="宋体" w:cs="宋体"/>
                <w:szCs w:val="21"/>
                <w:u w:val="single"/>
                <w:lang w:eastAsia="zh-CN"/>
              </w:rPr>
              <w:t>侦检</w:t>
            </w:r>
            <w:r>
              <w:rPr>
                <w:rFonts w:hint="eastAsia" w:ascii="宋体" w:hAnsi="宋体" w:eastAsia="宋体" w:cs="宋体"/>
                <w:szCs w:val="21"/>
                <w:u w:val="single"/>
              </w:rPr>
              <w:t>仪器呼吸器</w:t>
            </w:r>
            <w:r>
              <w:rPr>
                <w:rFonts w:hint="eastAsia" w:ascii="宋体" w:hAnsi="宋体" w:eastAsia="宋体" w:cs="宋体"/>
                <w:szCs w:val="21"/>
                <w:u w:val="single"/>
                <w:lang w:eastAsia="zh-CN"/>
              </w:rPr>
              <w:t>类</w:t>
            </w:r>
            <w:r>
              <w:rPr>
                <w:rFonts w:hint="eastAsia" w:ascii="宋体" w:hAnsi="宋体" w:eastAsia="宋体" w:cs="宋体"/>
                <w:szCs w:val="21"/>
                <w:u w:val="single"/>
                <w:lang w:val="en-US" w:eastAsia="zh-CN"/>
              </w:rPr>
              <w:t>设备</w:t>
            </w:r>
            <w:r>
              <w:rPr>
                <w:rFonts w:hint="eastAsia" w:ascii="宋体" w:hAnsi="宋体" w:cs="宋体"/>
                <w:szCs w:val="21"/>
                <w:u w:val="none"/>
                <w:lang w:val="en-US" w:eastAsia="zh-CN"/>
              </w:rPr>
              <w:t>，</w:t>
            </w:r>
            <w:r>
              <w:rPr>
                <w:rFonts w:hint="eastAsia" w:ascii="宋体" w:hAnsi="宋体" w:cs="宋体"/>
                <w:szCs w:val="21"/>
              </w:rPr>
              <w:t>所属行业：</w:t>
            </w:r>
            <w:r>
              <w:rPr>
                <w:rFonts w:hint="eastAsia" w:ascii="宋体" w:hAnsi="宋体" w:cs="宋体"/>
                <w:szCs w:val="21"/>
                <w:u w:val="single"/>
              </w:rPr>
              <w:t xml:space="preserve"> 制造业   </w:t>
            </w:r>
            <w:r>
              <w:rPr>
                <w:rFonts w:hint="eastAsia" w:ascii="宋体" w:hAnsi="宋体" w:cs="宋体"/>
                <w:szCs w:val="21"/>
              </w:rPr>
              <w:t>。</w:t>
            </w:r>
          </w:p>
          <w:p>
            <w:pPr>
              <w:spacing w:line="30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3.属于享受政府采购支持政策的残疾人福利性单位，</w:t>
            </w:r>
            <w:r>
              <w:rPr>
                <w:rFonts w:hint="eastAsia" w:ascii="宋体" w:hAnsi="宋体" w:cs="宋体"/>
                <w:color w:val="000000" w:themeColor="text1"/>
                <w:szCs w:val="21"/>
                <w14:textFill>
                  <w14:solidFill>
                    <w14:schemeClr w14:val="tx1"/>
                  </w14:solidFill>
                </w14:textFill>
              </w:rPr>
              <w:t>应符合财库</w:t>
            </w:r>
            <w:r>
              <w:rPr>
                <w:rFonts w:hint="eastAsia" w:ascii="宋体" w:hAnsi="宋体" w:cs="宋体"/>
                <w:szCs w:val="21"/>
              </w:rPr>
              <w:t>〔2017〕</w:t>
            </w:r>
            <w:r>
              <w:rPr>
                <w:rFonts w:hint="eastAsia" w:ascii="宋体" w:hAnsi="宋体" w:cs="宋体"/>
                <w:color w:val="000000" w:themeColor="text1"/>
                <w:szCs w:val="21"/>
                <w14:textFill>
                  <w14:solidFill>
                    <w14:schemeClr w14:val="tx1"/>
                  </w14:solidFill>
                </w14:textFill>
              </w:rPr>
              <w:t>141号文件规定，</w:t>
            </w:r>
            <w:r>
              <w:rPr>
                <w:rFonts w:hint="eastAsia" w:ascii="宋体" w:hAnsi="宋体" w:cs="宋体"/>
                <w:szCs w:val="21"/>
              </w:rPr>
              <w:t>视同小型、微型企业，</w:t>
            </w:r>
            <w:r>
              <w:rPr>
                <w:rFonts w:hint="eastAsia" w:ascii="宋体" w:hAnsi="宋体" w:cs="宋体"/>
                <w:color w:val="000000" w:themeColor="text1"/>
                <w:szCs w:val="21"/>
                <w14:textFill>
                  <w14:solidFill>
                    <w14:schemeClr w14:val="tx1"/>
                  </w14:solidFill>
                </w14:textFill>
              </w:rPr>
              <w:t>在投标文件中提供《残疾人福利性单位声明函》（见附件），</w:t>
            </w:r>
            <w:r>
              <w:rPr>
                <w:rFonts w:hint="eastAsia" w:ascii="宋体" w:hAnsi="宋体" w:cs="宋体"/>
                <w:szCs w:val="21"/>
              </w:rPr>
              <w:t>享受评审中价格扣除政策</w:t>
            </w:r>
            <w:r>
              <w:rPr>
                <w:rFonts w:hint="eastAsia" w:ascii="宋体" w:hAnsi="宋体" w:cs="宋体"/>
                <w:color w:val="000000" w:themeColor="text1"/>
                <w:szCs w:val="21"/>
                <w14:textFill>
                  <w14:solidFill>
                    <w14:schemeClr w14:val="tx1"/>
                  </w14:solidFill>
                </w14:textFill>
              </w:rPr>
              <w:t>。</w:t>
            </w:r>
          </w:p>
          <w:p>
            <w:pPr>
              <w:spacing w:line="300" w:lineRule="auto"/>
              <w:ind w:firstLine="420" w:firstLineChars="200"/>
              <w:rPr>
                <w:rFonts w:ascii="宋体" w:hAnsi="宋体" w:cs="宋体"/>
                <w:szCs w:val="21"/>
              </w:rPr>
            </w:pPr>
            <w:r>
              <w:rPr>
                <w:rFonts w:hint="eastAsia" w:ascii="宋体" w:hAnsi="宋体" w:cs="宋体"/>
                <w:szCs w:val="21"/>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spacing w:line="300" w:lineRule="auto"/>
              <w:rPr>
                <w:rFonts w:ascii="宋体" w:hAnsi="宋体" w:cs="宋体"/>
                <w:color w:val="111F2C"/>
                <w:szCs w:val="21"/>
                <w:shd w:val="clear" w:color="auto" w:fill="FFFFFF"/>
              </w:rPr>
            </w:pPr>
            <w:r>
              <w:rPr>
                <w:rFonts w:hint="eastAsia" w:ascii="宋体" w:hAnsi="宋体" w:cs="宋体"/>
                <w:szCs w:val="21"/>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质疑渠道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szCs w:val="21"/>
              </w:rPr>
            </w:pPr>
            <w:r>
              <w:rPr>
                <w:rFonts w:hint="eastAsia" w:ascii="宋体" w:hAnsi="宋体" w:cs="宋体"/>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kern w:val="0"/>
                <w:szCs w:val="21"/>
              </w:rPr>
            </w:pPr>
            <w:r>
              <w:rPr>
                <w:rFonts w:hint="eastAsia" w:ascii="宋体" w:hAnsi="宋体" w:cs="宋体"/>
                <w:szCs w:val="21"/>
                <w:lang w:val="zh-CN"/>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20" w:firstLineChars="200"/>
              <w:rPr>
                <w:rFonts w:ascii="宋体" w:hAnsi="宋体" w:cs="宋体"/>
                <w:szCs w:val="21"/>
              </w:rPr>
            </w:pPr>
            <w:r>
              <w:rPr>
                <w:rFonts w:hint="eastAsia" w:ascii="宋体" w:hAnsi="宋体" w:cs="宋体"/>
                <w:kern w:val="0"/>
                <w:szCs w:val="21"/>
                <w:lang w:val="zh-CN"/>
              </w:rPr>
              <w:t>带“</w:t>
            </w:r>
            <w:r>
              <w:rPr>
                <w:rFonts w:hint="eastAsia" w:ascii="宋体" w:hAnsi="宋体" w:cs="宋体"/>
                <w:bCs/>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rPr>
              <w:t>主要性能参数</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20" w:firstLineChars="200"/>
              <w:rPr>
                <w:rFonts w:ascii="宋体" w:hAnsi="宋体" w:cs="宋体"/>
                <w:szCs w:val="21"/>
              </w:rPr>
            </w:pPr>
            <w:r>
              <w:rPr>
                <w:rFonts w:hint="eastAsia" w:ascii="宋体" w:hAnsi="宋体" w:cs="宋体"/>
                <w:szCs w:val="21"/>
              </w:rPr>
              <w:t>带“★”的条款是</w:t>
            </w:r>
            <w:r>
              <w:rPr>
                <w:rFonts w:hint="eastAsia" w:ascii="宋体" w:hAnsi="宋体" w:cs="宋体"/>
              </w:rPr>
              <w:t>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20" w:firstLineChars="200"/>
              <w:rPr>
                <w:rFonts w:ascii="宋体" w:hAnsi="宋体" w:cs="宋体"/>
                <w:szCs w:val="21"/>
              </w:rPr>
            </w:pPr>
            <w:r>
              <w:rPr>
                <w:rFonts w:hint="eastAsia" w:ascii="宋体" w:hAnsi="宋体" w:cs="宋体"/>
                <w:szCs w:val="21"/>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ind w:firstLine="420" w:firstLineChars="200"/>
              <w:rPr>
                <w:rFonts w:ascii="宋体" w:hAnsi="宋体" w:cs="宋体"/>
                <w:szCs w:val="21"/>
              </w:rPr>
            </w:pPr>
            <w:r>
              <w:rPr>
                <w:rFonts w:hint="eastAsia" w:ascii="宋体" w:hAnsi="宋体" w:cs="宋体"/>
                <w:szCs w:val="21"/>
              </w:rPr>
              <w:t>本招标文件解释权属于采购人和采购组织机构。</w:t>
            </w:r>
          </w:p>
        </w:tc>
      </w:tr>
    </w:tbl>
    <w:p>
      <w:pPr>
        <w:pStyle w:val="11"/>
        <w:snapToGrid w:val="0"/>
        <w:spacing w:line="360" w:lineRule="auto"/>
        <w:ind w:firstLine="482" w:firstLineChars="200"/>
        <w:outlineLvl w:val="9"/>
        <w:rPr>
          <w:rFonts w:asciiTheme="minorEastAsia" w:hAnsiTheme="minorEastAsia" w:eastAsiaTheme="minorEastAsia"/>
          <w:b/>
          <w:sz w:val="24"/>
        </w:rPr>
      </w:pPr>
      <w:r>
        <w:rPr>
          <w:rFonts w:hint="eastAsia" w:asciiTheme="minorEastAsia" w:hAnsiTheme="minorEastAsia" w:eastAsiaTheme="minorEastAsia"/>
          <w:b/>
          <w:sz w:val="24"/>
        </w:rPr>
        <w:t>二、说明</w:t>
      </w:r>
    </w:p>
    <w:p>
      <w:pPr>
        <w:pStyle w:val="11"/>
        <w:snapToGrid w:val="0"/>
        <w:spacing w:line="360" w:lineRule="auto"/>
        <w:ind w:firstLine="482" w:firstLineChars="200"/>
        <w:outlineLvl w:val="9"/>
        <w:rPr>
          <w:rFonts w:asciiTheme="minorEastAsia" w:hAnsiTheme="minorEastAsia" w:eastAsiaTheme="minorEastAsia"/>
          <w:b/>
          <w:sz w:val="24"/>
        </w:rPr>
      </w:pPr>
      <w:r>
        <w:rPr>
          <w:rFonts w:hint="eastAsia" w:asciiTheme="minorEastAsia" w:hAnsiTheme="minorEastAsia" w:eastAsiaTheme="minorEastAsia"/>
          <w:b/>
          <w:sz w:val="24"/>
        </w:rPr>
        <w:t>（一）总则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tabs>
          <w:tab w:val="left" w:pos="79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sz w:val="24"/>
        </w:rPr>
        <w:t>人</w:t>
      </w:r>
      <w:r>
        <w:rPr>
          <w:rFonts w:asciiTheme="minorEastAsia" w:hAnsiTheme="minorEastAsia" w:eastAsiaTheme="minorEastAsia"/>
          <w:sz w:val="24"/>
        </w:rPr>
        <w:t>承担。</w:t>
      </w:r>
    </w:p>
    <w:p>
      <w:pPr>
        <w:snapToGrid w:val="0"/>
        <w:spacing w:line="360" w:lineRule="auto"/>
        <w:ind w:firstLine="482" w:firstLineChars="200"/>
        <w:outlineLvl w:val="9"/>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9"/>
        <w:spacing w:line="360" w:lineRule="auto"/>
        <w:ind w:firstLine="480" w:firstLineChars="200"/>
      </w:pPr>
      <w:r>
        <w:t>本招标文件仅适用于本次招标公告中所涉及的项目和内容。</w:t>
      </w:r>
    </w:p>
    <w:p>
      <w:pPr>
        <w:snapToGrid w:val="0"/>
        <w:spacing w:line="360" w:lineRule="auto"/>
        <w:ind w:firstLine="482" w:firstLineChars="200"/>
        <w:outlineLvl w:val="9"/>
        <w:rPr>
          <w:rFonts w:asciiTheme="minorEastAsia" w:hAnsiTheme="minorEastAsia" w:eastAsiaTheme="minorEastAsia"/>
          <w:b/>
          <w:sz w:val="24"/>
        </w:rPr>
      </w:pPr>
      <w:r>
        <w:rPr>
          <w:rFonts w:hint="eastAsia" w:asciiTheme="minorEastAsia" w:hAnsiTheme="minorEastAsia" w:eastAsiaTheme="minorEastAsia"/>
          <w:b/>
          <w:sz w:val="24"/>
        </w:rPr>
        <w:t>（三）当事人</w:t>
      </w:r>
    </w:p>
    <w:p>
      <w:pPr>
        <w:keepNext w:val="0"/>
        <w:keepLines w:val="0"/>
        <w:snapToGrid w:val="0"/>
        <w:spacing w:before="0" w:after="0" w:line="360" w:lineRule="auto"/>
        <w:ind w:firstLine="480" w:firstLineChars="200"/>
        <w:outlineLvl w:val="9"/>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p>
    <w:p>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p>
    <w:p>
      <w:pPr>
        <w:pStyle w:val="21"/>
        <w:spacing w:after="0" w:line="360" w:lineRule="auto"/>
        <w:ind w:left="0" w:leftChars="0" w:firstLine="480" w:firstLineChars="200"/>
      </w:pPr>
      <w:r>
        <w:rPr>
          <w:rFonts w:hint="eastAsia" w:ascii="宋体" w:hAnsi="宋体"/>
          <w:sz w:val="24"/>
        </w:rPr>
        <w:t>5.联合体：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outlineLvl w:val="9"/>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宋体" w:hAnsi="宋体" w:cs="宋体"/>
          <w:sz w:val="24"/>
        </w:rPr>
      </w:pPr>
      <w:r>
        <w:rPr>
          <w:rFonts w:hint="eastAsia" w:asciiTheme="minorEastAsia" w:hAnsiTheme="minorEastAsia" w:eastAsiaTheme="minorEastAsia"/>
          <w:sz w:val="24"/>
        </w:rPr>
        <w:t>4.联合体各方中至少应当有一方符合采购人规定的资格要求。由同一资质条件的投</w:t>
      </w:r>
      <w:r>
        <w:rPr>
          <w:rFonts w:hint="eastAsia" w:ascii="宋体" w:hAnsi="宋体" w:cs="宋体"/>
          <w:sz w:val="24"/>
        </w:rPr>
        <w:t>标人组成的联合体，应当按照资质等级较低的投标人确定联合体资质等级；</w:t>
      </w:r>
    </w:p>
    <w:p>
      <w:pPr>
        <w:snapToGrid w:val="0"/>
        <w:spacing w:line="360" w:lineRule="auto"/>
        <w:ind w:firstLine="480" w:firstLineChars="200"/>
        <w:rPr>
          <w:rFonts w:ascii="宋体" w:hAnsi="宋体" w:cs="宋体"/>
          <w:sz w:val="24"/>
        </w:rPr>
      </w:pPr>
      <w:r>
        <w:rPr>
          <w:rFonts w:hint="eastAsia" w:ascii="宋体" w:hAnsi="宋体" w:cs="宋体"/>
          <w:sz w:val="24"/>
        </w:rPr>
        <w:t>5.联合体各方不得再以自己名义单独在同一合同项中投标，也不得组成新的联合体参加同一项目投标；</w:t>
      </w:r>
    </w:p>
    <w:p>
      <w:pPr>
        <w:snapToGrid w:val="0"/>
        <w:spacing w:line="360" w:lineRule="auto"/>
        <w:ind w:firstLine="480" w:firstLineChars="200"/>
        <w:rPr>
          <w:rFonts w:ascii="宋体" w:hAnsi="宋体" w:cs="宋体"/>
          <w:sz w:val="24"/>
        </w:rPr>
      </w:pPr>
      <w:r>
        <w:rPr>
          <w:rFonts w:hint="eastAsia" w:ascii="宋体" w:hAnsi="宋体" w:cs="宋体"/>
          <w:sz w:val="24"/>
        </w:rPr>
        <w:t>6.联合体各方应当共同与采购人签订采购合同，就合同约定的事项对采购人承担连带责任；</w:t>
      </w:r>
    </w:p>
    <w:p>
      <w:pPr>
        <w:snapToGrid w:val="0"/>
        <w:spacing w:line="360" w:lineRule="auto"/>
        <w:ind w:firstLine="480" w:firstLineChars="200"/>
        <w:rPr>
          <w:rFonts w:ascii="宋体" w:hAnsi="宋体" w:cs="宋体"/>
          <w:sz w:val="24"/>
        </w:rPr>
      </w:pPr>
      <w:r>
        <w:rPr>
          <w:rFonts w:hint="eastAsia" w:ascii="宋体" w:hAnsi="宋体" w:cs="宋体"/>
          <w:sz w:val="24"/>
        </w:rPr>
        <w:t>7.投标时，应以联合体协议中确定的主体方名义投标，对联合体各方均具有约束力。</w:t>
      </w:r>
    </w:p>
    <w:p>
      <w:pPr>
        <w:snapToGrid w:val="0"/>
        <w:spacing w:line="360" w:lineRule="auto"/>
        <w:ind w:firstLine="482" w:firstLineChars="200"/>
        <w:rPr>
          <w:rFonts w:ascii="宋体" w:hAnsi="宋体" w:cs="宋体"/>
          <w:b/>
          <w:bCs/>
          <w:sz w:val="24"/>
        </w:rPr>
      </w:pPr>
      <w:r>
        <w:rPr>
          <w:rFonts w:hint="eastAsia" w:ascii="宋体" w:hAnsi="宋体" w:cs="宋体"/>
          <w:b/>
          <w:bCs/>
          <w:sz w:val="24"/>
        </w:rPr>
        <w:t>（五）语言文字以及度量衡单位</w:t>
      </w:r>
    </w:p>
    <w:p>
      <w:pPr>
        <w:snapToGrid w:val="0"/>
        <w:spacing w:line="360" w:lineRule="auto"/>
        <w:ind w:firstLine="480" w:firstLineChars="200"/>
        <w:rPr>
          <w:rFonts w:ascii="宋体" w:hAnsi="宋体" w:cs="宋体"/>
          <w:sz w:val="24"/>
        </w:rPr>
      </w:pPr>
      <w:r>
        <w:rPr>
          <w:rFonts w:hint="eastAsia" w:ascii="宋体" w:hAnsi="宋体" w:cs="宋体"/>
          <w:sz w:val="24"/>
        </w:rPr>
        <w:t>1.投标文件以及投标人与</w:t>
      </w:r>
      <w:r>
        <w:rPr>
          <w:rFonts w:hint="eastAsia"/>
          <w:sz w:val="24"/>
          <w:lang w:val="zh-CN"/>
        </w:rPr>
        <w:t>采购组织机构</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pPr>
        <w:pStyle w:val="29"/>
        <w:tabs>
          <w:tab w:val="left" w:pos="437"/>
        </w:tabs>
        <w:spacing w:line="360" w:lineRule="auto"/>
        <w:ind w:firstLine="482"/>
        <w:rPr>
          <w:rFonts w:ascii="宋体" w:hAnsi="宋体" w:cs="宋体"/>
          <w:b/>
          <w:bCs/>
          <w:sz w:val="24"/>
          <w:szCs w:val="24"/>
        </w:rPr>
      </w:pPr>
      <w:r>
        <w:rPr>
          <w:rFonts w:hint="eastAsia" w:ascii="宋体" w:hAnsi="宋体" w:cs="宋体"/>
          <w:b/>
          <w:bCs/>
          <w:sz w:val="24"/>
          <w:szCs w:val="24"/>
        </w:rPr>
        <w:t>（六）现场踏勘</w:t>
      </w:r>
    </w:p>
    <w:p>
      <w:pPr>
        <w:snapToGrid w:val="0"/>
        <w:spacing w:line="360" w:lineRule="auto"/>
        <w:ind w:firstLine="480" w:firstLineChars="200"/>
        <w:rPr>
          <w:rFonts w:ascii="宋体" w:hAnsi="宋体" w:cs="宋体"/>
          <w:sz w:val="24"/>
        </w:rPr>
      </w:pPr>
      <w:r>
        <w:rPr>
          <w:rFonts w:hint="eastAsia" w:ascii="宋体" w:hAnsi="宋体" w:cs="宋体"/>
          <w:sz w:val="24"/>
        </w:rPr>
        <w:t>1.招标文件规定组织踏勘现场的，采购人按招标文件规定的时间、地点组织投标人踏勘项目现场。</w:t>
      </w:r>
    </w:p>
    <w:p>
      <w:pPr>
        <w:snapToGrid w:val="0"/>
        <w:spacing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pPr>
        <w:snapToGrid w:val="0"/>
        <w:spacing w:line="360" w:lineRule="auto"/>
        <w:ind w:firstLine="480" w:firstLineChars="200"/>
        <w:rPr>
          <w:rFonts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pPr>
        <w:pStyle w:val="11"/>
        <w:snapToGrid w:val="0"/>
        <w:spacing w:line="360" w:lineRule="auto"/>
        <w:ind w:firstLine="482" w:firstLineChars="200"/>
        <w:rPr>
          <w:rFonts w:hAnsi="宋体" w:cs="宋体"/>
          <w:b/>
          <w:sz w:val="24"/>
        </w:rPr>
      </w:pPr>
      <w:r>
        <w:rPr>
          <w:rFonts w:hint="eastAsia" w:hAnsi="宋体" w:cs="宋体"/>
          <w:b/>
          <w:sz w:val="24"/>
        </w:rPr>
        <w:t>（七）特别说明</w:t>
      </w:r>
    </w:p>
    <w:p>
      <w:pPr>
        <w:pStyle w:val="11"/>
        <w:snapToGrid w:val="0"/>
        <w:spacing w:line="360" w:lineRule="auto"/>
        <w:ind w:firstLine="480" w:firstLineChars="200"/>
        <w:rPr>
          <w:rFonts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pPr>
        <w:pStyle w:val="29"/>
        <w:snapToGrid w:val="0"/>
        <w:spacing w:line="360" w:lineRule="auto"/>
        <w:ind w:firstLine="480"/>
        <w:rPr>
          <w:rFonts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pPr>
        <w:pStyle w:val="29"/>
        <w:snapToGrid w:val="0"/>
        <w:spacing w:line="360" w:lineRule="auto"/>
        <w:ind w:firstLine="480"/>
        <w:rPr>
          <w:rFonts w:ascii="宋体" w:hAnsi="宋体" w:cs="宋体"/>
          <w:sz w:val="24"/>
          <w:szCs w:val="24"/>
        </w:rPr>
      </w:pPr>
      <w:r>
        <w:rPr>
          <w:rFonts w:hint="eastAsia" w:ascii="宋体" w:hAnsi="宋体" w:cs="宋体"/>
          <w:sz w:val="24"/>
          <w:szCs w:val="24"/>
        </w:rPr>
        <w:t>3.本招标文件中关于电子招投标的内容、流程，如与政采云系统中最新的内容、操作不一致的，以政采云系统中的要求为准。</w:t>
      </w:r>
    </w:p>
    <w:p>
      <w:pPr>
        <w:pStyle w:val="11"/>
        <w:snapToGrid w:val="0"/>
        <w:spacing w:line="360" w:lineRule="auto"/>
        <w:ind w:firstLine="482" w:firstLineChars="200"/>
        <w:outlineLvl w:val="9"/>
        <w:rPr>
          <w:rFonts w:hint="eastAsia" w:asciiTheme="minorEastAsia" w:hAnsiTheme="minorEastAsia" w:eastAsiaTheme="minorEastAsia"/>
          <w:b/>
          <w:sz w:val="24"/>
        </w:rPr>
      </w:pPr>
      <w:r>
        <w:rPr>
          <w:rFonts w:hint="eastAsia" w:asciiTheme="minorEastAsia" w:hAnsiTheme="minorEastAsia" w:eastAsiaTheme="minorEastAsia"/>
          <w:b/>
          <w:sz w:val="24"/>
        </w:rPr>
        <w:t>三、招标文件</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pStyle w:val="11"/>
        <w:snapToGrid w:val="0"/>
        <w:spacing w:line="360" w:lineRule="auto"/>
        <w:ind w:firstLine="482" w:firstLineChars="200"/>
        <w:outlineLvl w:val="9"/>
        <w:rPr>
          <w:rFonts w:hint="eastAsia" w:asciiTheme="minorEastAsia" w:hAnsiTheme="minorEastAsia" w:eastAsiaTheme="minorEastAsia"/>
          <w:b/>
          <w:sz w:val="24"/>
        </w:rPr>
      </w:pPr>
      <w:r>
        <w:rPr>
          <w:rFonts w:hint="eastAsia" w:asciiTheme="minorEastAsia" w:hAnsiTheme="minorEastAsia" w:eastAsiaTheme="minorEastAsia"/>
          <w:b/>
          <w:sz w:val="24"/>
        </w:rPr>
        <w:t>四、投标文件</w:t>
      </w:r>
    </w:p>
    <w:p>
      <w:pPr>
        <w:pStyle w:val="6"/>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宋体" w:hAnsi="宋体"/>
          <w:b/>
          <w:sz w:val="24"/>
        </w:rPr>
      </w:pPr>
      <w:r>
        <w:rPr>
          <w:rFonts w:hint="eastAsia" w:ascii="宋体" w:hAnsi="宋体" w:cs="宋体" w:eastAsiaTheme="minorEastAsia"/>
          <w:b/>
          <w:sz w:val="24"/>
        </w:rPr>
        <w:t xml:space="preserve"> </w:t>
      </w:r>
      <w:r>
        <w:rPr>
          <w:rFonts w:hint="eastAsia" w:asciiTheme="minorEastAsia" w:hAnsiTheme="minorEastAsia" w:eastAsiaTheme="minorEastAsia"/>
          <w:b/>
          <w:sz w:val="24"/>
        </w:rPr>
        <w:t>1.资格证明</w:t>
      </w:r>
      <w:r>
        <w:rPr>
          <w:rFonts w:asciiTheme="minorEastAsia" w:hAnsiTheme="minorEastAsia" w:eastAsiaTheme="minorEastAsia"/>
          <w:b/>
          <w:sz w:val="24"/>
        </w:rPr>
        <w:t>文件</w:t>
      </w:r>
      <w:r>
        <w:rPr>
          <w:rFonts w:hint="eastAsia" w:ascii="宋体" w:hAnsi="宋体"/>
          <w:b/>
          <w:sz w:val="24"/>
        </w:rPr>
        <w:t>的组成</w:t>
      </w:r>
      <w:r>
        <w:rPr>
          <w:rFonts w:hint="eastAsia" w:asciiTheme="minorEastAsia" w:hAnsiTheme="minorEastAsia" w:eastAsiaTheme="minorEastAsia"/>
          <w:b/>
          <w:sz w:val="24"/>
        </w:rPr>
        <w:t>（以联合体形式参加本项目投标的，联合体各方均应当提供如下资格证明材料。</w:t>
      </w:r>
      <w:r>
        <w:rPr>
          <w:rFonts w:hint="eastAsia" w:ascii="宋体" w:hAnsi="宋体"/>
          <w:b/>
          <w:sz w:val="24"/>
        </w:rPr>
        <w:t>）</w:t>
      </w:r>
    </w:p>
    <w:p>
      <w:pPr>
        <w:snapToGrid w:val="0"/>
        <w:spacing w:line="360" w:lineRule="auto"/>
        <w:ind w:firstLine="480" w:firstLineChars="200"/>
        <w:rPr>
          <w:rFonts w:ascii="宋体" w:hAnsi="宋体" w:cs="宋体"/>
          <w:sz w:val="24"/>
        </w:rPr>
      </w:pPr>
      <w:r>
        <w:rPr>
          <w:rFonts w:hint="eastAsia" w:ascii="宋体" w:hAnsi="宋体"/>
          <w:bCs/>
          <w:sz w:val="24"/>
        </w:rPr>
        <w:t>（1）</w:t>
      </w:r>
      <w:r>
        <w:rPr>
          <w:rFonts w:hint="eastAsia" w:ascii="宋体" w:hAnsi="宋体" w:cs="宋体"/>
          <w:sz w:val="24"/>
        </w:rPr>
        <w:t>投标声明书；</w:t>
      </w:r>
    </w:p>
    <w:p>
      <w:pPr>
        <w:snapToGrid w:val="0"/>
        <w:spacing w:line="360" w:lineRule="auto"/>
        <w:ind w:firstLine="480" w:firstLineChars="200"/>
        <w:rPr>
          <w:rFonts w:ascii="宋体" w:hAnsi="宋体" w:cs="宋体"/>
          <w:sz w:val="24"/>
        </w:rPr>
      </w:pPr>
      <w:r>
        <w:rPr>
          <w:rFonts w:hint="eastAsia" w:ascii="宋体" w:hAnsi="宋体" w:cs="宋体"/>
          <w:sz w:val="24"/>
        </w:rPr>
        <w:t>（2）授权委托书或联合体授权委托书（法定代表人亲自办理投标事宜的，则无需提交授权委托书；以联合体形式投标时需提供联合体授权委托书）；</w:t>
      </w:r>
    </w:p>
    <w:p>
      <w:pPr>
        <w:snapToGrid w:val="0"/>
        <w:spacing w:line="360" w:lineRule="auto"/>
        <w:ind w:firstLine="480" w:firstLineChars="200"/>
        <w:rPr>
          <w:rFonts w:ascii="宋体" w:hAnsi="宋体" w:cs="宋体"/>
          <w:sz w:val="24"/>
        </w:rPr>
      </w:pPr>
      <w:r>
        <w:rPr>
          <w:rFonts w:hint="eastAsia" w:ascii="宋体" w:hAnsi="宋体" w:cs="宋体"/>
          <w:sz w:val="24"/>
        </w:rPr>
        <w:t>（3）联合体共同投标协议书（以联合体形式投标时需提供）；</w:t>
      </w:r>
    </w:p>
    <w:p>
      <w:pPr>
        <w:snapToGrid w:val="0"/>
        <w:spacing w:line="360" w:lineRule="auto"/>
        <w:ind w:firstLine="480" w:firstLineChars="200"/>
        <w:rPr>
          <w:rFonts w:ascii="宋体" w:hAnsi="宋体" w:cs="宋体"/>
          <w:sz w:val="24"/>
        </w:rPr>
      </w:pPr>
      <w:r>
        <w:rPr>
          <w:rFonts w:hint="eastAsia" w:ascii="宋体" w:hAnsi="宋体" w:cs="宋体"/>
          <w:sz w:val="24"/>
        </w:rPr>
        <w:t>（4）法人或者其他组织的营业执照等证明文件，自然人的身份证明；</w:t>
      </w:r>
    </w:p>
    <w:p>
      <w:pPr>
        <w:snapToGrid w:val="0"/>
        <w:spacing w:line="360" w:lineRule="auto"/>
        <w:ind w:firstLine="480" w:firstLineChars="200"/>
        <w:rPr>
          <w:rFonts w:ascii="宋体" w:hAnsi="宋体" w:cs="宋体"/>
          <w:sz w:val="24"/>
        </w:rPr>
      </w:pPr>
      <w:r>
        <w:rPr>
          <w:rFonts w:hint="eastAsia" w:ascii="宋体" w:hAnsi="宋体" w:cs="宋体"/>
          <w:sz w:val="24"/>
        </w:rPr>
        <w:t>（5）具备履行合同所必需的设备和专业技术能力的证明材料（根据项目性质提供）；</w:t>
      </w:r>
    </w:p>
    <w:p>
      <w:pPr>
        <w:snapToGrid w:val="0"/>
        <w:spacing w:line="360" w:lineRule="auto"/>
        <w:ind w:firstLine="480" w:firstLineChars="200"/>
        <w:rPr>
          <w:rFonts w:ascii="宋体" w:hAnsi="宋体" w:cs="宋体"/>
          <w:sz w:val="24"/>
        </w:rPr>
      </w:pPr>
      <w:r>
        <w:rPr>
          <w:rFonts w:hint="eastAsia" w:ascii="宋体" w:hAnsi="宋体" w:cs="宋体"/>
          <w:sz w:val="24"/>
        </w:rPr>
        <w:t>（6）本项目资格审查要求的相关的承诺函（详见第四章评标-评标程序-资格审查表中要求）</w:t>
      </w:r>
    </w:p>
    <w:p>
      <w:pPr>
        <w:snapToGrid w:val="0"/>
        <w:spacing w:line="360" w:lineRule="auto"/>
        <w:ind w:firstLine="480" w:firstLineChars="200"/>
        <w:rPr>
          <w:rFonts w:ascii="宋体" w:hAnsi="宋体" w:cs="宋体"/>
          <w:sz w:val="24"/>
        </w:rPr>
      </w:pPr>
      <w:r>
        <w:rPr>
          <w:rFonts w:hint="eastAsia" w:ascii="宋体" w:hAnsi="宋体" w:cs="宋体"/>
          <w:sz w:val="24"/>
        </w:rPr>
        <w:t>（7）提供采购公告中符合投标人特定条件的有效资质证书扫描件，以及需要说明的其他资料。</w:t>
      </w:r>
    </w:p>
    <w:p>
      <w:pPr>
        <w:snapToGrid w:val="0"/>
        <w:spacing w:line="360" w:lineRule="auto"/>
        <w:ind w:firstLine="482" w:firstLineChars="200"/>
        <w:rPr>
          <w:rFonts w:ascii="宋体" w:hAnsi="宋体" w:cs="宋体"/>
          <w:sz w:val="24"/>
          <w:u w:val="single"/>
        </w:rPr>
      </w:pPr>
      <w:r>
        <w:rPr>
          <w:rFonts w:hint="eastAsia" w:asciiTheme="minorEastAsia" w:hAnsiTheme="minorEastAsia" w:eastAsiaTheme="minorEastAsia"/>
          <w:b/>
          <w:sz w:val="24"/>
        </w:rPr>
        <w:t>2.</w:t>
      </w:r>
      <w:r>
        <w:rPr>
          <w:rFonts w:hint="eastAsia" w:ascii="宋体" w:hAnsi="宋体"/>
          <w:b/>
          <w:sz w:val="24"/>
        </w:rPr>
        <w:t>商务与技术文件的组成</w:t>
      </w:r>
    </w:p>
    <w:p>
      <w:pPr>
        <w:pStyle w:val="6"/>
        <w:widowControl/>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（1）技术方案描述部分</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①投标人情况介绍（人员与技术力量、经营业绩等）；</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②项目需求的理解与分析（投标人对项目现状及需求的理解状况，对项目现状和需求描述的全面性、准确性、针对性，项目功能设计完备、对系统各组成部分等功能进行准确的分析，对项目重点、难点的把握，解决方案及合理化建议）；</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③项目组织实施方案（包括分包方案、项目工期、确保项目供货的措施或方案、项目实施进度安排、项目实施人员及项目负责人的资质、类似经验及社保证明等）；</w:t>
      </w:r>
    </w:p>
    <w:p>
      <w:pPr>
        <w:pStyle w:val="6"/>
        <w:widowControl/>
        <w:adjustRightInd w:val="0"/>
        <w:snapToGrid w:val="0"/>
        <w:spacing w:line="360" w:lineRule="auto"/>
        <w:ind w:firstLine="480" w:firstLineChars="200"/>
        <w:rPr>
          <w:rFonts w:ascii="宋体" w:hAnsi="宋体" w:cs="宋体" w:eastAsiaTheme="minorEastAsia"/>
          <w:sz w:val="24"/>
          <w:szCs w:val="24"/>
        </w:rPr>
      </w:pPr>
      <w:r>
        <w:rPr>
          <w:rFonts w:hint="eastAsia" w:asciiTheme="minorEastAsia" w:hAnsiTheme="minorEastAsia" w:eastAsiaTheme="minorEastAsia"/>
          <w:kern w:val="0"/>
          <w:sz w:val="24"/>
          <w:szCs w:val="24"/>
        </w:rPr>
        <w:t>④</w:t>
      </w:r>
      <w:r>
        <w:rPr>
          <w:rFonts w:asciiTheme="minorEastAsia" w:hAnsiTheme="minorEastAsia" w:eastAsiaTheme="minorEastAsia"/>
          <w:kern w:val="0"/>
          <w:sz w:val="24"/>
          <w:szCs w:val="24"/>
        </w:rPr>
        <w:t>安装、调试及验收方案</w:t>
      </w:r>
      <w:r>
        <w:rPr>
          <w:rFonts w:hint="eastAsia" w:asciiTheme="minorEastAsia" w:hAnsiTheme="minorEastAsia" w:eastAsiaTheme="minorEastAsia"/>
          <w:kern w:val="0"/>
          <w:sz w:val="24"/>
          <w:szCs w:val="24"/>
        </w:rPr>
        <w:t>（包括项目验收标准和验收方法等）</w:t>
      </w:r>
      <w:r>
        <w:rPr>
          <w:rFonts w:hint="eastAsia" w:asciiTheme="minorEastAsia" w:hAnsiTheme="minorEastAsia" w:eastAsiaTheme="minorEastAsia"/>
          <w:sz w:val="24"/>
          <w:szCs w:val="24"/>
        </w:rPr>
        <w:t>和措施。</w:t>
      </w:r>
    </w:p>
    <w:p>
      <w:pPr>
        <w:pStyle w:val="6"/>
        <w:widowControl/>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（2）投标产品描述部分</w:t>
      </w:r>
    </w:p>
    <w:p>
      <w:pPr>
        <w:pStyle w:val="6"/>
        <w:widowControl/>
        <w:adjustRightInd w:val="0"/>
        <w:snapToGrid w:val="0"/>
        <w:spacing w:line="360" w:lineRule="auto"/>
        <w:ind w:firstLine="480" w:firstLineChars="200"/>
        <w:rPr>
          <w:rFonts w:ascii="宋体" w:hAnsi="宋体" w:cs="宋体"/>
          <w:sz w:val="24"/>
          <w:szCs w:val="24"/>
        </w:rPr>
      </w:pPr>
      <w:r>
        <w:rPr>
          <w:rFonts w:hint="eastAsia"/>
          <w:sz w:val="24"/>
        </w:rPr>
        <w:t>①投标产品描述及相关资料；</w:t>
      </w:r>
    </w:p>
    <w:p>
      <w:pPr>
        <w:pStyle w:val="6"/>
        <w:widowControl/>
        <w:adjustRightInd w:val="0"/>
        <w:snapToGrid w:val="0"/>
        <w:spacing w:line="360" w:lineRule="auto"/>
        <w:ind w:firstLine="480" w:firstLineChars="200"/>
        <w:rPr>
          <w:sz w:val="24"/>
        </w:rPr>
      </w:pPr>
      <w:r>
        <w:rPr>
          <w:rFonts w:hint="eastAsia"/>
          <w:sz w:val="24"/>
        </w:rPr>
        <w:t>②技术需求响应表；</w:t>
      </w:r>
    </w:p>
    <w:p>
      <w:pPr>
        <w:pStyle w:val="6"/>
        <w:widowControl/>
        <w:adjustRightInd w:val="0"/>
        <w:snapToGrid w:val="0"/>
        <w:spacing w:line="360" w:lineRule="auto"/>
        <w:ind w:firstLine="480" w:firstLineChars="200"/>
        <w:rPr>
          <w:rFonts w:ascii="宋体" w:hAnsi="宋体" w:cs="宋体"/>
          <w:sz w:val="24"/>
          <w:szCs w:val="24"/>
        </w:rPr>
      </w:pPr>
      <w:r>
        <w:rPr>
          <w:rFonts w:hint="eastAsia"/>
          <w:sz w:val="24"/>
        </w:rPr>
        <w:t>③投标人</w:t>
      </w:r>
      <w:r>
        <w:rPr>
          <w:sz w:val="24"/>
        </w:rPr>
        <w:t>需要说明的其他</w:t>
      </w:r>
      <w:r>
        <w:rPr>
          <w:rFonts w:hint="eastAsia"/>
          <w:sz w:val="24"/>
        </w:rPr>
        <w:t>内容（包括可能影响投标人技术性能评分项的各类证明材料）。</w:t>
      </w:r>
    </w:p>
    <w:p>
      <w:pPr>
        <w:autoSpaceDE w:val="0"/>
        <w:autoSpaceDN w:val="0"/>
        <w:adjustRightIn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（3）商务及其他部分</w:t>
      </w:r>
    </w:p>
    <w:p>
      <w:pPr>
        <w:autoSpaceDE w:val="0"/>
        <w:autoSpaceDN w:val="0"/>
        <w:adjustRightInd w:val="0"/>
        <w:spacing w:line="360" w:lineRule="auto"/>
        <w:ind w:firstLine="480" w:firstLineChars="200"/>
        <w:rPr>
          <w:rFonts w:ascii="宋体" w:hAnsi="宋体" w:cs="宋体"/>
          <w:sz w:val="24"/>
        </w:rPr>
      </w:pPr>
      <w:r>
        <w:rPr>
          <w:rFonts w:hint="eastAsia"/>
          <w:sz w:val="24"/>
        </w:rPr>
        <w:t>①证书一览表（</w:t>
      </w:r>
      <w:r>
        <w:rPr>
          <w:rFonts w:hint="eastAsia" w:asciiTheme="minorEastAsia" w:hAnsiTheme="minorEastAsia" w:eastAsiaTheme="minorEastAsia"/>
          <w:sz w:val="24"/>
        </w:rPr>
        <w:t>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6"/>
        <w:widowControl/>
        <w:adjustRightInd w:val="0"/>
        <w:snapToGrid w:val="0"/>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szCs w:val="24"/>
        </w:rPr>
        <w:t>②近三年来类似项目的成功案例（投标人类似项目实施情况一览表、合同及其相应的发票、用户验收报告等）；</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③售后服务描述及承诺</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A.距采购人最近的服务网点详细介绍（包括地理位置、资质资格、技术力量、工作业绩、服务内容及联系电话等）；</w:t>
      </w:r>
    </w:p>
    <w:p>
      <w:pPr>
        <w:pStyle w:val="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B.针对本项目的售后服务措施及承诺（售后技术服务方案、人员配备、故障响应时间、技术培训方案等）；</w:t>
      </w:r>
    </w:p>
    <w:p>
      <w:pPr>
        <w:snapToGrid w:val="0"/>
        <w:spacing w:line="360" w:lineRule="auto"/>
        <w:ind w:firstLine="480" w:firstLineChars="200"/>
        <w:rPr>
          <w:rFonts w:ascii="宋体" w:hAnsi="宋体" w:cs="宋体"/>
          <w:sz w:val="24"/>
        </w:rPr>
      </w:pPr>
      <w:r>
        <w:rPr>
          <w:rFonts w:hint="eastAsia" w:ascii="宋体" w:hAnsi="宋体" w:cs="宋体"/>
          <w:sz w:val="24"/>
        </w:rPr>
        <w:t>④投标人认为需要提供的其他资料（包括可能影响投标人商务与技术文件评分的各类证明材料）。</w:t>
      </w:r>
    </w:p>
    <w:p>
      <w:pPr>
        <w:autoSpaceDE w:val="0"/>
        <w:autoSpaceDN w:val="0"/>
        <w:adjustRightInd w:val="0"/>
        <w:spacing w:line="360" w:lineRule="auto"/>
        <w:ind w:left="426" w:firstLine="65" w:firstLineChars="27"/>
        <w:rPr>
          <w:rFonts w:asciiTheme="minorEastAsia" w:hAnsiTheme="minorEastAsia" w:eastAsiaTheme="minorEastAsia"/>
          <w:b/>
          <w:kern w:val="0"/>
          <w:sz w:val="24"/>
        </w:rPr>
      </w:pPr>
      <w:r>
        <w:rPr>
          <w:rFonts w:hint="eastAsia" w:asciiTheme="minorEastAsia" w:hAnsiTheme="minorEastAsia" w:eastAsiaTheme="minorEastAsia"/>
          <w:b/>
          <w:kern w:val="0"/>
          <w:sz w:val="24"/>
        </w:rPr>
        <w:t>3.报价文件的组成</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（1）开标一览表；</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（2）报价明细表；</w:t>
      </w:r>
    </w:p>
    <w:p>
      <w:pPr>
        <w:autoSpaceDE w:val="0"/>
        <w:autoSpaceDN w:val="0"/>
        <w:adjustRightInd w:val="0"/>
        <w:spacing w:line="360" w:lineRule="auto"/>
        <w:ind w:firstLine="480" w:firstLineChars="200"/>
        <w:rPr>
          <w:rFonts w:asciiTheme="minorEastAsia" w:hAnsiTheme="minorEastAsia" w:eastAsiaTheme="minorEastAsia"/>
          <w:kern w:val="0"/>
          <w:sz w:val="24"/>
          <w:lang w:val="en-GB"/>
        </w:rPr>
      </w:pPr>
      <w:r>
        <w:rPr>
          <w:rFonts w:hint="eastAsia" w:asciiTheme="minorEastAsia" w:hAnsiTheme="minorEastAsia" w:eastAsiaTheme="minorEastAsia"/>
          <w:kern w:val="0"/>
          <w:sz w:val="24"/>
        </w:rPr>
        <w:t>（3）</w:t>
      </w:r>
      <w:r>
        <w:rPr>
          <w:rFonts w:hint="eastAsia" w:asciiTheme="minorEastAsia" w:hAnsiTheme="minorEastAsia" w:eastAsiaTheme="minorEastAsia"/>
          <w:color w:val="000000" w:themeColor="text1"/>
          <w:kern w:val="0"/>
          <w:sz w:val="24"/>
          <w14:textFill>
            <w14:solidFill>
              <w14:schemeClr w14:val="tx1"/>
            </w14:solidFill>
          </w14:textFill>
        </w:rPr>
        <w:t>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Theme="minorEastAsia" w:hAnsiTheme="minorEastAsia" w:eastAsiaTheme="minorEastAsia"/>
          <w:kern w:val="0"/>
          <w:sz w:val="24"/>
          <w:lang w:val="en-GB"/>
        </w:rPr>
        <w:t>；</w:t>
      </w:r>
    </w:p>
    <w:p>
      <w:pPr>
        <w:autoSpaceDE w:val="0"/>
        <w:autoSpaceDN w:val="0"/>
        <w:adjustRightInd w:val="0"/>
        <w:spacing w:line="360" w:lineRule="auto"/>
        <w:ind w:firstLine="480" w:firstLineChars="200"/>
        <w:rPr>
          <w:rFonts w:asciiTheme="minorEastAsia" w:hAnsiTheme="minorEastAsia" w:eastAsiaTheme="minorEastAsia"/>
          <w:b/>
          <w:kern w:val="0"/>
          <w:sz w:val="24"/>
        </w:rPr>
      </w:pPr>
      <w:r>
        <w:rPr>
          <w:rFonts w:hint="eastAsia" w:asciiTheme="minorEastAsia" w:hAnsiTheme="minorEastAsia" w:eastAsiaTheme="minorEastAsia"/>
          <w:kern w:val="0"/>
          <w:sz w:val="24"/>
        </w:rPr>
        <w:t>（4）针对报价投标人认为其他需要说明的。</w:t>
      </w:r>
    </w:p>
    <w:p>
      <w:pPr>
        <w:pStyle w:val="6"/>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（二）投标报价</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6"/>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6"/>
        <w:spacing w:line="360" w:lineRule="auto"/>
        <w:ind w:firstLine="480" w:firstLineChars="200"/>
        <w:rPr>
          <w:rFonts w:ascii="宋体" w:hAnsi="宋体"/>
          <w:sz w:val="24"/>
          <w:lang w:val="en-GB"/>
        </w:rPr>
      </w:pPr>
      <w:r>
        <w:rPr>
          <w:rFonts w:hint="eastAsia" w:ascii="宋体" w:hAnsi="宋体"/>
          <w:sz w:val="24"/>
        </w:rPr>
        <w:t>1.投标文件有效期为</w:t>
      </w:r>
      <w:r>
        <w:rPr>
          <w:rFonts w:hint="eastAsia" w:ascii="宋体" w:hAnsi="宋体"/>
          <w:sz w:val="24"/>
          <w:lang w:val="en-GB"/>
        </w:rPr>
        <w:t>投标截止日起90天。</w:t>
      </w:r>
    </w:p>
    <w:p>
      <w:pPr>
        <w:pStyle w:val="6"/>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在特殊情况下，采购人可与投标人协商延长投标文件的有效期。</w:t>
      </w:r>
    </w:p>
    <w:p>
      <w:pPr>
        <w:snapToGrid w:val="0"/>
        <w:spacing w:line="360" w:lineRule="auto"/>
        <w:ind w:firstLine="480" w:firstLineChars="200"/>
        <w:outlineLvl w:val="9"/>
        <w:rPr>
          <w:rFonts w:asciiTheme="minorEastAsia" w:hAnsiTheme="minorEastAsia" w:eastAsiaTheme="minorEastAsia"/>
          <w:sz w:val="24"/>
        </w:rPr>
      </w:pPr>
      <w:r>
        <w:rPr>
          <w:rFonts w:hint="eastAsia" w:ascii="宋体" w:hAnsi="宋体"/>
          <w:sz w:val="24"/>
        </w:rPr>
        <w:t>3.</w:t>
      </w:r>
      <w:r>
        <w:rPr>
          <w:rFonts w:asciiTheme="minorEastAsia" w:hAnsiTheme="minorEastAsia" w:eastAsiaTheme="minorEastAsia"/>
          <w:sz w:val="24"/>
        </w:rPr>
        <w:t>中标人的</w:t>
      </w:r>
      <w:r>
        <w:rPr>
          <w:rFonts w:hint="eastAsia" w:asciiTheme="minorEastAsia" w:hAnsiTheme="minorEastAsia" w:eastAsiaTheme="minorEastAsia"/>
          <w:sz w:val="24"/>
        </w:rPr>
        <w:t>投标文件</w:t>
      </w:r>
      <w:r>
        <w:rPr>
          <w:rFonts w:asciiTheme="minorEastAsia" w:hAnsiTheme="minorEastAsia" w:eastAsiaTheme="minorEastAsia"/>
          <w:sz w:val="24"/>
        </w:rPr>
        <w:t>自开标之日起至合同履行完毕均应保持有效。</w:t>
      </w:r>
    </w:p>
    <w:p>
      <w:pPr>
        <w:snapToGrid w:val="0"/>
        <w:spacing w:line="360" w:lineRule="auto"/>
        <w:ind w:firstLine="482" w:firstLineChars="200"/>
        <w:outlineLvl w:val="9"/>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如采购组织机构顺延截止时间和开标时间，采购组织机构和投标人的权利和义务将受到新的截止时间和开标时间的约束。</w:t>
      </w:r>
    </w:p>
    <w:p>
      <w:pPr>
        <w:pStyle w:val="11"/>
        <w:snapToGrid w:val="0"/>
        <w:spacing w:line="360" w:lineRule="auto"/>
        <w:ind w:firstLine="482" w:firstLineChars="200"/>
        <w:outlineLvl w:val="9"/>
        <w:rPr>
          <w:rFonts w:hint="eastAsia" w:asciiTheme="minorEastAsia" w:hAnsiTheme="minorEastAsia" w:eastAsiaTheme="minorEastAsia"/>
          <w:b/>
          <w:sz w:val="24"/>
        </w:rPr>
      </w:pPr>
      <w:r>
        <w:rPr>
          <w:rFonts w:hint="eastAsia" w:asciiTheme="minorEastAsia" w:hAnsiTheme="minorEastAsia" w:eastAsiaTheme="minorEastAsia"/>
          <w:b/>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6"/>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6"/>
        <w:spacing w:line="360" w:lineRule="auto"/>
        <w:ind w:firstLine="480" w:firstLineChars="200"/>
        <w:rPr>
          <w:sz w:val="24"/>
          <w:szCs w:val="22"/>
        </w:rPr>
      </w:pPr>
      <w:r>
        <w:rPr>
          <w:rFonts w:hint="eastAsia" w:cs="宋体" w:asciiTheme="minorEastAsia" w:hAnsiTheme="minorEastAsia" w:eastAsiaTheme="minorEastAsia"/>
          <w:sz w:val="24"/>
          <w:szCs w:val="24"/>
        </w:rPr>
        <w:t>4.采</w:t>
      </w:r>
      <w:r>
        <w:rPr>
          <w:rFonts w:hint="eastAsia"/>
          <w:sz w:val="24"/>
          <w:szCs w:val="22"/>
        </w:rPr>
        <w:t>购组织机构工作人员当众宣布投标人名称、投标价格和招标文件规定的需要宣布的其他内容（以开标一览表要求为准）；</w:t>
      </w:r>
    </w:p>
    <w:p>
      <w:pPr>
        <w:pStyle w:val="6"/>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6"/>
        <w:spacing w:line="360" w:lineRule="auto"/>
        <w:ind w:firstLine="482" w:firstLineChars="200"/>
        <w:rPr>
          <w:b/>
          <w:bCs/>
          <w:sz w:val="24"/>
          <w:szCs w:val="22"/>
        </w:rPr>
      </w:pPr>
      <w:r>
        <w:rPr>
          <w:rFonts w:hint="eastAsia"/>
          <w:b/>
          <w:bCs/>
          <w:sz w:val="24"/>
          <w:szCs w:val="22"/>
        </w:rPr>
        <w:t>（二）开标异议</w:t>
      </w:r>
    </w:p>
    <w:p>
      <w:pPr>
        <w:pStyle w:val="6"/>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6"/>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1"/>
        <w:snapToGrid w:val="0"/>
        <w:spacing w:line="360" w:lineRule="auto"/>
        <w:ind w:firstLine="482" w:firstLineChars="200"/>
        <w:outlineLvl w:val="9"/>
        <w:rPr>
          <w:rFonts w:hint="eastAsia" w:asciiTheme="minorEastAsia" w:hAnsiTheme="minorEastAsia" w:eastAsiaTheme="minorEastAsia"/>
          <w:b/>
          <w:sz w:val="24"/>
        </w:rPr>
      </w:pPr>
      <w:r>
        <w:rPr>
          <w:rFonts w:hint="eastAsia" w:asciiTheme="minorEastAsia" w:hAnsiTheme="minorEastAsia" w:eastAsiaTheme="minorEastAsia"/>
          <w:b/>
          <w:sz w:val="24"/>
        </w:rPr>
        <w:t>六、评标（详见第四章）</w:t>
      </w:r>
    </w:p>
    <w:p>
      <w:pPr>
        <w:pStyle w:val="11"/>
        <w:snapToGrid w:val="0"/>
        <w:spacing w:line="360" w:lineRule="auto"/>
        <w:ind w:firstLine="482" w:firstLineChars="200"/>
        <w:outlineLvl w:val="9"/>
        <w:rPr>
          <w:rFonts w:hint="default" w:asciiTheme="minorEastAsia" w:hAnsiTheme="minorEastAsia" w:eastAsiaTheme="minorEastAsia"/>
          <w:b/>
          <w:sz w:val="24"/>
        </w:rPr>
      </w:pPr>
      <w:r>
        <w:rPr>
          <w:rFonts w:hint="eastAsia" w:asciiTheme="minorEastAsia" w:hAnsiTheme="minorEastAsia" w:eastAsiaTheme="minorEastAsia"/>
          <w:b/>
          <w:sz w:val="24"/>
        </w:rPr>
        <w:t>七、定标</w:t>
      </w:r>
    </w:p>
    <w:p>
      <w:pPr>
        <w:pStyle w:val="18"/>
        <w:spacing w:before="0" w:beforeAutospacing="0" w:after="0" w:afterAutospacing="0" w:line="360" w:lineRule="auto"/>
        <w:ind w:firstLine="482" w:firstLineChars="200"/>
        <w:jc w:val="both"/>
        <w:rPr>
          <w:rFonts w:hint="default"/>
          <w:b/>
          <w:bCs/>
        </w:rPr>
      </w:pPr>
      <w:r>
        <w:rPr>
          <w:rFonts w:asciiTheme="minorEastAsia" w:hAnsiTheme="minorEastAsia" w:eastAsiaTheme="minorEastAsia"/>
          <w:b/>
          <w:bCs/>
        </w:rPr>
        <w:t>（一）</w:t>
      </w:r>
      <w:r>
        <w:rPr>
          <w:b/>
          <w:bCs/>
        </w:rPr>
        <w:t>确定中标人</w:t>
      </w:r>
    </w:p>
    <w:p>
      <w:pPr>
        <w:pStyle w:val="18"/>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numPr>
          <w:ilvl w:val="0"/>
          <w:numId w:val="6"/>
        </w:numPr>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发布中标结果公告</w:t>
      </w:r>
    </w:p>
    <w:p>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w:t>
      </w:r>
      <w:r>
        <w:rPr>
          <w:rFonts w:hint="eastAsia" w:asciiTheme="minorEastAsia" w:hAnsiTheme="minorEastAsia" w:eastAsiaTheme="minorEastAsia"/>
          <w:kern w:val="0"/>
          <w:sz w:val="24"/>
        </w:rPr>
        <w:t>期为1个工</w:t>
      </w:r>
      <w:r>
        <w:rPr>
          <w:sz w:val="24"/>
        </w:rPr>
        <w:t>作日</w:t>
      </w:r>
      <w:r>
        <w:rPr>
          <w:rFonts w:hint="eastAsia" w:ascii="宋体" w:hAnsi="宋体"/>
          <w:kern w:val="0"/>
          <w:sz w:val="24"/>
        </w:rPr>
        <w:t>。</w:t>
      </w:r>
    </w:p>
    <w:p>
      <w:pPr>
        <w:pStyle w:val="8"/>
        <w:numPr>
          <w:ilvl w:val="0"/>
          <w:numId w:val="6"/>
        </w:numPr>
        <w:spacing w:line="360" w:lineRule="auto"/>
        <w:ind w:firstLine="482" w:firstLineChars="200"/>
        <w:jc w:val="both"/>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发放中标通知书</w:t>
      </w:r>
    </w:p>
    <w:p>
      <w:pPr>
        <w:pStyle w:val="8"/>
        <w:spacing w:line="360" w:lineRule="auto"/>
        <w:ind w:firstLine="480" w:firstLineChars="20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w:t>
      </w:r>
      <w:r>
        <w:rPr>
          <w:rFonts w:hint="eastAsia"/>
          <w:sz w:val="24"/>
        </w:rPr>
        <w:t>发放中标通知书</w:t>
      </w:r>
      <w:r>
        <w:rPr>
          <w:rFonts w:hint="eastAsia" w:ascii="宋体" w:hAnsi="宋体"/>
          <w:kern w:val="0"/>
          <w:sz w:val="24"/>
        </w:rPr>
        <w:t>。</w:t>
      </w:r>
    </w:p>
    <w:p>
      <w:pPr>
        <w:pStyle w:val="11"/>
        <w:snapToGrid w:val="0"/>
        <w:spacing w:line="360" w:lineRule="auto"/>
        <w:ind w:firstLine="482" w:firstLineChars="200"/>
        <w:outlineLvl w:val="9"/>
        <w:rPr>
          <w:rFonts w:hint="eastAsia" w:asciiTheme="minorEastAsia" w:hAnsiTheme="minorEastAsia" w:eastAsiaTheme="minorEastAsia"/>
          <w:b/>
          <w:sz w:val="24"/>
        </w:rPr>
      </w:pPr>
      <w:r>
        <w:rPr>
          <w:rFonts w:hint="eastAsia" w:asciiTheme="minorEastAsia" w:hAnsiTheme="minorEastAsia" w:eastAsiaTheme="minorEastAsia"/>
          <w:b/>
          <w:sz w:val="24"/>
        </w:rPr>
        <w:t>八、合同签订及公告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8"/>
        <w:spacing w:before="0" w:beforeAutospacing="0" w:after="0" w:afterAutospacing="0" w:line="360" w:lineRule="auto"/>
        <w:ind w:firstLine="480" w:firstLineChars="20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pPr>
        <w:pStyle w:val="18"/>
        <w:spacing w:before="0" w:beforeAutospacing="0" w:after="0" w:afterAutospacing="0" w:line="360" w:lineRule="auto"/>
        <w:ind w:firstLine="480" w:firstLineChars="200"/>
        <w:jc w:val="both"/>
        <w:rPr>
          <w:rFonts w:hint="default"/>
        </w:rPr>
      </w:pPr>
      <w:r>
        <w:t>2.采购人不得向中标人提出任何不合理的要求作为签订合同的条件。</w:t>
      </w:r>
    </w:p>
    <w:p>
      <w:pPr>
        <w:pStyle w:val="18"/>
        <w:spacing w:before="0" w:beforeAutospacing="0" w:after="0" w:afterAutospacing="0" w:line="360" w:lineRule="auto"/>
        <w:ind w:firstLine="480" w:firstLineChars="200"/>
        <w:jc w:val="both"/>
        <w:rPr>
          <w:rFonts w:hint="default"/>
        </w:rPr>
      </w:pPr>
      <w:r>
        <w:t>3.中标人无故拖延、拒签合同的，将取消中标资格。</w:t>
      </w:r>
    </w:p>
    <w:p>
      <w:pPr>
        <w:pStyle w:val="18"/>
        <w:spacing w:before="0" w:beforeAutospacing="0" w:after="0" w:afterAutospacing="0" w:line="360" w:lineRule="auto"/>
        <w:ind w:firstLine="480" w:firstLineChars="20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18"/>
        <w:spacing w:before="0" w:beforeAutospacing="0" w:after="0" w:afterAutospacing="0" w:line="360" w:lineRule="auto"/>
        <w:ind w:firstLine="480" w:firstLineChars="200"/>
        <w:jc w:val="both"/>
        <w:rPr>
          <w:rFonts w:hint="default"/>
        </w:rPr>
      </w:pPr>
      <w:r>
        <w:t>5.询问或者质疑事项可能影响中标结果的，采购人应当暂停签订合同，已经签订合同的，应当中止履行合同。</w:t>
      </w:r>
    </w:p>
    <w:p>
      <w:pPr>
        <w:pStyle w:val="18"/>
        <w:spacing w:before="0" w:beforeAutospacing="0" w:after="0" w:afterAutospacing="0" w:line="360" w:lineRule="auto"/>
        <w:ind w:firstLine="482" w:firstLineChars="200"/>
        <w:jc w:val="both"/>
        <w:rPr>
          <w:rFonts w:hint="default" w:cs="仿宋_GB2312"/>
          <w:b/>
        </w:rPr>
      </w:pPr>
      <w:r>
        <w:rPr>
          <w:b/>
        </w:rPr>
        <w:t>（二）合同公告及备案</w:t>
      </w:r>
    </w:p>
    <w:p>
      <w:pPr>
        <w:pStyle w:val="10"/>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8"/>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11"/>
        <w:snapToGrid w:val="0"/>
        <w:spacing w:line="360" w:lineRule="auto"/>
        <w:ind w:firstLine="482" w:firstLineChars="200"/>
        <w:outlineLvl w:val="9"/>
        <w:rPr>
          <w:rFonts w:hint="eastAsia" w:asciiTheme="minorEastAsia" w:hAnsiTheme="minorEastAsia" w:eastAsiaTheme="minorEastAsia"/>
          <w:b/>
          <w:sz w:val="24"/>
        </w:rPr>
      </w:pPr>
      <w:r>
        <w:rPr>
          <w:rFonts w:hint="eastAsia" w:asciiTheme="minorEastAsia" w:hAnsiTheme="minorEastAsia" w:eastAsiaTheme="minorEastAsia"/>
          <w:b/>
          <w:sz w:val="24"/>
        </w:rPr>
        <w:t>九、询问、质疑与投诉</w:t>
      </w:r>
    </w:p>
    <w:p>
      <w:pPr>
        <w:pStyle w:val="8"/>
        <w:spacing w:line="360" w:lineRule="auto"/>
        <w:ind w:firstLine="482" w:firstLineChars="200"/>
        <w:jc w:val="both"/>
        <w:rPr>
          <w:rFonts w:ascii="宋体" w:hAnsi="宋体"/>
          <w:b/>
          <w:bCs/>
          <w:sz w:val="24"/>
        </w:rPr>
      </w:pPr>
      <w:r>
        <w:rPr>
          <w:rFonts w:hint="eastAsia" w:ascii="宋体" w:hAnsi="宋体"/>
          <w:b/>
          <w:bCs/>
          <w:sz w:val="24"/>
        </w:rPr>
        <w:t>（一）询问</w:t>
      </w:r>
    </w:p>
    <w:p>
      <w:pPr>
        <w:pStyle w:val="8"/>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sz w:val="24"/>
        </w:rPr>
        <w:t>第一章“</w:t>
      </w:r>
      <w:r>
        <w:rPr>
          <w:rFonts w:hint="eastAsia" w:ascii="宋体" w:hAnsi="宋体"/>
          <w:sz w:val="24"/>
        </w:rPr>
        <w:t>投标邀请</w:t>
      </w:r>
      <w:r>
        <w:rPr>
          <w:rFonts w:hint="eastAsia"/>
          <w:sz w:val="24"/>
        </w:rPr>
        <w:t>”</w:t>
      </w:r>
      <w:r>
        <w:rPr>
          <w:rFonts w:hint="eastAsia" w:ascii="宋体" w:hAnsi="宋体"/>
          <w:sz w:val="24"/>
        </w:rPr>
        <w:t>中“采购人、采购组织机构的名称、地址和联系方式”。</w:t>
      </w:r>
    </w:p>
    <w:p>
      <w:pPr>
        <w:pStyle w:val="8"/>
        <w:spacing w:line="360" w:lineRule="auto"/>
        <w:ind w:firstLine="482" w:firstLineChars="200"/>
        <w:jc w:val="both"/>
        <w:rPr>
          <w:rFonts w:ascii="宋体" w:hAnsi="宋体"/>
          <w:b/>
          <w:bCs/>
          <w:sz w:val="24"/>
        </w:rPr>
      </w:pPr>
      <w:r>
        <w:rPr>
          <w:rFonts w:hint="eastAsia" w:ascii="宋体" w:hAnsi="宋体"/>
          <w:b/>
          <w:bCs/>
          <w:sz w:val="24"/>
        </w:rPr>
        <w:t>（二）质疑</w:t>
      </w:r>
    </w:p>
    <w:p>
      <w:pPr>
        <w:pStyle w:val="8"/>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pPr>
        <w:pStyle w:val="8"/>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pPr>
        <w:pStyle w:val="8"/>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8"/>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w:t>
      </w:r>
      <w:r>
        <w:rPr>
          <w:rFonts w:hint="eastAsia" w:ascii="宋体" w:hAnsi="宋体"/>
          <w:sz w:val="24"/>
          <w:lang w:val="en-US" w:eastAsia="zh-CN"/>
        </w:rPr>
        <w:t xml:space="preserve"> </w:t>
      </w:r>
      <w:r>
        <w:rPr>
          <w:rFonts w:hint="eastAsia" w:ascii="宋体" w:hAnsi="宋体"/>
          <w:sz w:val="24"/>
        </w:rPr>
        <w:t>疑。</w:t>
      </w:r>
    </w:p>
    <w:p>
      <w:pPr>
        <w:pStyle w:val="8"/>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8"/>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8"/>
        <w:spacing w:line="360" w:lineRule="auto"/>
        <w:ind w:firstLine="482" w:firstLineChars="200"/>
        <w:jc w:val="both"/>
        <w:rPr>
          <w:rFonts w:ascii="宋体" w:hAnsi="宋体"/>
          <w:b/>
          <w:bCs/>
          <w:sz w:val="24"/>
        </w:rPr>
      </w:pPr>
      <w:r>
        <w:rPr>
          <w:rFonts w:hint="eastAsia" w:ascii="宋体" w:hAnsi="宋体"/>
          <w:b/>
          <w:bCs/>
          <w:sz w:val="24"/>
        </w:rPr>
        <w:t>（三）投诉</w:t>
      </w:r>
    </w:p>
    <w:p>
      <w:pPr>
        <w:pStyle w:val="8"/>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8"/>
        <w:spacing w:line="360" w:lineRule="auto"/>
        <w:ind w:firstLine="480" w:firstLineChars="200"/>
        <w:rPr>
          <w:rFonts w:asciiTheme="minorEastAsia" w:hAnsiTheme="minorEastAsia" w:eastAsiaTheme="minorEastAsia"/>
          <w:b/>
          <w:sz w:val="36"/>
          <w:szCs w:val="36"/>
        </w:rPr>
      </w:pPr>
      <w:r>
        <w:rPr>
          <w:rFonts w:hint="eastAsia" w:ascii="宋体" w:hAnsi="宋体"/>
          <w:sz w:val="24"/>
        </w:rPr>
        <w:br w:type="page"/>
      </w:r>
    </w:p>
    <w:p>
      <w:pPr>
        <w:numPr>
          <w:ilvl w:val="0"/>
          <w:numId w:val="4"/>
        </w:numPr>
        <w:spacing w:line="360" w:lineRule="auto"/>
        <w:jc w:val="center"/>
        <w:outlineLvl w:val="0"/>
        <w:rPr>
          <w:rFonts w:asciiTheme="minorEastAsia" w:hAnsiTheme="minorEastAsia" w:eastAsiaTheme="minorEastAsia"/>
          <w:b/>
          <w:sz w:val="36"/>
          <w:szCs w:val="36"/>
        </w:rPr>
      </w:pPr>
      <w:bookmarkStart w:id="36" w:name="_Toc13072_WPSOffice_Level1"/>
      <w:r>
        <w:rPr>
          <w:rFonts w:hint="eastAsia" w:asciiTheme="minorEastAsia" w:hAnsiTheme="minorEastAsia" w:eastAsiaTheme="minorEastAsia"/>
          <w:b/>
          <w:sz w:val="36"/>
          <w:szCs w:val="36"/>
          <w:lang w:val="en-US" w:eastAsia="zh-CN"/>
        </w:rPr>
        <w:t xml:space="preserve"> </w:t>
      </w:r>
      <w:r>
        <w:rPr>
          <w:rFonts w:hint="eastAsia" w:asciiTheme="minorEastAsia" w:hAnsiTheme="minorEastAsia" w:eastAsiaTheme="minorEastAsia"/>
          <w:b/>
          <w:sz w:val="36"/>
          <w:szCs w:val="36"/>
        </w:rPr>
        <w:t>招标需求</w:t>
      </w:r>
      <w:bookmarkEnd w:id="36"/>
    </w:p>
    <w:p>
      <w:pPr>
        <w:tabs>
          <w:tab w:val="left" w:pos="8280"/>
        </w:tabs>
        <w:autoSpaceDE w:val="0"/>
        <w:autoSpaceDN w:val="0"/>
        <w:adjustRightInd w:val="0"/>
        <w:spacing w:line="360" w:lineRule="auto"/>
        <w:ind w:firstLine="482" w:firstLineChars="200"/>
        <w:outlineLvl w:val="1"/>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1 </w:t>
      </w:r>
      <w:r>
        <w:rPr>
          <w:rFonts w:hint="eastAsia" w:asciiTheme="minorEastAsia" w:hAnsiTheme="minorEastAsia" w:eastAsiaTheme="minorEastAsia"/>
          <w:sz w:val="24"/>
        </w:rPr>
        <w:t>个标项，具体内容如下表：</w:t>
      </w:r>
    </w:p>
    <w:tbl>
      <w:tblPr>
        <w:tblStyle w:val="22"/>
        <w:tblpPr w:leftFromText="181" w:rightFromText="181" w:bottomFromText="170" w:vertAnchor="text" w:tblpXSpec="center" w:tblpY="1"/>
        <w:tblOverlap w:val="never"/>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23"/>
        <w:gridCol w:w="1800"/>
        <w:gridCol w:w="725"/>
        <w:gridCol w:w="850"/>
        <w:gridCol w:w="1325"/>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5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标项号</w:t>
            </w:r>
          </w:p>
        </w:tc>
        <w:tc>
          <w:tcPr>
            <w:tcW w:w="2223"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项目名称</w:t>
            </w:r>
          </w:p>
        </w:tc>
        <w:tc>
          <w:tcPr>
            <w:tcW w:w="1800" w:type="dxa"/>
            <w:vAlign w:val="center"/>
          </w:tcPr>
          <w:p>
            <w:pPr>
              <w:tabs>
                <w:tab w:val="left" w:pos="8280"/>
              </w:tabs>
              <w:autoSpaceDE w:val="0"/>
              <w:autoSpaceDN w:val="0"/>
              <w:adjustRightInd w:val="0"/>
              <w:jc w:val="center"/>
              <w:rPr>
                <w:rFonts w:ascii="宋体"/>
                <w:b/>
                <w:szCs w:val="21"/>
              </w:rPr>
            </w:pPr>
            <w:r>
              <w:rPr>
                <w:rFonts w:hint="eastAsia" w:ascii="宋体" w:hAnsi="宋体" w:cs="宋体"/>
                <w:b/>
                <w:kern w:val="0"/>
                <w:szCs w:val="21"/>
              </w:rPr>
              <w:t>简要技术要求</w:t>
            </w:r>
          </w:p>
        </w:tc>
        <w:tc>
          <w:tcPr>
            <w:tcW w:w="725"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数量</w:t>
            </w:r>
          </w:p>
        </w:tc>
        <w:tc>
          <w:tcPr>
            <w:tcW w:w="850"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单位</w:t>
            </w:r>
          </w:p>
        </w:tc>
        <w:tc>
          <w:tcPr>
            <w:tcW w:w="1325" w:type="dxa"/>
            <w:vAlign w:val="center"/>
          </w:tcPr>
          <w:p>
            <w:pPr>
              <w:tabs>
                <w:tab w:val="left" w:pos="8280"/>
              </w:tabs>
              <w:autoSpaceDE w:val="0"/>
              <w:autoSpaceDN w:val="0"/>
              <w:adjustRightInd w:val="0"/>
              <w:jc w:val="center"/>
              <w:rPr>
                <w:rFonts w:hint="eastAsia" w:ascii="宋体" w:hAnsi="宋体"/>
                <w:b/>
                <w:szCs w:val="21"/>
              </w:rPr>
            </w:pPr>
            <w:r>
              <w:rPr>
                <w:rFonts w:hint="eastAsia" w:ascii="宋体" w:hAnsi="宋体"/>
                <w:b/>
                <w:szCs w:val="21"/>
              </w:rPr>
              <w:t>总预算</w:t>
            </w:r>
          </w:p>
          <w:p>
            <w:pPr>
              <w:tabs>
                <w:tab w:val="left" w:pos="8280"/>
              </w:tabs>
              <w:autoSpaceDE w:val="0"/>
              <w:autoSpaceDN w:val="0"/>
              <w:adjustRightInd w:val="0"/>
              <w:jc w:val="center"/>
              <w:rPr>
                <w:rFonts w:ascii="宋体"/>
                <w:b/>
                <w:szCs w:val="21"/>
              </w:rPr>
            </w:pPr>
            <w:r>
              <w:rPr>
                <w:rFonts w:hint="eastAsia" w:ascii="宋体" w:hAnsi="宋体"/>
                <w:b/>
                <w:szCs w:val="21"/>
              </w:rPr>
              <w:t>（万元）</w:t>
            </w:r>
          </w:p>
        </w:tc>
        <w:tc>
          <w:tcPr>
            <w:tcW w:w="1302" w:type="dxa"/>
            <w:vAlign w:val="center"/>
          </w:tcPr>
          <w:p>
            <w:pPr>
              <w:tabs>
                <w:tab w:val="left" w:pos="8280"/>
              </w:tabs>
              <w:autoSpaceDE w:val="0"/>
              <w:autoSpaceDN w:val="0"/>
              <w:adjustRightInd w:val="0"/>
              <w:jc w:val="center"/>
              <w:rPr>
                <w:rFonts w:hint="eastAsia" w:ascii="宋体" w:hAnsi="宋体"/>
                <w:b/>
                <w:szCs w:val="21"/>
                <w:lang w:val="en-US" w:eastAsia="zh-CN"/>
              </w:rPr>
            </w:pPr>
            <w:r>
              <w:rPr>
                <w:rFonts w:hint="eastAsia" w:ascii="宋体" w:hAnsi="宋体"/>
                <w:b/>
                <w:szCs w:val="21"/>
                <w:lang w:val="en-US" w:eastAsia="zh-CN"/>
              </w:rPr>
              <w:t>最高限价</w:t>
            </w:r>
          </w:p>
          <w:p>
            <w:pPr>
              <w:tabs>
                <w:tab w:val="left" w:pos="8280"/>
              </w:tabs>
              <w:autoSpaceDE w:val="0"/>
              <w:autoSpaceDN w:val="0"/>
              <w:adjustRightInd w:val="0"/>
              <w:jc w:val="center"/>
              <w:rPr>
                <w:rFonts w:hint="eastAsia" w:ascii="宋体" w:hAnsi="宋体" w:eastAsia="宋体"/>
                <w:b/>
                <w:szCs w:val="21"/>
                <w:lang w:val="en-US" w:eastAsia="zh-CN"/>
              </w:rPr>
            </w:pPr>
            <w:r>
              <w:rPr>
                <w:rFonts w:hint="eastAsia" w:ascii="宋体" w:hAnsi="宋体"/>
                <w:b/>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52" w:type="dxa"/>
            <w:vAlign w:val="center"/>
          </w:tcPr>
          <w:p>
            <w:pPr>
              <w:tabs>
                <w:tab w:val="left" w:pos="8280"/>
              </w:tabs>
              <w:autoSpaceDE w:val="0"/>
              <w:autoSpaceDN w:val="0"/>
              <w:adjustRightInd w:val="0"/>
              <w:jc w:val="center"/>
              <w:rPr>
                <w:rFonts w:ascii="宋体" w:hAnsi="宋体" w:cs="宋体"/>
                <w:szCs w:val="21"/>
              </w:rPr>
            </w:pPr>
            <w:r>
              <w:rPr>
                <w:rFonts w:hint="eastAsia" w:ascii="宋体" w:hAnsi="宋体" w:cs="宋体"/>
                <w:szCs w:val="21"/>
              </w:rPr>
              <w:t>1</w:t>
            </w:r>
          </w:p>
        </w:tc>
        <w:tc>
          <w:tcPr>
            <w:tcW w:w="2223" w:type="dxa"/>
            <w:vAlign w:val="center"/>
          </w:tcPr>
          <w:p>
            <w:pPr>
              <w:tabs>
                <w:tab w:val="left" w:pos="8280"/>
              </w:tabs>
              <w:autoSpaceDE w:val="0"/>
              <w:autoSpaceDN w:val="0"/>
              <w:adjustRightInd w:val="0"/>
              <w:jc w:val="center"/>
              <w:rPr>
                <w:rFonts w:hint="eastAsia" w:ascii="宋体" w:hAnsi="宋体" w:eastAsia="宋体" w:cs="宋体"/>
                <w:color w:val="000000"/>
                <w:kern w:val="2"/>
                <w:sz w:val="24"/>
                <w:szCs w:val="24"/>
                <w:lang w:val="en-US" w:eastAsia="zh-CN" w:bidi="ar-SA"/>
              </w:rPr>
            </w:pPr>
            <w:r>
              <w:rPr>
                <w:rFonts w:hint="eastAsia" w:ascii="宋体" w:hAnsi="宋体" w:cs="宋体"/>
                <w:kern w:val="0"/>
                <w:sz w:val="24"/>
                <w:lang w:eastAsia="zh-CN"/>
              </w:rPr>
              <w:t>侦检</w:t>
            </w:r>
            <w:r>
              <w:rPr>
                <w:rFonts w:hint="eastAsia" w:ascii="宋体" w:hAnsi="宋体" w:cs="宋体"/>
                <w:kern w:val="0"/>
                <w:sz w:val="24"/>
              </w:rPr>
              <w:t>仪器呼吸器</w:t>
            </w:r>
            <w:r>
              <w:rPr>
                <w:rFonts w:hint="eastAsia" w:ascii="宋体" w:hAnsi="宋体" w:cs="宋体"/>
                <w:kern w:val="0"/>
                <w:sz w:val="24"/>
                <w:lang w:eastAsia="zh-CN"/>
              </w:rPr>
              <w:t>类</w:t>
            </w:r>
            <w:r>
              <w:rPr>
                <w:rFonts w:hint="eastAsia" w:ascii="宋体" w:hAnsi="宋体" w:cs="宋体"/>
                <w:kern w:val="0"/>
                <w:sz w:val="24"/>
                <w:lang w:val="en-US" w:eastAsia="zh-CN"/>
              </w:rPr>
              <w:t>设备</w:t>
            </w:r>
          </w:p>
        </w:tc>
        <w:tc>
          <w:tcPr>
            <w:tcW w:w="1800" w:type="dxa"/>
            <w:vAlign w:val="center"/>
          </w:tcPr>
          <w:p>
            <w:pPr>
              <w:tabs>
                <w:tab w:val="left" w:pos="8280"/>
              </w:tabs>
              <w:autoSpaceDE w:val="0"/>
              <w:autoSpaceDN w:val="0"/>
              <w:adjustRightInd w:val="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详见下方技术需求</w:t>
            </w:r>
          </w:p>
        </w:tc>
        <w:tc>
          <w:tcPr>
            <w:tcW w:w="725" w:type="dxa"/>
            <w:vAlign w:val="center"/>
          </w:tcPr>
          <w:p>
            <w:pPr>
              <w:tabs>
                <w:tab w:val="left" w:pos="8280"/>
              </w:tabs>
              <w:autoSpaceDE w:val="0"/>
              <w:autoSpaceDN w:val="0"/>
              <w:adjustRightInd w:val="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w:t>
            </w:r>
          </w:p>
        </w:tc>
        <w:tc>
          <w:tcPr>
            <w:tcW w:w="850" w:type="dxa"/>
            <w:vAlign w:val="center"/>
          </w:tcPr>
          <w:p>
            <w:pPr>
              <w:tabs>
                <w:tab w:val="left" w:pos="8280"/>
              </w:tabs>
              <w:autoSpaceDE w:val="0"/>
              <w:autoSpaceDN w:val="0"/>
              <w:adjustRightInd w:val="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w:t>
            </w:r>
          </w:p>
        </w:tc>
        <w:tc>
          <w:tcPr>
            <w:tcW w:w="1325" w:type="dxa"/>
            <w:vAlign w:val="center"/>
          </w:tcPr>
          <w:p>
            <w:pPr>
              <w:tabs>
                <w:tab w:val="left" w:pos="8280"/>
              </w:tabs>
              <w:autoSpaceDE w:val="0"/>
              <w:autoSpaceDN w:val="0"/>
              <w:adjustRightInd w:val="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406.4</w:t>
            </w:r>
          </w:p>
        </w:tc>
        <w:tc>
          <w:tcPr>
            <w:tcW w:w="1302" w:type="dxa"/>
            <w:vAlign w:val="center"/>
          </w:tcPr>
          <w:p>
            <w:pPr>
              <w:tabs>
                <w:tab w:val="left" w:pos="8280"/>
              </w:tabs>
              <w:autoSpaceDE w:val="0"/>
              <w:autoSpaceDN w:val="0"/>
              <w:adjustRightInd w:val="0"/>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406</w:t>
            </w:r>
            <w:r>
              <w:rPr>
                <w:rFonts w:hint="eastAsia" w:ascii="宋体" w:hAnsi="宋体" w:cs="宋体"/>
                <w:color w:val="auto"/>
                <w:sz w:val="24"/>
              </w:rPr>
              <w:t>.</w:t>
            </w:r>
            <w:r>
              <w:rPr>
                <w:rFonts w:hint="eastAsia" w:ascii="宋体" w:hAnsi="宋体" w:cs="宋体"/>
                <w:color w:val="auto"/>
                <w:sz w:val="24"/>
                <w:lang w:val="en-US" w:eastAsia="zh-CN"/>
              </w:rPr>
              <w:t>1</w:t>
            </w:r>
            <w:r>
              <w:rPr>
                <w:rFonts w:hint="eastAsia" w:ascii="宋体" w:hAnsi="宋体" w:cs="宋体"/>
                <w:color w:val="auto"/>
                <w:sz w:val="24"/>
              </w:rPr>
              <w:t>6</w:t>
            </w:r>
          </w:p>
        </w:tc>
      </w:tr>
    </w:tbl>
    <w:p>
      <w:pPr>
        <w:numPr>
          <w:ilvl w:val="0"/>
          <w:numId w:val="0"/>
        </w:numPr>
        <w:tabs>
          <w:tab w:val="left" w:pos="8280"/>
        </w:tabs>
        <w:autoSpaceDE w:val="0"/>
        <w:autoSpaceDN w:val="0"/>
        <w:adjustRightInd w:val="0"/>
        <w:spacing w:line="360" w:lineRule="auto"/>
        <w:ind w:firstLine="482" w:firstLineChars="200"/>
        <w:outlineLvl w:val="1"/>
        <w:rPr>
          <w:rFonts w:hint="eastAsia" w:asciiTheme="minorEastAsia" w:hAnsiTheme="minorEastAsia" w:eastAsiaTheme="minorEastAsia"/>
          <w:b/>
          <w:color w:val="000000" w:themeColor="text1"/>
          <w:kern w:val="0"/>
          <w:sz w:val="24"/>
          <w:lang w:val="en-US" w:eastAsia="zh-CN"/>
          <w14:textFill>
            <w14:solidFill>
              <w14:schemeClr w14:val="tx1"/>
            </w14:solidFill>
          </w14:textFill>
        </w:rPr>
      </w:pPr>
      <w:r>
        <w:rPr>
          <w:rFonts w:hint="eastAsia" w:cs="Times New Roman" w:asciiTheme="minorEastAsia" w:hAnsiTheme="minorEastAsia" w:eastAsiaTheme="minorEastAsia"/>
          <w:b/>
          <w:color w:val="000000" w:themeColor="text1"/>
          <w:kern w:val="0"/>
          <w:sz w:val="24"/>
          <w:szCs w:val="24"/>
          <w:lang w:val="en-US" w:eastAsia="zh-CN" w:bidi="ar-SA"/>
          <w14:textFill>
            <w14:solidFill>
              <w14:schemeClr w14:val="tx1"/>
            </w14:solidFill>
          </w14:textFill>
        </w:rPr>
        <w:t>二、</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建设目标</w:t>
      </w:r>
    </w:p>
    <w:p>
      <w:pPr>
        <w:pStyle w:val="9"/>
        <w:spacing w:line="360" w:lineRule="auto"/>
        <w:ind w:firstLine="420"/>
        <w:rPr>
          <w:rFonts w:hint="eastAsia" w:ascii="新宋体" w:hAnsi="新宋体" w:eastAsia="新宋体" w:cs="Times New Roman"/>
          <w:bCs/>
          <w:szCs w:val="21"/>
          <w:highlight w:val="none"/>
          <w:lang w:val="en-US" w:eastAsia="zh-CN"/>
        </w:rPr>
      </w:pPr>
      <w:r>
        <w:rPr>
          <w:rFonts w:hint="eastAsia" w:ascii="新宋体" w:hAnsi="新宋体" w:eastAsia="新宋体" w:cs="Times New Roman"/>
          <w:bCs/>
          <w:szCs w:val="21"/>
          <w:highlight w:val="none"/>
          <w:lang w:val="en-US" w:eastAsia="zh-CN"/>
        </w:rPr>
        <w:t>通过项目实施，推动基层应急救援队伍先进适用应急救援装备配备水平，全面提升台州市基层防范和处置应对突发事件能力水平。不断完善社会保障体系和现代化公共服务体系建设，重点对区域脆弱性进行精细分析,有针对性地做好自然灾害风险管理和应对准备,增强重大灾害风险防范化解能力。</w:t>
      </w:r>
    </w:p>
    <w:p>
      <w:pPr>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outlineLvl w:val="1"/>
        <w:rPr>
          <w:sz w:val="24"/>
          <w:szCs w:val="24"/>
        </w:rPr>
      </w:pPr>
      <w:r>
        <w:rPr>
          <w:rFonts w:hint="eastAsia" w:asciiTheme="minorEastAsia" w:hAnsiTheme="minorEastAsia" w:eastAsiaTheme="minorEastAsia"/>
          <w:b/>
          <w:sz w:val="24"/>
          <w:lang w:val="en-US" w:eastAsia="zh-CN"/>
        </w:rPr>
        <w:t>三、</w:t>
      </w:r>
      <w:r>
        <w:rPr>
          <w:rFonts w:hint="eastAsia" w:asciiTheme="minorEastAsia" w:hAnsiTheme="minorEastAsia" w:eastAsiaTheme="minorEastAsia"/>
          <w:b/>
          <w:sz w:val="24"/>
        </w:rPr>
        <w:t>技术需求</w:t>
      </w:r>
    </w:p>
    <w:p>
      <w:pPr>
        <w:spacing w:line="420" w:lineRule="exact"/>
        <w:ind w:firstLine="482" w:firstLineChars="200"/>
        <w:rPr>
          <w:rFonts w:hint="default" w:asciiTheme="minorEastAsia" w:hAnsiTheme="minorEastAsia" w:eastAsiaTheme="minorEastAsia"/>
          <w:b/>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（一）</w:t>
      </w:r>
      <w:r>
        <w:rPr>
          <w:rFonts w:hint="eastAsia" w:ascii="宋体" w:hAnsi="宋体" w:cs="宋体" w:eastAsiaTheme="minorEastAsia"/>
          <w:b/>
          <w:sz w:val="22"/>
          <w:lang w:val="en-US" w:eastAsia="zh-CN"/>
        </w:rPr>
        <w:t>采购内容一览表</w:t>
      </w:r>
    </w:p>
    <w:tbl>
      <w:tblPr>
        <w:tblStyle w:val="2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2247"/>
        <w:gridCol w:w="775"/>
        <w:gridCol w:w="916"/>
        <w:gridCol w:w="1000"/>
        <w:gridCol w:w="813"/>
        <w:gridCol w:w="1266"/>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pPr>
              <w:widowControl/>
              <w:spacing w:line="420" w:lineRule="exact"/>
              <w:jc w:val="center"/>
              <w:rPr>
                <w:rFonts w:ascii="宋体" w:hAnsi="宋体" w:cs="宋体"/>
                <w:b/>
                <w:bCs/>
                <w:sz w:val="22"/>
              </w:rPr>
            </w:pPr>
            <w:r>
              <w:rPr>
                <w:rFonts w:hint="eastAsia" w:ascii="宋体" w:hAnsi="宋体" w:cs="宋体"/>
                <w:b/>
                <w:bCs/>
                <w:sz w:val="22"/>
              </w:rPr>
              <w:t>序号</w:t>
            </w:r>
          </w:p>
        </w:tc>
        <w:tc>
          <w:tcPr>
            <w:tcW w:w="2247" w:type="dxa"/>
            <w:shd w:val="clear" w:color="000000" w:fill="auto"/>
            <w:noWrap/>
            <w:vAlign w:val="center"/>
          </w:tcPr>
          <w:p>
            <w:pPr>
              <w:widowControl/>
              <w:spacing w:line="420" w:lineRule="exact"/>
              <w:jc w:val="center"/>
              <w:rPr>
                <w:rFonts w:ascii="宋体" w:hAnsi="宋体" w:cs="宋体"/>
                <w:b/>
                <w:bCs/>
                <w:sz w:val="22"/>
              </w:rPr>
            </w:pPr>
            <w:r>
              <w:rPr>
                <w:rFonts w:hint="eastAsia" w:ascii="宋体" w:hAnsi="宋体" w:cs="宋体"/>
                <w:b/>
                <w:bCs/>
                <w:sz w:val="22"/>
              </w:rPr>
              <w:t>货物名称</w:t>
            </w:r>
          </w:p>
        </w:tc>
        <w:tc>
          <w:tcPr>
            <w:tcW w:w="775" w:type="dxa"/>
            <w:shd w:val="clear" w:color="000000" w:fill="auto"/>
            <w:noWrap/>
            <w:vAlign w:val="center"/>
          </w:tcPr>
          <w:p>
            <w:pPr>
              <w:widowControl/>
              <w:spacing w:line="420" w:lineRule="exact"/>
              <w:jc w:val="center"/>
              <w:rPr>
                <w:rFonts w:ascii="宋体" w:hAnsi="宋体" w:cs="宋体"/>
                <w:b/>
                <w:bCs/>
                <w:sz w:val="22"/>
              </w:rPr>
            </w:pPr>
            <w:r>
              <w:rPr>
                <w:rFonts w:hint="eastAsia" w:ascii="宋体" w:hAnsi="宋体" w:cs="宋体"/>
                <w:b/>
                <w:bCs/>
                <w:sz w:val="22"/>
              </w:rPr>
              <w:t>数量</w:t>
            </w:r>
          </w:p>
        </w:tc>
        <w:tc>
          <w:tcPr>
            <w:tcW w:w="916" w:type="dxa"/>
            <w:shd w:val="clear" w:color="000000" w:fill="auto"/>
            <w:noWrap/>
            <w:vAlign w:val="center"/>
          </w:tcPr>
          <w:p>
            <w:pPr>
              <w:widowControl/>
              <w:spacing w:line="420" w:lineRule="exact"/>
              <w:jc w:val="center"/>
              <w:rPr>
                <w:rFonts w:ascii="宋体" w:hAnsi="宋体" w:cs="宋体"/>
                <w:b/>
                <w:bCs/>
                <w:sz w:val="22"/>
              </w:rPr>
            </w:pPr>
            <w:r>
              <w:rPr>
                <w:rFonts w:hint="eastAsia" w:ascii="宋体" w:hAnsi="宋体" w:cs="宋体"/>
                <w:b/>
                <w:bCs/>
                <w:sz w:val="22"/>
              </w:rPr>
              <w:t>单位</w:t>
            </w:r>
          </w:p>
        </w:tc>
        <w:tc>
          <w:tcPr>
            <w:tcW w:w="1000" w:type="dxa"/>
            <w:shd w:val="clear" w:color="000000" w:fill="auto"/>
            <w:noWrap/>
            <w:vAlign w:val="center"/>
          </w:tcPr>
          <w:p>
            <w:pPr>
              <w:widowControl/>
              <w:spacing w:line="420" w:lineRule="exact"/>
              <w:jc w:val="center"/>
              <w:rPr>
                <w:rFonts w:hint="default" w:ascii="宋体" w:hAnsi="宋体" w:eastAsia="宋体" w:cs="宋体"/>
                <w:b/>
                <w:bCs/>
                <w:sz w:val="22"/>
                <w:lang w:val="en-US" w:eastAsia="zh-CN"/>
              </w:rPr>
            </w:pPr>
            <w:r>
              <w:rPr>
                <w:rFonts w:hint="eastAsia" w:ascii="宋体" w:hAnsi="宋体" w:cs="宋体"/>
                <w:b/>
                <w:bCs/>
                <w:sz w:val="22"/>
                <w:lang w:val="en-US" w:eastAsia="zh-CN"/>
              </w:rPr>
              <w:t>是否为核心产品</w:t>
            </w:r>
          </w:p>
        </w:tc>
        <w:tc>
          <w:tcPr>
            <w:tcW w:w="813" w:type="dxa"/>
            <w:shd w:val="clear" w:color="000000" w:fill="auto"/>
            <w:noWrap/>
            <w:vAlign w:val="center"/>
          </w:tcPr>
          <w:p>
            <w:pPr>
              <w:widowControl/>
              <w:spacing w:line="420" w:lineRule="exact"/>
              <w:jc w:val="center"/>
              <w:rPr>
                <w:rFonts w:hint="default" w:ascii="宋体" w:hAnsi="宋体" w:eastAsia="宋体" w:cs="宋体"/>
                <w:b/>
                <w:bCs/>
                <w:sz w:val="22"/>
                <w:lang w:val="en-US" w:eastAsia="zh-CN"/>
              </w:rPr>
            </w:pPr>
            <w:r>
              <w:rPr>
                <w:rFonts w:hint="eastAsia" w:ascii="宋体" w:hAnsi="宋体" w:cs="宋体"/>
                <w:b/>
                <w:bCs/>
                <w:sz w:val="22"/>
                <w:lang w:val="en-US" w:eastAsia="zh-CN"/>
              </w:rPr>
              <w:t>是否进口</w:t>
            </w:r>
          </w:p>
        </w:tc>
        <w:tc>
          <w:tcPr>
            <w:tcW w:w="1266" w:type="dxa"/>
            <w:shd w:val="clear" w:color="000000" w:fill="auto"/>
            <w:noWrap/>
            <w:vAlign w:val="center"/>
          </w:tcPr>
          <w:p>
            <w:pPr>
              <w:widowControl/>
              <w:spacing w:line="420" w:lineRule="exact"/>
              <w:jc w:val="center"/>
              <w:rPr>
                <w:rFonts w:hint="eastAsia" w:ascii="宋体" w:hAnsi="宋体" w:cs="宋体"/>
                <w:b/>
                <w:bCs/>
                <w:sz w:val="22"/>
              </w:rPr>
            </w:pPr>
            <w:r>
              <w:rPr>
                <w:rFonts w:hint="eastAsia" w:ascii="宋体" w:hAnsi="宋体" w:cs="宋体"/>
                <w:b/>
                <w:bCs/>
                <w:sz w:val="22"/>
              </w:rPr>
              <w:t>单价最高限价</w:t>
            </w:r>
          </w:p>
          <w:p>
            <w:pPr>
              <w:widowControl/>
              <w:spacing w:line="420" w:lineRule="exact"/>
              <w:jc w:val="center"/>
              <w:rPr>
                <w:rFonts w:ascii="宋体" w:hAnsi="宋体" w:cs="宋体"/>
                <w:b/>
                <w:bCs/>
                <w:sz w:val="22"/>
              </w:rPr>
            </w:pPr>
            <w:r>
              <w:rPr>
                <w:rFonts w:hint="eastAsia" w:ascii="宋体" w:hAnsi="宋体" w:cs="宋体"/>
                <w:b/>
                <w:bCs/>
                <w:sz w:val="22"/>
              </w:rPr>
              <w:t>（万元）</w:t>
            </w:r>
          </w:p>
        </w:tc>
        <w:tc>
          <w:tcPr>
            <w:tcW w:w="1300" w:type="dxa"/>
            <w:shd w:val="clear" w:color="000000" w:fill="auto"/>
            <w:noWrap/>
            <w:vAlign w:val="center"/>
          </w:tcPr>
          <w:p>
            <w:pPr>
              <w:widowControl/>
              <w:spacing w:line="420" w:lineRule="exact"/>
              <w:jc w:val="center"/>
              <w:rPr>
                <w:rFonts w:hint="eastAsia" w:ascii="宋体" w:hAnsi="宋体" w:cs="宋体"/>
                <w:b/>
                <w:bCs/>
                <w:sz w:val="22"/>
              </w:rPr>
            </w:pPr>
            <w:r>
              <w:rPr>
                <w:rFonts w:hint="eastAsia" w:ascii="宋体" w:hAnsi="宋体" w:cs="宋体"/>
                <w:b/>
                <w:bCs/>
                <w:sz w:val="22"/>
              </w:rPr>
              <w:t>预算最高限价</w:t>
            </w:r>
          </w:p>
          <w:p>
            <w:pPr>
              <w:widowControl/>
              <w:spacing w:line="420" w:lineRule="exact"/>
              <w:jc w:val="center"/>
              <w:rPr>
                <w:rFonts w:ascii="宋体" w:hAnsi="宋体" w:cs="宋体"/>
                <w:b/>
                <w:bCs/>
                <w:sz w:val="22"/>
              </w:rPr>
            </w:pPr>
            <w:r>
              <w:rPr>
                <w:rFonts w:hint="eastAsia" w:ascii="宋体" w:hAnsi="宋体" w:cs="宋体"/>
                <w:b/>
                <w:bCs/>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98" w:type="dxa"/>
            <w:shd w:val="clear" w:color="000000" w:fill="auto"/>
            <w:noWrap/>
            <w:vAlign w:val="center"/>
          </w:tcPr>
          <w:p>
            <w:pPr>
              <w:spacing w:before="62" w:after="62" w:line="280" w:lineRule="exact"/>
              <w:ind w:left="42" w:leftChars="20"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247"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水深探测仪</w:t>
            </w:r>
          </w:p>
        </w:tc>
        <w:tc>
          <w:tcPr>
            <w:tcW w:w="775"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8</w:t>
            </w:r>
          </w:p>
        </w:tc>
        <w:tc>
          <w:tcPr>
            <w:tcW w:w="916"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台</w:t>
            </w:r>
          </w:p>
        </w:tc>
        <w:tc>
          <w:tcPr>
            <w:tcW w:w="1000"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lang w:val="en-US" w:eastAsia="zh-CN"/>
              </w:rPr>
            </w:pPr>
            <w:r>
              <w:rPr>
                <w:rFonts w:hint="eastAsia" w:ascii="宋体" w:hAnsi="宋体" w:eastAsia="宋体" w:cs="宋体"/>
                <w:sz w:val="24"/>
              </w:rPr>
              <w:t>否</w:t>
            </w:r>
          </w:p>
        </w:tc>
        <w:tc>
          <w:tcPr>
            <w:tcW w:w="813"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lang w:val="en-US" w:eastAsia="zh-CN"/>
              </w:rPr>
              <w:t>否</w:t>
            </w:r>
          </w:p>
        </w:tc>
        <w:tc>
          <w:tcPr>
            <w:tcW w:w="1266"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rPr>
              <w:t>0.8</w:t>
            </w:r>
          </w:p>
        </w:tc>
        <w:tc>
          <w:tcPr>
            <w:tcW w:w="1300"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98" w:type="dxa"/>
            <w:shd w:val="clear" w:color="000000" w:fill="auto"/>
            <w:noWrap/>
            <w:vAlign w:val="center"/>
          </w:tcPr>
          <w:p>
            <w:pPr>
              <w:spacing w:before="62" w:after="62" w:line="280" w:lineRule="exact"/>
              <w:ind w:left="42" w:leftChars="20"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247"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流速监测仪</w:t>
            </w:r>
          </w:p>
        </w:tc>
        <w:tc>
          <w:tcPr>
            <w:tcW w:w="775"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1</w:t>
            </w:r>
          </w:p>
        </w:tc>
        <w:tc>
          <w:tcPr>
            <w:tcW w:w="916"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台</w:t>
            </w:r>
          </w:p>
        </w:tc>
        <w:tc>
          <w:tcPr>
            <w:tcW w:w="1000"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rPr>
              <w:t>否</w:t>
            </w:r>
          </w:p>
        </w:tc>
        <w:tc>
          <w:tcPr>
            <w:tcW w:w="813"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lang w:val="en-US" w:eastAsia="zh-CN"/>
              </w:rPr>
              <w:t>否</w:t>
            </w:r>
          </w:p>
        </w:tc>
        <w:tc>
          <w:tcPr>
            <w:tcW w:w="1266"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rPr>
              <w:t>0.3</w:t>
            </w:r>
          </w:p>
        </w:tc>
        <w:tc>
          <w:tcPr>
            <w:tcW w:w="1300"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pPr>
              <w:spacing w:before="62" w:after="62" w:line="280" w:lineRule="exact"/>
              <w:ind w:left="42" w:leftChars="20"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247"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红外热成像仪</w:t>
            </w:r>
          </w:p>
        </w:tc>
        <w:tc>
          <w:tcPr>
            <w:tcW w:w="775"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45</w:t>
            </w:r>
          </w:p>
        </w:tc>
        <w:tc>
          <w:tcPr>
            <w:tcW w:w="916"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台</w:t>
            </w:r>
          </w:p>
        </w:tc>
        <w:tc>
          <w:tcPr>
            <w:tcW w:w="1000"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rPr>
              <w:t>否</w:t>
            </w:r>
          </w:p>
        </w:tc>
        <w:tc>
          <w:tcPr>
            <w:tcW w:w="813"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lang w:val="en-US" w:eastAsia="zh-CN"/>
              </w:rPr>
              <w:t>否</w:t>
            </w:r>
          </w:p>
        </w:tc>
        <w:tc>
          <w:tcPr>
            <w:tcW w:w="1266"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rPr>
              <w:t>0.2</w:t>
            </w:r>
          </w:p>
        </w:tc>
        <w:tc>
          <w:tcPr>
            <w:tcW w:w="1300"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pPr>
              <w:spacing w:before="62" w:after="62" w:line="280" w:lineRule="exact"/>
              <w:ind w:left="42" w:leftChars="20"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247"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lang w:val="en-US" w:eastAsia="zh-CN"/>
              </w:rPr>
            </w:pPr>
            <w:r>
              <w:rPr>
                <w:rFonts w:hint="eastAsia" w:ascii="宋体" w:hAnsi="宋体" w:cs="宋体"/>
              </w:rPr>
              <w:t>漏电检测仪</w:t>
            </w:r>
          </w:p>
        </w:tc>
        <w:tc>
          <w:tcPr>
            <w:tcW w:w="775"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6</w:t>
            </w:r>
          </w:p>
        </w:tc>
        <w:tc>
          <w:tcPr>
            <w:tcW w:w="916"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台</w:t>
            </w:r>
          </w:p>
        </w:tc>
        <w:tc>
          <w:tcPr>
            <w:tcW w:w="1000"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lang w:val="en-US" w:eastAsia="zh-CN"/>
              </w:rPr>
            </w:pPr>
            <w:r>
              <w:rPr>
                <w:rFonts w:hint="eastAsia" w:ascii="宋体" w:hAnsi="宋体" w:eastAsia="宋体" w:cs="宋体"/>
                <w:sz w:val="24"/>
              </w:rPr>
              <w:t>否</w:t>
            </w:r>
          </w:p>
        </w:tc>
        <w:tc>
          <w:tcPr>
            <w:tcW w:w="813"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lang w:val="en-US" w:eastAsia="zh-CN"/>
              </w:rPr>
              <w:t>否</w:t>
            </w:r>
          </w:p>
        </w:tc>
        <w:tc>
          <w:tcPr>
            <w:tcW w:w="1266"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rPr>
              <w:t>1</w:t>
            </w:r>
          </w:p>
        </w:tc>
        <w:tc>
          <w:tcPr>
            <w:tcW w:w="1300"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pPr>
              <w:spacing w:before="62" w:after="62" w:line="280" w:lineRule="exact"/>
              <w:ind w:left="42" w:leftChars="20"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2247"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激光测距仪</w:t>
            </w:r>
          </w:p>
        </w:tc>
        <w:tc>
          <w:tcPr>
            <w:tcW w:w="775"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3</w:t>
            </w:r>
          </w:p>
        </w:tc>
        <w:tc>
          <w:tcPr>
            <w:tcW w:w="916"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台</w:t>
            </w:r>
          </w:p>
        </w:tc>
        <w:tc>
          <w:tcPr>
            <w:tcW w:w="1000"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rPr>
              <w:t>否</w:t>
            </w:r>
          </w:p>
        </w:tc>
        <w:tc>
          <w:tcPr>
            <w:tcW w:w="813"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lang w:val="en-US" w:eastAsia="zh-CN"/>
              </w:rPr>
              <w:t>否</w:t>
            </w:r>
          </w:p>
        </w:tc>
        <w:tc>
          <w:tcPr>
            <w:tcW w:w="1266"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rPr>
              <w:t>5</w:t>
            </w:r>
          </w:p>
        </w:tc>
        <w:tc>
          <w:tcPr>
            <w:tcW w:w="1300"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pPr>
              <w:spacing w:before="62" w:after="62" w:line="280" w:lineRule="exact"/>
              <w:ind w:left="42" w:leftChars="20"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2247"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有毒有害气体检测仪</w:t>
            </w:r>
          </w:p>
        </w:tc>
        <w:tc>
          <w:tcPr>
            <w:tcW w:w="775"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40</w:t>
            </w:r>
          </w:p>
        </w:tc>
        <w:tc>
          <w:tcPr>
            <w:tcW w:w="916"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台</w:t>
            </w:r>
          </w:p>
        </w:tc>
        <w:tc>
          <w:tcPr>
            <w:tcW w:w="1000"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rPr>
              <w:t>否</w:t>
            </w:r>
          </w:p>
        </w:tc>
        <w:tc>
          <w:tcPr>
            <w:tcW w:w="813"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lang w:val="en-US" w:eastAsia="zh-CN"/>
              </w:rPr>
              <w:t>否</w:t>
            </w:r>
          </w:p>
        </w:tc>
        <w:tc>
          <w:tcPr>
            <w:tcW w:w="1266"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rPr>
              <w:t>0.15</w:t>
            </w:r>
          </w:p>
        </w:tc>
        <w:tc>
          <w:tcPr>
            <w:tcW w:w="1300"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pPr>
              <w:spacing w:before="62" w:after="62" w:line="280" w:lineRule="exact"/>
              <w:ind w:left="42" w:leftChars="20"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2247"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复合气体探测器</w:t>
            </w:r>
          </w:p>
        </w:tc>
        <w:tc>
          <w:tcPr>
            <w:tcW w:w="775"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1</w:t>
            </w:r>
          </w:p>
        </w:tc>
        <w:tc>
          <w:tcPr>
            <w:tcW w:w="916"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台</w:t>
            </w:r>
          </w:p>
        </w:tc>
        <w:tc>
          <w:tcPr>
            <w:tcW w:w="1000"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rPr>
              <w:t>否</w:t>
            </w:r>
          </w:p>
        </w:tc>
        <w:tc>
          <w:tcPr>
            <w:tcW w:w="813"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lang w:val="en-US" w:eastAsia="zh-CN"/>
              </w:rPr>
              <w:t>否</w:t>
            </w:r>
          </w:p>
        </w:tc>
        <w:tc>
          <w:tcPr>
            <w:tcW w:w="1266"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rPr>
              <w:t>20</w:t>
            </w:r>
          </w:p>
        </w:tc>
        <w:tc>
          <w:tcPr>
            <w:tcW w:w="1300"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pPr>
              <w:spacing w:before="62" w:after="62" w:line="280" w:lineRule="exact"/>
              <w:ind w:left="42" w:leftChars="20"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2247"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便携式气象仪</w:t>
            </w:r>
          </w:p>
        </w:tc>
        <w:tc>
          <w:tcPr>
            <w:tcW w:w="775"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5</w:t>
            </w:r>
          </w:p>
        </w:tc>
        <w:tc>
          <w:tcPr>
            <w:tcW w:w="916"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台</w:t>
            </w:r>
          </w:p>
        </w:tc>
        <w:tc>
          <w:tcPr>
            <w:tcW w:w="1000"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rPr>
              <w:t>否</w:t>
            </w:r>
          </w:p>
        </w:tc>
        <w:tc>
          <w:tcPr>
            <w:tcW w:w="813"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lang w:val="en-US" w:eastAsia="zh-CN"/>
              </w:rPr>
              <w:t>否</w:t>
            </w:r>
          </w:p>
        </w:tc>
        <w:tc>
          <w:tcPr>
            <w:tcW w:w="1266"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rPr>
              <w:t>1</w:t>
            </w:r>
          </w:p>
        </w:tc>
        <w:tc>
          <w:tcPr>
            <w:tcW w:w="1300"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pPr>
              <w:spacing w:before="62" w:after="62" w:line="280" w:lineRule="exact"/>
              <w:ind w:left="42" w:leftChars="20" w:right="42" w:rightChars="20"/>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2247"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生命探测仪（雷达生命探测仪）</w:t>
            </w:r>
          </w:p>
        </w:tc>
        <w:tc>
          <w:tcPr>
            <w:tcW w:w="775"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2</w:t>
            </w:r>
          </w:p>
        </w:tc>
        <w:tc>
          <w:tcPr>
            <w:tcW w:w="916"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台</w:t>
            </w:r>
          </w:p>
        </w:tc>
        <w:tc>
          <w:tcPr>
            <w:tcW w:w="1000"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rPr>
              <w:t>是</w:t>
            </w:r>
          </w:p>
        </w:tc>
        <w:tc>
          <w:tcPr>
            <w:tcW w:w="813"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lang w:val="en-US" w:eastAsia="zh-CN"/>
              </w:rPr>
              <w:t>否</w:t>
            </w:r>
          </w:p>
        </w:tc>
        <w:tc>
          <w:tcPr>
            <w:tcW w:w="1266"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rPr>
              <w:t>45</w:t>
            </w:r>
          </w:p>
        </w:tc>
        <w:tc>
          <w:tcPr>
            <w:tcW w:w="1300"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pPr>
              <w:spacing w:before="62" w:after="62" w:line="280" w:lineRule="exact"/>
              <w:ind w:left="42" w:leftChars="20" w:right="42" w:rightChars="2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w:t>
            </w:r>
          </w:p>
        </w:tc>
        <w:tc>
          <w:tcPr>
            <w:tcW w:w="2247"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生命探测仪（音视频生命探测仪）</w:t>
            </w:r>
          </w:p>
        </w:tc>
        <w:tc>
          <w:tcPr>
            <w:tcW w:w="775"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2</w:t>
            </w:r>
          </w:p>
        </w:tc>
        <w:tc>
          <w:tcPr>
            <w:tcW w:w="916"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台</w:t>
            </w:r>
          </w:p>
        </w:tc>
        <w:tc>
          <w:tcPr>
            <w:tcW w:w="1000"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lang w:val="en-US" w:eastAsia="zh-CN"/>
              </w:rPr>
            </w:pPr>
            <w:r>
              <w:rPr>
                <w:rFonts w:hint="eastAsia" w:ascii="宋体" w:hAnsi="宋体" w:eastAsia="宋体" w:cs="宋体"/>
                <w:sz w:val="24"/>
              </w:rPr>
              <w:t>否</w:t>
            </w:r>
          </w:p>
        </w:tc>
        <w:tc>
          <w:tcPr>
            <w:tcW w:w="813"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lang w:val="en-US" w:eastAsia="zh-CN"/>
              </w:rPr>
            </w:pPr>
            <w:r>
              <w:rPr>
                <w:rFonts w:hint="eastAsia" w:ascii="宋体" w:hAnsi="宋体" w:eastAsia="宋体" w:cs="宋体"/>
                <w:sz w:val="24"/>
                <w:lang w:val="en-US" w:eastAsia="zh-CN"/>
              </w:rPr>
              <w:t>否</w:t>
            </w:r>
          </w:p>
        </w:tc>
        <w:tc>
          <w:tcPr>
            <w:tcW w:w="1266"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rPr>
              <w:t>25</w:t>
            </w:r>
          </w:p>
        </w:tc>
        <w:tc>
          <w:tcPr>
            <w:tcW w:w="1300"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pPr>
              <w:spacing w:before="62" w:after="62" w:line="280" w:lineRule="exact"/>
              <w:ind w:left="42" w:leftChars="20" w:right="42" w:rightChars="2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11</w:t>
            </w:r>
          </w:p>
        </w:tc>
        <w:tc>
          <w:tcPr>
            <w:tcW w:w="2247"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自救呼吸器</w:t>
            </w:r>
          </w:p>
        </w:tc>
        <w:tc>
          <w:tcPr>
            <w:tcW w:w="775"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137</w:t>
            </w:r>
          </w:p>
        </w:tc>
        <w:tc>
          <w:tcPr>
            <w:tcW w:w="916"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台</w:t>
            </w:r>
          </w:p>
        </w:tc>
        <w:tc>
          <w:tcPr>
            <w:tcW w:w="1000"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lang w:val="en-US" w:eastAsia="zh-CN"/>
              </w:rPr>
            </w:pPr>
            <w:r>
              <w:rPr>
                <w:rFonts w:hint="eastAsia" w:ascii="宋体" w:hAnsi="宋体" w:eastAsia="宋体" w:cs="宋体"/>
                <w:sz w:val="24"/>
              </w:rPr>
              <w:t>否</w:t>
            </w:r>
          </w:p>
        </w:tc>
        <w:tc>
          <w:tcPr>
            <w:tcW w:w="813"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lang w:val="en-US" w:eastAsia="zh-CN"/>
              </w:rPr>
            </w:pPr>
            <w:r>
              <w:rPr>
                <w:rFonts w:hint="eastAsia" w:ascii="宋体" w:hAnsi="宋体" w:eastAsia="宋体" w:cs="宋体"/>
                <w:sz w:val="24"/>
                <w:lang w:val="en-US" w:eastAsia="zh-CN"/>
              </w:rPr>
              <w:t>否</w:t>
            </w:r>
          </w:p>
        </w:tc>
        <w:tc>
          <w:tcPr>
            <w:tcW w:w="1266"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rPr>
              <w:t>0.6</w:t>
            </w:r>
          </w:p>
        </w:tc>
        <w:tc>
          <w:tcPr>
            <w:tcW w:w="1300"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rPr>
              <w:t>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pPr>
              <w:spacing w:before="62" w:after="62" w:line="280" w:lineRule="exact"/>
              <w:ind w:left="42" w:leftChars="20" w:right="42" w:rightChars="2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12</w:t>
            </w:r>
          </w:p>
        </w:tc>
        <w:tc>
          <w:tcPr>
            <w:tcW w:w="2247"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正压空气呼吸器</w:t>
            </w:r>
          </w:p>
        </w:tc>
        <w:tc>
          <w:tcPr>
            <w:tcW w:w="775"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31</w:t>
            </w:r>
          </w:p>
        </w:tc>
        <w:tc>
          <w:tcPr>
            <w:tcW w:w="916"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台</w:t>
            </w:r>
          </w:p>
        </w:tc>
        <w:tc>
          <w:tcPr>
            <w:tcW w:w="1000"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lang w:val="en-US" w:eastAsia="zh-CN"/>
              </w:rPr>
            </w:pPr>
            <w:r>
              <w:rPr>
                <w:rFonts w:hint="eastAsia" w:ascii="宋体" w:hAnsi="宋体" w:eastAsia="宋体" w:cs="宋体"/>
                <w:sz w:val="24"/>
              </w:rPr>
              <w:t>否</w:t>
            </w:r>
          </w:p>
        </w:tc>
        <w:tc>
          <w:tcPr>
            <w:tcW w:w="813"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lang w:val="en-US" w:eastAsia="zh-CN"/>
              </w:rPr>
            </w:pPr>
            <w:r>
              <w:rPr>
                <w:rFonts w:hint="eastAsia" w:ascii="宋体" w:hAnsi="宋体" w:eastAsia="宋体" w:cs="宋体"/>
                <w:sz w:val="24"/>
                <w:lang w:val="en-US" w:eastAsia="zh-CN"/>
              </w:rPr>
              <w:t>否</w:t>
            </w:r>
          </w:p>
        </w:tc>
        <w:tc>
          <w:tcPr>
            <w:tcW w:w="1266"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rPr>
              <w:t>3.46</w:t>
            </w:r>
          </w:p>
        </w:tc>
        <w:tc>
          <w:tcPr>
            <w:tcW w:w="1300"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default" w:ascii="宋体" w:hAnsi="宋体" w:eastAsia="宋体" w:cs="宋体"/>
                <w:sz w:val="24"/>
                <w:lang w:val="en-US" w:eastAsia="zh-CN"/>
              </w:rPr>
            </w:pPr>
            <w:r>
              <w:rPr>
                <w:rFonts w:hint="eastAsia" w:ascii="宋体" w:hAnsi="宋体" w:eastAsia="宋体" w:cs="宋体"/>
                <w:sz w:val="24"/>
              </w:rPr>
              <w:t>107</w:t>
            </w:r>
            <w:r>
              <w:rPr>
                <w:rFonts w:hint="eastAsia" w:ascii="宋体" w:hAnsi="宋体" w:cs="宋体"/>
                <w:sz w:val="24"/>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pPr>
              <w:spacing w:before="62" w:after="62" w:line="280" w:lineRule="exact"/>
              <w:ind w:left="42" w:leftChars="20" w:right="42" w:rightChars="2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13</w:t>
            </w:r>
          </w:p>
        </w:tc>
        <w:tc>
          <w:tcPr>
            <w:tcW w:w="2247"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氧气呼吸器</w:t>
            </w:r>
          </w:p>
        </w:tc>
        <w:tc>
          <w:tcPr>
            <w:tcW w:w="775"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2</w:t>
            </w:r>
          </w:p>
        </w:tc>
        <w:tc>
          <w:tcPr>
            <w:tcW w:w="916"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cs="宋体"/>
              </w:rPr>
              <w:t>台</w:t>
            </w:r>
          </w:p>
        </w:tc>
        <w:tc>
          <w:tcPr>
            <w:tcW w:w="1000"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lang w:val="en-US" w:eastAsia="zh-CN"/>
              </w:rPr>
            </w:pPr>
            <w:r>
              <w:rPr>
                <w:rFonts w:hint="eastAsia" w:ascii="宋体" w:hAnsi="宋体" w:eastAsia="宋体" w:cs="宋体"/>
                <w:sz w:val="24"/>
              </w:rPr>
              <w:t>否</w:t>
            </w:r>
          </w:p>
        </w:tc>
        <w:tc>
          <w:tcPr>
            <w:tcW w:w="813"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lang w:val="en-US" w:eastAsia="zh-CN"/>
              </w:rPr>
            </w:pPr>
            <w:r>
              <w:rPr>
                <w:rFonts w:hint="eastAsia" w:ascii="宋体" w:hAnsi="宋体" w:eastAsia="宋体" w:cs="宋体"/>
                <w:sz w:val="24"/>
                <w:lang w:val="en-US" w:eastAsia="zh-CN"/>
              </w:rPr>
              <w:t>否</w:t>
            </w:r>
          </w:p>
        </w:tc>
        <w:tc>
          <w:tcPr>
            <w:tcW w:w="1266"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rPr>
              <w:t>4.5</w:t>
            </w:r>
          </w:p>
        </w:tc>
        <w:tc>
          <w:tcPr>
            <w:tcW w:w="1300" w:type="dxa"/>
            <w:shd w:val="clear" w:color="000000" w:fill="auto"/>
            <w:noWrap/>
            <w:vAlign w:val="center"/>
          </w:tcPr>
          <w:p>
            <w:pPr>
              <w:pStyle w:val="55"/>
              <w:spacing w:before="31" w:beforeLines="10" w:after="31" w:afterLines="10" w:line="300" w:lineRule="exact"/>
              <w:ind w:left="21" w:leftChars="10" w:right="21" w:rightChars="10" w:firstLine="0" w:firstLineChars="0"/>
              <w:jc w:val="center"/>
              <w:rPr>
                <w:rFonts w:hint="eastAsia" w:ascii="宋体" w:hAnsi="宋体" w:eastAsia="宋体" w:cs="宋体"/>
                <w:sz w:val="24"/>
              </w:rPr>
            </w:pPr>
            <w:r>
              <w:rPr>
                <w:rFonts w:hint="eastAsia" w:ascii="宋体" w:hAnsi="宋体" w:eastAsia="宋体" w:cs="宋体"/>
                <w:sz w:val="24"/>
              </w:rPr>
              <w:t>9</w:t>
            </w:r>
          </w:p>
        </w:tc>
      </w:tr>
    </w:tbl>
    <w:p>
      <w:pPr>
        <w:rPr>
          <w:rFonts w:hint="eastAsia" w:ascii="宋体" w:hAnsi="宋体" w:cs="宋体"/>
          <w:bCs/>
          <w:szCs w:val="21"/>
        </w:rPr>
      </w:pPr>
    </w:p>
    <w:p>
      <w:pPr>
        <w:pStyle w:val="6"/>
        <w:numPr>
          <w:ilvl w:val="0"/>
          <w:numId w:val="0"/>
        </w:num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rPr>
        <w:t>▲投标人针对单项采购内容的报价不得超过单价及总价最高限价，中标后根据各县（市、区）、台州湾新区（如有）的采购内容分配情况与各应急管理局分别签署采购合同</w:t>
      </w:r>
      <w:r>
        <w:rPr>
          <w:rFonts w:hint="eastAsia" w:ascii="宋体" w:hAnsi="宋体" w:cs="宋体"/>
          <w:bCs/>
          <w:sz w:val="24"/>
          <w:szCs w:val="24"/>
          <w:highlight w:val="none"/>
        </w:rPr>
        <w:t>，各县（市、区）、台州湾新区应急管理局具有采购人同等权利。</w:t>
      </w:r>
    </w:p>
    <w:p>
      <w:pPr>
        <w:pStyle w:val="6"/>
        <w:numPr>
          <w:ilvl w:val="0"/>
          <w:numId w:val="0"/>
        </w:numPr>
        <w:spacing w:line="360" w:lineRule="auto"/>
        <w:ind w:firstLine="480" w:firstLineChars="200"/>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各县（市、区）、台州湾新区（如有）</w:t>
      </w:r>
      <w:r>
        <w:rPr>
          <w:rFonts w:hint="eastAsia" w:ascii="宋体" w:hAnsi="宋体" w:cs="宋体"/>
          <w:bCs/>
          <w:sz w:val="24"/>
          <w:szCs w:val="24"/>
          <w:highlight w:val="none"/>
          <w:lang w:val="en-US" w:eastAsia="zh-CN"/>
        </w:rPr>
        <w:t>具体台套数参照下表。</w:t>
      </w:r>
    </w:p>
    <w:tbl>
      <w:tblPr>
        <w:tblStyle w:val="22"/>
        <w:tblW w:w="4994" w:type="pct"/>
        <w:jc w:val="center"/>
        <w:tblLayout w:type="fixed"/>
        <w:tblCellMar>
          <w:top w:w="0" w:type="dxa"/>
          <w:left w:w="108" w:type="dxa"/>
          <w:bottom w:w="0" w:type="dxa"/>
          <w:right w:w="108" w:type="dxa"/>
        </w:tblCellMar>
      </w:tblPr>
      <w:tblGrid>
        <w:gridCol w:w="698"/>
        <w:gridCol w:w="897"/>
        <w:gridCol w:w="1760"/>
        <w:gridCol w:w="664"/>
        <w:gridCol w:w="678"/>
        <w:gridCol w:w="675"/>
        <w:gridCol w:w="536"/>
        <w:gridCol w:w="600"/>
        <w:gridCol w:w="673"/>
        <w:gridCol w:w="664"/>
        <w:gridCol w:w="621"/>
        <w:gridCol w:w="809"/>
      </w:tblGrid>
      <w:tr>
        <w:tblPrEx>
          <w:tblCellMar>
            <w:top w:w="0" w:type="dxa"/>
            <w:left w:w="108" w:type="dxa"/>
            <w:bottom w:w="0" w:type="dxa"/>
            <w:right w:w="108" w:type="dxa"/>
          </w:tblCellMar>
        </w:tblPrEx>
        <w:trPr>
          <w:trHeight w:val="480" w:hRule="atLeast"/>
          <w:jc w:val="center"/>
        </w:trPr>
        <w:tc>
          <w:tcPr>
            <w:tcW w:w="376" w:type="pct"/>
            <w:tcBorders>
              <w:top w:val="single" w:color="000000" w:sz="8" w:space="0"/>
              <w:left w:val="single" w:color="000000" w:sz="8" w:space="0"/>
              <w:bottom w:val="single" w:color="000000" w:sz="8" w:space="0"/>
              <w:right w:val="single" w:color="000000" w:sz="4" w:space="0"/>
            </w:tcBorders>
            <w:noWrap/>
            <w:vAlign w:val="center"/>
          </w:tcPr>
          <w:p>
            <w:pPr>
              <w:widowControl/>
              <w:jc w:val="center"/>
              <w:textAlignment w:val="center"/>
              <w:rPr>
                <w:rFonts w:hint="eastAsia" w:ascii="宋体" w:hAnsi="宋体" w:eastAsia="宋体" w:cs="宋体"/>
                <w:b/>
                <w:bCs/>
                <w:sz w:val="24"/>
                <w:szCs w:val="24"/>
              </w:rPr>
            </w:pPr>
            <w:r>
              <w:rPr>
                <w:rFonts w:hint="eastAsia" w:ascii="宋体" w:hAnsi="宋体" w:eastAsia="宋体" w:cs="宋体"/>
                <w:b/>
                <w:bCs/>
                <w:color w:val="000000"/>
                <w:kern w:val="0"/>
                <w:sz w:val="24"/>
                <w:szCs w:val="24"/>
              </w:rPr>
              <w:t>序号</w:t>
            </w:r>
          </w:p>
        </w:tc>
        <w:tc>
          <w:tcPr>
            <w:tcW w:w="1432" w:type="pct"/>
            <w:gridSpan w:val="2"/>
            <w:tcBorders>
              <w:top w:val="single" w:color="000000" w:sz="8" w:space="0"/>
              <w:left w:val="single" w:color="000000" w:sz="4" w:space="0"/>
              <w:bottom w:val="single" w:color="000000" w:sz="8" w:space="0"/>
              <w:right w:val="single" w:color="000000" w:sz="4" w:space="0"/>
            </w:tcBorders>
            <w:noWrap w:val="0"/>
            <w:vAlign w:val="center"/>
          </w:tcPr>
          <w:p>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装备类型</w:t>
            </w:r>
          </w:p>
        </w:tc>
        <w:tc>
          <w:tcPr>
            <w:tcW w:w="357" w:type="pct"/>
            <w:tcBorders>
              <w:top w:val="single" w:color="000000" w:sz="8" w:space="0"/>
              <w:left w:val="single" w:color="000000" w:sz="4" w:space="0"/>
              <w:bottom w:val="single" w:color="000000" w:sz="8" w:space="0"/>
              <w:right w:val="single" w:color="000000" w:sz="4" w:space="0"/>
            </w:tcBorders>
            <w:noWrap w:val="0"/>
            <w:vAlign w:val="center"/>
          </w:tcPr>
          <w:p>
            <w:pPr>
              <w:widowControl/>
              <w:spacing w:line="320" w:lineRule="exact"/>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椒江区</w:t>
            </w:r>
          </w:p>
        </w:tc>
        <w:tc>
          <w:tcPr>
            <w:tcW w:w="365" w:type="pct"/>
            <w:tcBorders>
              <w:top w:val="single" w:color="000000" w:sz="8" w:space="0"/>
              <w:left w:val="single" w:color="000000" w:sz="4" w:space="0"/>
              <w:bottom w:val="single" w:color="000000" w:sz="8" w:space="0"/>
              <w:right w:val="single" w:color="000000" w:sz="4" w:space="0"/>
            </w:tcBorders>
            <w:noWrap w:val="0"/>
            <w:vAlign w:val="center"/>
          </w:tcPr>
          <w:p>
            <w:pPr>
              <w:widowControl/>
              <w:spacing w:line="320" w:lineRule="exact"/>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黄岩区</w:t>
            </w:r>
          </w:p>
        </w:tc>
        <w:tc>
          <w:tcPr>
            <w:tcW w:w="363" w:type="pct"/>
            <w:tcBorders>
              <w:top w:val="single" w:color="000000" w:sz="8" w:space="0"/>
              <w:left w:val="single" w:color="000000" w:sz="4" w:space="0"/>
              <w:bottom w:val="single" w:color="000000" w:sz="8" w:space="0"/>
              <w:right w:val="single" w:color="000000" w:sz="4" w:space="0"/>
            </w:tcBorders>
            <w:noWrap w:val="0"/>
            <w:vAlign w:val="center"/>
          </w:tcPr>
          <w:p>
            <w:pPr>
              <w:widowControl/>
              <w:spacing w:line="320" w:lineRule="exact"/>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路桥区</w:t>
            </w:r>
          </w:p>
        </w:tc>
        <w:tc>
          <w:tcPr>
            <w:tcW w:w="288" w:type="pct"/>
            <w:tcBorders>
              <w:top w:val="single" w:color="000000" w:sz="8" w:space="0"/>
              <w:left w:val="single" w:color="000000" w:sz="4" w:space="0"/>
              <w:bottom w:val="single" w:color="000000" w:sz="8" w:space="0"/>
              <w:right w:val="single" w:color="000000" w:sz="4" w:space="0"/>
            </w:tcBorders>
            <w:noWrap w:val="0"/>
            <w:vAlign w:val="center"/>
          </w:tcPr>
          <w:p>
            <w:pPr>
              <w:widowControl/>
              <w:spacing w:line="320" w:lineRule="exact"/>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临海市</w:t>
            </w:r>
          </w:p>
        </w:tc>
        <w:tc>
          <w:tcPr>
            <w:tcW w:w="323" w:type="pct"/>
            <w:tcBorders>
              <w:top w:val="single" w:color="000000" w:sz="8" w:space="0"/>
              <w:left w:val="single" w:color="000000" w:sz="4" w:space="0"/>
              <w:bottom w:val="single" w:color="000000" w:sz="8" w:space="0"/>
              <w:right w:val="single" w:color="000000" w:sz="4" w:space="0"/>
            </w:tcBorders>
            <w:noWrap w:val="0"/>
            <w:vAlign w:val="center"/>
          </w:tcPr>
          <w:p>
            <w:pPr>
              <w:widowControl/>
              <w:spacing w:line="320" w:lineRule="exact"/>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温岭市</w:t>
            </w:r>
          </w:p>
        </w:tc>
        <w:tc>
          <w:tcPr>
            <w:tcW w:w="362" w:type="pct"/>
            <w:tcBorders>
              <w:top w:val="single" w:color="000000" w:sz="8" w:space="0"/>
              <w:left w:val="single" w:color="000000" w:sz="4" w:space="0"/>
              <w:bottom w:val="single" w:color="000000" w:sz="8" w:space="0"/>
              <w:right w:val="single" w:color="000000" w:sz="4" w:space="0"/>
            </w:tcBorders>
            <w:noWrap w:val="0"/>
            <w:vAlign w:val="center"/>
          </w:tcPr>
          <w:p>
            <w:pPr>
              <w:widowControl/>
              <w:spacing w:line="320" w:lineRule="exact"/>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玉环市</w:t>
            </w:r>
          </w:p>
        </w:tc>
        <w:tc>
          <w:tcPr>
            <w:tcW w:w="357" w:type="pct"/>
            <w:tcBorders>
              <w:top w:val="single" w:color="000000" w:sz="8" w:space="0"/>
              <w:left w:val="single" w:color="000000" w:sz="4" w:space="0"/>
              <w:bottom w:val="single" w:color="000000" w:sz="8" w:space="0"/>
              <w:right w:val="single" w:color="000000" w:sz="4" w:space="0"/>
            </w:tcBorders>
            <w:noWrap w:val="0"/>
            <w:vAlign w:val="center"/>
          </w:tcPr>
          <w:p>
            <w:pPr>
              <w:widowControl/>
              <w:spacing w:line="320" w:lineRule="exact"/>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三门县</w:t>
            </w:r>
          </w:p>
        </w:tc>
        <w:tc>
          <w:tcPr>
            <w:tcW w:w="334" w:type="pct"/>
            <w:tcBorders>
              <w:top w:val="single" w:color="000000" w:sz="8" w:space="0"/>
              <w:left w:val="single" w:color="000000" w:sz="4" w:space="0"/>
              <w:bottom w:val="single" w:color="000000" w:sz="8" w:space="0"/>
              <w:right w:val="single" w:color="000000" w:sz="4" w:space="0"/>
            </w:tcBorders>
            <w:noWrap w:val="0"/>
            <w:vAlign w:val="center"/>
          </w:tcPr>
          <w:p>
            <w:pPr>
              <w:widowControl/>
              <w:spacing w:line="320" w:lineRule="exact"/>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台州湾新区</w:t>
            </w:r>
          </w:p>
        </w:tc>
        <w:tc>
          <w:tcPr>
            <w:tcW w:w="436" w:type="pct"/>
            <w:tcBorders>
              <w:top w:val="single" w:color="000000" w:sz="8" w:space="0"/>
              <w:left w:val="single" w:color="000000" w:sz="4" w:space="0"/>
              <w:bottom w:val="single" w:color="000000" w:sz="8" w:space="0"/>
              <w:right w:val="single" w:color="000000" w:sz="4" w:space="0"/>
            </w:tcBorders>
            <w:noWrap w:val="0"/>
            <w:vAlign w:val="center"/>
          </w:tcPr>
          <w:p>
            <w:pPr>
              <w:widowControl/>
              <w:spacing w:line="320" w:lineRule="exact"/>
              <w:jc w:val="center"/>
              <w:textAlignment w:val="center"/>
              <w:rPr>
                <w:rFonts w:hint="eastAsia" w:ascii="宋体" w:hAnsi="宋体" w:eastAsia="宋体" w:cs="宋体"/>
                <w:b/>
                <w:bCs/>
                <w:sz w:val="24"/>
                <w:szCs w:val="24"/>
              </w:rPr>
            </w:pPr>
            <w:r>
              <w:rPr>
                <w:rFonts w:hint="eastAsia" w:ascii="宋体" w:hAnsi="宋体" w:eastAsia="宋体" w:cs="宋体"/>
                <w:b/>
                <w:bCs/>
                <w:color w:val="000000"/>
                <w:kern w:val="0"/>
                <w:sz w:val="24"/>
                <w:szCs w:val="24"/>
              </w:rPr>
              <w:t>台套数</w:t>
            </w:r>
          </w:p>
        </w:tc>
      </w:tr>
      <w:tr>
        <w:tblPrEx>
          <w:tblCellMar>
            <w:top w:w="0" w:type="dxa"/>
            <w:left w:w="108" w:type="dxa"/>
            <w:bottom w:w="0" w:type="dxa"/>
            <w:right w:w="108" w:type="dxa"/>
          </w:tblCellMar>
        </w:tblPrEx>
        <w:trPr>
          <w:trHeight w:val="480" w:hRule="atLeast"/>
          <w:jc w:val="center"/>
        </w:trPr>
        <w:tc>
          <w:tcPr>
            <w:tcW w:w="376" w:type="pct"/>
            <w:tcBorders>
              <w:top w:val="single" w:color="000000" w:sz="8" w:space="0"/>
              <w:left w:val="single" w:color="000000" w:sz="8" w:space="0"/>
              <w:bottom w:val="single" w:color="000000" w:sz="4" w:space="0"/>
              <w:right w:val="single" w:color="000000" w:sz="4" w:space="0"/>
            </w:tcBorders>
            <w:noWrap/>
            <w:vAlign w:val="center"/>
          </w:tcPr>
          <w:p>
            <w:pPr>
              <w:spacing w:before="62" w:after="62" w:line="280" w:lineRule="exact"/>
              <w:ind w:left="42" w:leftChars="20" w:right="42" w:rightChars="20"/>
              <w:jc w:val="center"/>
              <w:rPr>
                <w:rFonts w:hint="eastAsia" w:eastAsia="仿宋_GB2312" w:cs="仿宋_GB2312"/>
                <w:sz w:val="24"/>
                <w:szCs w:val="24"/>
                <w:lang w:eastAsia="zh-CN"/>
              </w:rPr>
            </w:pPr>
            <w:r>
              <w:rPr>
                <w:rFonts w:hint="eastAsia" w:eastAsia="仿宋_GB2312" w:cs="仿宋_GB2312"/>
                <w:sz w:val="24"/>
                <w:szCs w:val="24"/>
                <w:lang w:val="en-US" w:eastAsia="zh-CN"/>
              </w:rPr>
              <w:t>1</w:t>
            </w:r>
          </w:p>
        </w:tc>
        <w:tc>
          <w:tcPr>
            <w:tcW w:w="483" w:type="pct"/>
            <w:vMerge w:val="restart"/>
            <w:tcBorders>
              <w:top w:val="single" w:color="000000" w:sz="8"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cs="仿宋_GB2312"/>
                <w:sz w:val="24"/>
                <w:szCs w:val="24"/>
              </w:rPr>
            </w:pPr>
            <w:r>
              <w:rPr>
                <w:rFonts w:hint="eastAsia" w:cs="仿宋_GB2312"/>
                <w:sz w:val="24"/>
                <w:szCs w:val="24"/>
              </w:rPr>
              <w:t>水域救援</w:t>
            </w:r>
          </w:p>
        </w:tc>
        <w:tc>
          <w:tcPr>
            <w:tcW w:w="948" w:type="pct"/>
            <w:tcBorders>
              <w:top w:val="single" w:color="000000" w:sz="8"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cs="仿宋_GB2312"/>
                <w:sz w:val="24"/>
                <w:szCs w:val="24"/>
              </w:rPr>
            </w:pPr>
            <w:r>
              <w:rPr>
                <w:rFonts w:hint="eastAsia" w:cs="仿宋_GB2312"/>
                <w:sz w:val="24"/>
                <w:szCs w:val="24"/>
              </w:rPr>
              <w:t>水深探测仪</w:t>
            </w:r>
          </w:p>
        </w:tc>
        <w:tc>
          <w:tcPr>
            <w:tcW w:w="357" w:type="pct"/>
            <w:tcBorders>
              <w:top w:val="single" w:color="000000" w:sz="8"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65" w:type="pct"/>
            <w:tcBorders>
              <w:top w:val="single" w:color="000000" w:sz="8"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63" w:type="pct"/>
            <w:tcBorders>
              <w:top w:val="single" w:color="000000" w:sz="8" w:space="0"/>
              <w:left w:val="single" w:color="000000" w:sz="4" w:space="0"/>
              <w:bottom w:val="single" w:color="000000" w:sz="4" w:space="0"/>
              <w:right w:val="single" w:color="000000" w:sz="4" w:space="0"/>
            </w:tcBorders>
            <w:noWrap w:val="0"/>
            <w:vAlign w:val="center"/>
          </w:tcPr>
          <w:p>
            <w:pPr>
              <w:tabs>
                <w:tab w:val="left" w:pos="420"/>
              </w:tabs>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288" w:type="pct"/>
            <w:tcBorders>
              <w:top w:val="single" w:color="000000" w:sz="8"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23" w:type="pct"/>
            <w:tcBorders>
              <w:top w:val="single" w:color="000000" w:sz="8"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362" w:type="pct"/>
            <w:tcBorders>
              <w:top w:val="single" w:color="000000" w:sz="8"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57" w:type="pct"/>
            <w:tcBorders>
              <w:top w:val="single" w:color="000000" w:sz="8"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34" w:type="pct"/>
            <w:tcBorders>
              <w:top w:val="single" w:color="000000" w:sz="8"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436" w:type="pct"/>
            <w:tcBorders>
              <w:top w:val="single" w:color="000000" w:sz="8"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r>
      <w:tr>
        <w:tblPrEx>
          <w:tblCellMar>
            <w:top w:w="0" w:type="dxa"/>
            <w:left w:w="108" w:type="dxa"/>
            <w:bottom w:w="0" w:type="dxa"/>
            <w:right w:w="108" w:type="dxa"/>
          </w:tblCellMar>
        </w:tblPrEx>
        <w:trPr>
          <w:trHeight w:val="420" w:hRule="atLeast"/>
          <w:jc w:val="center"/>
        </w:trPr>
        <w:tc>
          <w:tcPr>
            <w:tcW w:w="376" w:type="pct"/>
            <w:tcBorders>
              <w:top w:val="single" w:color="000000" w:sz="4" w:space="0"/>
              <w:left w:val="single" w:color="000000" w:sz="8" w:space="0"/>
              <w:bottom w:val="single" w:color="000000" w:sz="4" w:space="0"/>
              <w:right w:val="single" w:color="000000" w:sz="4" w:space="0"/>
            </w:tcBorders>
            <w:noWrap/>
            <w:vAlign w:val="center"/>
          </w:tcPr>
          <w:p>
            <w:pPr>
              <w:spacing w:before="62" w:after="62" w:line="280" w:lineRule="exact"/>
              <w:ind w:left="42" w:leftChars="20" w:right="42" w:rightChars="20"/>
              <w:jc w:val="center"/>
              <w:rPr>
                <w:rFonts w:hint="eastAsia" w:eastAsia="仿宋_GB2312" w:cs="仿宋_GB2312"/>
                <w:sz w:val="24"/>
                <w:szCs w:val="24"/>
                <w:lang w:eastAsia="zh-CN"/>
              </w:rPr>
            </w:pPr>
            <w:r>
              <w:rPr>
                <w:rFonts w:hint="eastAsia" w:eastAsia="仿宋_GB2312" w:cs="仿宋_GB2312"/>
                <w:sz w:val="24"/>
                <w:szCs w:val="24"/>
                <w:lang w:val="en-US" w:eastAsia="zh-CN"/>
              </w:rPr>
              <w:t>2</w:t>
            </w:r>
          </w:p>
        </w:tc>
        <w:tc>
          <w:tcPr>
            <w:tcW w:w="483"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cs="仿宋_GB2312"/>
                <w:sz w:val="24"/>
                <w:szCs w:val="24"/>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cs="仿宋_GB2312"/>
                <w:sz w:val="24"/>
                <w:szCs w:val="24"/>
              </w:rPr>
            </w:pPr>
            <w:r>
              <w:rPr>
                <w:rFonts w:hint="eastAsia" w:cs="仿宋_GB2312"/>
                <w:sz w:val="24"/>
                <w:szCs w:val="24"/>
              </w:rPr>
              <w:t>流速监测仪</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65"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r>
      <w:tr>
        <w:tblPrEx>
          <w:tblCellMar>
            <w:top w:w="0" w:type="dxa"/>
            <w:left w:w="108" w:type="dxa"/>
            <w:bottom w:w="0" w:type="dxa"/>
            <w:right w:w="108" w:type="dxa"/>
          </w:tblCellMar>
        </w:tblPrEx>
        <w:trPr>
          <w:trHeight w:val="480" w:hRule="atLeast"/>
          <w:jc w:val="center"/>
        </w:trPr>
        <w:tc>
          <w:tcPr>
            <w:tcW w:w="376" w:type="pct"/>
            <w:tcBorders>
              <w:top w:val="single" w:color="000000" w:sz="4" w:space="0"/>
              <w:left w:val="single" w:color="000000" w:sz="8" w:space="0"/>
              <w:bottom w:val="single" w:color="000000" w:sz="4" w:space="0"/>
              <w:right w:val="single" w:color="000000" w:sz="4" w:space="0"/>
            </w:tcBorders>
            <w:noWrap/>
            <w:vAlign w:val="center"/>
          </w:tcPr>
          <w:p>
            <w:pPr>
              <w:spacing w:before="62" w:after="62" w:line="280" w:lineRule="exact"/>
              <w:ind w:left="42" w:leftChars="20" w:right="42" w:rightChars="20"/>
              <w:jc w:val="center"/>
              <w:rPr>
                <w:rFonts w:hint="eastAsia" w:eastAsia="仿宋_GB2312" w:cs="仿宋_GB2312"/>
                <w:sz w:val="24"/>
                <w:szCs w:val="24"/>
                <w:lang w:eastAsia="zh-CN"/>
              </w:rPr>
            </w:pPr>
            <w:r>
              <w:rPr>
                <w:rFonts w:hint="eastAsia" w:eastAsia="仿宋_GB2312" w:cs="仿宋_GB2312"/>
                <w:sz w:val="24"/>
                <w:szCs w:val="24"/>
                <w:lang w:val="en-US" w:eastAsia="zh-CN"/>
              </w:rPr>
              <w:t>3</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cs="仿宋_GB2312"/>
                <w:sz w:val="24"/>
                <w:szCs w:val="24"/>
              </w:rPr>
            </w:pPr>
            <w:r>
              <w:rPr>
                <w:rFonts w:hint="eastAsia" w:cs="仿宋_GB2312"/>
                <w:sz w:val="24"/>
                <w:szCs w:val="24"/>
              </w:rPr>
              <w:t>森林扑救</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cs="仿宋_GB2312"/>
                <w:sz w:val="24"/>
                <w:szCs w:val="24"/>
              </w:rPr>
            </w:pPr>
            <w:r>
              <w:rPr>
                <w:rFonts w:hint="eastAsia" w:cs="仿宋_GB2312"/>
                <w:sz w:val="24"/>
                <w:szCs w:val="24"/>
              </w:rPr>
              <w:t>红外热成像仪</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65"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w:t>
            </w:r>
          </w:p>
        </w:tc>
      </w:tr>
      <w:tr>
        <w:tblPrEx>
          <w:tblCellMar>
            <w:top w:w="0" w:type="dxa"/>
            <w:left w:w="108" w:type="dxa"/>
            <w:bottom w:w="0" w:type="dxa"/>
            <w:right w:w="108" w:type="dxa"/>
          </w:tblCellMar>
        </w:tblPrEx>
        <w:trPr>
          <w:trHeight w:val="450" w:hRule="atLeast"/>
          <w:jc w:val="center"/>
        </w:trPr>
        <w:tc>
          <w:tcPr>
            <w:tcW w:w="376" w:type="pct"/>
            <w:tcBorders>
              <w:top w:val="single" w:color="000000" w:sz="4" w:space="0"/>
              <w:left w:val="single" w:color="000000" w:sz="8" w:space="0"/>
              <w:bottom w:val="single" w:color="000000" w:sz="4" w:space="0"/>
              <w:right w:val="single" w:color="000000" w:sz="4" w:space="0"/>
            </w:tcBorders>
            <w:noWrap/>
            <w:vAlign w:val="center"/>
          </w:tcPr>
          <w:p>
            <w:pPr>
              <w:spacing w:before="62" w:after="62" w:line="280" w:lineRule="exact"/>
              <w:ind w:left="42" w:leftChars="20" w:right="42" w:rightChars="20"/>
              <w:jc w:val="center"/>
              <w:rPr>
                <w:rFonts w:hint="default" w:eastAsia="仿宋_GB2312" w:cs="仿宋_GB2312"/>
                <w:sz w:val="24"/>
                <w:szCs w:val="24"/>
                <w:lang w:val="en-US" w:eastAsia="zh-CN"/>
              </w:rPr>
            </w:pPr>
            <w:r>
              <w:rPr>
                <w:rFonts w:hint="eastAsia" w:eastAsia="仿宋_GB2312" w:cs="仿宋_GB2312"/>
                <w:sz w:val="24"/>
                <w:szCs w:val="24"/>
                <w:lang w:val="en-US" w:eastAsia="zh-CN"/>
              </w:rPr>
              <w:t>4</w:t>
            </w:r>
          </w:p>
        </w:tc>
        <w:tc>
          <w:tcPr>
            <w:tcW w:w="483"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cs="仿宋_GB2312"/>
                <w:sz w:val="24"/>
                <w:szCs w:val="24"/>
              </w:rPr>
            </w:pPr>
            <w:r>
              <w:rPr>
                <w:rFonts w:hint="eastAsia" w:cs="仿宋_GB2312"/>
                <w:sz w:val="24"/>
                <w:szCs w:val="24"/>
              </w:rPr>
              <w:t>地震救援</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cs="仿宋_GB2312"/>
                <w:sz w:val="24"/>
                <w:szCs w:val="24"/>
              </w:rPr>
            </w:pPr>
            <w:r>
              <w:rPr>
                <w:rFonts w:hint="eastAsia" w:cs="仿宋_GB2312"/>
                <w:sz w:val="24"/>
                <w:szCs w:val="24"/>
              </w:rPr>
              <w:t>漏电检测仪</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65"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r>
      <w:tr>
        <w:tblPrEx>
          <w:tblCellMar>
            <w:top w:w="0" w:type="dxa"/>
            <w:left w:w="108" w:type="dxa"/>
            <w:bottom w:w="0" w:type="dxa"/>
            <w:right w:w="108" w:type="dxa"/>
          </w:tblCellMar>
        </w:tblPrEx>
        <w:trPr>
          <w:trHeight w:val="360" w:hRule="atLeast"/>
          <w:jc w:val="center"/>
        </w:trPr>
        <w:tc>
          <w:tcPr>
            <w:tcW w:w="376" w:type="pct"/>
            <w:tcBorders>
              <w:top w:val="single" w:color="000000" w:sz="4" w:space="0"/>
              <w:left w:val="single" w:color="000000" w:sz="8" w:space="0"/>
              <w:bottom w:val="single" w:color="000000" w:sz="4" w:space="0"/>
              <w:right w:val="single" w:color="000000" w:sz="4" w:space="0"/>
            </w:tcBorders>
            <w:noWrap/>
            <w:vAlign w:val="center"/>
          </w:tcPr>
          <w:p>
            <w:pPr>
              <w:spacing w:before="62" w:after="62" w:line="280" w:lineRule="exact"/>
              <w:ind w:left="42" w:leftChars="20" w:right="42" w:rightChars="20"/>
              <w:jc w:val="center"/>
              <w:rPr>
                <w:rFonts w:hint="eastAsia" w:eastAsia="仿宋_GB2312" w:cs="仿宋_GB2312"/>
                <w:sz w:val="24"/>
                <w:szCs w:val="24"/>
                <w:lang w:eastAsia="zh-CN"/>
              </w:rPr>
            </w:pPr>
            <w:r>
              <w:rPr>
                <w:rFonts w:hint="eastAsia" w:eastAsia="仿宋_GB2312" w:cs="仿宋_GB2312"/>
                <w:sz w:val="24"/>
                <w:szCs w:val="24"/>
                <w:lang w:val="en-US" w:eastAsia="zh-CN"/>
              </w:rPr>
              <w:t>5</w:t>
            </w:r>
          </w:p>
        </w:tc>
        <w:tc>
          <w:tcPr>
            <w:tcW w:w="483"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cs="仿宋_GB2312"/>
                <w:sz w:val="24"/>
                <w:szCs w:val="24"/>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cs="仿宋_GB2312"/>
                <w:sz w:val="24"/>
                <w:szCs w:val="24"/>
              </w:rPr>
            </w:pPr>
            <w:r>
              <w:rPr>
                <w:rFonts w:hint="eastAsia" w:cs="仿宋_GB2312"/>
                <w:sz w:val="24"/>
                <w:szCs w:val="24"/>
              </w:rPr>
              <w:t>激光测距仪</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65"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r>
      <w:tr>
        <w:tblPrEx>
          <w:tblCellMar>
            <w:top w:w="0" w:type="dxa"/>
            <w:left w:w="108" w:type="dxa"/>
            <w:bottom w:w="0" w:type="dxa"/>
            <w:right w:w="108" w:type="dxa"/>
          </w:tblCellMar>
        </w:tblPrEx>
        <w:trPr>
          <w:trHeight w:val="480" w:hRule="atLeast"/>
          <w:jc w:val="center"/>
        </w:trPr>
        <w:tc>
          <w:tcPr>
            <w:tcW w:w="376" w:type="pct"/>
            <w:tcBorders>
              <w:top w:val="single" w:color="000000" w:sz="4" w:space="0"/>
              <w:left w:val="single" w:color="000000" w:sz="8" w:space="0"/>
              <w:bottom w:val="single" w:color="000000" w:sz="4" w:space="0"/>
              <w:right w:val="single" w:color="000000" w:sz="4" w:space="0"/>
            </w:tcBorders>
            <w:noWrap/>
            <w:vAlign w:val="center"/>
          </w:tcPr>
          <w:p>
            <w:pPr>
              <w:spacing w:before="62" w:after="62" w:line="280" w:lineRule="exact"/>
              <w:ind w:left="42" w:leftChars="20" w:right="42" w:rightChars="20"/>
              <w:jc w:val="center"/>
              <w:rPr>
                <w:rFonts w:hint="eastAsia" w:eastAsia="仿宋_GB2312" w:cs="仿宋_GB2312"/>
                <w:sz w:val="24"/>
                <w:szCs w:val="24"/>
                <w:lang w:eastAsia="zh-CN"/>
              </w:rPr>
            </w:pPr>
            <w:r>
              <w:rPr>
                <w:rFonts w:hint="eastAsia" w:eastAsia="仿宋_GB2312" w:cs="仿宋_GB2312"/>
                <w:sz w:val="24"/>
                <w:szCs w:val="24"/>
                <w:lang w:val="en-US" w:eastAsia="zh-CN"/>
              </w:rPr>
              <w:t>6</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cs="仿宋_GB2312"/>
                <w:sz w:val="24"/>
                <w:szCs w:val="24"/>
              </w:rPr>
            </w:pPr>
            <w:r>
              <w:rPr>
                <w:rFonts w:hint="eastAsia" w:cs="仿宋_GB2312"/>
                <w:sz w:val="24"/>
                <w:szCs w:val="24"/>
              </w:rPr>
              <w:t>森林扑救</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cs="仿宋_GB2312"/>
                <w:sz w:val="24"/>
                <w:szCs w:val="24"/>
              </w:rPr>
            </w:pPr>
            <w:r>
              <w:rPr>
                <w:rFonts w:hint="eastAsia" w:cs="仿宋_GB2312"/>
                <w:sz w:val="24"/>
                <w:szCs w:val="24"/>
              </w:rPr>
              <w:t>有毒有害气体检测仪</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65"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w:t>
            </w:r>
          </w:p>
        </w:tc>
      </w:tr>
      <w:tr>
        <w:tblPrEx>
          <w:tblCellMar>
            <w:top w:w="0" w:type="dxa"/>
            <w:left w:w="108" w:type="dxa"/>
            <w:bottom w:w="0" w:type="dxa"/>
            <w:right w:w="108" w:type="dxa"/>
          </w:tblCellMar>
        </w:tblPrEx>
        <w:trPr>
          <w:trHeight w:val="480" w:hRule="atLeast"/>
          <w:jc w:val="center"/>
        </w:trPr>
        <w:tc>
          <w:tcPr>
            <w:tcW w:w="376" w:type="pct"/>
            <w:tcBorders>
              <w:top w:val="single" w:color="000000" w:sz="4" w:space="0"/>
              <w:left w:val="single" w:color="000000" w:sz="8" w:space="0"/>
              <w:bottom w:val="single" w:color="000000" w:sz="4" w:space="0"/>
              <w:right w:val="single" w:color="000000" w:sz="4" w:space="0"/>
            </w:tcBorders>
            <w:noWrap/>
            <w:vAlign w:val="center"/>
          </w:tcPr>
          <w:p>
            <w:pPr>
              <w:spacing w:before="62" w:after="62" w:line="280" w:lineRule="exact"/>
              <w:ind w:left="42" w:leftChars="20" w:right="42" w:rightChars="20"/>
              <w:jc w:val="center"/>
              <w:rPr>
                <w:rFonts w:hint="eastAsia" w:eastAsia="仿宋_GB2312" w:cs="仿宋_GB2312"/>
                <w:sz w:val="24"/>
                <w:szCs w:val="24"/>
                <w:lang w:eastAsia="zh-CN"/>
              </w:rPr>
            </w:pPr>
            <w:r>
              <w:rPr>
                <w:rFonts w:hint="eastAsia" w:eastAsia="仿宋_GB2312" w:cs="仿宋_GB2312"/>
                <w:sz w:val="24"/>
                <w:szCs w:val="24"/>
                <w:lang w:val="en-US" w:eastAsia="zh-CN"/>
              </w:rPr>
              <w:t>7</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cs="仿宋_GB2312"/>
                <w:sz w:val="24"/>
                <w:szCs w:val="24"/>
              </w:rPr>
            </w:pPr>
            <w:r>
              <w:rPr>
                <w:rFonts w:hint="eastAsia" w:cs="仿宋_GB2312"/>
                <w:sz w:val="24"/>
                <w:szCs w:val="24"/>
              </w:rPr>
              <w:t>地震救援</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cs="仿宋_GB2312"/>
                <w:sz w:val="24"/>
                <w:szCs w:val="24"/>
              </w:rPr>
            </w:pPr>
            <w:r>
              <w:rPr>
                <w:rFonts w:hint="eastAsia" w:cs="仿宋_GB2312"/>
                <w:sz w:val="24"/>
                <w:szCs w:val="24"/>
              </w:rPr>
              <w:t>复合气体探测器</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65"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r>
      <w:tr>
        <w:tblPrEx>
          <w:tblCellMar>
            <w:top w:w="0" w:type="dxa"/>
            <w:left w:w="108" w:type="dxa"/>
            <w:bottom w:w="0" w:type="dxa"/>
            <w:right w:w="108" w:type="dxa"/>
          </w:tblCellMar>
        </w:tblPrEx>
        <w:trPr>
          <w:trHeight w:val="480" w:hRule="atLeast"/>
          <w:jc w:val="center"/>
        </w:trPr>
        <w:tc>
          <w:tcPr>
            <w:tcW w:w="376" w:type="pct"/>
            <w:tcBorders>
              <w:top w:val="single" w:color="000000" w:sz="4" w:space="0"/>
              <w:left w:val="single" w:color="000000" w:sz="8" w:space="0"/>
              <w:bottom w:val="single" w:color="000000" w:sz="4" w:space="0"/>
              <w:right w:val="single" w:color="000000" w:sz="4" w:space="0"/>
            </w:tcBorders>
            <w:noWrap/>
            <w:vAlign w:val="center"/>
          </w:tcPr>
          <w:p>
            <w:pPr>
              <w:spacing w:before="62" w:after="62" w:line="280" w:lineRule="exact"/>
              <w:ind w:left="42" w:leftChars="20" w:right="42" w:rightChars="20"/>
              <w:jc w:val="center"/>
              <w:rPr>
                <w:rFonts w:hint="eastAsia" w:eastAsia="仿宋_GB2312" w:cs="仿宋_GB2312"/>
                <w:sz w:val="24"/>
                <w:szCs w:val="24"/>
                <w:lang w:eastAsia="zh-CN"/>
              </w:rPr>
            </w:pPr>
            <w:r>
              <w:rPr>
                <w:rFonts w:hint="eastAsia" w:eastAsia="仿宋_GB2312" w:cs="仿宋_GB2312"/>
                <w:sz w:val="24"/>
                <w:szCs w:val="24"/>
                <w:lang w:val="en-US" w:eastAsia="zh-CN"/>
              </w:rPr>
              <w:t>8</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cs="仿宋_GB2312"/>
                <w:sz w:val="24"/>
                <w:szCs w:val="24"/>
              </w:rPr>
            </w:pPr>
            <w:r>
              <w:rPr>
                <w:rFonts w:hint="eastAsia" w:cs="仿宋_GB2312"/>
                <w:sz w:val="24"/>
                <w:szCs w:val="24"/>
              </w:rPr>
              <w:t>综合保障</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cs="仿宋_GB2312"/>
                <w:sz w:val="24"/>
                <w:szCs w:val="24"/>
              </w:rPr>
            </w:pPr>
            <w:r>
              <w:rPr>
                <w:rFonts w:hint="eastAsia" w:cs="仿宋_GB2312"/>
                <w:sz w:val="24"/>
                <w:szCs w:val="24"/>
              </w:rPr>
              <w:t>便携式气象仪</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65"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r>
      <w:tr>
        <w:tblPrEx>
          <w:tblCellMar>
            <w:top w:w="0" w:type="dxa"/>
            <w:left w:w="108" w:type="dxa"/>
            <w:bottom w:w="0" w:type="dxa"/>
            <w:right w:w="108" w:type="dxa"/>
          </w:tblCellMar>
        </w:tblPrEx>
        <w:trPr>
          <w:trHeight w:val="480" w:hRule="atLeast"/>
          <w:jc w:val="center"/>
        </w:trPr>
        <w:tc>
          <w:tcPr>
            <w:tcW w:w="376" w:type="pct"/>
            <w:tcBorders>
              <w:top w:val="single" w:color="000000" w:sz="4" w:space="0"/>
              <w:left w:val="single" w:color="000000" w:sz="8" w:space="0"/>
              <w:bottom w:val="single" w:color="000000" w:sz="4" w:space="0"/>
              <w:right w:val="single" w:color="000000" w:sz="4" w:space="0"/>
            </w:tcBorders>
            <w:noWrap/>
            <w:vAlign w:val="center"/>
          </w:tcPr>
          <w:p>
            <w:pPr>
              <w:spacing w:before="62" w:after="62" w:line="280" w:lineRule="exact"/>
              <w:ind w:left="42" w:leftChars="20" w:right="42" w:rightChars="20"/>
              <w:jc w:val="center"/>
              <w:rPr>
                <w:rFonts w:hint="eastAsia" w:eastAsia="仿宋_GB2312" w:cs="仿宋_GB2312"/>
                <w:sz w:val="24"/>
                <w:szCs w:val="24"/>
                <w:lang w:eastAsia="zh-CN"/>
              </w:rPr>
            </w:pPr>
            <w:r>
              <w:rPr>
                <w:rFonts w:hint="eastAsia" w:eastAsia="仿宋_GB2312" w:cs="仿宋_GB2312"/>
                <w:sz w:val="24"/>
                <w:szCs w:val="24"/>
                <w:lang w:val="en-US" w:eastAsia="zh-CN"/>
              </w:rPr>
              <w:t>9</w:t>
            </w:r>
          </w:p>
        </w:tc>
        <w:tc>
          <w:tcPr>
            <w:tcW w:w="483"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cs="仿宋_GB2312"/>
                <w:sz w:val="24"/>
                <w:szCs w:val="24"/>
              </w:rPr>
            </w:pPr>
            <w:r>
              <w:rPr>
                <w:rFonts w:hint="eastAsia" w:cs="仿宋_GB2312"/>
                <w:sz w:val="24"/>
                <w:szCs w:val="24"/>
              </w:rPr>
              <w:t>地震救援</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cs="仿宋_GB2312"/>
                <w:sz w:val="24"/>
                <w:szCs w:val="24"/>
              </w:rPr>
            </w:pPr>
            <w:r>
              <w:rPr>
                <w:rFonts w:hint="eastAsia" w:cs="仿宋_GB2312"/>
                <w:sz w:val="24"/>
                <w:szCs w:val="24"/>
              </w:rPr>
              <w:t>生命探测仪（雷达生命探测仪）</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65"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r>
      <w:tr>
        <w:tblPrEx>
          <w:tblCellMar>
            <w:top w:w="0" w:type="dxa"/>
            <w:left w:w="108" w:type="dxa"/>
            <w:bottom w:w="0" w:type="dxa"/>
            <w:right w:w="108" w:type="dxa"/>
          </w:tblCellMar>
        </w:tblPrEx>
        <w:trPr>
          <w:trHeight w:val="604" w:hRule="atLeast"/>
          <w:jc w:val="center"/>
        </w:trPr>
        <w:tc>
          <w:tcPr>
            <w:tcW w:w="376" w:type="pct"/>
            <w:tcBorders>
              <w:top w:val="single" w:color="000000" w:sz="4" w:space="0"/>
              <w:left w:val="single" w:color="000000" w:sz="8" w:space="0"/>
              <w:bottom w:val="single" w:color="000000" w:sz="4" w:space="0"/>
              <w:right w:val="single" w:color="000000" w:sz="4" w:space="0"/>
            </w:tcBorders>
            <w:noWrap/>
            <w:vAlign w:val="center"/>
          </w:tcPr>
          <w:p>
            <w:pPr>
              <w:spacing w:before="62" w:after="62" w:line="280" w:lineRule="exact"/>
              <w:ind w:left="42" w:leftChars="20" w:right="42" w:rightChars="20"/>
              <w:jc w:val="center"/>
              <w:rPr>
                <w:rFonts w:hint="default" w:eastAsia="仿宋_GB2312" w:cs="仿宋_GB2312"/>
                <w:sz w:val="24"/>
                <w:szCs w:val="24"/>
                <w:lang w:val="en-US" w:eastAsia="zh-CN"/>
              </w:rPr>
            </w:pPr>
            <w:r>
              <w:rPr>
                <w:rFonts w:hint="eastAsia" w:eastAsia="仿宋_GB2312" w:cs="仿宋_GB2312"/>
                <w:sz w:val="24"/>
                <w:szCs w:val="24"/>
                <w:lang w:val="en-US" w:eastAsia="zh-CN"/>
              </w:rPr>
              <w:t>10</w:t>
            </w:r>
          </w:p>
        </w:tc>
        <w:tc>
          <w:tcPr>
            <w:tcW w:w="483"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cs="仿宋_GB2312"/>
                <w:color w:val="FFC000"/>
                <w:sz w:val="24"/>
                <w:szCs w:val="24"/>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cs="仿宋_GB2312"/>
                <w:sz w:val="24"/>
                <w:szCs w:val="24"/>
              </w:rPr>
            </w:pPr>
            <w:r>
              <w:rPr>
                <w:rFonts w:hint="eastAsia" w:cs="仿宋_GB2312"/>
                <w:sz w:val="24"/>
                <w:szCs w:val="24"/>
              </w:rPr>
              <w:t>生命探测仪（音视频生命探测仪）</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65"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r>
      <w:tr>
        <w:tblPrEx>
          <w:tblCellMar>
            <w:top w:w="0" w:type="dxa"/>
            <w:left w:w="108" w:type="dxa"/>
            <w:bottom w:w="0" w:type="dxa"/>
            <w:right w:w="108" w:type="dxa"/>
          </w:tblCellMar>
        </w:tblPrEx>
        <w:trPr>
          <w:trHeight w:val="604" w:hRule="atLeast"/>
          <w:jc w:val="center"/>
        </w:trPr>
        <w:tc>
          <w:tcPr>
            <w:tcW w:w="376" w:type="pct"/>
            <w:tcBorders>
              <w:top w:val="single" w:color="000000" w:sz="4" w:space="0"/>
              <w:left w:val="single" w:color="000000" w:sz="8" w:space="0"/>
              <w:bottom w:val="single" w:color="000000" w:sz="4" w:space="0"/>
              <w:right w:val="single" w:color="000000" w:sz="4" w:space="0"/>
            </w:tcBorders>
            <w:noWrap/>
            <w:vAlign w:val="center"/>
          </w:tcPr>
          <w:p>
            <w:pPr>
              <w:spacing w:before="62" w:after="62" w:line="280" w:lineRule="exact"/>
              <w:ind w:left="42" w:leftChars="20" w:right="42" w:rightChars="20"/>
              <w:jc w:val="center"/>
              <w:rPr>
                <w:rFonts w:hint="default" w:eastAsia="仿宋_GB2312" w:cs="仿宋_GB2312"/>
                <w:sz w:val="24"/>
                <w:szCs w:val="24"/>
                <w:lang w:val="en-US" w:eastAsia="zh-CN"/>
              </w:rPr>
            </w:pPr>
            <w:r>
              <w:rPr>
                <w:rFonts w:hint="eastAsia" w:eastAsia="仿宋_GB2312" w:cs="仿宋_GB2312"/>
                <w:sz w:val="24"/>
                <w:szCs w:val="24"/>
                <w:lang w:val="en-US" w:eastAsia="zh-CN"/>
              </w:rPr>
              <w:t>11</w:t>
            </w:r>
          </w:p>
        </w:tc>
        <w:tc>
          <w:tcPr>
            <w:tcW w:w="483"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cs="仿宋_GB2312"/>
                <w:color w:val="FFC000"/>
                <w:sz w:val="24"/>
                <w:szCs w:val="24"/>
              </w:rPr>
            </w:pPr>
            <w:r>
              <w:rPr>
                <w:rFonts w:hint="eastAsia" w:cs="仿宋_GB2312"/>
                <w:sz w:val="24"/>
                <w:szCs w:val="24"/>
              </w:rPr>
              <w:t>森林扑救</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cs="仿宋_GB2312"/>
                <w:sz w:val="24"/>
                <w:szCs w:val="24"/>
              </w:rPr>
            </w:pPr>
            <w:r>
              <w:rPr>
                <w:rFonts w:hint="eastAsia" w:cs="仿宋_GB2312"/>
                <w:sz w:val="24"/>
                <w:szCs w:val="24"/>
              </w:rPr>
              <w:t>自救呼吸器</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65"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137</w:t>
            </w:r>
          </w:p>
        </w:tc>
      </w:tr>
      <w:tr>
        <w:tblPrEx>
          <w:tblCellMar>
            <w:top w:w="0" w:type="dxa"/>
            <w:left w:w="108" w:type="dxa"/>
            <w:bottom w:w="0" w:type="dxa"/>
            <w:right w:w="108" w:type="dxa"/>
          </w:tblCellMar>
        </w:tblPrEx>
        <w:trPr>
          <w:trHeight w:val="604" w:hRule="atLeast"/>
          <w:jc w:val="center"/>
        </w:trPr>
        <w:tc>
          <w:tcPr>
            <w:tcW w:w="376" w:type="pct"/>
            <w:tcBorders>
              <w:top w:val="single" w:color="000000" w:sz="4" w:space="0"/>
              <w:left w:val="single" w:color="000000" w:sz="8" w:space="0"/>
              <w:bottom w:val="single" w:color="000000" w:sz="4" w:space="0"/>
              <w:right w:val="single" w:color="000000" w:sz="4" w:space="0"/>
            </w:tcBorders>
            <w:noWrap/>
            <w:vAlign w:val="center"/>
          </w:tcPr>
          <w:p>
            <w:pPr>
              <w:spacing w:before="62" w:after="62" w:line="280" w:lineRule="exact"/>
              <w:ind w:left="42" w:leftChars="20" w:right="42" w:rightChars="20"/>
              <w:jc w:val="center"/>
              <w:rPr>
                <w:rFonts w:hint="default" w:eastAsia="仿宋_GB2312" w:cs="仿宋_GB2312"/>
                <w:sz w:val="24"/>
                <w:szCs w:val="24"/>
                <w:lang w:val="en-US" w:eastAsia="zh-CN"/>
              </w:rPr>
            </w:pPr>
            <w:r>
              <w:rPr>
                <w:rFonts w:hint="eastAsia" w:eastAsia="仿宋_GB2312" w:cs="仿宋_GB2312"/>
                <w:sz w:val="24"/>
                <w:szCs w:val="24"/>
                <w:lang w:val="en-US" w:eastAsia="zh-CN"/>
              </w:rPr>
              <w:t>12</w:t>
            </w:r>
          </w:p>
        </w:tc>
        <w:tc>
          <w:tcPr>
            <w:tcW w:w="483"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cs="仿宋_GB2312"/>
                <w:color w:val="FFC000"/>
                <w:sz w:val="24"/>
                <w:szCs w:val="24"/>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cs="仿宋_GB2312"/>
                <w:sz w:val="24"/>
                <w:szCs w:val="24"/>
              </w:rPr>
            </w:pPr>
            <w:r>
              <w:rPr>
                <w:rFonts w:hint="eastAsia" w:cs="仿宋_GB2312"/>
                <w:sz w:val="24"/>
                <w:szCs w:val="24"/>
              </w:rPr>
              <w:t>正压空气呼吸器</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65"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w:t>
            </w:r>
          </w:p>
        </w:tc>
      </w:tr>
      <w:tr>
        <w:tblPrEx>
          <w:tblCellMar>
            <w:top w:w="0" w:type="dxa"/>
            <w:left w:w="108" w:type="dxa"/>
            <w:bottom w:w="0" w:type="dxa"/>
            <w:right w:w="108" w:type="dxa"/>
          </w:tblCellMar>
        </w:tblPrEx>
        <w:trPr>
          <w:trHeight w:val="604" w:hRule="atLeast"/>
          <w:jc w:val="center"/>
        </w:trPr>
        <w:tc>
          <w:tcPr>
            <w:tcW w:w="376" w:type="pct"/>
            <w:tcBorders>
              <w:top w:val="single" w:color="000000" w:sz="4" w:space="0"/>
              <w:left w:val="single" w:color="000000" w:sz="8" w:space="0"/>
              <w:bottom w:val="single" w:color="000000" w:sz="4" w:space="0"/>
              <w:right w:val="single" w:color="000000" w:sz="4" w:space="0"/>
            </w:tcBorders>
            <w:noWrap/>
            <w:vAlign w:val="center"/>
          </w:tcPr>
          <w:p>
            <w:pPr>
              <w:spacing w:before="62" w:after="62" w:line="280" w:lineRule="exact"/>
              <w:ind w:left="42" w:leftChars="20" w:right="42" w:rightChars="20"/>
              <w:jc w:val="center"/>
              <w:rPr>
                <w:rFonts w:hint="default" w:eastAsia="仿宋_GB2312" w:cs="仿宋_GB2312"/>
                <w:sz w:val="24"/>
                <w:szCs w:val="24"/>
                <w:lang w:val="en-US" w:eastAsia="zh-CN"/>
              </w:rPr>
            </w:pPr>
            <w:r>
              <w:rPr>
                <w:rFonts w:hint="eastAsia" w:eastAsia="仿宋_GB2312" w:cs="仿宋_GB2312"/>
                <w:sz w:val="24"/>
                <w:szCs w:val="24"/>
                <w:lang w:val="en-US" w:eastAsia="zh-CN"/>
              </w:rPr>
              <w:t>13</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cs="仿宋_GB2312"/>
                <w:color w:val="FFC000"/>
                <w:sz w:val="24"/>
                <w:szCs w:val="24"/>
              </w:rPr>
            </w:pPr>
            <w:r>
              <w:rPr>
                <w:rFonts w:hint="eastAsia" w:cs="仿宋_GB2312"/>
                <w:sz w:val="24"/>
                <w:szCs w:val="24"/>
              </w:rPr>
              <w:t>地震救援</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cs="仿宋_GB2312"/>
                <w:sz w:val="24"/>
                <w:szCs w:val="24"/>
              </w:rPr>
            </w:pPr>
            <w:r>
              <w:rPr>
                <w:rFonts w:hint="eastAsia" w:cs="仿宋_GB2312"/>
                <w:sz w:val="24"/>
                <w:szCs w:val="24"/>
              </w:rPr>
              <w:t>氧气呼吸器</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65"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57"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r>
    </w:tbl>
    <w:p>
      <w:pPr>
        <w:pStyle w:val="6"/>
        <w:numPr>
          <w:ilvl w:val="0"/>
          <w:numId w:val="0"/>
        </w:numPr>
        <w:spacing w:line="360" w:lineRule="auto"/>
        <w:rPr>
          <w:rFonts w:hint="eastAsia" w:cs="Times New Roman" w:asciiTheme="minorEastAsia" w:hAnsiTheme="minorEastAsia" w:eastAsiaTheme="minorEastAsia"/>
          <w:b/>
          <w:color w:val="000000" w:themeColor="text1"/>
          <w:kern w:val="0"/>
          <w:sz w:val="24"/>
          <w:szCs w:val="20"/>
          <w:lang w:val="en-US" w:eastAsia="zh-CN" w:bidi="ar-SA"/>
          <w14:textFill>
            <w14:solidFill>
              <w14:schemeClr w14:val="tx1"/>
            </w14:solidFill>
          </w14:textFill>
        </w:rPr>
      </w:pPr>
    </w:p>
    <w:p>
      <w:pPr>
        <w:pStyle w:val="6"/>
        <w:numPr>
          <w:ilvl w:val="0"/>
          <w:numId w:val="0"/>
        </w:numPr>
        <w:spacing w:line="360" w:lineRule="auto"/>
        <w:ind w:firstLine="482" w:firstLineChars="200"/>
      </w:pPr>
      <w:r>
        <w:rPr>
          <w:rFonts w:hint="eastAsia" w:cs="Times New Roman" w:asciiTheme="minorEastAsia" w:hAnsiTheme="minorEastAsia" w:eastAsiaTheme="minorEastAsia"/>
          <w:b/>
          <w:color w:val="000000" w:themeColor="text1"/>
          <w:kern w:val="0"/>
          <w:sz w:val="24"/>
          <w:szCs w:val="20"/>
          <w:lang w:val="en-US" w:eastAsia="zh-CN" w:bidi="ar-SA"/>
          <w14:textFill>
            <w14:solidFill>
              <w14:schemeClr w14:val="tx1"/>
            </w14:solidFill>
          </w14:textFill>
        </w:rPr>
        <w:t>（二）</w:t>
      </w:r>
      <w:r>
        <w:rPr>
          <w:rFonts w:hint="eastAsia" w:asciiTheme="minorEastAsia" w:hAnsiTheme="minorEastAsia" w:eastAsiaTheme="minorEastAsia"/>
          <w:b/>
          <w:color w:val="000000" w:themeColor="text1"/>
          <w:kern w:val="0"/>
          <w:sz w:val="24"/>
          <w14:textFill>
            <w14:solidFill>
              <w14:schemeClr w14:val="tx1"/>
            </w14:solidFill>
          </w14:textFill>
        </w:rPr>
        <w:t>具体技术参数</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及</w:t>
      </w:r>
      <w:r>
        <w:rPr>
          <w:rFonts w:hint="eastAsia" w:asciiTheme="minorEastAsia" w:hAnsiTheme="minorEastAsia" w:eastAsiaTheme="minorEastAsia"/>
          <w:b/>
          <w:color w:val="000000" w:themeColor="text1"/>
          <w:kern w:val="0"/>
          <w:sz w:val="24"/>
          <w14:textFill>
            <w14:solidFill>
              <w14:schemeClr w14:val="tx1"/>
            </w14:solidFill>
          </w14:textFill>
        </w:rPr>
        <w:t>需求</w:t>
      </w:r>
    </w:p>
    <w:tbl>
      <w:tblPr>
        <w:tblStyle w:val="22"/>
        <w:tblW w:w="497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2"/>
        <w:gridCol w:w="606"/>
        <w:gridCol w:w="1197"/>
        <w:gridCol w:w="623"/>
        <w:gridCol w:w="693"/>
        <w:gridCol w:w="5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blHeader/>
        </w:trPr>
        <w:tc>
          <w:tcPr>
            <w:tcW w:w="386" w:type="pct"/>
            <w:noWrap/>
            <w:vAlign w:val="center"/>
          </w:tcPr>
          <w:p>
            <w:pPr>
              <w:widowControl/>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kern w:val="0"/>
                <w:sz w:val="24"/>
                <w:szCs w:val="24"/>
              </w:rPr>
              <w:t>序号</w:t>
            </w:r>
          </w:p>
        </w:tc>
        <w:tc>
          <w:tcPr>
            <w:tcW w:w="976" w:type="pct"/>
            <w:gridSpan w:val="2"/>
            <w:noWrap w:val="0"/>
            <w:vAlign w:val="center"/>
          </w:tcPr>
          <w:p>
            <w:pPr>
              <w:widowControl/>
              <w:jc w:val="center"/>
              <w:textAlignment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装备类型</w:t>
            </w:r>
          </w:p>
        </w:tc>
        <w:tc>
          <w:tcPr>
            <w:tcW w:w="337" w:type="pct"/>
            <w:noWrap w:val="0"/>
            <w:vAlign w:val="center"/>
          </w:tcPr>
          <w:p>
            <w:pPr>
              <w:widowControl/>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kern w:val="0"/>
                <w:sz w:val="24"/>
                <w:szCs w:val="24"/>
              </w:rPr>
              <w:t>数量</w:t>
            </w:r>
          </w:p>
        </w:tc>
        <w:tc>
          <w:tcPr>
            <w:tcW w:w="375" w:type="pct"/>
            <w:noWrap w:val="0"/>
            <w:vAlign w:val="center"/>
          </w:tcPr>
          <w:p>
            <w:pPr>
              <w:widowControl/>
              <w:jc w:val="center"/>
              <w:textAlignment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单位</w:t>
            </w:r>
          </w:p>
        </w:tc>
        <w:tc>
          <w:tcPr>
            <w:tcW w:w="2923" w:type="pct"/>
            <w:noWrap w:val="0"/>
            <w:vAlign w:val="center"/>
          </w:tcPr>
          <w:p>
            <w:pPr>
              <w:widowControl/>
              <w:jc w:val="center"/>
              <w:textAlignment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性能参数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86" w:type="pct"/>
            <w:noWrap/>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28" w:type="pct"/>
            <w:vMerge w:val="restar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水域救援</w:t>
            </w:r>
          </w:p>
        </w:tc>
        <w:tc>
          <w:tcPr>
            <w:tcW w:w="648" w:type="pc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水深探测仪</w:t>
            </w:r>
          </w:p>
        </w:tc>
        <w:tc>
          <w:tcPr>
            <w:tcW w:w="337" w:type="pc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375" w:type="pct"/>
            <w:noWrap w:val="0"/>
            <w:vAlign w:val="center"/>
          </w:tcPr>
          <w:p>
            <w:pPr>
              <w:spacing w:before="31" w:beforeLines="10" w:after="31" w:afterLines="10" w:line="300" w:lineRule="exact"/>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2923" w:type="pct"/>
            <w:noWrap w:val="0"/>
            <w:vAlign w:val="center"/>
          </w:tcPr>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★1.量程≥150m,精度≤±1%；（提供具备国家认证认可资质的检验检测机构出具的检测报告）</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★2.工作频率：200～5000KHz（可选）（提供能够证明所投产品性能质量的证明材料，如原厂制造商彩页或截图等）</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3.供电：工作电压≥4.7V锂电池，外接电源：DC5V正常功耗：≤1.5W 可测量≥1000次</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★4.防水等级：≥IP68 防水深度≥100m（提供具备国家认证认可资质的检验检测机构出具的检测报告）</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5.水流速度测深：可达6M/秒</w:t>
            </w:r>
          </w:p>
          <w:p>
            <w:pPr>
              <w:spacing w:line="300" w:lineRule="exact"/>
              <w:ind w:left="42" w:leftChars="20" w:right="42" w:rightChars="2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6.支持功能：具有数字滤波和回波识别功能，可人工设定固定干扰滤波功能</w:t>
            </w:r>
            <w:r>
              <w:rPr>
                <w:rFonts w:hint="eastAsia" w:asciiTheme="minorEastAsia" w:hAnsiTheme="minorEastAsia" w:eastAsiaTheme="minorEastAsia" w:cstheme="minorEastAsia"/>
                <w:sz w:val="21"/>
                <w:szCs w:val="21"/>
                <w:lang w:eastAsia="zh-CN"/>
              </w:rPr>
              <w:t>；</w:t>
            </w:r>
          </w:p>
          <w:p>
            <w:pPr>
              <w:spacing w:line="300" w:lineRule="exact"/>
              <w:ind w:left="42" w:leftChars="20" w:right="42" w:rightChars="2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7.微型打印机打印实时测量数据，通过串行接口可与上位机进行通信，由上位机进行测量数据存储、查询、打印。MiniSD卡数据采集（配卡≥8G）</w:t>
            </w:r>
            <w:r>
              <w:rPr>
                <w:rFonts w:hint="eastAsia" w:asciiTheme="minorEastAsia" w:hAnsiTheme="minorEastAsia" w:eastAsiaTheme="minorEastAsia" w:cstheme="minorEastAsia"/>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386" w:type="pct"/>
            <w:noWrap/>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28" w:type="pct"/>
            <w:vMerge w:val="continue"/>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p>
        </w:tc>
        <w:tc>
          <w:tcPr>
            <w:tcW w:w="648" w:type="pc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流速监测仪</w:t>
            </w:r>
          </w:p>
        </w:tc>
        <w:tc>
          <w:tcPr>
            <w:tcW w:w="337" w:type="pc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75" w:type="pct"/>
            <w:noWrap w:val="0"/>
            <w:vAlign w:val="center"/>
          </w:tcPr>
          <w:p>
            <w:pPr>
              <w:spacing w:before="31" w:beforeLines="10" w:after="31" w:afterLines="10" w:line="300" w:lineRule="exact"/>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2923" w:type="pct"/>
            <w:noWrap w:val="0"/>
            <w:vAlign w:val="center"/>
          </w:tcPr>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★1.测速范围：0.01～5.00（m/s）（提供具备国家认证认可资质的检验检测机构出具的检测报告）</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2.测算误差：≤1.5%</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3.显示：8×4位汉字液晶显示</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4.测量方式：有线</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5.工作温度：0℃～50℃</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6.功耗：≤50mA</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7.电源：DC 7.2V</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8.通讯方式：RS232</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9.时钟误差：≤2min/year</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10.仪表可以估测瞬时流量、累计流量；</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11.持续工作时间≥8h。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86" w:type="pct"/>
            <w:noWrap/>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328" w:type="pc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森林扑救</w:t>
            </w:r>
          </w:p>
        </w:tc>
        <w:tc>
          <w:tcPr>
            <w:tcW w:w="648" w:type="pc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红外热成像仪</w:t>
            </w:r>
          </w:p>
        </w:tc>
        <w:tc>
          <w:tcPr>
            <w:tcW w:w="337" w:type="pc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w:t>
            </w:r>
          </w:p>
        </w:tc>
        <w:tc>
          <w:tcPr>
            <w:tcW w:w="375" w:type="pct"/>
            <w:noWrap w:val="0"/>
            <w:vAlign w:val="center"/>
          </w:tcPr>
          <w:p>
            <w:pPr>
              <w:spacing w:before="31" w:beforeLines="10" w:after="31" w:afterLines="10" w:line="300" w:lineRule="exact"/>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2923" w:type="pct"/>
            <w:noWrap w:val="0"/>
            <w:vAlign w:val="center"/>
          </w:tcPr>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★用于隐患火点探测。液晶显示屏，可调整图像显示等，电池续航≥5h。（提供具备国家认证认可资质的检验检测机构出具的检测报告）</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1.最大图像尺寸：≥250×190</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2.视场角：≥50°×37.5°</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3.热成像镜头焦距：≥3.5mm</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4.最小成像距离：≤0.3m</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5.数字变倍：1.X至4.X</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6.测温范围：-20至400℃</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7.≥5英寸电容式触摸屏</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8.支持WIFI/蓝牙/热点</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9.存储容量：≥16GB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386" w:type="pct"/>
            <w:noWrap/>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328" w:type="pct"/>
            <w:vMerge w:val="restar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地震救援</w:t>
            </w:r>
          </w:p>
        </w:tc>
        <w:tc>
          <w:tcPr>
            <w:tcW w:w="648" w:type="pc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漏电检测仪</w:t>
            </w:r>
          </w:p>
        </w:tc>
        <w:tc>
          <w:tcPr>
            <w:tcW w:w="337" w:type="pc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375" w:type="pct"/>
            <w:noWrap w:val="0"/>
            <w:vAlign w:val="center"/>
          </w:tcPr>
          <w:p>
            <w:pPr>
              <w:spacing w:before="31" w:beforeLines="10" w:after="31" w:afterLines="10" w:line="300" w:lineRule="exact"/>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2923" w:type="pct"/>
            <w:noWrap w:val="0"/>
            <w:vAlign w:val="center"/>
          </w:tcPr>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1.水陆两用漏电探测仪，用于火灾现场、地震、台风、洪涝等自然灾害或建筑物倒塌后确定是否漏电及泄漏电源具体位置,可声光报警,避免触电事故的发生。</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2.探测仪可自动探测50/60Hz交流电源的漏电状态，具备声光报警功能，当设备越接近漏电状态的电源时，声光报警装置光闪烁及发声频次越高；</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★3.配备OLED液晶显示屏，屏幕尺寸≥1.3英寸，可显示电量、漏电强弱信息、经纬度信息等；</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4.内置北斗定位模块，可通过定位模块获取自身的经纬度位置信息；</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5.具备运动静止状态检测功能，能够检测所处状态为运动状态或静止状态，并在显示屏上显示；</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6.具备SOS一键紧急呼叫求救功能，可通过仪器正面的SOS物理按钮实现紧急呼叫；</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★7.防护等级≥IP67，抗跌落高度：≥1m；</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8.工作温度：-20℃至60℃；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386" w:type="pct"/>
            <w:noWrap/>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328" w:type="pct"/>
            <w:vMerge w:val="continue"/>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p>
        </w:tc>
        <w:tc>
          <w:tcPr>
            <w:tcW w:w="648" w:type="pc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激光测距仪</w:t>
            </w:r>
          </w:p>
        </w:tc>
        <w:tc>
          <w:tcPr>
            <w:tcW w:w="337" w:type="pc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375" w:type="pct"/>
            <w:noWrap w:val="0"/>
            <w:vAlign w:val="center"/>
          </w:tcPr>
          <w:p>
            <w:pPr>
              <w:spacing w:before="31" w:beforeLines="10" w:after="31" w:afterLines="10" w:line="300" w:lineRule="exact"/>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2923" w:type="pct"/>
            <w:noWrap w:val="0"/>
            <w:vAlign w:val="center"/>
          </w:tcPr>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1.测距范围：≥5000m</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★2.测距误差：±0.5m（提供具备国家认证认可资质的检验检测机构出具的检测报告）</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3.距离选通：20~5100m（步长为10m）</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4.准测率：≥98%</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5.重复频率：1/6~1/3Hz（10~20次/分）</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6.罗盘精度：≤±1度</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7.倾角精度：±0.1度（±25度以内）</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8.接收孔径：≤Φ30mm</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9.瞄准镜视场：≤6.5°</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10.双目5000CI带方位角</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11.环境适应：防尘，防水，抗震。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86" w:type="pct"/>
            <w:noWrap/>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328" w:type="pc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森林扑救</w:t>
            </w:r>
          </w:p>
        </w:tc>
        <w:tc>
          <w:tcPr>
            <w:tcW w:w="648" w:type="pc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有毒有害气体检测仪</w:t>
            </w:r>
          </w:p>
        </w:tc>
        <w:tc>
          <w:tcPr>
            <w:tcW w:w="337" w:type="pc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w:t>
            </w:r>
          </w:p>
        </w:tc>
        <w:tc>
          <w:tcPr>
            <w:tcW w:w="375" w:type="pct"/>
            <w:noWrap w:val="0"/>
            <w:vAlign w:val="center"/>
          </w:tcPr>
          <w:p>
            <w:pPr>
              <w:spacing w:before="31" w:beforeLines="10" w:after="31" w:afterLines="10" w:line="300" w:lineRule="exact"/>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2923" w:type="pct"/>
            <w:noWrap w:val="0"/>
            <w:vAlign w:val="center"/>
          </w:tcPr>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一、产品功能要求：</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用于检查氧气、一氧化碳、二氧化氮、可燃气体、硫化氢气体浓度。</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二、技术参数要求</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★1.响应时间:泵吸式T90≤30s；</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★2.检测气体：氧气、一氧化碳、二氧化氮、可燃气体、硫化氢；（提供具备国家认证认可资质的检验检测机构出具的检测报告）</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3.量程：氧气：0-30%VOL、一氧化碳：0-1000PPM、二氧化氮：0-100PPM、可燃气体：0-100%LEL、硫化氢：0-100PPM；</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4.分辨率：氧气≥0.1%VOL、一氧化碳≥1PPM、二氧化氮≥0.01PPM、可燃气体≥0.1%LEL、硫化氢≥0.01PPM；</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5.工作环境:温度-10°C~50°C；相对湿度≤95%RH(无冷凝)；</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6.工作电压:DC3.7V(充电锂电池供电，锂电池容量≥5000mAh)；</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7.显示方式≥2.0英寸彩色显示模块；</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8.报警方式:声光振显四重报警；</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9.采样方式:泵吸式；</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10.数据通信:支持USB连接电脑.上位机查看数据；</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11.防爆等级≥ExibIlBT3Gb本质安全型；</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12.半导体传感器寿命：≥2年</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13.防护等级：≥IP65。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86" w:type="pct"/>
            <w:noWrap/>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328" w:type="pc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地震救援</w:t>
            </w:r>
          </w:p>
        </w:tc>
        <w:tc>
          <w:tcPr>
            <w:tcW w:w="648" w:type="pc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复合气体探测器</w:t>
            </w:r>
          </w:p>
        </w:tc>
        <w:tc>
          <w:tcPr>
            <w:tcW w:w="337" w:type="pc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75" w:type="pct"/>
            <w:noWrap w:val="0"/>
            <w:vAlign w:val="center"/>
          </w:tcPr>
          <w:p>
            <w:pPr>
              <w:spacing w:before="31" w:beforeLines="10" w:after="31" w:afterLines="10" w:line="300" w:lineRule="exact"/>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2923" w:type="pct"/>
            <w:noWrap w:val="0"/>
            <w:vAlign w:val="center"/>
          </w:tcPr>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用于检测化学品作业场所空气中的可燃、有毒气体和蒸气含量，具备超限报警等功能。主通讯模块通讯距离≥2000m、Mesh模块通信距离≥200m，可选配定位模块等。</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1.用途：符合《GB-12358-2006作业场所环境气体检测报警仪通用技术要求》。 </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2.组成：探测主机、充电器 </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3.检测参数（气体）：检测可燃气、氧气、氨气、一氧化碳、硫化氢等多种气体</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★4.检测参数（核放射）：可对X射线和γ射线电离辐射发生响应，实时显示辐射剂量 （提供具备国家认证认可资质的检验检测机构出具的检测报告）</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5.检测参数（粉尘）：检测PM2.5、PM10 </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6.检测参数（环境参数）：可测量温度、湿度等信息</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★7.云平台：核辐射+5种气体浓度后台显示、粉尘：PM2.5、PM10后台显示、环境：温度、湿度后台显示、电量后台显示</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8.续航：≥10h </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9.防护等级：≥IP67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86" w:type="pct"/>
            <w:noWrap/>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328" w:type="pc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综合保障</w:t>
            </w:r>
          </w:p>
        </w:tc>
        <w:tc>
          <w:tcPr>
            <w:tcW w:w="648" w:type="pc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便携式气象仪</w:t>
            </w:r>
          </w:p>
        </w:tc>
        <w:tc>
          <w:tcPr>
            <w:tcW w:w="337" w:type="pc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375" w:type="pct"/>
            <w:noWrap w:val="0"/>
            <w:vAlign w:val="center"/>
          </w:tcPr>
          <w:p>
            <w:pPr>
              <w:spacing w:before="31" w:beforeLines="10" w:after="31" w:afterLines="10" w:line="300" w:lineRule="exact"/>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2923" w:type="pct"/>
            <w:noWrap w:val="0"/>
            <w:vAlign w:val="center"/>
          </w:tcPr>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1.带触摸屏，可实时测量并显示时间、当前温度、当日最高温度及最低温度、设备电量、经纬度息等信息；并可以同时实现无线传输、WiFi 上传云平台或局域网络服务器，USB 可读取内部存储数据。</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★2.具备户外 SOS 求救、电子罗盘、人体舒适度、无线电静默、GNSS 定位等功能，可根据温度、湿度、大气压、风速等信息推演未来3小时天气情况（提供具备国家认证认可资质的检验检测机构出具的检测报告）； </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★3.大气温度： -50-85℃，精度±0.3；</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4.大气湿度：0-100%，精度±0.2；</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5.大气压力：10-1100hPa；精度≤1.5hPa/mb；分辨率≤0.1hPa/mb；</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6.风速（测量范围）：0-60m/s；精度≤士3%:分辨率≤0.1m/s</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7.风向（仪器所测角度）：0-359°；</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8.海拔高度：-700—9000m；精度:≤15m:分辨率:≤lm；</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9.采用ABS工程材料，带背夹便于随身固定携带，不易丢失。</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10.内置电池≥3600mAh；</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11.重量≤130g（含电池组）</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12.尺寸≤170*70*60mm；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86" w:type="pct"/>
            <w:noWrap/>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328" w:type="pct"/>
            <w:vMerge w:val="restar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地震救援</w:t>
            </w:r>
          </w:p>
        </w:tc>
        <w:tc>
          <w:tcPr>
            <w:tcW w:w="648" w:type="pc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生命探测仪（雷达生命探测仪）</w:t>
            </w:r>
          </w:p>
        </w:tc>
        <w:tc>
          <w:tcPr>
            <w:tcW w:w="337" w:type="pc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75" w:type="pct"/>
            <w:noWrap w:val="0"/>
            <w:vAlign w:val="center"/>
          </w:tcPr>
          <w:p>
            <w:pPr>
              <w:spacing w:before="31" w:beforeLines="10" w:after="31" w:afterLines="10" w:line="300" w:lineRule="exact"/>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2923" w:type="pct"/>
            <w:noWrap w:val="0"/>
            <w:vAlign w:val="center"/>
          </w:tcPr>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1.具备雷达技术，可穿透建筑物墙体、楼板、木材等非金属、低含水量物质。</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2.非接触探测：可在不接触人体情况下探测活动呼吸信号。</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3.配置雷达主机1台、手持控制终端1台、2路余震位移监测模块、1路声光报警器、充电器1套、预警模块1个、安全防护箱1个。</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★4.隔墙探测距离：能够探测到≥50cm厚实体混凝土墙后，探测静止生命体≥25m；探测运动生命体探测≥35m。（提供具备国家认证认可资质的检验检测机构出具的检测报告）</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★5.穿透能力：能够穿透≥8m厚砖混实体墙体探测到生命体征。（提供具备国家认证认可资质的检验检测机构出具的检测报告）</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6.探测显示：可通过控制终端以虚拟图形方式显示静止目标和运动目标。</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7.探测张角：≥120°。</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8.遥控距离：空旷环境下雷达主机与控制终端的无线通讯距离≥120m。</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9.探测精度：≤10cm</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10.模式选择：可对空气、废墟、穿墙等场景进行搜索模式的选择，实现优化检测。</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11.控制终端具有拍照、录像功能，内置存储≥128GB,可查看图片、视频回放。</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12.可更换电池≥2块，单块电池续航时间≥12小时，电池具有电量显示。</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13.工作温度：-20℃-+50℃</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★14.雷达探测准确率≥95%；（提供具备国家认证认可资质的检验检测机构出具的检测报告）</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15.主机重量：≤8KG（含电池），PAD重量≤1KG。外壳防护等级≥IP67。</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★16.余震位监测模块：三维立体（360度）监测，可通过三维立体监测X、 Y 、Z 三轴显示监测，自带≥6CM显示屏，≥6颗LED闪光灯，报警声≥100d，分辨率：≤0.01度，测量精度≤0.1度，具有固定报警值0.5度、1度、2.6度;也可通过拨盘或按键设定任意报警值(0.1~60度之间任意值)。</w:t>
            </w:r>
          </w:p>
          <w:p>
            <w:pPr>
              <w:spacing w:line="300" w:lineRule="exact"/>
              <w:ind w:left="21" w:leftChars="10" w:right="21" w:rightChars="1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★17.余震位移监测模块具有反向一键搜寻功能，声光报警器可接收余震监测仪报警，并且通过语音播报功能区分报警信号来源，可同时联动2路余震监测仪，与声光报警器无线连接距离：≥550米。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386" w:type="pct"/>
            <w:noWrap/>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328" w:type="pct"/>
            <w:vMerge w:val="continue"/>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color w:val="FFC000"/>
                <w:sz w:val="21"/>
                <w:szCs w:val="21"/>
              </w:rPr>
            </w:pPr>
          </w:p>
        </w:tc>
        <w:tc>
          <w:tcPr>
            <w:tcW w:w="648" w:type="pc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生命探测仪（音视频生命探测仪）</w:t>
            </w:r>
          </w:p>
        </w:tc>
        <w:tc>
          <w:tcPr>
            <w:tcW w:w="337" w:type="pc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75" w:type="pct"/>
            <w:noWrap w:val="0"/>
            <w:vAlign w:val="center"/>
          </w:tcPr>
          <w:p>
            <w:pPr>
              <w:spacing w:before="31" w:beforeLines="10" w:after="31" w:afterLines="10" w:line="300" w:lineRule="exact"/>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2923" w:type="pct"/>
            <w:noWrap w:val="0"/>
            <w:vAlign w:val="center"/>
          </w:tcPr>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1.嵌入式主机显控屏</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1.1显控屏：采用有线方式与主机进行连接，自带≥120cm连接线；屏幕尺寸≥8英寸，分辨率≥1920*1080，支持屏幕亮度调节；</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1.2操作方式：物理按键方式操作，可对主机进行拍照、录像、图像缩放、左右旋转方向调整、模式切换、亮度调节、对讲切换、菜单设置等操作；</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★2.电动旋转音视频探头：探头直径≤40mm，分辨率≥1920*1080，可实现横向（水平向）360°电动旋转和纵向±60°俯仰调节；</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3.红外热成像探头：</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3.1直径≤40mm，探头可旋转，旋转角度≥270°，可通过主机物理按键控制旋转角度；探头内置对讲系统，支持双向语音通话；</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3.2探测器像素≥256*192，具备红外成像功能；</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★3.3具备最高温、最低温和中心点测温功能，探头能对400℃内物体进行探测识别；（提供具备国家认证认可资质的检验检测机构出具的检测报告）</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4.防水视频探头：4.1直径：≤40mm，分辨率≥1920*1080，可实现横向（水平向）360°电动旋转和纵向±60°俯仰调节；</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4.2防护等级：≥IP68；</w:t>
            </w:r>
          </w:p>
          <w:p>
            <w:pPr>
              <w:spacing w:line="300" w:lineRule="exact"/>
              <w:ind w:left="42" w:leftChars="20" w:right="42" w:rightChars="2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5.探测线缆：配备≥25m的硬质探测线缆，线缆采用嵌入式设计，收纳于主机箱体内部</w:t>
            </w:r>
            <w:r>
              <w:rPr>
                <w:rFonts w:hint="eastAsia" w:asciiTheme="minorEastAsia" w:hAnsiTheme="minorEastAsia" w:eastAsiaTheme="minorEastAsia" w:cstheme="minorEastAsia"/>
                <w:sz w:val="21"/>
                <w:szCs w:val="21"/>
                <w:lang w:eastAsia="zh-CN"/>
              </w:rPr>
              <w:t>；</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6.微震探测模块6.1无线微震传感器探头数量≥2个，质量≤600g；</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6.2无线微震传感器与手持控制终端采用WIFI方式连接；</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★6.4微震探测模块应具备声音还原功能，可实时还原人员敲击、刻画等声音（非预置电子模拟声音），并能分辨声音的强度和类型；（提供具备国家认证认可资质的检验检测机构出具的检测报告）</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6.5无线微震传感器的外壳防护等级应符合GB/T 4208-2017中IP68的要求（1米水深浸泡45分钟），抗跌落高度≥2m。</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余震监测功能：配备余震报警器，7.1救援报警器：数量≥2个，可探测到≤2.6度的移动和0.5Hz至100Hz的震动，可与各类适配器搭配使用，将救援报警器安装在任何位置和任何结构物表面(金属、玻璃、水泥等)，可提供早期移动和震动报警；7.2测量范围：≥三向（360°）；分辨率≤0.01mm，精度±0.1mm；</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7.3尺寸：≤150×170×140mm；重量（含电池）≤3.5kg；7.4防护等级≥IP66。</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智能管理云平台：设备实时状态显示功能：配置智能管理云平台，设备可接入该云平台，并在平台界面显示设备位置和在线状态，并查询设备的接入状态、探测信息、工作状态、电量信息，实时掌握设备的监测情况；实现多种类多设备同屏实显，用户可自由选择需要查看的设备情况，通过不同设备的监测/检测结果为救援决策提供辅助决策依据；</w:t>
            </w:r>
          </w:p>
          <w:p>
            <w:pPr>
              <w:spacing w:line="30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9.产品配置:音视频主机、电动旋转音视频探头、红外热成像探头、防水视频探头、蛇眼探头、25米硬质探测线缆、微震传感器2个、余震报警器2个、充电器及其他附件组成。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386" w:type="pct"/>
            <w:noWrap/>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328" w:type="pct"/>
            <w:vMerge w:val="restar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color w:val="FFC000"/>
                <w:sz w:val="21"/>
                <w:szCs w:val="21"/>
              </w:rPr>
            </w:pPr>
            <w:r>
              <w:rPr>
                <w:rFonts w:hint="eastAsia" w:asciiTheme="minorEastAsia" w:hAnsiTheme="minorEastAsia" w:eastAsiaTheme="minorEastAsia" w:cstheme="minorEastAsia"/>
                <w:sz w:val="21"/>
                <w:szCs w:val="21"/>
              </w:rPr>
              <w:t>森林扑救</w:t>
            </w:r>
          </w:p>
        </w:tc>
        <w:tc>
          <w:tcPr>
            <w:tcW w:w="648" w:type="pc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自救呼吸器</w:t>
            </w:r>
          </w:p>
        </w:tc>
        <w:tc>
          <w:tcPr>
            <w:tcW w:w="337" w:type="pc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137</w:t>
            </w:r>
          </w:p>
        </w:tc>
        <w:tc>
          <w:tcPr>
            <w:tcW w:w="375" w:type="pct"/>
            <w:noWrap w:val="0"/>
            <w:vAlign w:val="center"/>
          </w:tcPr>
          <w:p>
            <w:pPr>
              <w:spacing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2923" w:type="pct"/>
            <w:noWrap w:val="0"/>
            <w:vAlign w:val="center"/>
          </w:tcPr>
          <w:p>
            <w:pPr>
              <w:spacing w:line="28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1.佩戴质量（全面罩)：2.1-2.4kg。</w:t>
            </w:r>
          </w:p>
          <w:p>
            <w:pPr>
              <w:spacing w:line="28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★2.耐温阻燃性能：所有部件均采用耐高温阻燃材料制造。（提供具备国家认证认可资质的检验检测机构出具的检测报告）</w:t>
            </w:r>
          </w:p>
          <w:p>
            <w:pPr>
              <w:spacing w:line="28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★3.烟气过滤：滤烟效率不小于96%；吸气阻力不大于120Pa；单个滤芯累计防护时间不少于4个小时；面罩泄漏率≤0.03%（提供具备国家认证认可资质的检验检测机构出具的检测报告）</w:t>
            </w:r>
          </w:p>
          <w:p>
            <w:pPr>
              <w:spacing w:line="28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空气呼吸循环系统性能：气瓶额定工作压力30MPa，在使用时间内始终保持正压，气瓶气体为富氧空气（02≥30%），供气时间不少于4分钟，气囊中氧浓度不小于21%，二氧化碳浓度不大于1.0%；动态吸气阻力不大于130pa，动态呼气阻力不大于300pa。</w:t>
            </w:r>
          </w:p>
          <w:p>
            <w:pPr>
              <w:spacing w:line="28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5.环境空气旁通：过滤粉尘颗粒粒径&lt;100目(&gt;0.15mm颗粒)开启时吸气阻力≤80Pa</w:t>
            </w:r>
          </w:p>
          <w:p>
            <w:pPr>
              <w:spacing w:line="28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6.其他功能：面罩设有传声装置、通信装置；</w:t>
            </w:r>
          </w:p>
          <w:p>
            <w:pPr>
              <w:spacing w:line="28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7.在辐射热通量达到（7.8～8.0）kw/㎡和6分钟的正压供气时间段内，脸部温度由正常温度</w:t>
            </w:r>
            <w:r>
              <w:rPr>
                <w:rFonts w:hint="eastAsia" w:asciiTheme="minorEastAsia" w:hAnsiTheme="minorEastAsia" w:eastAsiaTheme="minorEastAsia" w:cstheme="minorEastAsia"/>
                <w:sz w:val="21"/>
                <w:szCs w:val="21"/>
                <w:lang w:eastAsia="zh-CN"/>
              </w:rPr>
              <w:t>最高</w:t>
            </w:r>
            <w:r>
              <w:rPr>
                <w:rFonts w:hint="eastAsia" w:asciiTheme="minorEastAsia" w:hAnsiTheme="minorEastAsia" w:eastAsiaTheme="minorEastAsia" w:cstheme="minorEastAsia"/>
                <w:sz w:val="21"/>
                <w:szCs w:val="21"/>
              </w:rPr>
              <w:t>升至≤42℃，额部、颈部温度由正常温度</w:t>
            </w:r>
            <w:r>
              <w:rPr>
                <w:rFonts w:hint="eastAsia" w:asciiTheme="minorEastAsia" w:hAnsiTheme="minorEastAsia" w:eastAsiaTheme="minorEastAsia" w:cstheme="minorEastAsia"/>
                <w:sz w:val="21"/>
                <w:szCs w:val="21"/>
                <w:lang w:eastAsia="zh-CN"/>
              </w:rPr>
              <w:t>最高</w:t>
            </w:r>
            <w:r>
              <w:rPr>
                <w:rFonts w:hint="eastAsia" w:asciiTheme="minorEastAsia" w:hAnsiTheme="minorEastAsia" w:eastAsiaTheme="minorEastAsia" w:cstheme="minorEastAsia"/>
                <w:sz w:val="21"/>
                <w:szCs w:val="21"/>
              </w:rPr>
              <w:t>升至≤48℃，有效保护面部及呼吸系统。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386" w:type="pct"/>
            <w:noWrap/>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328" w:type="pct"/>
            <w:vMerge w:val="continue"/>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color w:val="FFC000"/>
                <w:sz w:val="21"/>
                <w:szCs w:val="21"/>
              </w:rPr>
            </w:pPr>
          </w:p>
        </w:tc>
        <w:tc>
          <w:tcPr>
            <w:tcW w:w="648" w:type="pc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正压空气呼吸器</w:t>
            </w:r>
          </w:p>
        </w:tc>
        <w:tc>
          <w:tcPr>
            <w:tcW w:w="337" w:type="pc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w:t>
            </w:r>
          </w:p>
        </w:tc>
        <w:tc>
          <w:tcPr>
            <w:tcW w:w="375" w:type="pct"/>
            <w:noWrap w:val="0"/>
            <w:vAlign w:val="center"/>
          </w:tcPr>
          <w:p>
            <w:pPr>
              <w:spacing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2923" w:type="pct"/>
            <w:noWrap w:val="0"/>
            <w:vAlign w:val="center"/>
          </w:tcPr>
          <w:p>
            <w:pPr>
              <w:spacing w:line="28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★1、符合国家XF124-2013《正压式消防空气呼吸器》标准，CCCF-CPRZ-27:2019《消防类产品认证实施规则消防装备产品消防员个人防护装备产品》标准要求，提供国家消防装备质量监督检验中心出具的检测报告扫描件。</w:t>
            </w:r>
          </w:p>
          <w:p>
            <w:pPr>
              <w:spacing w:line="28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★2.材料阻燃性能：不出现熔融现象，且续燃时间0s；（提供具备国家认证认可资质的检验检测机构出具的检测报告）</w:t>
            </w:r>
          </w:p>
          <w:p>
            <w:pPr>
              <w:spacing w:line="28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3.抗热老化性能：在气密性能试验后，压力指示值在1 min内下降0MPa；非金属高压部件经气瓶公称工作压力的2倍水压试验后，无渗漏和异常变形；中压导气管经3 MPa的气压试验后，无漏气和异常变形；</w:t>
            </w:r>
          </w:p>
          <w:p>
            <w:pPr>
              <w:spacing w:line="28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4.佩戴质量≤13kg；</w:t>
            </w:r>
          </w:p>
          <w:p>
            <w:pPr>
              <w:spacing w:line="28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5.整机气密性能：压力指示值在1 min内下降0MPa；</w:t>
            </w:r>
          </w:p>
          <w:p>
            <w:pPr>
              <w:spacing w:line="28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6.动态呼吸阻力：在（30～2）MPa范围内，以呼吸频率40次/min，呼吸流量100 L/min呼吸，呼吸器的全面罩内应始终保持正压，且吸气阻力≤500Pa，呼气阻力≤1000Pa；在（2～1）MPa范围内，以呼吸频率25次/min，呼吸流量50 L/min呼吸，呼吸器的全面罩内保持正压，且吸气阻力≤500Pa，呼气阻力≤700Pa；</w:t>
            </w:r>
          </w:p>
          <w:p>
            <w:pPr>
              <w:spacing w:line="28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7.耐高温性能：在高温试验后，各零部件无异常变形、粘连、脱胶等现象；以呼吸频率40次/min，呼吸流量100 L/min呼吸，呼吸器的全面罩内保持正压，且呼气阻力≤1000Pa；</w:t>
            </w:r>
          </w:p>
          <w:p>
            <w:pPr>
              <w:spacing w:line="28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8.耐低温性能：在低温试验后，各零部件应无开裂、异常收缩、发脆等现象；以呼吸频率25次/min，呼吸流量50 L/min呼吸，呼吸器的全面罩内应保持正压，且呼气</w:t>
            </w:r>
            <w:r>
              <w:rPr>
                <w:rFonts w:hint="eastAsia" w:asciiTheme="minorEastAsia" w:hAnsiTheme="minorEastAsia" w:eastAsiaTheme="minorEastAsia" w:cstheme="minorEastAsia"/>
                <w:b/>
                <w:bCs/>
                <w:sz w:val="21"/>
                <w:szCs w:val="21"/>
              </w:rPr>
              <w:t>阻力≤1000Pa；</w:t>
            </w:r>
          </w:p>
          <w:p>
            <w:pPr>
              <w:spacing w:line="28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9.耐辐射热性能：压力指示值在1 min内的下降≤2 MPa；以呼吸频率40次/min，呼吸流量100 L/min呼吸，呼吸器的全面罩内始终保持正压，且</w:t>
            </w:r>
            <w:r>
              <w:rPr>
                <w:rFonts w:hint="eastAsia" w:asciiTheme="minorEastAsia" w:hAnsiTheme="minorEastAsia" w:eastAsiaTheme="minorEastAsia" w:cstheme="minorEastAsia"/>
                <w:b/>
                <w:bCs/>
                <w:sz w:val="21"/>
                <w:szCs w:val="21"/>
              </w:rPr>
              <w:t>吸气阻力≤500Pa</w:t>
            </w:r>
            <w:r>
              <w:rPr>
                <w:rFonts w:hint="eastAsia" w:asciiTheme="minorEastAsia" w:hAnsiTheme="minorEastAsia" w:eastAsiaTheme="minorEastAsia" w:cstheme="minorEastAsia"/>
                <w:sz w:val="21"/>
                <w:szCs w:val="21"/>
              </w:rPr>
              <w:t>，呼气</w:t>
            </w:r>
            <w:r>
              <w:rPr>
                <w:rFonts w:hint="eastAsia" w:asciiTheme="minorEastAsia" w:hAnsiTheme="minorEastAsia" w:eastAsiaTheme="minorEastAsia" w:cstheme="minorEastAsia"/>
                <w:b/>
                <w:bCs/>
                <w:sz w:val="21"/>
                <w:szCs w:val="21"/>
              </w:rPr>
              <w:t>阻力≤1000Pa；</w:t>
            </w:r>
          </w:p>
          <w:p>
            <w:pPr>
              <w:spacing w:line="28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10.静态压力</w:t>
            </w:r>
            <w:r>
              <w:rPr>
                <w:rFonts w:hint="eastAsia" w:asciiTheme="minorEastAsia" w:hAnsiTheme="minorEastAsia" w:eastAsiaTheme="minorEastAsia" w:cstheme="minorEastAsia"/>
                <w:b/>
                <w:bCs/>
                <w:sz w:val="21"/>
                <w:szCs w:val="21"/>
              </w:rPr>
              <w:t>≤500Pa</w:t>
            </w:r>
            <w:r>
              <w:rPr>
                <w:rFonts w:hint="eastAsia" w:asciiTheme="minorEastAsia" w:hAnsiTheme="minorEastAsia" w:eastAsiaTheme="minorEastAsia" w:cstheme="minorEastAsia"/>
                <w:sz w:val="21"/>
                <w:szCs w:val="21"/>
              </w:rPr>
              <w:t>，且不大于排气阀的开启压力；</w:t>
            </w:r>
          </w:p>
          <w:p>
            <w:pPr>
              <w:spacing w:line="280" w:lineRule="exact"/>
              <w:ind w:left="42" w:leftChars="20" w:right="42" w:rightChars="2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11.警报器性能：当气瓶压力下降至（5.5±0.5）MPa时，警报器发出连续声响警报或间歇声响警报。间歇声响警报≥60 s，其声强峰值≥90 dB(A) 。之后，警</w:t>
            </w:r>
            <w:r>
              <w:rPr>
                <w:rFonts w:hint="eastAsia" w:asciiTheme="minorEastAsia" w:hAnsiTheme="minorEastAsia" w:eastAsiaTheme="minorEastAsia" w:cstheme="minorEastAsia"/>
                <w:sz w:val="21"/>
                <w:szCs w:val="21"/>
                <w:highlight w:val="none"/>
              </w:rPr>
              <w:t>报器继续报警，直至气瓶压力降至1 MPa为止。平均耗气量</w:t>
            </w:r>
            <w:r>
              <w:rPr>
                <w:rFonts w:hint="eastAsia" w:asciiTheme="minorEastAsia" w:hAnsiTheme="minorEastAsia" w:eastAsiaTheme="minorEastAsia" w:cstheme="minorEastAsia"/>
                <w:b w:val="0"/>
                <w:bCs w:val="0"/>
                <w:sz w:val="21"/>
                <w:szCs w:val="21"/>
                <w:highlight w:val="none"/>
              </w:rPr>
              <w:t>≤</w:t>
            </w:r>
            <w:r>
              <w:rPr>
                <w:rFonts w:hint="eastAsia" w:asciiTheme="minorEastAsia" w:hAnsiTheme="minorEastAsia" w:eastAsiaTheme="minorEastAsia" w:cstheme="minorEastAsia"/>
                <w:sz w:val="21"/>
                <w:szCs w:val="21"/>
                <w:highlight w:val="none"/>
              </w:rPr>
              <w:t>2.9L/min。</w:t>
            </w:r>
          </w:p>
          <w:p>
            <w:pPr>
              <w:spacing w:line="280" w:lineRule="exact"/>
              <w:ind w:left="42" w:leftChars="20" w:right="42" w:rightChars="2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面罩性能：面罩适合亚洲人的脸型，总视野保留率≥79.9 %，双目视野保留率≥68.3%，下方视野＞35°；镜片的透光≥93%；吸入气体中的二氧化碳含量（按体积比）≤0.88%。面罩内表面采用防雾处理技术，不上雾，外表面采用硬化处理技术，耐刮伤。面罩头罩采用凯夫拉纤维阻燃5点式固定、佩戴舒适，面罩适合中国人脸型特征.</w:t>
            </w:r>
          </w:p>
          <w:p>
            <w:pPr>
              <w:spacing w:line="280" w:lineRule="exact"/>
              <w:ind w:left="42" w:leftChars="20" w:right="42" w:rightChars="2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13.减压器性能：在（30～2）MPa范围内，减压器输出压力在设计值范围内；</w:t>
            </w:r>
          </w:p>
          <w:p>
            <w:pPr>
              <w:spacing w:line="280" w:lineRule="exact"/>
              <w:ind w:left="42" w:leftChars="20" w:right="42" w:rightChars="2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14.连接强度≥250N；</w:t>
            </w:r>
          </w:p>
          <w:p>
            <w:pPr>
              <w:spacing w:line="280" w:lineRule="exact"/>
              <w:ind w:left="42" w:leftChars="20" w:right="42" w:rightChars="2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15.高压部件强度：经水压试验后无渗漏和异常变形；</w:t>
            </w:r>
          </w:p>
          <w:p>
            <w:pPr>
              <w:spacing w:line="280" w:lineRule="exact"/>
              <w:ind w:left="42" w:leftChars="20" w:right="42" w:rightChars="2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16.中压导气管：不妨碍佩戴者工作和头部自由活动，且不干扰供气阀同面罩的连接。经挤压试验后，空气流量的降低0%。</w:t>
            </w:r>
          </w:p>
          <w:p>
            <w:pPr>
              <w:spacing w:line="280" w:lineRule="exact"/>
              <w:ind w:left="42" w:leftChars="20" w:right="42" w:rightChars="2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17.气瓶：符合GB/T28053-2023《呼吸器用复合气瓶》规定的铝内胆碳纤维全缠绕复合气瓶，气瓶公称容积≥9L。</w:t>
            </w:r>
          </w:p>
          <w:p>
            <w:pPr>
              <w:spacing w:line="28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18.气瓶瓶阀：气瓶瓶阀上设置安全膜片，其爆破压力为（37～45）MPa。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386" w:type="pct"/>
            <w:noWrap/>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328" w:type="pc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color w:val="FFC000"/>
                <w:sz w:val="21"/>
                <w:szCs w:val="21"/>
              </w:rPr>
            </w:pPr>
            <w:r>
              <w:rPr>
                <w:rFonts w:hint="eastAsia" w:asciiTheme="minorEastAsia" w:hAnsiTheme="minorEastAsia" w:eastAsiaTheme="minorEastAsia" w:cstheme="minorEastAsia"/>
                <w:sz w:val="21"/>
                <w:szCs w:val="21"/>
              </w:rPr>
              <w:t>地震救援</w:t>
            </w:r>
          </w:p>
        </w:tc>
        <w:tc>
          <w:tcPr>
            <w:tcW w:w="648" w:type="pc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氧气呼吸器</w:t>
            </w:r>
          </w:p>
        </w:tc>
        <w:tc>
          <w:tcPr>
            <w:tcW w:w="337" w:type="pct"/>
            <w:noWrap w:val="0"/>
            <w:vAlign w:val="center"/>
          </w:tcPr>
          <w:p>
            <w:pPr>
              <w:spacing w:before="62" w:after="62"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75" w:type="pct"/>
            <w:noWrap w:val="0"/>
            <w:vAlign w:val="center"/>
          </w:tcPr>
          <w:p>
            <w:pPr>
              <w:spacing w:line="280" w:lineRule="exact"/>
              <w:ind w:left="42" w:leftChars="20" w:right="42" w:rightChars="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2923" w:type="pct"/>
            <w:noWrap w:val="0"/>
            <w:vAlign w:val="center"/>
          </w:tcPr>
          <w:p>
            <w:pPr>
              <w:spacing w:line="28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★1.呼吸量≥30L/min；（提供具备国家认证认可资质的检验检测机构出具的检测报告）</w:t>
            </w:r>
          </w:p>
          <w:p>
            <w:pPr>
              <w:spacing w:line="28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2.呼气阻力≤600Pa；</w:t>
            </w:r>
          </w:p>
          <w:p>
            <w:pPr>
              <w:spacing w:line="28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3.吸气阻力 ≤600Pa；</w:t>
            </w:r>
          </w:p>
          <w:p>
            <w:pPr>
              <w:spacing w:line="28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4.定量供氧量≥1.45 L/min；</w:t>
            </w:r>
          </w:p>
          <w:p>
            <w:pPr>
              <w:spacing w:line="28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5.自动补给供氧量≥90L/min；</w:t>
            </w:r>
          </w:p>
          <w:p>
            <w:pPr>
              <w:spacing w:line="28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6.手动补给供氧量≥90L/min；</w:t>
            </w:r>
          </w:p>
          <w:p>
            <w:pPr>
              <w:spacing w:line="28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7.自动补给阀开启压力 ≤250Pa；</w:t>
            </w:r>
          </w:p>
          <w:p>
            <w:pPr>
              <w:spacing w:line="28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 排气阀开启压力 ≤560pa；</w:t>
            </w:r>
          </w:p>
          <w:p>
            <w:pPr>
              <w:spacing w:line="28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9.吸气中二氧化碳浓度≤1%；</w:t>
            </w:r>
          </w:p>
          <w:p>
            <w:pPr>
              <w:spacing w:line="28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10.吸气中氧气浓度≥20%；</w:t>
            </w:r>
          </w:p>
          <w:p>
            <w:pPr>
              <w:spacing w:line="28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11.气囊或呼吸仓有效容积≥5L；</w:t>
            </w:r>
          </w:p>
          <w:p>
            <w:pPr>
              <w:spacing w:line="28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12.额定防护时间（中等）≥240min；（提供能够证明所投产品性能质量的证明材料，如原厂制造商彩页或截图等）</w:t>
            </w:r>
          </w:p>
          <w:p>
            <w:pPr>
              <w:spacing w:line="28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13.氧气瓶容积≥2.7L；</w:t>
            </w:r>
          </w:p>
          <w:p>
            <w:pPr>
              <w:spacing w:line="280" w:lineRule="exact"/>
              <w:ind w:left="42" w:leftChars="20" w:right="42" w:rightChars="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14.填装氢氧化钙量≥2.0Kg</w:t>
            </w:r>
          </w:p>
        </w:tc>
      </w:tr>
    </w:tbl>
    <w:p>
      <w:pPr>
        <w:pStyle w:val="6"/>
        <w:spacing w:line="360" w:lineRule="auto"/>
        <w:ind w:left="0" w:leftChars="0" w:firstLine="482" w:firstLineChars="200"/>
        <w:rPr>
          <w:rFonts w:hint="eastAsia" w:cs="Times New Roman" w:asciiTheme="minorEastAsia" w:hAnsiTheme="minorEastAsia" w:eastAsiaTheme="minorEastAsia"/>
          <w:b/>
          <w:color w:val="000000" w:themeColor="text1"/>
          <w:kern w:val="0"/>
          <w:sz w:val="24"/>
          <w:highlight w:val="none"/>
          <w:lang w:val="en-US" w:eastAsia="zh-CN"/>
          <w14:textFill>
            <w14:solidFill>
              <w14:schemeClr w14:val="tx1"/>
            </w14:solidFill>
          </w14:textFill>
        </w:rPr>
      </w:pPr>
    </w:p>
    <w:p>
      <w:pPr>
        <w:pStyle w:val="6"/>
        <w:spacing w:line="360" w:lineRule="auto"/>
        <w:ind w:left="0" w:leftChars="0" w:firstLine="482" w:firstLineChars="200"/>
        <w:rPr>
          <w:rFonts w:hint="eastAsia" w:cs="Times New Roman" w:asciiTheme="minorEastAsia" w:hAnsiTheme="minorEastAsia" w:eastAsiaTheme="minorEastAsia"/>
          <w:b/>
          <w:color w:val="000000" w:themeColor="text1"/>
          <w:kern w:val="0"/>
          <w:sz w:val="24"/>
          <w:highlight w:val="none"/>
          <w:lang w:val="en-US" w:eastAsia="zh-CN"/>
          <w14:textFill>
            <w14:solidFill>
              <w14:schemeClr w14:val="tx1"/>
            </w14:solidFill>
          </w14:textFill>
        </w:rPr>
      </w:pPr>
      <w:r>
        <w:rPr>
          <w:rFonts w:hint="eastAsia" w:cs="Times New Roman" w:asciiTheme="minorEastAsia" w:hAnsiTheme="minorEastAsia" w:eastAsiaTheme="minorEastAsia"/>
          <w:b/>
          <w:color w:val="000000" w:themeColor="text1"/>
          <w:kern w:val="0"/>
          <w:sz w:val="24"/>
          <w:highlight w:val="none"/>
          <w:lang w:val="en-US" w:eastAsia="zh-CN"/>
          <w14:textFill>
            <w14:solidFill>
              <w14:schemeClr w14:val="tx1"/>
            </w14:solidFill>
          </w14:textFill>
        </w:rPr>
        <w:t>（三）样品</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8"/>
        <w:gridCol w:w="3200"/>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jc w:val="center"/>
        </w:trPr>
        <w:tc>
          <w:tcPr>
            <w:tcW w:w="3208" w:type="dxa"/>
            <w:vAlign w:val="center"/>
          </w:tcPr>
          <w:p>
            <w:pPr>
              <w:jc w:val="center"/>
              <w:rPr>
                <w:rFonts w:hint="default"/>
                <w:b/>
                <w:bCs/>
                <w:vertAlign w:val="baseline"/>
                <w:lang w:val="en-US" w:eastAsia="zh-CN"/>
              </w:rPr>
            </w:pPr>
            <w:r>
              <w:rPr>
                <w:rFonts w:hint="eastAsia"/>
                <w:b/>
                <w:bCs/>
              </w:rPr>
              <w:t>样品内容</w:t>
            </w:r>
          </w:p>
        </w:tc>
        <w:tc>
          <w:tcPr>
            <w:tcW w:w="3200" w:type="dxa"/>
            <w:vAlign w:val="center"/>
          </w:tcPr>
          <w:p>
            <w:pPr>
              <w:jc w:val="center"/>
              <w:rPr>
                <w:rFonts w:hint="default"/>
                <w:b/>
                <w:bCs/>
                <w:vertAlign w:val="baseline"/>
                <w:lang w:val="en-US" w:eastAsia="zh-CN"/>
              </w:rPr>
            </w:pPr>
            <w:r>
              <w:rPr>
                <w:rFonts w:hint="eastAsia"/>
                <w:b/>
                <w:bCs/>
                <w:vertAlign w:val="baseline"/>
                <w:lang w:val="en-US" w:eastAsia="zh-CN"/>
              </w:rPr>
              <w:t>评审内容</w:t>
            </w:r>
          </w:p>
        </w:tc>
        <w:tc>
          <w:tcPr>
            <w:tcW w:w="2331" w:type="dxa"/>
            <w:vAlign w:val="center"/>
          </w:tcPr>
          <w:p>
            <w:pPr>
              <w:jc w:val="center"/>
              <w:rPr>
                <w:rFonts w:hint="default"/>
                <w:b/>
                <w:bCs/>
                <w:vertAlign w:val="baseline"/>
                <w:lang w:val="en-US" w:eastAsia="zh-CN"/>
              </w:rPr>
            </w:pPr>
            <w:r>
              <w:rPr>
                <w:rFonts w:hint="eastAsia"/>
                <w:b/>
                <w:bCs/>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208" w:type="dxa"/>
            <w:vAlign w:val="center"/>
          </w:tcPr>
          <w:p>
            <w:pPr>
              <w:jc w:val="center"/>
              <w:rPr>
                <w:rFonts w:hint="default"/>
                <w:b/>
                <w:bCs/>
                <w:vertAlign w:val="baseline"/>
                <w:lang w:val="en-US" w:eastAsia="zh-CN"/>
              </w:rPr>
            </w:pPr>
            <w:r>
              <w:rPr>
                <w:rFonts w:hint="eastAsia"/>
                <w:b/>
                <w:bCs/>
                <w:vertAlign w:val="baseline"/>
                <w:lang w:val="en-US" w:eastAsia="zh-CN"/>
              </w:rPr>
              <w:t>生命探测仪（雷达生命探测仪）</w:t>
            </w:r>
          </w:p>
        </w:tc>
        <w:tc>
          <w:tcPr>
            <w:tcW w:w="3200" w:type="dxa"/>
            <w:vAlign w:val="center"/>
          </w:tcPr>
          <w:p>
            <w:pPr>
              <w:jc w:val="center"/>
              <w:rPr>
                <w:rFonts w:hint="default"/>
                <w:vertAlign w:val="baseline"/>
                <w:lang w:val="en-US" w:eastAsia="zh-CN"/>
              </w:rPr>
            </w:pPr>
            <w:r>
              <w:rPr>
                <w:rFonts w:hint="default"/>
                <w:vertAlign w:val="baseline"/>
                <w:lang w:val="en-US" w:eastAsia="zh-CN"/>
              </w:rPr>
              <w:t>样品材质、工艺、质量</w:t>
            </w:r>
          </w:p>
        </w:tc>
        <w:tc>
          <w:tcPr>
            <w:tcW w:w="2331"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208" w:type="dxa"/>
            <w:vAlign w:val="center"/>
          </w:tcPr>
          <w:p>
            <w:pPr>
              <w:jc w:val="center"/>
              <w:rPr>
                <w:rFonts w:hint="default"/>
                <w:b/>
                <w:bCs/>
                <w:vertAlign w:val="baseline"/>
                <w:lang w:val="en-US" w:eastAsia="zh-CN"/>
              </w:rPr>
            </w:pPr>
            <w:r>
              <w:rPr>
                <w:rFonts w:hint="eastAsia"/>
                <w:b/>
                <w:bCs/>
                <w:vertAlign w:val="baseline"/>
                <w:lang w:val="en-US" w:eastAsia="zh-CN"/>
              </w:rPr>
              <w:t>正压空气呼吸器</w:t>
            </w:r>
          </w:p>
        </w:tc>
        <w:tc>
          <w:tcPr>
            <w:tcW w:w="3200" w:type="dxa"/>
            <w:vAlign w:val="center"/>
          </w:tcPr>
          <w:p>
            <w:pPr>
              <w:jc w:val="center"/>
              <w:rPr>
                <w:rFonts w:hint="default"/>
                <w:vertAlign w:val="baseline"/>
                <w:lang w:val="en-US" w:eastAsia="zh-CN"/>
              </w:rPr>
            </w:pPr>
            <w:r>
              <w:rPr>
                <w:rFonts w:hint="default"/>
                <w:vertAlign w:val="baseline"/>
                <w:lang w:val="en-US" w:eastAsia="zh-CN"/>
              </w:rPr>
              <w:t>样品材质、工艺、质量</w:t>
            </w:r>
          </w:p>
        </w:tc>
        <w:tc>
          <w:tcPr>
            <w:tcW w:w="2331"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tc>
      </w:tr>
    </w:tbl>
    <w:p>
      <w:pPr>
        <w:pStyle w:val="9"/>
        <w:spacing w:line="360" w:lineRule="auto"/>
        <w:ind w:firstLine="420"/>
        <w:rPr>
          <w:rFonts w:hint="default" w:ascii="新宋体" w:hAnsi="新宋体" w:eastAsia="新宋体" w:cs="Times New Roman"/>
          <w:bCs/>
          <w:szCs w:val="21"/>
          <w:highlight w:val="none"/>
          <w:lang w:val="en-US" w:eastAsia="zh-CN"/>
        </w:rPr>
      </w:pPr>
      <w:r>
        <w:rPr>
          <w:rFonts w:hint="default" w:ascii="新宋体" w:hAnsi="新宋体" w:eastAsia="新宋体" w:cs="Times New Roman"/>
          <w:bCs/>
          <w:szCs w:val="21"/>
          <w:highlight w:val="none"/>
          <w:lang w:val="en-US" w:eastAsia="zh-CN"/>
        </w:rPr>
        <w:t>1.样品属于投标文件的组成部分。样品的生产、运输、安装、保全等一切费用由投标人自理。</w:t>
      </w:r>
    </w:p>
    <w:p>
      <w:pPr>
        <w:pStyle w:val="9"/>
        <w:spacing w:line="360" w:lineRule="auto"/>
        <w:ind w:firstLine="420"/>
        <w:rPr>
          <w:rFonts w:hint="default" w:ascii="新宋体" w:hAnsi="新宋体" w:eastAsia="新宋体" w:cs="Times New Roman"/>
          <w:bCs/>
          <w:szCs w:val="21"/>
          <w:highlight w:val="none"/>
          <w:lang w:val="en-US" w:eastAsia="zh-CN"/>
        </w:rPr>
      </w:pPr>
      <w:r>
        <w:rPr>
          <w:rFonts w:hint="default" w:ascii="新宋体" w:hAnsi="新宋体" w:eastAsia="新宋体" w:cs="Times New Roman"/>
          <w:bCs/>
          <w:szCs w:val="21"/>
          <w:highlight w:val="none"/>
          <w:lang w:val="en-US" w:eastAsia="zh-CN"/>
        </w:rPr>
        <w:t>2.样品须用包装箱密封，并在外包装上粘贴A4纸注明项目编号、项目名称及标项号、投标人名称、样品名称。</w:t>
      </w:r>
    </w:p>
    <w:p>
      <w:pPr>
        <w:pStyle w:val="9"/>
        <w:spacing w:line="360" w:lineRule="auto"/>
        <w:ind w:firstLine="420"/>
        <w:rPr>
          <w:rFonts w:hint="default" w:ascii="新宋体" w:hAnsi="新宋体" w:eastAsia="新宋体" w:cs="Times New Roman"/>
          <w:bCs/>
          <w:szCs w:val="21"/>
          <w:highlight w:val="none"/>
          <w:lang w:val="en-US" w:eastAsia="zh-CN"/>
        </w:rPr>
      </w:pPr>
      <w:r>
        <w:rPr>
          <w:rFonts w:hint="default" w:ascii="新宋体" w:hAnsi="新宋体" w:eastAsia="新宋体" w:cs="Times New Roman"/>
          <w:bCs/>
          <w:szCs w:val="21"/>
          <w:highlight w:val="none"/>
          <w:lang w:val="en-US" w:eastAsia="zh-CN"/>
        </w:rPr>
        <w:t>3.根据投标文件规定的时间，投标人应将样品送达指定地点，并在工作人员完成登记示意可拆封后，自行完成样品拆封、搭建。</w:t>
      </w:r>
    </w:p>
    <w:p>
      <w:pPr>
        <w:pStyle w:val="9"/>
        <w:spacing w:line="360" w:lineRule="auto"/>
        <w:ind w:firstLine="420"/>
        <w:rPr>
          <w:rFonts w:hint="default" w:ascii="新宋体" w:hAnsi="新宋体" w:eastAsia="新宋体" w:cs="Times New Roman"/>
          <w:bCs/>
          <w:szCs w:val="21"/>
          <w:highlight w:val="none"/>
          <w:lang w:val="en-US" w:eastAsia="zh-CN"/>
        </w:rPr>
      </w:pPr>
      <w:r>
        <w:rPr>
          <w:rFonts w:hint="default" w:ascii="新宋体" w:hAnsi="新宋体" w:eastAsia="新宋体" w:cs="Times New Roman"/>
          <w:bCs/>
          <w:szCs w:val="21"/>
          <w:highlight w:val="none"/>
          <w:lang w:val="en-US" w:eastAsia="zh-CN"/>
        </w:rPr>
        <w:t>4.所有提供的样品本体不能出现投标人名称或与投标人有关的商标和标记，如发现有，样品分按零分处理。评标时，对提交样品的投标人，由采购监管处人员随机抽取并编号，评标委员会按编号评分。</w:t>
      </w:r>
    </w:p>
    <w:p>
      <w:pPr>
        <w:pStyle w:val="9"/>
        <w:spacing w:line="360" w:lineRule="auto"/>
        <w:ind w:firstLine="420"/>
        <w:rPr>
          <w:rFonts w:hint="default" w:ascii="新宋体" w:hAnsi="新宋体" w:eastAsia="新宋体" w:cs="Times New Roman"/>
          <w:bCs/>
          <w:szCs w:val="21"/>
          <w:highlight w:val="none"/>
          <w:lang w:val="en-US" w:eastAsia="zh-CN"/>
        </w:rPr>
      </w:pPr>
      <w:r>
        <w:rPr>
          <w:rFonts w:hint="default" w:ascii="新宋体" w:hAnsi="新宋体" w:eastAsia="新宋体" w:cs="Times New Roman"/>
          <w:bCs/>
          <w:szCs w:val="21"/>
          <w:highlight w:val="none"/>
          <w:lang w:val="en-US" w:eastAsia="zh-CN"/>
        </w:rPr>
        <w:t>5.样品与采购需求实质偏离较大的，经评标委员会确认，同样视为无效样品，按缺件处理。</w:t>
      </w:r>
    </w:p>
    <w:p>
      <w:pPr>
        <w:pStyle w:val="9"/>
        <w:spacing w:line="360" w:lineRule="auto"/>
        <w:ind w:firstLine="420"/>
        <w:rPr>
          <w:rFonts w:hint="default"/>
          <w:b w:val="0"/>
          <w:bCs w:val="0"/>
          <w:lang w:val="en-US" w:eastAsia="zh-CN"/>
        </w:rPr>
      </w:pPr>
      <w:r>
        <w:rPr>
          <w:rFonts w:hint="default" w:ascii="新宋体" w:hAnsi="新宋体" w:eastAsia="新宋体" w:cs="Times New Roman"/>
          <w:bCs/>
          <w:szCs w:val="21"/>
          <w:highlight w:val="none"/>
          <w:lang w:val="en-US" w:eastAsia="zh-CN"/>
        </w:rPr>
        <w:t>6.采购结果公告发布后，中标人的样品由采购人封存，作为履约验收的依据之一。未中标人将样品自行取回。如未中标人未按规定时间内自行取回的，视为同意其样品由采购组织机构处理。</w:t>
      </w:r>
    </w:p>
    <w:p>
      <w:pPr>
        <w:pStyle w:val="6"/>
        <w:spacing w:line="360" w:lineRule="auto"/>
        <w:ind w:left="0" w:leftChars="0" w:firstLine="420" w:firstLineChars="200"/>
        <w:rPr>
          <w:rFonts w:hint="default" w:cs="Times New Roman" w:asciiTheme="minorEastAsia" w:hAnsiTheme="minorEastAsia" w:eastAsiaTheme="minorEastAsia"/>
          <w:b/>
          <w:color w:val="000000" w:themeColor="text1"/>
          <w:kern w:val="0"/>
          <w:sz w:val="24"/>
          <w:highlight w:val="none"/>
          <w:lang w:val="en-US" w:eastAsia="zh-CN"/>
          <w14:textFill>
            <w14:solidFill>
              <w14:schemeClr w14:val="tx1"/>
            </w14:solidFill>
          </w14:textFill>
        </w:rPr>
      </w:pPr>
      <w:r>
        <w:rPr>
          <w:rFonts w:hint="eastAsia" w:ascii="新宋体" w:hAnsi="新宋体" w:eastAsia="新宋体" w:cs="Times New Roman"/>
          <w:bCs/>
          <w:szCs w:val="21"/>
          <w:highlight w:val="none"/>
          <w:lang w:val="en-US" w:eastAsia="zh-CN"/>
        </w:rPr>
        <w:t>▲</w:t>
      </w:r>
      <w:r>
        <w:rPr>
          <w:rFonts w:hint="eastAsia" w:cs="Times New Roman" w:asciiTheme="minorEastAsia" w:hAnsiTheme="minorEastAsia" w:eastAsiaTheme="minorEastAsia"/>
          <w:b/>
          <w:color w:val="000000" w:themeColor="text1"/>
          <w:kern w:val="0"/>
          <w:sz w:val="24"/>
          <w:highlight w:val="none"/>
          <w:lang w:val="en-US" w:eastAsia="zh-CN"/>
          <w14:textFill>
            <w14:solidFill>
              <w14:schemeClr w14:val="tx1"/>
            </w14:solidFill>
          </w14:textFill>
        </w:rPr>
        <w:t>（四）售后服务标准</w:t>
      </w:r>
    </w:p>
    <w:p>
      <w:pPr>
        <w:pStyle w:val="9"/>
        <w:spacing w:line="360" w:lineRule="auto"/>
        <w:ind w:firstLine="420"/>
        <w:rPr>
          <w:rFonts w:hint="eastAsia" w:ascii="新宋体" w:hAnsi="新宋体" w:eastAsia="新宋体" w:cs="Times New Roman"/>
          <w:bCs/>
          <w:szCs w:val="21"/>
          <w:highlight w:val="none"/>
          <w:lang w:val="en-US" w:eastAsia="zh-CN"/>
        </w:rPr>
      </w:pPr>
      <w:r>
        <w:rPr>
          <w:rFonts w:hint="eastAsia" w:ascii="新宋体" w:hAnsi="新宋体" w:eastAsia="新宋体" w:cs="Times New Roman"/>
          <w:bCs/>
          <w:szCs w:val="21"/>
          <w:highlight w:val="none"/>
          <w:lang w:val="en-US" w:eastAsia="zh-CN"/>
        </w:rPr>
        <w:t>1.中标人所投产品应是全新的（包括所有零配件、专用工具等），表面无划伤，无碰撞，相关产品技术指标符合国家计量检测标准。</w:t>
      </w:r>
    </w:p>
    <w:p>
      <w:pPr>
        <w:pStyle w:val="9"/>
        <w:spacing w:line="360" w:lineRule="auto"/>
        <w:ind w:firstLine="420"/>
        <w:rPr>
          <w:rFonts w:hint="eastAsia" w:ascii="新宋体" w:hAnsi="新宋体" w:eastAsia="新宋体" w:cs="Times New Roman"/>
          <w:bCs/>
          <w:szCs w:val="21"/>
          <w:highlight w:val="none"/>
          <w:lang w:val="en-US" w:eastAsia="zh-CN"/>
        </w:rPr>
      </w:pPr>
      <w:r>
        <w:rPr>
          <w:rFonts w:hint="eastAsia" w:ascii="新宋体" w:hAnsi="新宋体" w:eastAsia="新宋体" w:cs="Times New Roman"/>
          <w:bCs/>
          <w:szCs w:val="21"/>
          <w:highlight w:val="none"/>
          <w:lang w:val="en-US" w:eastAsia="zh-CN"/>
        </w:rPr>
        <w:t>2.所投产品出现有质量问题（含破损）时，中标人应及时进行退（换）货。</w:t>
      </w:r>
    </w:p>
    <w:p>
      <w:pPr>
        <w:pStyle w:val="9"/>
        <w:spacing w:line="360" w:lineRule="auto"/>
        <w:ind w:firstLine="420"/>
        <w:rPr>
          <w:rFonts w:hint="eastAsia" w:ascii="新宋体" w:hAnsi="新宋体" w:eastAsia="新宋体" w:cs="Times New Roman"/>
          <w:bCs/>
          <w:szCs w:val="21"/>
          <w:highlight w:val="none"/>
          <w:lang w:val="en-US" w:eastAsia="zh-CN"/>
        </w:rPr>
      </w:pPr>
      <w:r>
        <w:rPr>
          <w:rFonts w:hint="eastAsia" w:ascii="新宋体" w:hAnsi="新宋体" w:eastAsia="新宋体" w:cs="Times New Roman"/>
          <w:bCs/>
          <w:szCs w:val="21"/>
          <w:highlight w:val="none"/>
          <w:lang w:val="en-US" w:eastAsia="zh-CN"/>
        </w:rPr>
        <w:t>3.中标人提供7×24小时技术响应服务，所供产品若出现质量问题，中标人应保证在3小时内响应，并在2个工作日内解决问题。</w:t>
      </w:r>
    </w:p>
    <w:p>
      <w:pPr>
        <w:pStyle w:val="9"/>
        <w:spacing w:line="360" w:lineRule="auto"/>
        <w:ind w:firstLine="420"/>
        <w:rPr>
          <w:rFonts w:hint="eastAsia" w:ascii="宋体" w:hAnsi="宋体" w:eastAsia="宋体" w:cs="宋体"/>
          <w:b w:val="0"/>
          <w:bCs/>
          <w:kern w:val="2"/>
          <w:sz w:val="24"/>
          <w:szCs w:val="24"/>
          <w:lang w:val="en-US" w:eastAsia="zh-CN" w:bidi="ar-SA"/>
        </w:rPr>
      </w:pPr>
      <w:r>
        <w:rPr>
          <w:rFonts w:hint="eastAsia" w:cs="Times New Roman" w:asciiTheme="minorEastAsia" w:hAnsiTheme="minorEastAsia" w:eastAsiaTheme="minorEastAsia"/>
          <w:b/>
          <w:color w:val="000000" w:themeColor="text1"/>
          <w:kern w:val="0"/>
          <w:sz w:val="24"/>
          <w:highlight w:val="none"/>
          <w:lang w:val="en-US" w:eastAsia="zh-CN"/>
          <w14:textFill>
            <w14:solidFill>
              <w14:schemeClr w14:val="tx1"/>
            </w14:solidFill>
          </w14:textFill>
        </w:rPr>
        <w:t>（五）培训要求</w:t>
      </w:r>
    </w:p>
    <w:p>
      <w:pPr>
        <w:pStyle w:val="9"/>
        <w:spacing w:line="360" w:lineRule="auto"/>
        <w:ind w:firstLine="420"/>
        <w:rPr>
          <w:rFonts w:hint="eastAsia" w:ascii="新宋体" w:hAnsi="新宋体" w:eastAsia="新宋体" w:cs="Times New Roman"/>
          <w:bCs/>
          <w:szCs w:val="21"/>
          <w:highlight w:val="none"/>
          <w:lang w:val="en-US" w:eastAsia="zh-CN"/>
        </w:rPr>
      </w:pPr>
      <w:r>
        <w:rPr>
          <w:rFonts w:hint="eastAsia" w:ascii="新宋体" w:hAnsi="新宋体" w:eastAsia="新宋体" w:cs="Times New Roman"/>
          <w:bCs/>
          <w:szCs w:val="21"/>
          <w:highlight w:val="none"/>
          <w:lang w:val="en-US" w:eastAsia="zh-CN"/>
        </w:rPr>
        <w:t>投标人需提供所有装备操作及维修保养的培训方案，包括培训方式、内容、人数、资料、进度计划等。培训的内容必须包含救援装备产品的日常操作和管理维护，以及基本的故障诊断与排错。中标人培训人员必须是公司的资深工程师。培训工作必须在首批装备交付之后20天内安排。所有培训费用（含培训教材费），已包括在投标总价中。</w:t>
      </w:r>
    </w:p>
    <w:p>
      <w:pPr>
        <w:pStyle w:val="6"/>
        <w:spacing w:line="360" w:lineRule="auto"/>
        <w:ind w:firstLine="482" w:firstLineChars="200"/>
        <w:rPr>
          <w:rFonts w:hint="eastAsia" w:asciiTheme="minorEastAsia" w:hAnsiTheme="minorEastAsia" w:eastAsiaTheme="minorEastAsia"/>
          <w:b/>
          <w:color w:val="auto"/>
          <w:kern w:val="0"/>
          <w:sz w:val="24"/>
          <w:highlight w:val="none"/>
          <w:lang w:eastAsia="zh-CN"/>
        </w:rPr>
      </w:pPr>
      <w:r>
        <w:rPr>
          <w:rFonts w:hint="eastAsia" w:asciiTheme="minorEastAsia" w:hAnsiTheme="minorEastAsia" w:eastAsiaTheme="minorEastAsia"/>
          <w:b/>
          <w:color w:val="auto"/>
          <w:kern w:val="0"/>
          <w:sz w:val="24"/>
          <w:highlight w:val="none"/>
          <w:lang w:eastAsia="zh-CN"/>
        </w:rPr>
        <w:t>（</w:t>
      </w:r>
      <w:r>
        <w:rPr>
          <w:rFonts w:hint="eastAsia" w:asciiTheme="minorEastAsia" w:hAnsiTheme="minorEastAsia" w:eastAsiaTheme="minorEastAsia"/>
          <w:b/>
          <w:color w:val="auto"/>
          <w:kern w:val="0"/>
          <w:sz w:val="24"/>
          <w:highlight w:val="none"/>
          <w:lang w:val="en-US" w:eastAsia="zh-CN"/>
        </w:rPr>
        <w:t>六</w:t>
      </w:r>
      <w:r>
        <w:rPr>
          <w:rFonts w:hint="eastAsia" w:asciiTheme="minorEastAsia" w:hAnsiTheme="minorEastAsia" w:eastAsiaTheme="minorEastAsia"/>
          <w:b/>
          <w:color w:val="auto"/>
          <w:kern w:val="0"/>
          <w:sz w:val="24"/>
          <w:highlight w:val="none"/>
          <w:lang w:eastAsia="zh-CN"/>
        </w:rPr>
        <w:t>）</w:t>
      </w:r>
      <w:r>
        <w:rPr>
          <w:rFonts w:hint="eastAsia" w:asciiTheme="minorEastAsia" w:hAnsiTheme="minorEastAsia" w:eastAsiaTheme="minorEastAsia"/>
          <w:b/>
          <w:color w:val="auto"/>
          <w:kern w:val="0"/>
          <w:sz w:val="24"/>
          <w:highlight w:val="none"/>
        </w:rPr>
        <w:t>项目验收标准</w:t>
      </w:r>
    </w:p>
    <w:p>
      <w:pPr>
        <w:spacing w:line="360" w:lineRule="auto"/>
        <w:ind w:firstLine="420" w:firstLineChars="0"/>
        <w:rPr>
          <w:rFonts w:hint="eastAsia" w:ascii="新宋体" w:hAnsi="新宋体" w:eastAsia="新宋体" w:cs="Times New Roman"/>
          <w:bCs/>
          <w:color w:val="auto"/>
          <w:kern w:val="2"/>
          <w:sz w:val="24"/>
          <w:szCs w:val="21"/>
          <w:highlight w:val="none"/>
          <w:lang w:val="en-US" w:eastAsia="zh-CN" w:bidi="ar-SA"/>
        </w:rPr>
      </w:pPr>
      <w:r>
        <w:rPr>
          <w:rFonts w:hint="eastAsia" w:ascii="新宋体" w:hAnsi="新宋体" w:eastAsia="新宋体" w:cs="Times New Roman"/>
          <w:bCs/>
          <w:color w:val="auto"/>
          <w:kern w:val="2"/>
          <w:sz w:val="24"/>
          <w:szCs w:val="21"/>
          <w:highlight w:val="none"/>
          <w:lang w:val="en-US" w:eastAsia="zh-CN" w:bidi="ar-SA"/>
        </w:rPr>
        <w:t>按照采购合同的约定和现行国家标准、行业标准以及企业标准对每一项技术、服务、安全标准的履约情况进行确认。中标人需提供所投产品的第三方检测机构的检测/检验/试验/测试报告或检定/校准证书或出厂检测/检验报告原件供采购人查验。采购人有权根据需要设置出厂检验、到货检验、安装调试检验、配套服务检验等多重验收环节。必要时，采购人有权邀请第三方机构参与验收。参与验收的投标人或者第三方机构的意见作为验收书的参考资料一并存档。验收结束后，应当出具验收书，列明各项标准的验收情况及项目总体评价，由验收双方共同签署。</w:t>
      </w:r>
    </w:p>
    <w:p>
      <w:pPr>
        <w:pStyle w:val="9"/>
        <w:spacing w:line="360" w:lineRule="auto"/>
        <w:ind w:firstLine="420"/>
        <w:rPr>
          <w:rFonts w:hint="eastAsia" w:ascii="新宋体" w:hAnsi="新宋体" w:eastAsia="新宋体"/>
          <w:bCs/>
          <w:color w:val="auto"/>
          <w:szCs w:val="21"/>
          <w:highlight w:val="none"/>
          <w:lang w:val="en-US" w:eastAsia="zh-CN"/>
        </w:rPr>
      </w:pPr>
    </w:p>
    <w:p>
      <w:pPr>
        <w:spacing w:line="360" w:lineRule="auto"/>
        <w:ind w:firstLine="482" w:firstLineChars="200"/>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四</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商务需求</w:t>
      </w:r>
    </w:p>
    <w:p>
      <w:pPr>
        <w:pStyle w:val="11"/>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（一）质保期：</w:t>
      </w:r>
      <w:r>
        <w:rPr>
          <w:rFonts w:hint="eastAsia" w:hAnsi="宋体" w:cs="宋体"/>
          <w:sz w:val="24"/>
        </w:rPr>
        <w:t>装备免费质保期/维保期至少5年（产品技术需求栏中有特别注明的除外）</w:t>
      </w:r>
      <w:r>
        <w:rPr>
          <w:rFonts w:hint="eastAsia" w:hAnsi="宋体" w:cs="宋体"/>
          <w:sz w:val="24"/>
          <w:lang w:eastAsia="zh-CN"/>
        </w:rPr>
        <w:t>。</w:t>
      </w:r>
      <w:r>
        <w:rPr>
          <w:rFonts w:hint="eastAsia" w:hAnsi="宋体" w:cs="宋体"/>
          <w:sz w:val="24"/>
        </w:rPr>
        <w:t>（中标后签订合同前提供</w:t>
      </w:r>
      <w:r>
        <w:rPr>
          <w:rFonts w:hint="eastAsia" w:hAnsi="宋体" w:cs="宋体"/>
          <w:color w:val="auto"/>
          <w:sz w:val="24"/>
          <w:u w:val="single"/>
        </w:rPr>
        <w:t>雷达生命探测仪、自救呼吸器、正压空气呼吸器</w:t>
      </w:r>
      <w:r>
        <w:rPr>
          <w:rFonts w:hint="eastAsia" w:hAnsi="宋体" w:cs="宋体"/>
          <w:sz w:val="24"/>
        </w:rPr>
        <w:t>的原厂售后服务承诺函。）</w:t>
      </w:r>
    </w:p>
    <w:p>
      <w:pPr>
        <w:pStyle w:val="11"/>
        <w:snapToGrid w:val="0"/>
        <w:spacing w:line="360" w:lineRule="auto"/>
        <w:ind w:firstLine="482" w:firstLineChars="200"/>
        <w:rPr>
          <w:rFonts w:hint="eastAsia" w:hAnsi="宋体" w:cs="宋体"/>
          <w:sz w:val="24"/>
        </w:rPr>
      </w:pPr>
      <w:r>
        <w:rPr>
          <w:rFonts w:hint="eastAsia" w:asciiTheme="minorEastAsia" w:hAnsiTheme="minorEastAsia" w:eastAsiaTheme="minorEastAsia"/>
          <w:b/>
          <w:color w:val="auto"/>
          <w:kern w:val="0"/>
          <w:sz w:val="24"/>
          <w:highlight w:val="none"/>
        </w:rPr>
        <w:t>（二）交货时间及地点：</w:t>
      </w:r>
      <w:r>
        <w:rPr>
          <w:rFonts w:hint="eastAsia" w:hAnsi="宋体" w:cs="宋体"/>
          <w:color w:val="auto"/>
          <w:sz w:val="24"/>
          <w:highlight w:val="none"/>
        </w:rPr>
        <w:t>自签订合同之日60天内完成合同项下全部设备物资的到货、安装、调试、施工等工作，完成项目验</w:t>
      </w:r>
      <w:r>
        <w:rPr>
          <w:rFonts w:hint="eastAsia" w:hAnsi="宋体" w:cs="宋体"/>
          <w:color w:val="auto"/>
          <w:sz w:val="24"/>
          <w:highlight w:val="none"/>
          <w:lang w:val="en-US" w:eastAsia="zh-CN"/>
        </w:rPr>
        <w:t>收</w:t>
      </w:r>
      <w:r>
        <w:rPr>
          <w:rFonts w:hint="eastAsia" w:hAnsi="宋体" w:cs="宋体"/>
          <w:color w:val="auto"/>
          <w:sz w:val="24"/>
          <w:highlight w:val="none"/>
          <w:lang w:eastAsia="zh-CN"/>
        </w:rPr>
        <w:t>；</w:t>
      </w:r>
      <w:r>
        <w:rPr>
          <w:rFonts w:hint="eastAsia" w:hAnsi="宋体" w:cs="宋体"/>
          <w:color w:val="auto"/>
          <w:sz w:val="24"/>
          <w:highlight w:val="none"/>
        </w:rPr>
        <w:t>交货地点位于</w:t>
      </w:r>
      <w:r>
        <w:rPr>
          <w:rFonts w:hint="eastAsia" w:hAnsi="宋体" w:cs="宋体"/>
          <w:color w:val="auto"/>
          <w:sz w:val="24"/>
          <w:highlight w:val="none"/>
          <w:lang w:val="en-US" w:eastAsia="zh-CN"/>
        </w:rPr>
        <w:t>采购人指定地点。</w:t>
      </w:r>
      <w:r>
        <w:rPr>
          <w:rFonts w:hint="eastAsia" w:hAnsi="宋体" w:cs="宋体"/>
          <w:color w:val="auto"/>
          <w:sz w:val="24"/>
          <w:highlight w:val="none"/>
        </w:rPr>
        <w:t>（特殊情况以合同为准）</w:t>
      </w:r>
    </w:p>
    <w:p>
      <w:pPr>
        <w:spacing w:line="360" w:lineRule="auto"/>
        <w:ind w:firstLine="482" w:firstLineChars="200"/>
        <w:rPr>
          <w:rFonts w:hAnsi="宋体" w:cs="宋体"/>
          <w:color w:val="auto"/>
          <w:sz w:val="24"/>
          <w:highlight w:val="none"/>
        </w:rPr>
      </w:pPr>
      <w:r>
        <w:rPr>
          <w:rFonts w:hint="eastAsia" w:asciiTheme="minorEastAsia" w:hAnsiTheme="minorEastAsia" w:eastAsiaTheme="minorEastAsia"/>
          <w:b/>
          <w:color w:val="auto"/>
          <w:kern w:val="0"/>
          <w:sz w:val="24"/>
          <w:highlight w:val="none"/>
        </w:rPr>
        <w:t>（三）</w:t>
      </w:r>
      <w:r>
        <w:rPr>
          <w:rFonts w:hint="eastAsia" w:asciiTheme="minorEastAsia" w:hAnsiTheme="minorEastAsia" w:eastAsiaTheme="minorEastAsia"/>
          <w:b/>
          <w:color w:val="auto"/>
          <w:sz w:val="24"/>
          <w:highlight w:val="none"/>
        </w:rPr>
        <w:t>付款条件：</w:t>
      </w:r>
      <w:r>
        <w:rPr>
          <w:rFonts w:hint="eastAsia" w:hAnsi="宋体" w:cs="宋体"/>
          <w:color w:val="auto"/>
          <w:sz w:val="24"/>
          <w:highlight w:val="none"/>
        </w:rPr>
        <w:t>签订合同后，7个工作日内预付合同额的30%；货到现场台套数达到采购数量的50%后，7个工作日内支付合同额的40%；全部安装、调试完毕</w:t>
      </w:r>
      <w:r>
        <w:rPr>
          <w:rFonts w:hint="eastAsia" w:hAnsi="宋体" w:cs="宋体"/>
          <w:color w:val="auto"/>
          <w:sz w:val="24"/>
          <w:highlight w:val="none"/>
          <w:lang w:eastAsia="zh-CN"/>
        </w:rPr>
        <w:t>、</w:t>
      </w:r>
      <w:r>
        <w:rPr>
          <w:rFonts w:hint="eastAsia" w:hAnsi="宋体" w:cs="宋体"/>
          <w:color w:val="auto"/>
          <w:sz w:val="24"/>
          <w:highlight w:val="none"/>
          <w:lang w:val="en-US" w:eastAsia="zh-CN"/>
        </w:rPr>
        <w:t>验收</w:t>
      </w:r>
      <w:r>
        <w:rPr>
          <w:rFonts w:hint="eastAsia" w:hAnsi="宋体" w:cs="宋体"/>
          <w:color w:val="auto"/>
          <w:sz w:val="24"/>
          <w:highlight w:val="none"/>
        </w:rPr>
        <w:t>合格后</w:t>
      </w:r>
      <w:r>
        <w:rPr>
          <w:rFonts w:hint="eastAsia" w:hAnsi="宋体" w:cs="宋体"/>
          <w:color w:val="auto"/>
          <w:sz w:val="24"/>
          <w:highlight w:val="none"/>
          <w:lang w:eastAsia="zh-CN"/>
        </w:rPr>
        <w:t>，</w:t>
      </w:r>
      <w:r>
        <w:rPr>
          <w:rFonts w:hint="eastAsia" w:ascii="宋体" w:hAnsi="宋体" w:cs="宋体"/>
          <w:bCs/>
          <w:color w:val="auto"/>
          <w:sz w:val="24"/>
          <w:highlight w:val="none"/>
          <w:lang w:val="en-US" w:eastAsia="zh-CN"/>
        </w:rPr>
        <w:t>中标人</w:t>
      </w:r>
      <w:r>
        <w:rPr>
          <w:rFonts w:hint="eastAsia" w:ascii="宋体" w:hAnsi="宋体" w:cs="宋体"/>
          <w:bCs/>
          <w:color w:val="auto"/>
          <w:sz w:val="24"/>
          <w:highlight w:val="none"/>
        </w:rPr>
        <w:t>需同步</w:t>
      </w:r>
      <w:r>
        <w:rPr>
          <w:rFonts w:hint="eastAsia" w:ascii="宋体" w:hAnsi="宋体" w:cs="宋体"/>
          <w:bCs/>
          <w:color w:val="auto"/>
          <w:sz w:val="24"/>
          <w:highlight w:val="none"/>
          <w:lang w:val="zh-CN"/>
        </w:rPr>
        <w:t>开具正式发票，</w:t>
      </w:r>
      <w:r>
        <w:rPr>
          <w:rFonts w:hint="eastAsia" w:ascii="宋体" w:hAnsi="宋体" w:cs="宋体"/>
          <w:bCs/>
          <w:color w:val="auto"/>
          <w:sz w:val="24"/>
          <w:highlight w:val="none"/>
          <w:lang w:val="en-US" w:eastAsia="zh-CN"/>
        </w:rPr>
        <w:t>采购人自收到发票后</w:t>
      </w:r>
      <w:r>
        <w:rPr>
          <w:rFonts w:hint="eastAsia" w:hAnsi="宋体" w:cs="宋体"/>
          <w:color w:val="auto"/>
          <w:sz w:val="24"/>
          <w:highlight w:val="none"/>
          <w:lang w:val="en-US" w:eastAsia="zh-CN"/>
        </w:rPr>
        <w:t>7</w:t>
      </w:r>
      <w:r>
        <w:rPr>
          <w:rFonts w:hint="eastAsia" w:hAnsi="宋体" w:cs="宋体"/>
          <w:color w:val="auto"/>
          <w:sz w:val="24"/>
          <w:highlight w:val="none"/>
        </w:rPr>
        <w:t>个工作日内支付</w:t>
      </w:r>
      <w:r>
        <w:rPr>
          <w:rFonts w:hint="eastAsia" w:ascii="宋体" w:hAnsi="宋体" w:cs="宋体"/>
          <w:bCs/>
          <w:color w:val="auto"/>
          <w:sz w:val="24"/>
          <w:highlight w:val="none"/>
          <w:lang w:val="zh-CN"/>
        </w:rPr>
        <w:t>剩余合同款。</w:t>
      </w:r>
      <w:r>
        <w:rPr>
          <w:rFonts w:hint="eastAsia" w:hAnsi="宋体" w:cs="宋体"/>
          <w:color w:val="auto"/>
          <w:sz w:val="24"/>
          <w:highlight w:val="none"/>
          <w:lang w:val="zh-CN"/>
        </w:rPr>
        <w:t>【</w:t>
      </w:r>
      <w:r>
        <w:rPr>
          <w:rFonts w:hint="eastAsia" w:hAnsi="宋体" w:cs="宋体"/>
          <w:color w:val="auto"/>
          <w:sz w:val="24"/>
          <w:highlight w:val="none"/>
        </w:rPr>
        <w:t>在签订合同时，供应商明确表示无需预付款或者主动要求</w:t>
      </w:r>
      <w:r>
        <w:rPr>
          <w:rFonts w:hint="eastAsia" w:ascii="宋体" w:hAnsi="宋体" w:cs="宋体"/>
          <w:color w:val="auto"/>
          <w:sz w:val="24"/>
          <w:szCs w:val="32"/>
          <w:highlight w:val="none"/>
        </w:rPr>
        <w:t>降低预付款比例的，双方可另行协商确定付款方式</w:t>
      </w:r>
      <w:r>
        <w:rPr>
          <w:rFonts w:hint="eastAsia" w:ascii="宋体" w:hAnsi="宋体" w:cs="宋体"/>
          <w:bCs/>
          <w:color w:val="auto"/>
          <w:sz w:val="24"/>
          <w:highlight w:val="none"/>
          <w:lang w:val="zh-CN"/>
        </w:rPr>
        <w:t>】</w:t>
      </w:r>
    </w:p>
    <w:p>
      <w:pPr>
        <w:autoSpaceDE w:val="0"/>
        <w:autoSpaceDN w:val="0"/>
        <w:adjustRightInd w:val="0"/>
        <w:spacing w:line="360" w:lineRule="auto"/>
        <w:ind w:right="105" w:rightChars="50" w:firstLine="420" w:firstLineChars="0"/>
        <w:rPr>
          <w:rFonts w:hint="default" w:asciiTheme="minorEastAsia" w:hAnsiTheme="minorEastAsia" w:eastAsiaTheme="minorEastAsia" w:cstheme="minorBidi"/>
          <w:b/>
          <w:color w:val="auto"/>
          <w:kern w:val="2"/>
          <w:sz w:val="24"/>
          <w:szCs w:val="24"/>
          <w:highlight w:val="none"/>
          <w:lang w:val="en-US" w:eastAsia="zh-CN" w:bidi="ar-SA"/>
        </w:rPr>
      </w:pPr>
      <w:r>
        <w:rPr>
          <w:rFonts w:hint="eastAsia" w:asciiTheme="minorEastAsia" w:hAnsiTheme="minorEastAsia" w:eastAsiaTheme="minorEastAsia"/>
          <w:b/>
          <w:strike w:val="0"/>
          <w:dstrike w:val="0"/>
          <w:color w:val="auto"/>
          <w:sz w:val="24"/>
          <w:highlight w:val="none"/>
        </w:rPr>
        <w:t>（</w:t>
      </w:r>
      <w:r>
        <w:rPr>
          <w:rFonts w:hint="eastAsia" w:asciiTheme="minorEastAsia" w:hAnsiTheme="minorEastAsia" w:eastAsiaTheme="minorEastAsia" w:cstheme="minorBidi"/>
          <w:b/>
          <w:color w:val="auto"/>
          <w:kern w:val="2"/>
          <w:sz w:val="24"/>
          <w:szCs w:val="24"/>
          <w:highlight w:val="none"/>
          <w:lang w:val="en-US" w:eastAsia="zh-CN" w:bidi="ar-SA"/>
        </w:rPr>
        <w:t>四）</w:t>
      </w:r>
      <w:bookmarkStart w:id="37" w:name="_Toc31173_WPSOffice_Level1"/>
      <w:r>
        <w:rPr>
          <w:rFonts w:hint="eastAsia" w:asciiTheme="minorEastAsia" w:hAnsiTheme="minorEastAsia" w:eastAsiaTheme="minorEastAsia" w:cstheme="minorBidi"/>
          <w:b/>
          <w:color w:val="auto"/>
          <w:kern w:val="2"/>
          <w:sz w:val="24"/>
          <w:szCs w:val="24"/>
          <w:highlight w:val="none"/>
          <w:lang w:val="en-US" w:eastAsia="zh-CN" w:bidi="ar-SA"/>
        </w:rPr>
        <w:t>履约保证金：</w:t>
      </w:r>
      <w:r>
        <w:rPr>
          <w:rFonts w:hint="eastAsia" w:ascii="宋体" w:hAnsi="宋体" w:cs="宋体"/>
          <w:color w:val="auto"/>
          <w:sz w:val="24"/>
          <w:highlight w:val="none"/>
        </w:rPr>
        <w:t>中标人</w:t>
      </w:r>
      <w:r>
        <w:rPr>
          <w:rFonts w:hint="eastAsia" w:ascii="宋体" w:hAnsi="宋体" w:cs="宋体"/>
          <w:color w:val="auto"/>
          <w:sz w:val="24"/>
          <w:highlight w:val="none"/>
          <w:lang w:val="en-US" w:eastAsia="zh-CN"/>
        </w:rPr>
        <w:t>须于</w:t>
      </w:r>
      <w:r>
        <w:rPr>
          <w:rFonts w:hint="eastAsia" w:ascii="宋体" w:hAnsi="宋体" w:cs="宋体"/>
          <w:color w:val="auto"/>
          <w:sz w:val="24"/>
          <w:highlight w:val="none"/>
        </w:rPr>
        <w:t>合同签订后</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个工作日内</w:t>
      </w:r>
      <w:r>
        <w:rPr>
          <w:rFonts w:hint="eastAsia" w:ascii="宋体" w:hAnsi="宋体" w:cs="宋体"/>
          <w:color w:val="auto"/>
          <w:sz w:val="24"/>
          <w:highlight w:val="none"/>
          <w:lang w:eastAsia="zh-CN"/>
        </w:rPr>
        <w:t>，</w:t>
      </w:r>
      <w:r>
        <w:rPr>
          <w:rFonts w:hint="eastAsia" w:ascii="宋体" w:hAnsi="宋体" w:cs="宋体"/>
          <w:color w:val="auto"/>
          <w:sz w:val="24"/>
          <w:highlight w:val="none"/>
        </w:rPr>
        <w:t>缴纳合同总金额</w:t>
      </w:r>
      <w:r>
        <w:rPr>
          <w:rFonts w:hint="eastAsia" w:ascii="宋体" w:hAnsi="宋体" w:cs="宋体"/>
          <w:color w:val="auto"/>
          <w:sz w:val="24"/>
          <w:highlight w:val="none"/>
          <w:u w:val="single"/>
          <w:lang w:val="en-US" w:eastAsia="zh-CN"/>
        </w:rPr>
        <w:t xml:space="preserve">1 </w:t>
      </w:r>
      <w:r>
        <w:rPr>
          <w:rFonts w:hint="eastAsia" w:ascii="宋体" w:hAnsi="宋体" w:cs="宋体"/>
          <w:color w:val="auto"/>
          <w:sz w:val="24"/>
          <w:highlight w:val="none"/>
          <w:u w:val="single"/>
        </w:rPr>
        <w:t>%</w:t>
      </w:r>
      <w:r>
        <w:rPr>
          <w:rFonts w:hint="eastAsia" w:ascii="宋体" w:hAnsi="宋体" w:cs="宋体"/>
          <w:color w:val="auto"/>
          <w:sz w:val="24"/>
          <w:highlight w:val="none"/>
        </w:rPr>
        <w:t>的履约保证金，</w:t>
      </w:r>
      <w:r>
        <w:rPr>
          <w:rFonts w:hint="eastAsia" w:ascii="宋体" w:hAnsi="宋体" w:cs="宋体"/>
          <w:color w:val="auto"/>
          <w:sz w:val="24"/>
          <w:highlight w:val="none"/>
          <w:lang w:val="en-US" w:eastAsia="zh-CN"/>
        </w:rPr>
        <w:t>履约保证金在</w:t>
      </w:r>
      <w:r>
        <w:rPr>
          <w:rFonts w:hint="eastAsia" w:ascii="宋体" w:hAnsi="宋体" w:cs="宋体"/>
          <w:color w:val="auto"/>
          <w:sz w:val="24"/>
          <w:highlight w:val="none"/>
        </w:rPr>
        <w:t>验收合格后10个工作日内</w:t>
      </w:r>
      <w:r>
        <w:rPr>
          <w:rFonts w:hint="eastAsia" w:ascii="宋体" w:hAnsi="宋体" w:cs="宋体"/>
          <w:color w:val="auto"/>
          <w:sz w:val="24"/>
          <w:highlight w:val="none"/>
          <w:lang w:val="en-US" w:eastAsia="zh-CN"/>
        </w:rPr>
        <w:t>及时返还</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w:t>
      </w:r>
      <w:r>
        <w:rPr>
          <w:rFonts w:hint="eastAsia" w:ascii="宋体" w:hAnsi="宋体" w:cs="宋体"/>
          <w:color w:val="auto"/>
          <w:sz w:val="24"/>
          <w:highlight w:val="none"/>
          <w:lang w:val="en-US" w:eastAsia="zh-CN"/>
        </w:rPr>
        <w:t>以</w:t>
      </w:r>
      <w:r>
        <w:rPr>
          <w:rFonts w:hint="eastAsia" w:ascii="宋体" w:hAnsi="宋体" w:cs="宋体"/>
          <w:color w:val="auto"/>
          <w:sz w:val="24"/>
          <w:highlight w:val="none"/>
        </w:rPr>
        <w:t>金融机构、担保机构出具的保函形式提交履约保证金，注明用途为“履约保证金”</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hAnsi="宋体" w:cs="宋体"/>
          <w:color w:val="auto"/>
          <w:sz w:val="24"/>
          <w:highlight w:val="none"/>
          <w:lang w:val="en-US" w:eastAsia="zh-CN"/>
        </w:rPr>
        <w:sectPr>
          <w:pgSz w:w="11906" w:h="16838"/>
          <w:pgMar w:top="1701" w:right="1418" w:bottom="1588" w:left="1418" w:header="851" w:footer="851" w:gutter="0"/>
          <w:cols w:space="720" w:num="1"/>
          <w:docGrid w:linePitch="312" w:charSpace="0"/>
        </w:sectPr>
      </w:pPr>
      <w:r>
        <w:rPr>
          <w:rFonts w:hint="eastAsia" w:asciiTheme="minorEastAsia" w:hAnsiTheme="minorEastAsia" w:eastAsiaTheme="minorEastAsia"/>
          <w:b/>
          <w:color w:val="auto"/>
          <w:sz w:val="24"/>
          <w:highlight w:val="none"/>
          <w:lang w:val="en-US" w:eastAsia="zh-CN"/>
        </w:rPr>
        <w:t>（五）其他要求：</w:t>
      </w:r>
      <w:r>
        <w:rPr>
          <w:rFonts w:hint="eastAsia" w:hAnsi="宋体" w:cs="宋体"/>
          <w:sz w:val="24"/>
        </w:rPr>
        <w:t>交货时要求中标人就所投产品的合法供货渠道进行说明，经核实如中标人提供非法渠道的商品，视为欺诈，为维护采购人合法权益，中标人要承担商品价值双倍的赔偿；同时，依据现行的法律法规依法追究其他责任，并连带追究所投产品生产企业的责任。</w:t>
      </w:r>
    </w:p>
    <w:p>
      <w:pPr>
        <w:pStyle w:val="11"/>
        <w:tabs>
          <w:tab w:val="left" w:pos="630"/>
        </w:tabs>
        <w:snapToGrid w:val="0"/>
        <w:spacing w:line="360" w:lineRule="auto"/>
        <w:jc w:val="center"/>
        <w:outlineLvl w:val="0"/>
        <w:rPr>
          <w:rFonts w:asciiTheme="minorEastAsia" w:hAnsiTheme="minorEastAsia" w:eastAsiaTheme="minorEastAsia"/>
          <w:b/>
          <w:sz w:val="32"/>
          <w:szCs w:val="32"/>
        </w:rPr>
      </w:pPr>
      <w:r>
        <w:rPr>
          <w:rFonts w:hint="eastAsia" w:cs="Times New Roman" w:asciiTheme="minorEastAsia" w:hAnsiTheme="minorEastAsia" w:eastAsiaTheme="minorEastAsia"/>
          <w:b/>
          <w:sz w:val="36"/>
          <w:szCs w:val="36"/>
        </w:rPr>
        <w:t>第四章</w:t>
      </w:r>
      <w:r>
        <w:rPr>
          <w:rFonts w:hint="eastAsia" w:cs="Times New Roman" w:asciiTheme="minorEastAsia" w:hAnsiTheme="minorEastAsia" w:eastAsiaTheme="minorEastAsia"/>
          <w:b/>
          <w:sz w:val="36"/>
          <w:szCs w:val="36"/>
          <w:lang w:val="en-US" w:eastAsia="zh-CN"/>
        </w:rPr>
        <w:t xml:space="preserve"> </w:t>
      </w:r>
      <w:r>
        <w:rPr>
          <w:rFonts w:hint="eastAsia" w:cs="Times New Roman" w:asciiTheme="minorEastAsia" w:hAnsiTheme="minorEastAsia" w:eastAsiaTheme="minorEastAsia"/>
          <w:b/>
          <w:sz w:val="36"/>
          <w:szCs w:val="36"/>
        </w:rPr>
        <w:t>评标</w:t>
      </w:r>
      <w:bookmarkEnd w:id="37"/>
    </w:p>
    <w:p>
      <w:pPr>
        <w:spacing w:line="360" w:lineRule="auto"/>
        <w:ind w:firstLine="482" w:firstLineChars="200"/>
        <w:outlineLvl w:val="9"/>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outlineLvl w:val="9"/>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pPr>
        <w:spacing w:line="360" w:lineRule="auto"/>
        <w:ind w:firstLine="482" w:firstLineChars="200"/>
        <w:outlineLvl w:val="9"/>
        <w:rPr>
          <w:rFonts w:hint="eastAsia" w:ascii="宋体" w:hAnsi="宋体" w:eastAsia="宋体" w:cs="宋体"/>
          <w:b/>
          <w:bCs/>
          <w:sz w:val="24"/>
        </w:rPr>
      </w:pPr>
      <w:r>
        <w:rPr>
          <w:rFonts w:hint="eastAsia" w:ascii="宋体" w:hAnsi="宋体" w:eastAsia="宋体" w:cs="宋体"/>
          <w:b/>
          <w:bCs/>
          <w:sz w:val="24"/>
        </w:rPr>
        <w:t>三、评标委员会</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6"/>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 w:val="24"/>
        </w:rPr>
        <w:t>6.法律法规规定的其他职责。</w:t>
      </w:r>
    </w:p>
    <w:p>
      <w:pPr>
        <w:pStyle w:val="18"/>
        <w:spacing w:before="0" w:beforeAutospacing="0" w:after="0" w:afterAutospacing="0" w:line="360" w:lineRule="auto"/>
        <w:ind w:firstLine="482" w:firstLineChars="200"/>
        <w:jc w:val="both"/>
        <w:outlineLvl w:val="1"/>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（一）在资格证明文件或商务与技术文件中出现投标报价的，或者报价文件中报价的货物跟商务与技术文件中的投标货物出现重大偏差的；</w:t>
      </w:r>
    </w:p>
    <w:p>
      <w:pPr>
        <w:pStyle w:val="18"/>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18"/>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8"/>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pPr>
        <w:pStyle w:val="18"/>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8"/>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（六）主要性能参数指标负偏离</w:t>
      </w:r>
      <w:r>
        <w:rPr>
          <w:rFonts w:hint="eastAsia" w:asciiTheme="minorEastAsia" w:hAnsiTheme="minorEastAsia" w:eastAsiaTheme="minorEastAsia"/>
          <w:color w:val="0000FF"/>
          <w:kern w:val="0"/>
          <w:sz w:val="24"/>
          <w:u w:val="single"/>
          <w:lang w:val="en-US" w:eastAsia="zh-CN"/>
        </w:rPr>
        <w:t>9</w:t>
      </w:r>
      <w:r>
        <w:rPr>
          <w:rFonts w:hint="eastAsia" w:asciiTheme="minorEastAsia" w:hAnsiTheme="minorEastAsia" w:eastAsiaTheme="minorEastAsia"/>
          <w:kern w:val="0"/>
          <w:sz w:val="24"/>
        </w:rPr>
        <w:t>项（含）以上的；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18"/>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18"/>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18"/>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18"/>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18"/>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6"/>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rPr>
        <w:t>（十一）商务</w:t>
      </w:r>
      <w:r>
        <w:rPr>
          <w:rFonts w:hint="eastAsia" w:ascii="宋体" w:hAnsi="宋体" w:cs="宋体"/>
          <w:sz w:val="24"/>
          <w:szCs w:val="24"/>
        </w:rPr>
        <w:t>条款不响应的；</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（十二）投标文件有效期不足的；</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（十三）逾期或未按要求提交投标文件的；</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（十四）未</w:t>
      </w:r>
      <w:r>
        <w:rPr>
          <w:rFonts w:hint="eastAsia" w:ascii="宋体" w:hAnsi="宋体"/>
          <w:kern w:val="0"/>
          <w:sz w:val="24"/>
          <w:szCs w:val="24"/>
        </w:rPr>
        <w:t>按要求提供资格证明文件的；</w:t>
      </w:r>
    </w:p>
    <w:p>
      <w:pPr>
        <w:pStyle w:val="6"/>
        <w:spacing w:line="360" w:lineRule="auto"/>
        <w:ind w:firstLine="480" w:firstLineChars="200"/>
        <w:rPr>
          <w:rFonts w:asciiTheme="minorEastAsia" w:hAnsiTheme="minorEastAsia"/>
          <w:kern w:val="0"/>
          <w:sz w:val="24"/>
        </w:rPr>
      </w:pPr>
      <w:r>
        <w:rPr>
          <w:rFonts w:hint="eastAsia" w:asciiTheme="minorEastAsia" w:hAnsiTheme="minorEastAsia" w:eastAsiaTheme="minorEastAsia"/>
          <w:kern w:val="0"/>
          <w:sz w:val="24"/>
        </w:rPr>
        <w:t>（十五）其他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outlineLvl w:val="9"/>
        <w:rPr>
          <w:rFonts w:ascii="宋体" w:hAnsi="宋体" w:cs="宋体"/>
          <w:kern w:val="0"/>
          <w:sz w:val="24"/>
        </w:rPr>
      </w:pPr>
      <w:r>
        <w:rPr>
          <w:rFonts w:hint="eastAsia" w:ascii="宋体" w:hAnsi="宋体" w:cs="宋体"/>
          <w:b/>
          <w:kern w:val="0"/>
          <w:sz w:val="24"/>
        </w:rPr>
        <w:t>五、废标情形</w:t>
      </w:r>
    </w:p>
    <w:p>
      <w:pPr>
        <w:pStyle w:val="18"/>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18"/>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18"/>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18"/>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1"/>
        <w:snapToGrid w:val="0"/>
        <w:spacing w:line="360" w:lineRule="auto"/>
        <w:ind w:firstLine="482" w:firstLineChars="200"/>
        <w:outlineLvl w:val="9"/>
        <w:rPr>
          <w:rFonts w:hAnsi="宋体" w:cs="宋体"/>
          <w:b/>
          <w:sz w:val="24"/>
        </w:rPr>
      </w:pPr>
      <w:r>
        <w:rPr>
          <w:rFonts w:hint="eastAsia" w:hAnsi="宋体" w:cs="宋体"/>
          <w:b/>
          <w:sz w:val="24"/>
        </w:rPr>
        <w:t>六、评标过程的监控</w:t>
      </w:r>
    </w:p>
    <w:p>
      <w:pPr>
        <w:pStyle w:val="18"/>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1"/>
        <w:snapToGrid w:val="0"/>
        <w:spacing w:line="360" w:lineRule="auto"/>
        <w:ind w:firstLine="482" w:firstLineChars="200"/>
        <w:outlineLvl w:val="9"/>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ascii="宋体"/>
          <w:sz w:val="24"/>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见附件17</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17</w:t>
      </w:r>
      <w:r>
        <w:rPr>
          <w:rFonts w:hint="eastAsia" w:ascii="宋体"/>
          <w:sz w:val="24"/>
          <w:lang w:val="zh-CN"/>
        </w:rPr>
        <w:t>），视同小型、微型企业，享受小微企业政府采购优惠政策。</w:t>
      </w:r>
    </w:p>
    <w:p>
      <w:pPr>
        <w:pStyle w:val="8"/>
        <w:spacing w:line="360" w:lineRule="auto"/>
        <w:ind w:firstLine="480" w:firstLineChars="200"/>
        <w:jc w:val="both"/>
        <w:rPr>
          <w:rFonts w:ascii="宋体" w:hAnsi="宋体" w:cs="宋体"/>
          <w:sz w:val="24"/>
        </w:rPr>
      </w:pPr>
      <w:r>
        <w:rPr>
          <w:rFonts w:hint="eastAsia" w:ascii="宋体"/>
          <w:sz w:val="24"/>
        </w:rPr>
        <w:t>4.</w:t>
      </w:r>
      <w:r>
        <w:rPr>
          <w:rFonts w:hint="eastAsia" w:ascii="宋体" w:hAnsi="宋体" w:cs="宋体"/>
          <w:sz w:val="24"/>
        </w:rPr>
        <w:t>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pPr>
        <w:pStyle w:val="8"/>
        <w:spacing w:line="360" w:lineRule="auto"/>
        <w:ind w:firstLine="480" w:firstLineChars="200"/>
        <w:jc w:val="both"/>
        <w:rPr>
          <w:rFonts w:ascii="宋体" w:hAnsi="宋体" w:cs="宋体"/>
          <w:sz w:val="24"/>
        </w:rPr>
      </w:pPr>
      <w:r>
        <w:rPr>
          <w:rFonts w:hint="eastAsia" w:ascii="宋体" w:hAnsi="宋体" w:cs="宋体"/>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经主管预算单位统筹后未预留份额专门面向中小企业采购的采购项目，以及预留份额项目中的非预留部分：</w:t>
      </w:r>
      <w:r>
        <w:rPr>
          <w:rFonts w:hint="eastAsia" w:ascii="宋体"/>
          <w:color w:val="000000"/>
          <w:sz w:val="24"/>
        </w:rPr>
        <w:t>对</w:t>
      </w:r>
      <w:r>
        <w:rPr>
          <w:rFonts w:hint="eastAsia" w:ascii="宋体"/>
          <w:color w:val="000000"/>
          <w:sz w:val="24"/>
          <w:lang w:val="zh-CN"/>
        </w:rPr>
        <w:t>小微企业</w:t>
      </w:r>
      <w:r>
        <w:rPr>
          <w:rFonts w:hint="eastAsia" w:ascii="宋体"/>
          <w:color w:val="000000"/>
          <w:sz w:val="24"/>
        </w:rPr>
        <w:t>报价</w:t>
      </w:r>
      <w:r>
        <w:rPr>
          <w:rFonts w:hint="eastAsia" w:ascii="宋体"/>
          <w:color w:val="000000"/>
          <w:sz w:val="24"/>
          <w:lang w:val="zh-CN"/>
        </w:rPr>
        <w:t>给予</w:t>
      </w:r>
      <w:r>
        <w:rPr>
          <w:rFonts w:hint="eastAsia" w:ascii="宋体"/>
          <w:color w:val="000000"/>
          <w:sz w:val="24"/>
        </w:rPr>
        <w:t>10</w:t>
      </w:r>
      <w:r>
        <w:rPr>
          <w:rFonts w:hint="eastAsia" w:ascii="宋体"/>
          <w:color w:val="000000"/>
          <w:sz w:val="24"/>
          <w:lang w:val="zh-CN"/>
        </w:rPr>
        <w:t>%-</w:t>
      </w:r>
      <w:r>
        <w:rPr>
          <w:rFonts w:hint="eastAsia" w:ascii="宋体"/>
          <w:color w:val="000000"/>
          <w:sz w:val="24"/>
        </w:rPr>
        <w:t>20</w:t>
      </w:r>
      <w:r>
        <w:rPr>
          <w:rFonts w:hint="eastAsia" w:ascii="宋体"/>
          <w:color w:val="000000"/>
          <w:sz w:val="24"/>
          <w:lang w:val="zh-CN"/>
        </w:rPr>
        <w:t>%的扣除，用扣除后的价格计算评标基准价和投标报价。联合体各方均为小微企业的，联合体视同为小微企业，</w:t>
      </w:r>
      <w:r>
        <w:rPr>
          <w:rFonts w:hint="eastAsia" w:ascii="宋体"/>
          <w:color w:val="000000"/>
          <w:sz w:val="24"/>
        </w:rPr>
        <w:t>对报价</w:t>
      </w:r>
      <w:r>
        <w:rPr>
          <w:rFonts w:hint="eastAsia" w:ascii="宋体"/>
          <w:color w:val="000000"/>
          <w:sz w:val="24"/>
          <w:lang w:val="zh-CN"/>
        </w:rPr>
        <w:t>给予</w:t>
      </w:r>
      <w:r>
        <w:rPr>
          <w:rFonts w:hint="eastAsia" w:ascii="宋体"/>
          <w:color w:val="000000"/>
          <w:sz w:val="24"/>
        </w:rPr>
        <w:t>10</w:t>
      </w:r>
      <w:r>
        <w:rPr>
          <w:rFonts w:hint="eastAsia" w:ascii="宋体"/>
          <w:color w:val="000000"/>
          <w:sz w:val="24"/>
          <w:lang w:val="zh-CN"/>
        </w:rPr>
        <w:t>%-</w:t>
      </w:r>
      <w:r>
        <w:rPr>
          <w:rFonts w:hint="eastAsia" w:ascii="宋体"/>
          <w:color w:val="000000"/>
          <w:sz w:val="24"/>
        </w:rPr>
        <w:t>20</w:t>
      </w:r>
      <w:r>
        <w:rPr>
          <w:rFonts w:hint="eastAsia" w:ascii="宋体"/>
          <w:color w:val="000000"/>
          <w:sz w:val="24"/>
          <w:lang w:val="zh-CN"/>
        </w:rPr>
        <w:t>%的扣除；联合协议或者分包意向协议约定小微企业的合同份额占到合同总金额30%以上的，</w:t>
      </w:r>
      <w:r>
        <w:rPr>
          <w:rFonts w:hint="eastAsia" w:ascii="宋体"/>
          <w:color w:val="000000"/>
          <w:sz w:val="24"/>
        </w:rPr>
        <w:t>对报价</w:t>
      </w:r>
      <w:r>
        <w:rPr>
          <w:rFonts w:hint="eastAsia" w:ascii="宋体"/>
          <w:color w:val="000000"/>
          <w:sz w:val="24"/>
          <w:lang w:val="zh-CN"/>
        </w:rPr>
        <w:t>给予</w:t>
      </w:r>
      <w:r>
        <w:rPr>
          <w:rFonts w:hint="eastAsia" w:ascii="宋体"/>
          <w:color w:val="000000"/>
          <w:sz w:val="24"/>
        </w:rPr>
        <w:t>4</w:t>
      </w:r>
      <w:r>
        <w:rPr>
          <w:rFonts w:hint="eastAsia" w:ascii="宋体"/>
          <w:color w:val="000000"/>
          <w:sz w:val="24"/>
          <w:lang w:val="zh-CN"/>
        </w:rPr>
        <w:t>%</w:t>
      </w:r>
      <w:r>
        <w:rPr>
          <w:rFonts w:hint="eastAsia" w:ascii="宋体"/>
          <w:color w:val="000000"/>
          <w:sz w:val="24"/>
        </w:rPr>
        <w:t>-6%</w:t>
      </w:r>
      <w:r>
        <w:rPr>
          <w:rFonts w:hint="eastAsia" w:ascii="宋体"/>
          <w:color w:val="000000"/>
          <w:sz w:val="24"/>
          <w:lang w:val="zh-CN"/>
        </w:rPr>
        <w:t>的价格扣除，用扣除后的价格计算评标基准价和响应报价</w:t>
      </w:r>
      <w:r>
        <w:rPr>
          <w:rFonts w:hint="eastAsia" w:ascii="宋体"/>
          <w:sz w:val="24"/>
          <w:lang w:val="zh-CN"/>
        </w:rPr>
        <w:t>。同一投标人（包括联合体），小微企业、监狱企业、残疾人福利性单位价格扣除优惠只享受一次，不得重复享受。</w:t>
      </w:r>
    </w:p>
    <w:p>
      <w:pPr>
        <w:pStyle w:val="11"/>
        <w:snapToGrid w:val="0"/>
        <w:spacing w:line="360" w:lineRule="auto"/>
        <w:ind w:firstLine="482" w:firstLineChars="200"/>
        <w:outlineLvl w:val="9"/>
        <w:rPr>
          <w:rFonts w:hAnsi="宋体" w:cs="宋体"/>
          <w:b/>
          <w:bCs/>
          <w:sz w:val="24"/>
        </w:rPr>
      </w:pPr>
      <w:r>
        <w:rPr>
          <w:rFonts w:hint="eastAsia" w:hAnsi="宋体" w:cs="宋体"/>
          <w:b/>
          <w:bCs/>
          <w:sz w:val="24"/>
        </w:rPr>
        <w:t>八、评标程序</w:t>
      </w:r>
    </w:p>
    <w:p>
      <w:pPr>
        <w:snapToGrid w:val="0"/>
        <w:spacing w:line="360" w:lineRule="auto"/>
        <w:ind w:firstLine="482" w:firstLineChars="200"/>
        <w:outlineLvl w:val="9"/>
        <w:rPr>
          <w:rFonts w:ascii="宋体" w:hAnsi="宋体" w:cs="宋体"/>
          <w:b/>
          <w:bCs/>
          <w:sz w:val="24"/>
        </w:rPr>
      </w:pPr>
      <w:r>
        <w:rPr>
          <w:rFonts w:hint="eastAsia" w:ascii="宋体" w:hAnsi="宋体" w:cs="宋体"/>
          <w:b/>
          <w:bCs/>
          <w:sz w:val="24"/>
        </w:rPr>
        <w:t>（一）资格性审查</w:t>
      </w:r>
    </w:p>
    <w:p>
      <w:pPr>
        <w:pStyle w:val="8"/>
        <w:spacing w:line="360" w:lineRule="auto"/>
        <w:ind w:firstLine="480" w:firstLineChars="200"/>
        <w:jc w:val="both"/>
        <w:rPr>
          <w:rFonts w:ascii="宋体" w:hAnsi="宋体" w:cs="宋体"/>
          <w:sz w:val="24"/>
        </w:rPr>
      </w:pPr>
      <w:r>
        <w:rPr>
          <w:rFonts w:hint="eastAsia" w:ascii="宋体" w:hAnsi="宋体" w:cs="宋体"/>
          <w:sz w:val="24"/>
        </w:rPr>
        <w:t>投标文件解密后，采购人或采购组织机构依法对投标人的资格进行审查，对审查发现无效的进行必要的询问，在政采云平台公布无效投标的投标人名单、投标无效的原因。</w:t>
      </w:r>
    </w:p>
    <w:tbl>
      <w:tblPr>
        <w:tblStyle w:val="22"/>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中华人民共和国境内注册的法人或其他组织或自然人，投标时提交有效的营业执照（或事业法人登记证或身份证等相关证明）扫描件，法定代表人委托办理招标事宜的请提交授权委托书（根据附件2-1《授权委托书》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cs="宋体"/>
                <w:szCs w:val="21"/>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按投标文件格式填报设备及专业技术能力情况（根据附件5《投标人基本情况表》和附件6《项目实施人员一览表》填报）。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参加本次采购活动前3年内，在经营活动中没有重大违法记录（根据附件1《投标声明书》）。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本项目的特定资格要求</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1.截止时点：开标后评标前。</w:t>
            </w:r>
          </w:p>
          <w:p>
            <w:pPr>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2.信用信息查询记录和证据留存的具体方式：由采购组织机构在规定查询时间内打印信用信息查询记录并归入项目档案。</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3.使用规则：投标人未被列入“信用中国”失信被执行人或重大税收违法案件当事人名单；未处于“中国政府采购网”政府采购严重违法失信行为信息记录中的禁止参加政府采购活动期间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1.单位负责人为同一人或者存在直接控股、管理关系的不同供应商，不得同时参加本项目投标。</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2.为本项目提供整体设计、规范编制或者项目管理、监理、检测等服务的供应商，不得再参与本项目投标。（以上两项须提供相关承诺函）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1</w:t>
            </w:r>
            <w:r>
              <w:rPr>
                <w:rFonts w:hint="eastAsia" w:ascii="宋体" w:hAnsi="宋体" w:cs="宋体"/>
                <w:color w:val="000000" w:themeColor="text1"/>
                <w:szCs w:val="21"/>
                <w14:textFill>
                  <w14:solidFill>
                    <w14:schemeClr w14:val="tx1"/>
                  </w14:solidFill>
                </w14:textFill>
              </w:rPr>
              <w:t>.若以联合体形式投标，请提交联合体授权委托书（根据附件2-2《联合体授权委托书》填报），并载明联合体各方承担的工作和义务（根据附件3 《联合体共同投标协议书》填报）。</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2.若以联合体形式投标，联合体各方均须满足上方条款，并提供相应承诺或说明。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落实政府采购政策需满足的资格要求</w:t>
            </w:r>
          </w:p>
        </w:tc>
        <w:tc>
          <w:tcPr>
            <w:tcW w:w="7495" w:type="dxa"/>
            <w:shd w:val="clear" w:color="auto" w:fill="auto"/>
            <w:tcMar>
              <w:top w:w="57" w:type="dxa"/>
              <w:left w:w="108" w:type="dxa"/>
              <w:bottom w:w="0" w:type="dxa"/>
              <w:right w:w="108" w:type="dxa"/>
            </w:tcMar>
            <w:vAlign w:val="center"/>
          </w:tcPr>
          <w:p>
            <w:pPr>
              <w:rPr>
                <w:rFonts w:ascii="宋体" w:hAnsi="宋体" w:cs="宋体"/>
                <w:color w:val="000000" w:themeColor="text1"/>
                <w:szCs w:val="21"/>
                <w14:textFill>
                  <w14:solidFill>
                    <w14:schemeClr w14:val="tx1"/>
                  </w14:solidFill>
                </w14:textFill>
              </w:rPr>
            </w:pP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根据实际情形设置。</w:t>
            </w:r>
          </w:p>
          <w:p>
            <w:pPr>
              <w:rPr>
                <w:rFonts w:ascii="宋体" w:hAnsi="宋体" w:cs="宋体"/>
                <w:color w:val="000000" w:themeColor="text1"/>
                <w:szCs w:val="21"/>
                <w14:textFill>
                  <w14:solidFill>
                    <w14:schemeClr w14:val="tx1"/>
                  </w14:solidFill>
                </w14:textFill>
              </w:rPr>
            </w:pPr>
          </w:p>
        </w:tc>
      </w:tr>
    </w:tbl>
    <w:p>
      <w:pPr>
        <w:pStyle w:val="8"/>
        <w:spacing w:line="360" w:lineRule="auto"/>
        <w:ind w:firstLine="482" w:firstLineChars="200"/>
        <w:jc w:val="both"/>
        <w:outlineLvl w:val="9"/>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8"/>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评标委员会应当对符合资格的投标人的投标文件进行符合性审查，以确定其是否满足招标文件的实质性要求，对审查发现无效的进行必要的询</w:t>
      </w:r>
      <w:r>
        <w:rPr>
          <w:rFonts w:hint="eastAsia" w:asciiTheme="minorEastAsia" w:hAnsiTheme="minorEastAsia" w:eastAsiaTheme="minorEastAsia"/>
          <w:sz w:val="24"/>
        </w:rPr>
        <w:t>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p>
    <w:tbl>
      <w:tblPr>
        <w:tblStyle w:val="22"/>
        <w:tblpPr w:leftFromText="181" w:rightFromText="181" w:bottomFromText="170" w:vertAnchor="text" w:tblpXSpec="center" w:tblpY="1"/>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8"/>
              <w:spacing w:line="300" w:lineRule="auto"/>
              <w:ind w:right="146"/>
              <w:jc w:val="center"/>
              <w:rPr>
                <w:szCs w:val="21"/>
              </w:rPr>
            </w:pPr>
            <w:r>
              <w:rPr>
                <w:rFonts w:hint="eastAsia"/>
                <w:szCs w:val="21"/>
              </w:rPr>
              <w:t>“▲”实质性条款</w:t>
            </w:r>
          </w:p>
        </w:tc>
        <w:tc>
          <w:tcPr>
            <w:tcW w:w="7476" w:type="dxa"/>
            <w:shd w:val="clear" w:color="auto" w:fill="auto"/>
            <w:tcMar>
              <w:top w:w="57" w:type="dxa"/>
              <w:left w:w="108" w:type="dxa"/>
              <w:bottom w:w="0" w:type="dxa"/>
              <w:right w:w="108" w:type="dxa"/>
            </w:tcMar>
            <w:vAlign w:val="center"/>
          </w:tcPr>
          <w:p>
            <w:pPr>
              <w:pStyle w:val="48"/>
              <w:spacing w:before="48" w:line="300" w:lineRule="auto"/>
              <w:ind w:firstLine="420" w:firstLineChars="200"/>
              <w:rPr>
                <w:szCs w:val="21"/>
              </w:rPr>
            </w:pPr>
            <w:r>
              <w:rPr>
                <w:rFonts w:hint="eastAsia"/>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8"/>
              <w:spacing w:line="300" w:lineRule="auto"/>
              <w:ind w:right="146"/>
              <w:jc w:val="center"/>
              <w:rPr>
                <w:szCs w:val="21"/>
              </w:rPr>
            </w:pPr>
            <w:r>
              <w:rPr>
                <w:rFonts w:hint="eastAsia"/>
                <w:szCs w:val="21"/>
              </w:rPr>
              <w:t>串通投标</w:t>
            </w:r>
          </w:p>
        </w:tc>
        <w:tc>
          <w:tcPr>
            <w:tcW w:w="7476" w:type="dxa"/>
            <w:shd w:val="clear" w:color="auto" w:fill="auto"/>
            <w:tcMar>
              <w:top w:w="57" w:type="dxa"/>
              <w:left w:w="108" w:type="dxa"/>
              <w:bottom w:w="0" w:type="dxa"/>
              <w:right w:w="108" w:type="dxa"/>
            </w:tcMar>
            <w:vAlign w:val="center"/>
          </w:tcPr>
          <w:p>
            <w:pPr>
              <w:pStyle w:val="48"/>
              <w:spacing w:before="48" w:line="300" w:lineRule="auto"/>
              <w:ind w:firstLine="420" w:firstLineChars="200"/>
              <w:rPr>
                <w:szCs w:val="21"/>
              </w:rPr>
            </w:pPr>
            <w:r>
              <w:rPr>
                <w:rFonts w:hint="eastAsia"/>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8"/>
              <w:spacing w:line="300" w:lineRule="auto"/>
              <w:ind w:right="146"/>
              <w:jc w:val="center"/>
              <w:rPr>
                <w:szCs w:val="21"/>
              </w:rPr>
            </w:pPr>
            <w:r>
              <w:rPr>
                <w:rFonts w:hint="eastAsia"/>
                <w:szCs w:val="21"/>
              </w:rPr>
              <w:t>附加条件</w:t>
            </w:r>
          </w:p>
        </w:tc>
        <w:tc>
          <w:tcPr>
            <w:tcW w:w="7476" w:type="dxa"/>
            <w:shd w:val="clear" w:color="auto" w:fill="auto"/>
            <w:tcMar>
              <w:top w:w="57" w:type="dxa"/>
              <w:left w:w="108" w:type="dxa"/>
              <w:bottom w:w="0" w:type="dxa"/>
              <w:right w:w="108" w:type="dxa"/>
            </w:tcMar>
            <w:vAlign w:val="center"/>
          </w:tcPr>
          <w:p>
            <w:pPr>
              <w:pStyle w:val="48"/>
              <w:spacing w:before="48" w:line="300" w:lineRule="auto"/>
              <w:ind w:firstLine="420" w:firstLineChars="200"/>
              <w:rPr>
                <w:szCs w:val="21"/>
              </w:rPr>
            </w:pPr>
            <w:r>
              <w:rPr>
                <w:rFonts w:hint="eastAsia"/>
                <w:szCs w:val="21"/>
              </w:rPr>
              <w:t>投标文件未含有采购人不可接受的附加条件。</w:t>
            </w:r>
          </w:p>
        </w:tc>
      </w:tr>
    </w:tbl>
    <w:p>
      <w:pPr>
        <w:pStyle w:val="8"/>
        <w:spacing w:line="360" w:lineRule="auto"/>
        <w:ind w:firstLine="482" w:firstLineChars="200"/>
        <w:jc w:val="both"/>
        <w:outlineLvl w:val="1"/>
        <w:rPr>
          <w:rFonts w:asciiTheme="minorEastAsia" w:hAnsiTheme="minorEastAsia" w:eastAsiaTheme="minorEastAsia"/>
          <w:b/>
          <w:bCs/>
          <w:sz w:val="24"/>
        </w:rPr>
      </w:pPr>
      <w:r>
        <w:rPr>
          <w:rFonts w:hint="eastAsia" w:asciiTheme="minorEastAsia" w:hAnsiTheme="minorEastAsia" w:eastAsiaTheme="minorEastAsia"/>
          <w:b/>
          <w:bCs/>
          <w:sz w:val="24"/>
        </w:rPr>
        <w:t>（三）商务技术及价格评审</w:t>
      </w:r>
    </w:p>
    <w:p>
      <w:pPr>
        <w:autoSpaceDE w:val="0"/>
        <w:autoSpaceDN w:val="0"/>
        <w:spacing w:line="360" w:lineRule="auto"/>
        <w:ind w:firstLine="480" w:firstLineChars="200"/>
        <w:rPr>
          <w:rFonts w:hint="eastAsia" w:asciiTheme="minorEastAsia" w:hAnsiTheme="minorEastAsia" w:eastAsiaTheme="minorEastAsia"/>
          <w:kern w:val="0"/>
          <w:sz w:val="24"/>
        </w:rPr>
      </w:pPr>
      <w:r>
        <w:rPr>
          <w:rFonts w:hint="eastAsia" w:ascii="宋体" w:hAnsi="宋体" w:cs="宋体"/>
          <w:sz w:val="24"/>
          <w:u w:val="single"/>
        </w:rPr>
        <w:t xml:space="preserve"> 1 </w:t>
      </w:r>
      <w:r>
        <w:rPr>
          <w:rFonts w:hint="eastAsia" w:asciiTheme="minorEastAsia" w:hAnsiTheme="minorEastAsia" w:eastAsiaTheme="minorEastAsia"/>
          <w:kern w:val="0"/>
          <w:sz w:val="24"/>
        </w:rPr>
        <w:t>标项项目评标方法为综合评分法，总计100分，评标按以下标准及要求进行：</w:t>
      </w:r>
    </w:p>
    <w:p>
      <w:pPr>
        <w:autoSpaceDE w:val="0"/>
        <w:autoSpaceDN w:val="0"/>
        <w:adjustRightInd w:val="0"/>
        <w:spacing w:line="360" w:lineRule="auto"/>
        <w:ind w:firstLine="482" w:firstLineChars="200"/>
      </w:pPr>
      <w:r>
        <w:rPr>
          <w:rFonts w:hint="eastAsia" w:ascii="宋体"/>
          <w:b/>
          <w:bCs/>
          <w:sz w:val="24"/>
        </w:rPr>
        <w:t>1.评分标准</w:t>
      </w:r>
    </w:p>
    <w:tbl>
      <w:tblPr>
        <w:tblStyle w:val="23"/>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240"/>
        <w:gridCol w:w="592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50" w:type="dxa"/>
            <w:shd w:val="clear" w:color="auto" w:fill="BEBEBE"/>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kern w:val="0"/>
                <w:szCs w:val="21"/>
              </w:rPr>
              <w:t>打分项目</w:t>
            </w:r>
          </w:p>
        </w:tc>
        <w:tc>
          <w:tcPr>
            <w:tcW w:w="7165" w:type="dxa"/>
            <w:gridSpan w:val="2"/>
            <w:shd w:val="clear" w:color="auto" w:fill="BEBEBE"/>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kern w:val="0"/>
                <w:szCs w:val="21"/>
              </w:rPr>
              <w:t>打 分 细 则</w:t>
            </w:r>
          </w:p>
        </w:tc>
        <w:tc>
          <w:tcPr>
            <w:tcW w:w="720" w:type="dxa"/>
            <w:shd w:val="clear" w:color="auto" w:fill="BEBEBE"/>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0" w:type="dxa"/>
            <w:vMerge w:val="restart"/>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bCs/>
                <w:kern w:val="0"/>
                <w:szCs w:val="21"/>
              </w:rPr>
              <w:t>技术性能</w:t>
            </w:r>
          </w:p>
          <w:p>
            <w:pPr>
              <w:pStyle w:val="6"/>
              <w:keepNext w:val="0"/>
              <w:keepLines w:val="0"/>
              <w:pageBreakBefore w:val="0"/>
              <w:kinsoku/>
              <w:wordWrap/>
              <w:overflowPunct/>
              <w:topLinePunct w:val="0"/>
              <w:autoSpaceDE/>
              <w:autoSpaceDN/>
              <w:bidi w:val="0"/>
              <w:ind w:firstLine="0" w:firstLineChars="0"/>
              <w:jc w:val="center"/>
              <w:textAlignment w:val="auto"/>
              <w:rPr>
                <w:rFonts w:ascii="宋体" w:hAnsi="宋体" w:cs="宋体"/>
                <w:kern w:val="0"/>
                <w:szCs w:val="21"/>
              </w:rPr>
            </w:pPr>
            <w:r>
              <w:rPr>
                <w:rFonts w:hint="eastAsia" w:ascii="宋体" w:hAnsi="宋体" w:cs="宋体"/>
                <w:b/>
                <w:bCs/>
                <w:kern w:val="0"/>
                <w:szCs w:val="21"/>
              </w:rPr>
              <w:t>（</w:t>
            </w:r>
            <w:r>
              <w:rPr>
                <w:rFonts w:hint="eastAsia" w:ascii="宋体" w:hAnsi="宋体" w:cs="宋体"/>
                <w:b/>
                <w:bCs/>
                <w:kern w:val="0"/>
                <w:szCs w:val="21"/>
                <w:lang w:val="en-US" w:eastAsia="zh-CN"/>
              </w:rPr>
              <w:t>51</w:t>
            </w:r>
            <w:r>
              <w:rPr>
                <w:rFonts w:hint="eastAsia" w:ascii="宋体" w:hAnsi="宋体" w:cs="宋体"/>
                <w:b/>
                <w:bCs/>
                <w:kern w:val="0"/>
                <w:szCs w:val="21"/>
              </w:rPr>
              <w:t>分）</w:t>
            </w:r>
          </w:p>
        </w:tc>
        <w:tc>
          <w:tcPr>
            <w:tcW w:w="1240" w:type="dxa"/>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bCs/>
                <w:kern w:val="0"/>
                <w:szCs w:val="21"/>
              </w:rPr>
              <w:t>技术指标响应评分</w:t>
            </w:r>
          </w:p>
        </w:tc>
        <w:tc>
          <w:tcPr>
            <w:tcW w:w="5925" w:type="dxa"/>
            <w:vAlign w:val="center"/>
          </w:tcPr>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根据投标产品的技术参数和功能实现是否完全满足招标文件要求，技术指标偏离情况逐条进行评分：</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① 完全满足或高于招标文件要求的，得3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②重要性能指标（标“★”）每有一项负偏离或未响应的扣</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分，其他性能指标每有一项负偏离或未响应的扣</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分，扣完为止。</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（技术参数中要求提供证明材料而未提供的，视为负偏离；</w:t>
            </w:r>
          </w:p>
          <w:p>
            <w:pPr>
              <w:keepNext w:val="0"/>
              <w:keepLines w:val="0"/>
              <w:pageBreakBefore w:val="0"/>
              <w:widowControl/>
              <w:kinsoku/>
              <w:wordWrap/>
              <w:overflowPunct/>
              <w:topLinePunct w:val="0"/>
              <w:autoSpaceDE/>
              <w:autoSpaceDN/>
              <w:bidi w:val="0"/>
              <w:ind w:firstLine="0" w:firstLineChars="0"/>
              <w:textAlignment w:val="auto"/>
              <w:rPr>
                <w:rFonts w:hint="default" w:ascii="宋体" w:hAnsi="宋体" w:cs="宋体"/>
                <w:color w:val="auto"/>
                <w:szCs w:val="21"/>
                <w:highlight w:val="none"/>
                <w:lang w:val="en-US" w:eastAsia="zh-CN"/>
              </w:rPr>
            </w:pPr>
            <w:r>
              <w:rPr>
                <w:rFonts w:hint="eastAsia" w:ascii="宋体" w:hAnsi="宋体" w:cs="宋体"/>
                <w:color w:val="auto"/>
                <w:kern w:val="0"/>
                <w:szCs w:val="21"/>
                <w:highlight w:val="none"/>
              </w:rPr>
              <w:t>所有产品重要性能指标（★）负偏离</w:t>
            </w:r>
            <w:r>
              <w:rPr>
                <w:rFonts w:hint="eastAsia" w:ascii="宋体" w:hAnsi="宋体" w:cs="宋体"/>
                <w:color w:val="auto"/>
                <w:kern w:val="0"/>
                <w:szCs w:val="21"/>
                <w:highlight w:val="none"/>
                <w:u w:val="single"/>
                <w:lang w:val="en-US" w:eastAsia="zh-CN"/>
              </w:rPr>
              <w:t>9</w:t>
            </w:r>
            <w:r>
              <w:rPr>
                <w:rFonts w:hint="eastAsia" w:ascii="宋体" w:hAnsi="宋体" w:cs="宋体"/>
                <w:color w:val="auto"/>
                <w:kern w:val="0"/>
                <w:szCs w:val="21"/>
                <w:highlight w:val="none"/>
              </w:rPr>
              <w:t>项（含）以上的为无效标。）</w:t>
            </w:r>
          </w:p>
        </w:tc>
        <w:tc>
          <w:tcPr>
            <w:tcW w:w="720" w:type="dxa"/>
            <w:vAlign w:val="center"/>
          </w:tcPr>
          <w:p>
            <w:pPr>
              <w:keepNext w:val="0"/>
              <w:keepLines w:val="0"/>
              <w:pageBreakBefore w:val="0"/>
              <w:kinsoku/>
              <w:wordWrap/>
              <w:overflowPunct/>
              <w:topLinePunct w:val="0"/>
              <w:autoSpaceDE/>
              <w:autoSpaceDN/>
              <w:bidi w:val="0"/>
              <w:ind w:firstLine="0" w:firstLineChars="0"/>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0" w:type="dxa"/>
            <w:vMerge w:val="continue"/>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p>
        </w:tc>
        <w:tc>
          <w:tcPr>
            <w:tcW w:w="1240" w:type="dxa"/>
            <w:vMerge w:val="restart"/>
            <w:vAlign w:val="center"/>
          </w:tcPr>
          <w:p>
            <w:pPr>
              <w:keepNext w:val="0"/>
              <w:keepLines w:val="0"/>
              <w:pageBreakBefore w:val="0"/>
              <w:kinsoku/>
              <w:wordWrap/>
              <w:overflowPunct/>
              <w:topLinePunct w:val="0"/>
              <w:autoSpaceDE/>
              <w:autoSpaceDN/>
              <w:bidi w:val="0"/>
              <w:ind w:firstLine="0" w:firstLineChars="0"/>
              <w:jc w:val="center"/>
              <w:textAlignment w:val="auto"/>
              <w:rPr>
                <w:rFonts w:hint="eastAsia" w:ascii="宋体" w:hAnsi="宋体" w:eastAsia="宋体" w:cs="宋体"/>
                <w:b/>
                <w:bCs/>
                <w:kern w:val="0"/>
                <w:szCs w:val="21"/>
                <w:lang w:eastAsia="zh-CN"/>
              </w:rPr>
            </w:pPr>
            <w:r>
              <w:rPr>
                <w:rFonts w:hint="eastAsia" w:ascii="宋体" w:hAnsi="宋体" w:cs="宋体"/>
                <w:b/>
                <w:bCs/>
                <w:kern w:val="0"/>
                <w:szCs w:val="21"/>
                <w:lang w:val="en-US" w:eastAsia="zh-CN"/>
              </w:rPr>
              <w:t>样品</w:t>
            </w:r>
          </w:p>
        </w:tc>
        <w:tc>
          <w:tcPr>
            <w:tcW w:w="5925" w:type="dxa"/>
            <w:vAlign w:val="center"/>
          </w:tcPr>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rPr>
              <w:t>评标委员会对</w:t>
            </w:r>
            <w:r>
              <w:rPr>
                <w:rFonts w:hint="eastAsia" w:ascii="宋体" w:hAnsi="宋体" w:cs="宋体"/>
                <w:b/>
                <w:sz w:val="22"/>
                <w:szCs w:val="22"/>
              </w:rPr>
              <w:t>生命探测仪（雷达生命探测仪）</w:t>
            </w:r>
            <w:r>
              <w:rPr>
                <w:rFonts w:hint="eastAsia" w:ascii="宋体" w:hAnsi="宋体" w:cs="宋体"/>
                <w:kern w:val="0"/>
                <w:szCs w:val="21"/>
              </w:rPr>
              <w:t>样品的材质、工艺、质量进行综合评审：</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lang w:val="en-US" w:eastAsia="zh-CN"/>
              </w:rPr>
              <w:t>①</w:t>
            </w:r>
            <w:r>
              <w:rPr>
                <w:rFonts w:hint="eastAsia" w:ascii="宋体" w:hAnsi="宋体" w:cs="宋体"/>
                <w:kern w:val="0"/>
                <w:szCs w:val="21"/>
              </w:rPr>
              <w:t>样品关键部件的外观结构完整、合理，材质好，制造工艺精良，质量好得5-4.1分；</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lang w:val="en-US" w:eastAsia="zh-CN"/>
              </w:rPr>
              <w:t>②</w:t>
            </w:r>
            <w:r>
              <w:rPr>
                <w:rFonts w:hint="eastAsia" w:ascii="宋体" w:hAnsi="宋体" w:cs="宋体"/>
                <w:kern w:val="0"/>
                <w:szCs w:val="21"/>
              </w:rPr>
              <w:t>样品关键部件的外观结构完整、合理，材质好，制造工艺高，质量好，较少部分非关键部件不完全满足采购文件要求，但不影响产品主要功能使用的得4-3.1分；</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lang w:val="en-US" w:eastAsia="zh-CN"/>
              </w:rPr>
              <w:t>③</w:t>
            </w:r>
            <w:r>
              <w:rPr>
                <w:rFonts w:hint="eastAsia" w:ascii="宋体" w:hAnsi="宋体" w:cs="宋体"/>
                <w:kern w:val="0"/>
                <w:szCs w:val="21"/>
              </w:rPr>
              <w:t>样品关键部件的外观结构完整、合理，材质好，制造工艺合格，质量合格，少部分非关键部件不完全满足采购文件要求，但不影响产品主要功能使用的得3-2.1分；</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lang w:val="en-US" w:eastAsia="zh-CN"/>
              </w:rPr>
              <w:t>④</w:t>
            </w:r>
            <w:r>
              <w:rPr>
                <w:rFonts w:hint="eastAsia" w:ascii="宋体" w:hAnsi="宋体" w:cs="宋体"/>
                <w:kern w:val="0"/>
                <w:szCs w:val="21"/>
              </w:rPr>
              <w:t>样品关键部件的外观结构不完整、不合理，材质差，制造工艺粗糙，质量一般，大部分非关键部件不完全满足采购文件，要求影响产品主要功能使用的得2-1.1分；</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eastAsia="宋体" w:cs="宋体"/>
                <w:kern w:val="0"/>
                <w:szCs w:val="21"/>
                <w:lang w:eastAsia="zh-CN"/>
              </w:rPr>
            </w:pPr>
            <w:r>
              <w:rPr>
                <w:rFonts w:hint="eastAsia" w:ascii="宋体" w:hAnsi="宋体" w:cs="宋体"/>
                <w:kern w:val="0"/>
                <w:szCs w:val="21"/>
                <w:lang w:val="en-US" w:eastAsia="zh-CN"/>
              </w:rPr>
              <w:t>⑤</w:t>
            </w:r>
            <w:r>
              <w:rPr>
                <w:rFonts w:hint="eastAsia" w:ascii="宋体" w:hAnsi="宋体" w:cs="宋体"/>
                <w:kern w:val="0"/>
                <w:szCs w:val="21"/>
              </w:rPr>
              <w:t>样品关键部件外观结构不完整、不合理，材质差，制造工艺粗糙，质量差，不满足采购文件要求，影响产品主要功能使用的得1-0.1分</w:t>
            </w:r>
            <w:r>
              <w:rPr>
                <w:rFonts w:hint="eastAsia" w:ascii="宋体" w:hAnsi="宋体" w:cs="宋体"/>
                <w:kern w:val="0"/>
                <w:szCs w:val="21"/>
                <w:lang w:eastAsia="zh-CN"/>
              </w:rPr>
              <w:t>；</w:t>
            </w:r>
          </w:p>
          <w:p>
            <w:pPr>
              <w:keepNext w:val="0"/>
              <w:keepLines w:val="0"/>
              <w:pageBreakBefore w:val="0"/>
              <w:widowControl/>
              <w:kinsoku/>
              <w:wordWrap/>
              <w:overflowPunct/>
              <w:topLinePunct w:val="0"/>
              <w:autoSpaceDE/>
              <w:autoSpaceDN/>
              <w:bidi w:val="0"/>
              <w:ind w:firstLine="0" w:firstLineChars="0"/>
              <w:textAlignment w:val="auto"/>
              <w:rPr>
                <w:rFonts w:hint="default" w:ascii="宋体" w:hAnsi="宋体" w:cs="宋体"/>
                <w:kern w:val="0"/>
                <w:szCs w:val="21"/>
                <w:lang w:val="en-US" w:eastAsia="zh-CN"/>
              </w:rPr>
            </w:pPr>
            <w:r>
              <w:rPr>
                <w:rFonts w:hint="eastAsia" w:ascii="宋体" w:hAnsi="宋体" w:cs="宋体"/>
                <w:kern w:val="0"/>
                <w:szCs w:val="21"/>
                <w:lang w:val="en-US" w:eastAsia="zh-CN"/>
              </w:rPr>
              <w:t>⑥</w:t>
            </w:r>
            <w:r>
              <w:rPr>
                <w:rFonts w:hint="eastAsia" w:ascii="宋体" w:hAnsi="宋体" w:cs="宋体"/>
                <w:kern w:val="0"/>
                <w:szCs w:val="21"/>
              </w:rPr>
              <w:t>样品与投标产品不一致、未提供样品的不得分。</w:t>
            </w:r>
          </w:p>
        </w:tc>
        <w:tc>
          <w:tcPr>
            <w:tcW w:w="720" w:type="dxa"/>
            <w:vAlign w:val="center"/>
          </w:tcPr>
          <w:p>
            <w:pPr>
              <w:keepNext w:val="0"/>
              <w:keepLines w:val="0"/>
              <w:pageBreakBefore w:val="0"/>
              <w:kinsoku/>
              <w:wordWrap/>
              <w:overflowPunct/>
              <w:topLinePunct w:val="0"/>
              <w:autoSpaceDE/>
              <w:autoSpaceDN/>
              <w:bidi w:val="0"/>
              <w:ind w:firstLine="0" w:firstLineChars="0"/>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0" w:type="dxa"/>
            <w:vMerge w:val="continue"/>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p>
        </w:tc>
        <w:tc>
          <w:tcPr>
            <w:tcW w:w="1240" w:type="dxa"/>
            <w:vMerge w:val="continue"/>
            <w:vAlign w:val="center"/>
          </w:tcPr>
          <w:p>
            <w:pPr>
              <w:keepNext w:val="0"/>
              <w:keepLines w:val="0"/>
              <w:pageBreakBefore w:val="0"/>
              <w:kinsoku/>
              <w:wordWrap/>
              <w:overflowPunct/>
              <w:topLinePunct w:val="0"/>
              <w:autoSpaceDE/>
              <w:autoSpaceDN/>
              <w:bidi w:val="0"/>
              <w:ind w:firstLine="0" w:firstLineChars="0"/>
              <w:jc w:val="center"/>
              <w:textAlignment w:val="auto"/>
              <w:rPr>
                <w:rFonts w:hint="eastAsia" w:ascii="宋体" w:hAnsi="宋体" w:cs="宋体"/>
                <w:b/>
                <w:bCs/>
                <w:kern w:val="0"/>
                <w:szCs w:val="21"/>
                <w:lang w:val="en-US" w:eastAsia="zh-CN"/>
              </w:rPr>
            </w:pPr>
          </w:p>
        </w:tc>
        <w:tc>
          <w:tcPr>
            <w:tcW w:w="5925" w:type="dxa"/>
            <w:vAlign w:val="center"/>
          </w:tcPr>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rPr>
              <w:t>评标委员会对</w:t>
            </w:r>
            <w:r>
              <w:rPr>
                <w:rFonts w:hint="eastAsia" w:ascii="宋体" w:hAnsi="宋体" w:cs="宋体"/>
                <w:b/>
                <w:sz w:val="22"/>
                <w:szCs w:val="22"/>
              </w:rPr>
              <w:t>正压空气呼吸器</w:t>
            </w:r>
            <w:r>
              <w:rPr>
                <w:rFonts w:hint="eastAsia" w:ascii="宋体" w:hAnsi="宋体" w:cs="宋体"/>
                <w:kern w:val="0"/>
                <w:szCs w:val="21"/>
              </w:rPr>
              <w:t>样品的材质、工艺、质量进行综合评审：</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lang w:val="en-US" w:eastAsia="zh-CN"/>
              </w:rPr>
              <w:t>①</w:t>
            </w:r>
            <w:r>
              <w:rPr>
                <w:rFonts w:hint="eastAsia" w:ascii="宋体" w:hAnsi="宋体" w:cs="宋体"/>
                <w:kern w:val="0"/>
                <w:szCs w:val="21"/>
              </w:rPr>
              <w:t>样品关键部件的外观结构完整、合理，材质好，制造工艺精良，质量好得5-4.1分；</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lang w:val="en-US" w:eastAsia="zh-CN"/>
              </w:rPr>
              <w:t>②</w:t>
            </w:r>
            <w:r>
              <w:rPr>
                <w:rFonts w:hint="eastAsia" w:ascii="宋体" w:hAnsi="宋体" w:cs="宋体"/>
                <w:kern w:val="0"/>
                <w:szCs w:val="21"/>
              </w:rPr>
              <w:t>样品关键部件的外观结构完整、合理，材质好，制造工艺高，质量好，较少部分非关键部件不完全满足采购文件要求，但不影响产品主要功能使用的得4-3.1分；</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lang w:val="en-US" w:eastAsia="zh-CN"/>
              </w:rPr>
              <w:t>③</w:t>
            </w:r>
            <w:r>
              <w:rPr>
                <w:rFonts w:hint="eastAsia" w:ascii="宋体" w:hAnsi="宋体" w:cs="宋体"/>
                <w:kern w:val="0"/>
                <w:szCs w:val="21"/>
              </w:rPr>
              <w:t>样品关键部件的外观结构完整、合理，材质好，制造工艺合格，质量合格，少部分非关键部件不完全满足采购文件要求，但不影响产品主要功能使用的得3-2.1分；</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lang w:val="en-US" w:eastAsia="zh-CN"/>
              </w:rPr>
              <w:t>④</w:t>
            </w:r>
            <w:r>
              <w:rPr>
                <w:rFonts w:hint="eastAsia" w:ascii="宋体" w:hAnsi="宋体" w:cs="宋体"/>
                <w:kern w:val="0"/>
                <w:szCs w:val="21"/>
              </w:rPr>
              <w:t>样品关键部件的外观结构不完整、不合理，材质差，制造工艺粗糙，质量一般，大部分非关键部件不完全满足采购文件，要求影响产品主要功能使用的得2-1.1分；</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lang w:eastAsia="zh-CN"/>
              </w:rPr>
            </w:pPr>
            <w:r>
              <w:rPr>
                <w:rFonts w:hint="eastAsia" w:ascii="宋体" w:hAnsi="宋体" w:cs="宋体"/>
                <w:kern w:val="0"/>
                <w:szCs w:val="21"/>
                <w:lang w:val="en-US" w:eastAsia="zh-CN"/>
              </w:rPr>
              <w:t>⑤</w:t>
            </w:r>
            <w:r>
              <w:rPr>
                <w:rFonts w:hint="eastAsia" w:ascii="宋体" w:hAnsi="宋体" w:cs="宋体"/>
                <w:kern w:val="0"/>
                <w:szCs w:val="21"/>
              </w:rPr>
              <w:t>样品关键部件外观结构不完整、不合理，材质差，制造工艺粗糙，质量差，不满足采购文件要求，影响产品主要功能使用的得1-0.1分</w:t>
            </w:r>
            <w:r>
              <w:rPr>
                <w:rFonts w:hint="eastAsia" w:ascii="宋体" w:hAnsi="宋体" w:cs="宋体"/>
                <w:kern w:val="0"/>
                <w:szCs w:val="21"/>
                <w:lang w:eastAsia="zh-CN"/>
              </w:rPr>
              <w:t>；</w:t>
            </w:r>
          </w:p>
          <w:p>
            <w:pPr>
              <w:keepNext w:val="0"/>
              <w:keepLines w:val="0"/>
              <w:pageBreakBefore w:val="0"/>
              <w:widowControl/>
              <w:kinsoku/>
              <w:wordWrap/>
              <w:overflowPunct/>
              <w:topLinePunct w:val="0"/>
              <w:autoSpaceDE/>
              <w:autoSpaceDN/>
              <w:bidi w:val="0"/>
              <w:ind w:firstLine="0" w:firstLineChars="0"/>
              <w:textAlignment w:val="auto"/>
              <w:rPr>
                <w:rFonts w:hint="eastAsia" w:ascii="宋体" w:hAnsi="宋体" w:cs="宋体"/>
                <w:kern w:val="0"/>
                <w:szCs w:val="21"/>
                <w:lang w:val="en-US" w:eastAsia="zh-CN"/>
              </w:rPr>
            </w:pPr>
            <w:r>
              <w:rPr>
                <w:rFonts w:hint="eastAsia" w:ascii="宋体" w:hAnsi="宋体" w:cs="宋体"/>
                <w:kern w:val="0"/>
                <w:szCs w:val="21"/>
                <w:lang w:val="en-US" w:eastAsia="zh-CN"/>
              </w:rPr>
              <w:t>⑥</w:t>
            </w:r>
            <w:r>
              <w:rPr>
                <w:rFonts w:hint="eastAsia" w:ascii="宋体" w:hAnsi="宋体" w:cs="宋体"/>
                <w:kern w:val="0"/>
                <w:szCs w:val="21"/>
              </w:rPr>
              <w:t>样品与投标产品不一致、未提供样品的不得分。</w:t>
            </w:r>
          </w:p>
        </w:tc>
        <w:tc>
          <w:tcPr>
            <w:tcW w:w="720" w:type="dxa"/>
            <w:vAlign w:val="center"/>
          </w:tcPr>
          <w:p>
            <w:pPr>
              <w:keepNext w:val="0"/>
              <w:keepLines w:val="0"/>
              <w:pageBreakBefore w:val="0"/>
              <w:kinsoku/>
              <w:wordWrap/>
              <w:overflowPunct/>
              <w:topLinePunct w:val="0"/>
              <w:autoSpaceDE/>
              <w:autoSpaceDN/>
              <w:bidi w:val="0"/>
              <w:ind w:firstLine="0" w:firstLineChars="0"/>
              <w:jc w:val="center"/>
              <w:textAlignment w:val="auto"/>
              <w:rPr>
                <w:rFonts w:hint="default" w:ascii="宋体" w:hAnsi="宋体" w:cs="宋体"/>
                <w:kern w:val="0"/>
                <w:szCs w:val="21"/>
                <w:lang w:val="en-US" w:eastAsia="zh-CN"/>
              </w:rPr>
            </w:pPr>
            <w:r>
              <w:rPr>
                <w:rFonts w:hint="eastAsia" w:ascii="宋体" w:hAnsi="宋体" w:cs="宋体"/>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250" w:type="dxa"/>
            <w:vMerge w:val="continue"/>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p>
        </w:tc>
        <w:tc>
          <w:tcPr>
            <w:tcW w:w="1240" w:type="dxa"/>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bCs/>
                <w:kern w:val="0"/>
                <w:szCs w:val="21"/>
                <w:lang w:val="en-US" w:eastAsia="zh-CN"/>
              </w:rPr>
              <w:t>组织</w:t>
            </w:r>
            <w:r>
              <w:rPr>
                <w:rFonts w:hint="eastAsia" w:ascii="宋体" w:hAnsi="宋体" w:cs="宋体"/>
                <w:b/>
                <w:bCs/>
                <w:kern w:val="0"/>
                <w:szCs w:val="21"/>
              </w:rPr>
              <w:t>实施方案</w:t>
            </w:r>
          </w:p>
        </w:tc>
        <w:tc>
          <w:tcPr>
            <w:tcW w:w="5925" w:type="dxa"/>
            <w:vAlign w:val="center"/>
          </w:tcPr>
          <w:p>
            <w:pPr>
              <w:pStyle w:val="8"/>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cs="仿宋_GB2312"/>
              </w:rPr>
            </w:pPr>
            <w:r>
              <w:rPr>
                <w:rFonts w:hint="eastAsia" w:ascii="宋体" w:hAnsi="宋体" w:cs="仿宋_GB2312"/>
              </w:rPr>
              <w:t>根据投标人针对本项目提供的组织实施方案（包括但不限于项目进度及实施计划、各项应急措施、技术维护等）进行综合评分：</w:t>
            </w:r>
          </w:p>
          <w:p>
            <w:pPr>
              <w:pStyle w:val="8"/>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cs="宋体"/>
              </w:rPr>
            </w:pPr>
            <w:r>
              <w:rPr>
                <w:rFonts w:hint="eastAsia" w:ascii="宋体" w:hAnsi="宋体" w:cs="宋体"/>
              </w:rPr>
              <w:t>① 方案内容详实，逻辑缜密，具有针对性，可实施性强的得6-4.1分；</w:t>
            </w:r>
          </w:p>
          <w:p>
            <w:pPr>
              <w:pStyle w:val="8"/>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rPr>
              <w:t>② 方案方案内容较详实，基本能符合采购需要，针对性，可实施性一般的得4-2.1分；</w:t>
            </w:r>
          </w:p>
          <w:p>
            <w:pPr>
              <w:pStyle w:val="8"/>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rPr>
              <w:t>③ 方案存在缺陷的，得2-0.1分；</w:t>
            </w:r>
          </w:p>
          <w:p>
            <w:pPr>
              <w:pStyle w:val="8"/>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rPr>
              <w:t>④ 未提供相关描述不得分。</w:t>
            </w:r>
          </w:p>
        </w:tc>
        <w:tc>
          <w:tcPr>
            <w:tcW w:w="720" w:type="dxa"/>
            <w:vAlign w:val="center"/>
          </w:tcPr>
          <w:p>
            <w:pPr>
              <w:keepNext w:val="0"/>
              <w:keepLines w:val="0"/>
              <w:pageBreakBefore w:val="0"/>
              <w:kinsoku/>
              <w:wordWrap/>
              <w:overflowPunct/>
              <w:topLinePunct w:val="0"/>
              <w:autoSpaceDE/>
              <w:autoSpaceDN/>
              <w:bidi w:val="0"/>
              <w:ind w:firstLine="0" w:firstLineChars="0"/>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250" w:type="dxa"/>
            <w:vMerge w:val="continue"/>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p>
        </w:tc>
        <w:tc>
          <w:tcPr>
            <w:tcW w:w="1240" w:type="dxa"/>
            <w:vAlign w:val="center"/>
          </w:tcPr>
          <w:p>
            <w:pPr>
              <w:keepNext w:val="0"/>
              <w:keepLines w:val="0"/>
              <w:pageBreakBefore w:val="0"/>
              <w:kinsoku/>
              <w:wordWrap/>
              <w:overflowPunct/>
              <w:topLinePunct w:val="0"/>
              <w:autoSpaceDE/>
              <w:autoSpaceDN/>
              <w:bidi w:val="0"/>
              <w:ind w:firstLine="0" w:firstLineChars="0"/>
              <w:jc w:val="center"/>
              <w:textAlignment w:val="auto"/>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质量保证方案</w:t>
            </w:r>
          </w:p>
        </w:tc>
        <w:tc>
          <w:tcPr>
            <w:tcW w:w="5925" w:type="dxa"/>
            <w:vAlign w:val="center"/>
          </w:tcPr>
          <w:p>
            <w:pPr>
              <w:pStyle w:val="8"/>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cs="宋体"/>
              </w:rPr>
            </w:pPr>
            <w:r>
              <w:rPr>
                <w:rFonts w:hint="eastAsia" w:ascii="宋体" w:hAnsi="宋体" w:cs="宋体"/>
              </w:rPr>
              <w:t>根据投标人针对本项目提供的项目产品质量保障措施及方案进行综合评分：</w:t>
            </w:r>
          </w:p>
          <w:p>
            <w:pPr>
              <w:pStyle w:val="8"/>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cs="宋体"/>
              </w:rPr>
            </w:pPr>
            <w:r>
              <w:rPr>
                <w:rFonts w:hint="eastAsia" w:ascii="宋体" w:hAnsi="宋体" w:cs="宋体"/>
              </w:rPr>
              <w:t>① 方案内容详实，具有针对性，可实施性强的得3-2.1分；</w:t>
            </w:r>
          </w:p>
          <w:p>
            <w:pPr>
              <w:pStyle w:val="8"/>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cs="宋体"/>
              </w:rPr>
            </w:pPr>
            <w:r>
              <w:rPr>
                <w:rFonts w:hint="eastAsia" w:ascii="宋体" w:hAnsi="宋体" w:cs="宋体"/>
              </w:rPr>
              <w:t>② 方案内容较详实，基本能符合采购需要，针对性，可实施性一般的得2-1.1分；</w:t>
            </w:r>
          </w:p>
          <w:p>
            <w:pPr>
              <w:pStyle w:val="8"/>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cs="宋体"/>
              </w:rPr>
            </w:pPr>
            <w:r>
              <w:rPr>
                <w:rFonts w:hint="eastAsia" w:ascii="宋体" w:hAnsi="宋体" w:cs="宋体"/>
              </w:rPr>
              <w:t>③ 方案存在缺陷的，得1-0.1分；</w:t>
            </w:r>
          </w:p>
          <w:p>
            <w:pPr>
              <w:pStyle w:val="8"/>
              <w:keepNext w:val="0"/>
              <w:keepLines w:val="0"/>
              <w:pageBreakBefore w:val="0"/>
              <w:numPr>
                <w:ilvl w:val="0"/>
                <w:numId w:val="0"/>
              </w:numPr>
              <w:kinsoku/>
              <w:wordWrap/>
              <w:overflowPunct/>
              <w:topLinePunct w:val="0"/>
              <w:autoSpaceDE/>
              <w:autoSpaceDN/>
              <w:bidi w:val="0"/>
              <w:snapToGrid w:val="0"/>
              <w:textAlignment w:val="auto"/>
              <w:rPr>
                <w:rFonts w:hint="eastAsia" w:ascii="宋体" w:hAnsi="宋体" w:cs="宋体"/>
              </w:rPr>
            </w:pPr>
            <w:r>
              <w:rPr>
                <w:rFonts w:hint="eastAsia" w:ascii="宋体" w:hAnsi="宋体" w:cs="宋体"/>
              </w:rPr>
              <w:t>④ 未提供相关描述不得分。</w:t>
            </w:r>
          </w:p>
        </w:tc>
        <w:tc>
          <w:tcPr>
            <w:tcW w:w="720" w:type="dxa"/>
            <w:vAlign w:val="center"/>
          </w:tcPr>
          <w:p>
            <w:pPr>
              <w:keepNext w:val="0"/>
              <w:keepLines w:val="0"/>
              <w:pageBreakBefore w:val="0"/>
              <w:kinsoku/>
              <w:wordWrap/>
              <w:overflowPunct/>
              <w:topLinePunct w:val="0"/>
              <w:autoSpaceDE/>
              <w:autoSpaceDN/>
              <w:bidi w:val="0"/>
              <w:ind w:firstLine="0" w:firstLineChars="0"/>
              <w:jc w:val="center"/>
              <w:textAlignment w:val="auto"/>
              <w:rPr>
                <w:rFonts w:hint="default" w:ascii="宋体" w:hAnsi="宋体" w:cs="宋体"/>
                <w:kern w:val="0"/>
                <w:szCs w:val="21"/>
                <w:lang w:val="en-US" w:eastAsia="zh-CN"/>
              </w:rPr>
            </w:pPr>
            <w:r>
              <w:rPr>
                <w:rFonts w:hint="eastAsia" w:ascii="宋体" w:hAnsi="宋体" w:cs="宋体"/>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250" w:type="dxa"/>
            <w:vAlign w:val="center"/>
          </w:tcPr>
          <w:p>
            <w:pPr>
              <w:pStyle w:val="6"/>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bCs/>
                <w:kern w:val="0"/>
                <w:szCs w:val="21"/>
              </w:rPr>
              <w:t>实力信誉及业绩</w:t>
            </w:r>
          </w:p>
          <w:p>
            <w:pPr>
              <w:pStyle w:val="6"/>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bCs/>
                <w:kern w:val="0"/>
                <w:szCs w:val="21"/>
              </w:rPr>
              <w:t>（</w:t>
            </w:r>
            <w:r>
              <w:rPr>
                <w:rFonts w:hint="eastAsia" w:ascii="宋体" w:hAnsi="宋体" w:cs="宋体"/>
                <w:b/>
                <w:bCs/>
                <w:kern w:val="0"/>
                <w:szCs w:val="21"/>
                <w:lang w:val="en-US" w:eastAsia="zh-CN"/>
              </w:rPr>
              <w:t>3</w:t>
            </w:r>
            <w:r>
              <w:rPr>
                <w:rFonts w:hint="eastAsia" w:ascii="宋体" w:hAnsi="宋体" w:cs="宋体"/>
                <w:b/>
                <w:bCs/>
                <w:kern w:val="0"/>
                <w:szCs w:val="21"/>
              </w:rPr>
              <w:t>分）</w:t>
            </w:r>
          </w:p>
        </w:tc>
        <w:tc>
          <w:tcPr>
            <w:tcW w:w="1240" w:type="dxa"/>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bCs/>
                <w:kern w:val="0"/>
                <w:szCs w:val="21"/>
              </w:rPr>
              <w:t>项目业绩</w:t>
            </w:r>
          </w:p>
        </w:tc>
        <w:tc>
          <w:tcPr>
            <w:tcW w:w="5925" w:type="dxa"/>
            <w:vAlign w:val="center"/>
          </w:tcPr>
          <w:p>
            <w:pPr>
              <w:keepNext w:val="0"/>
              <w:keepLines w:val="0"/>
              <w:pageBreakBefore w:val="0"/>
              <w:kinsoku/>
              <w:wordWrap/>
              <w:overflowPunct/>
              <w:topLinePunct w:val="0"/>
              <w:autoSpaceDE/>
              <w:autoSpaceDN/>
              <w:bidi w:val="0"/>
              <w:ind w:firstLine="0" w:firstLineChars="0"/>
              <w:textAlignment w:val="auto"/>
              <w:rPr>
                <w:rFonts w:hint="eastAsia" w:ascii="宋体" w:hAnsi="宋体" w:cs="宋体"/>
                <w:color w:val="auto"/>
                <w:szCs w:val="21"/>
              </w:rPr>
            </w:pPr>
            <w:r>
              <w:rPr>
                <w:rFonts w:hint="eastAsia" w:ascii="宋体" w:hAnsi="宋体" w:cs="宋体"/>
                <w:color w:val="auto"/>
                <w:szCs w:val="21"/>
              </w:rPr>
              <w:t>根据制造商或供应商自2021年6月（含）至今（以合同签订时间为准）至今承担过同类项目（至少包括核心产品）实施业绩情况，每提供一份业绩得1分，最高得3分。</w:t>
            </w:r>
          </w:p>
          <w:p>
            <w:pPr>
              <w:keepNext w:val="0"/>
              <w:keepLines w:val="0"/>
              <w:pageBreakBefore w:val="0"/>
              <w:kinsoku/>
              <w:wordWrap/>
              <w:overflowPunct/>
              <w:topLinePunct w:val="0"/>
              <w:autoSpaceDE/>
              <w:autoSpaceDN/>
              <w:bidi w:val="0"/>
              <w:ind w:firstLine="0" w:firstLineChars="0"/>
              <w:textAlignment w:val="auto"/>
              <w:rPr>
                <w:rFonts w:hint="eastAsia" w:ascii="宋体" w:hAnsi="宋体" w:eastAsia="宋体" w:cs="宋体"/>
                <w:kern w:val="0"/>
                <w:szCs w:val="21"/>
                <w:lang w:eastAsia="zh-CN"/>
              </w:rPr>
            </w:pPr>
            <w:r>
              <w:rPr>
                <w:rFonts w:hint="eastAsia" w:ascii="宋体" w:hAnsi="宋体" w:cs="宋体"/>
                <w:color w:val="auto"/>
                <w:szCs w:val="21"/>
              </w:rPr>
              <w:t>注：须提供合同、发票（或银行转账记录）扫描件，未提供或缺项不得分；字迹模糊无法辨识的，该笔业绩不予计分。</w:t>
            </w:r>
          </w:p>
        </w:tc>
        <w:tc>
          <w:tcPr>
            <w:tcW w:w="720" w:type="dxa"/>
            <w:vAlign w:val="center"/>
          </w:tcPr>
          <w:p>
            <w:pPr>
              <w:keepNext w:val="0"/>
              <w:keepLines w:val="0"/>
              <w:pageBreakBefore w:val="0"/>
              <w:kinsoku/>
              <w:wordWrap/>
              <w:overflowPunct/>
              <w:topLinePunct w:val="0"/>
              <w:autoSpaceDE/>
              <w:autoSpaceDN/>
              <w:bidi w:val="0"/>
              <w:ind w:firstLine="0" w:firstLineChars="0"/>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50" w:type="dxa"/>
            <w:vMerge w:val="restart"/>
            <w:vAlign w:val="center"/>
          </w:tcPr>
          <w:p>
            <w:pPr>
              <w:pStyle w:val="6"/>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bCs/>
                <w:kern w:val="0"/>
                <w:szCs w:val="21"/>
              </w:rPr>
              <w:t>售后服务承诺</w:t>
            </w:r>
          </w:p>
          <w:p>
            <w:pPr>
              <w:pStyle w:val="6"/>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bCs/>
                <w:kern w:val="0"/>
                <w:szCs w:val="21"/>
              </w:rPr>
              <w:t>（</w:t>
            </w:r>
            <w:r>
              <w:rPr>
                <w:rFonts w:hint="eastAsia" w:ascii="宋体" w:hAnsi="宋体" w:cs="宋体"/>
                <w:b/>
                <w:bCs/>
                <w:kern w:val="0"/>
                <w:szCs w:val="21"/>
                <w:lang w:val="en-US" w:eastAsia="zh-CN"/>
              </w:rPr>
              <w:t>16</w:t>
            </w:r>
            <w:r>
              <w:rPr>
                <w:rFonts w:hint="eastAsia" w:ascii="宋体" w:hAnsi="宋体" w:cs="宋体"/>
                <w:b/>
                <w:bCs/>
                <w:kern w:val="0"/>
                <w:szCs w:val="21"/>
              </w:rPr>
              <w:t>分）</w:t>
            </w:r>
          </w:p>
        </w:tc>
        <w:tc>
          <w:tcPr>
            <w:tcW w:w="1240" w:type="dxa"/>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bCs/>
                <w:kern w:val="0"/>
                <w:szCs w:val="21"/>
              </w:rPr>
              <w:t>售后服务方案</w:t>
            </w:r>
          </w:p>
        </w:tc>
        <w:tc>
          <w:tcPr>
            <w:tcW w:w="5925" w:type="dxa"/>
            <w:vAlign w:val="center"/>
          </w:tcPr>
          <w:p>
            <w:pPr>
              <w:keepNext w:val="0"/>
              <w:keepLines w:val="0"/>
              <w:pageBreakBefore w:val="0"/>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rPr>
              <w:t>根据投标人针对本项目提供的售后服务方案，包括但不限于对售后服务响应时间、方式、售后服务承诺、服务能力等方面进行综合评分：</w:t>
            </w:r>
          </w:p>
          <w:p>
            <w:pPr>
              <w:keepNext w:val="0"/>
              <w:keepLines w:val="0"/>
              <w:pageBreakBefore w:val="0"/>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rPr>
              <w:t>① 方案内容详实，逻辑缜密，具有针对性，可实施性强的得</w:t>
            </w:r>
            <w:r>
              <w:rPr>
                <w:rFonts w:hint="eastAsia" w:ascii="宋体" w:hAnsi="宋体" w:cs="宋体"/>
                <w:kern w:val="0"/>
                <w:szCs w:val="21"/>
                <w:lang w:val="en-US" w:eastAsia="zh-CN"/>
              </w:rPr>
              <w:t>11</w:t>
            </w:r>
            <w:r>
              <w:rPr>
                <w:rFonts w:hint="eastAsia" w:ascii="宋体" w:hAnsi="宋体" w:cs="宋体"/>
                <w:kern w:val="0"/>
                <w:szCs w:val="21"/>
              </w:rPr>
              <w:t>-</w:t>
            </w:r>
            <w:r>
              <w:rPr>
                <w:rFonts w:hint="eastAsia" w:ascii="宋体" w:hAnsi="宋体" w:cs="宋体"/>
                <w:kern w:val="0"/>
                <w:szCs w:val="21"/>
                <w:lang w:val="en-US" w:eastAsia="zh-CN"/>
              </w:rPr>
              <w:t>6</w:t>
            </w:r>
            <w:r>
              <w:rPr>
                <w:rFonts w:hint="eastAsia" w:ascii="宋体" w:hAnsi="宋体" w:cs="宋体"/>
                <w:kern w:val="0"/>
                <w:szCs w:val="21"/>
              </w:rPr>
              <w:t>.1分；</w:t>
            </w:r>
          </w:p>
          <w:p>
            <w:pPr>
              <w:keepNext w:val="0"/>
              <w:keepLines w:val="0"/>
              <w:pageBreakBefore w:val="0"/>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rPr>
              <w:t>② 方案内容较详实，基本能符合采购需要，针对性，可实施性一般的得</w:t>
            </w:r>
            <w:r>
              <w:rPr>
                <w:rFonts w:hint="eastAsia" w:ascii="宋体" w:hAnsi="宋体" w:cs="宋体"/>
                <w:kern w:val="0"/>
                <w:szCs w:val="21"/>
                <w:lang w:val="en-US" w:eastAsia="zh-CN"/>
              </w:rPr>
              <w:t>6</w:t>
            </w:r>
            <w:r>
              <w:rPr>
                <w:rFonts w:hint="eastAsia" w:ascii="宋体" w:hAnsi="宋体" w:cs="宋体"/>
                <w:kern w:val="0"/>
                <w:szCs w:val="21"/>
              </w:rPr>
              <w:t>-</w:t>
            </w:r>
            <w:r>
              <w:rPr>
                <w:rFonts w:hint="eastAsia" w:ascii="宋体" w:hAnsi="宋体" w:cs="宋体"/>
                <w:kern w:val="0"/>
                <w:szCs w:val="21"/>
                <w:lang w:val="en-US" w:eastAsia="zh-CN"/>
              </w:rPr>
              <w:t>2</w:t>
            </w:r>
            <w:r>
              <w:rPr>
                <w:rFonts w:hint="eastAsia" w:ascii="宋体" w:hAnsi="宋体" w:cs="宋体"/>
                <w:kern w:val="0"/>
                <w:szCs w:val="21"/>
              </w:rPr>
              <w:t>.1分；</w:t>
            </w:r>
          </w:p>
          <w:p>
            <w:pPr>
              <w:keepNext w:val="0"/>
              <w:keepLines w:val="0"/>
              <w:pageBreakBefore w:val="0"/>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rPr>
              <w:t>③ 方案存在缺陷的，得</w:t>
            </w:r>
            <w:r>
              <w:rPr>
                <w:rFonts w:hint="eastAsia" w:ascii="宋体" w:hAnsi="宋体" w:cs="宋体"/>
                <w:kern w:val="0"/>
                <w:szCs w:val="21"/>
                <w:lang w:val="en-US" w:eastAsia="zh-CN"/>
              </w:rPr>
              <w:t>2</w:t>
            </w:r>
            <w:r>
              <w:rPr>
                <w:rFonts w:hint="eastAsia" w:ascii="宋体" w:hAnsi="宋体" w:cs="宋体"/>
                <w:kern w:val="0"/>
                <w:szCs w:val="21"/>
              </w:rPr>
              <w:t>-0.1分；</w:t>
            </w:r>
          </w:p>
          <w:p>
            <w:pPr>
              <w:keepNext w:val="0"/>
              <w:keepLines w:val="0"/>
              <w:pageBreakBefore w:val="0"/>
              <w:kinsoku/>
              <w:wordWrap/>
              <w:overflowPunct/>
              <w:topLinePunct w:val="0"/>
              <w:autoSpaceDE/>
              <w:autoSpaceDN/>
              <w:bidi w:val="0"/>
              <w:ind w:firstLine="0" w:firstLineChars="0"/>
              <w:textAlignment w:val="auto"/>
              <w:rPr>
                <w:rFonts w:hint="eastAsia" w:ascii="宋体" w:hAnsi="宋体" w:eastAsia="宋体" w:cs="宋体"/>
                <w:kern w:val="0"/>
                <w:szCs w:val="21"/>
                <w:lang w:val="en-US" w:eastAsia="zh-CN"/>
              </w:rPr>
            </w:pPr>
            <w:r>
              <w:rPr>
                <w:rFonts w:hint="eastAsia" w:ascii="宋体" w:hAnsi="宋体" w:cs="宋体"/>
                <w:kern w:val="0"/>
                <w:szCs w:val="21"/>
              </w:rPr>
              <w:t>④ 未提供相关描述不得分。</w:t>
            </w:r>
          </w:p>
        </w:tc>
        <w:tc>
          <w:tcPr>
            <w:tcW w:w="720" w:type="dxa"/>
            <w:vAlign w:val="center"/>
          </w:tcPr>
          <w:p>
            <w:pPr>
              <w:keepNext w:val="0"/>
              <w:keepLines w:val="0"/>
              <w:pageBreakBefore w:val="0"/>
              <w:kinsoku/>
              <w:wordWrap/>
              <w:overflowPunct/>
              <w:topLinePunct w:val="0"/>
              <w:autoSpaceDE/>
              <w:autoSpaceDN/>
              <w:bidi w:val="0"/>
              <w:ind w:firstLine="0" w:firstLineChars="0"/>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250" w:type="dxa"/>
            <w:vMerge w:val="continue"/>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p>
        </w:tc>
        <w:tc>
          <w:tcPr>
            <w:tcW w:w="1240" w:type="dxa"/>
            <w:vAlign w:val="center"/>
          </w:tcPr>
          <w:p>
            <w:pPr>
              <w:keepNext w:val="0"/>
              <w:keepLines w:val="0"/>
              <w:pageBreakBefore w:val="0"/>
              <w:kinsoku/>
              <w:wordWrap/>
              <w:overflowPunct/>
              <w:topLinePunct w:val="0"/>
              <w:autoSpaceDE/>
              <w:autoSpaceDN/>
              <w:bidi w:val="0"/>
              <w:ind w:firstLine="0" w:firstLineChars="0"/>
              <w:jc w:val="center"/>
              <w:textAlignment w:val="auto"/>
              <w:rPr>
                <w:rFonts w:ascii="宋体" w:hAnsi="宋体" w:cs="宋体"/>
                <w:b/>
                <w:bCs/>
                <w:kern w:val="0"/>
                <w:szCs w:val="21"/>
              </w:rPr>
            </w:pPr>
            <w:r>
              <w:rPr>
                <w:rFonts w:hint="eastAsia" w:ascii="宋体" w:hAnsi="宋体" w:cs="宋体"/>
                <w:b/>
                <w:bCs/>
                <w:kern w:val="0"/>
                <w:szCs w:val="21"/>
              </w:rPr>
              <w:t>培训方案</w:t>
            </w:r>
          </w:p>
        </w:tc>
        <w:tc>
          <w:tcPr>
            <w:tcW w:w="5925" w:type="dxa"/>
            <w:vAlign w:val="center"/>
          </w:tcPr>
          <w:p>
            <w:pPr>
              <w:keepNext w:val="0"/>
              <w:keepLines w:val="0"/>
              <w:pageBreakBefore w:val="0"/>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rPr>
              <w:t>根据投标人提供的培训方案（包括培训内容、培训时间地点、培训对象、培训师资力量等内容)的完整性、合理性，并结合本项目实际情况进行综合评分：</w:t>
            </w:r>
          </w:p>
          <w:p>
            <w:pPr>
              <w:keepNext w:val="0"/>
              <w:keepLines w:val="0"/>
              <w:pageBreakBefore w:val="0"/>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rPr>
              <w:t>① 方案内容详实，逻辑缜密，具有针对性，可实施性强的得</w:t>
            </w:r>
            <w:r>
              <w:rPr>
                <w:rFonts w:hint="eastAsia" w:ascii="宋体" w:hAnsi="宋体" w:cs="宋体"/>
                <w:kern w:val="0"/>
                <w:szCs w:val="21"/>
                <w:lang w:val="en-US" w:eastAsia="zh-CN"/>
              </w:rPr>
              <w:t>5</w:t>
            </w:r>
            <w:r>
              <w:rPr>
                <w:rFonts w:hint="eastAsia" w:ascii="宋体" w:hAnsi="宋体" w:cs="宋体"/>
                <w:kern w:val="0"/>
                <w:szCs w:val="21"/>
              </w:rPr>
              <w:t>-</w:t>
            </w:r>
            <w:r>
              <w:rPr>
                <w:rFonts w:hint="eastAsia" w:ascii="宋体" w:hAnsi="宋体" w:cs="宋体"/>
                <w:kern w:val="0"/>
                <w:szCs w:val="21"/>
                <w:lang w:val="en-US" w:eastAsia="zh-CN"/>
              </w:rPr>
              <w:t>3</w:t>
            </w:r>
            <w:r>
              <w:rPr>
                <w:rFonts w:hint="eastAsia" w:ascii="宋体" w:hAnsi="宋体" w:cs="宋体"/>
                <w:kern w:val="0"/>
                <w:szCs w:val="21"/>
              </w:rPr>
              <w:t>.1分；</w:t>
            </w:r>
          </w:p>
          <w:p>
            <w:pPr>
              <w:keepNext w:val="0"/>
              <w:keepLines w:val="0"/>
              <w:pageBreakBefore w:val="0"/>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rPr>
              <w:t>② 方案内容较详实，基本能符合采购需要，针对性，可实施性一般的得</w:t>
            </w:r>
            <w:r>
              <w:rPr>
                <w:rFonts w:hint="eastAsia" w:ascii="宋体" w:hAnsi="宋体" w:cs="宋体"/>
                <w:kern w:val="0"/>
                <w:szCs w:val="21"/>
                <w:lang w:val="en-US" w:eastAsia="zh-CN"/>
              </w:rPr>
              <w:t>3</w:t>
            </w:r>
            <w:r>
              <w:rPr>
                <w:rFonts w:hint="eastAsia" w:ascii="宋体" w:hAnsi="宋体" w:cs="宋体"/>
                <w:kern w:val="0"/>
                <w:szCs w:val="21"/>
              </w:rPr>
              <w:t>-1.1分；</w:t>
            </w:r>
          </w:p>
          <w:p>
            <w:pPr>
              <w:keepNext w:val="0"/>
              <w:keepLines w:val="0"/>
              <w:pageBreakBefore w:val="0"/>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rPr>
              <w:t>③ 方案存在缺陷的，得1-0.1分；</w:t>
            </w:r>
          </w:p>
          <w:p>
            <w:pPr>
              <w:keepNext w:val="0"/>
              <w:keepLines w:val="0"/>
              <w:pageBreakBefore w:val="0"/>
              <w:kinsoku/>
              <w:wordWrap/>
              <w:overflowPunct/>
              <w:topLinePunct w:val="0"/>
              <w:autoSpaceDE/>
              <w:autoSpaceDN/>
              <w:bidi w:val="0"/>
              <w:ind w:firstLine="0" w:firstLineChars="0"/>
              <w:textAlignment w:val="auto"/>
              <w:rPr>
                <w:rFonts w:hint="eastAsia" w:ascii="宋体" w:hAnsi="宋体" w:cs="宋体"/>
                <w:kern w:val="0"/>
                <w:szCs w:val="21"/>
              </w:rPr>
            </w:pPr>
            <w:r>
              <w:rPr>
                <w:rFonts w:hint="eastAsia" w:ascii="宋体" w:hAnsi="宋体" w:cs="宋体"/>
                <w:kern w:val="0"/>
                <w:szCs w:val="21"/>
              </w:rPr>
              <w:t>④ 未提供相关描述不得分。</w:t>
            </w:r>
          </w:p>
        </w:tc>
        <w:tc>
          <w:tcPr>
            <w:tcW w:w="720" w:type="dxa"/>
            <w:vAlign w:val="center"/>
          </w:tcPr>
          <w:p>
            <w:pPr>
              <w:keepNext w:val="0"/>
              <w:keepLines w:val="0"/>
              <w:pageBreakBefore w:val="0"/>
              <w:kinsoku/>
              <w:wordWrap/>
              <w:overflowPunct/>
              <w:topLinePunct w:val="0"/>
              <w:autoSpaceDE/>
              <w:autoSpaceDN/>
              <w:bidi w:val="0"/>
              <w:ind w:firstLine="0" w:firstLineChars="0"/>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250" w:type="dxa"/>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宋体" w:hAnsi="宋体" w:cs="宋体"/>
                <w:b/>
                <w:bCs/>
                <w:kern w:val="0"/>
                <w:szCs w:val="21"/>
              </w:rPr>
            </w:pPr>
            <w:r>
              <w:rPr>
                <w:rFonts w:hint="eastAsia" w:ascii="宋体" w:hAnsi="宋体" w:cs="宋体"/>
                <w:b/>
                <w:bCs/>
                <w:kern w:val="0"/>
                <w:szCs w:val="21"/>
              </w:rPr>
              <w:t>价 格</w:t>
            </w:r>
          </w:p>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宋体" w:hAnsi="宋体" w:cs="宋体"/>
                <w:kern w:val="0"/>
                <w:szCs w:val="21"/>
              </w:rPr>
            </w:pPr>
            <w:r>
              <w:rPr>
                <w:rFonts w:hint="eastAsia" w:ascii="宋体" w:hAnsi="宋体" w:cs="宋体"/>
                <w:b/>
                <w:bCs/>
                <w:kern w:val="0"/>
                <w:szCs w:val="21"/>
              </w:rPr>
              <w:t>（</w:t>
            </w:r>
            <w:r>
              <w:rPr>
                <w:rFonts w:hint="eastAsia" w:ascii="宋体" w:hAnsi="宋体" w:cs="宋体"/>
                <w:b/>
                <w:bCs/>
                <w:kern w:val="0"/>
                <w:szCs w:val="21"/>
                <w:lang w:val="en-US" w:eastAsia="zh-CN"/>
              </w:rPr>
              <w:t>3</w:t>
            </w:r>
            <w:r>
              <w:rPr>
                <w:rFonts w:hint="eastAsia" w:ascii="宋体" w:hAnsi="宋体" w:cs="宋体"/>
                <w:b/>
                <w:bCs/>
                <w:kern w:val="0"/>
                <w:szCs w:val="21"/>
              </w:rPr>
              <w:t>0分)</w:t>
            </w:r>
          </w:p>
        </w:tc>
        <w:tc>
          <w:tcPr>
            <w:tcW w:w="7165" w:type="dxa"/>
            <w:gridSpan w:val="2"/>
            <w:vAlign w:val="center"/>
          </w:tcPr>
          <w:p>
            <w:pPr>
              <w:keepNext w:val="0"/>
              <w:keepLines w:val="0"/>
              <w:pageBreakBefore w:val="0"/>
              <w:kinsoku/>
              <w:wordWrap/>
              <w:overflowPunct/>
              <w:topLinePunct w:val="0"/>
              <w:autoSpaceDE/>
              <w:autoSpaceDN/>
              <w:bidi w:val="0"/>
              <w:ind w:firstLine="0" w:firstLineChars="0"/>
              <w:textAlignment w:val="auto"/>
              <w:rPr>
                <w:rFonts w:ascii="宋体" w:hAnsi="宋体" w:cs="宋体"/>
                <w:kern w:val="0"/>
                <w:szCs w:val="21"/>
              </w:rPr>
            </w:pPr>
            <w:r>
              <w:rPr>
                <w:rFonts w:hint="eastAsia" w:ascii="宋体" w:hAnsi="宋体" w:cs="宋体"/>
                <w:kern w:val="0"/>
                <w:szCs w:val="21"/>
              </w:rPr>
              <w:t>以合格投标人有效总报价中的最低价为基准价，基准价为</w:t>
            </w:r>
            <w:r>
              <w:rPr>
                <w:rFonts w:hint="eastAsia" w:ascii="宋体" w:hAnsi="宋体" w:cs="宋体"/>
                <w:kern w:val="0"/>
                <w:szCs w:val="21"/>
                <w:lang w:val="en-US" w:eastAsia="zh-CN"/>
              </w:rPr>
              <w:t>3</w:t>
            </w:r>
            <w:r>
              <w:rPr>
                <w:rFonts w:hint="eastAsia" w:ascii="宋体" w:hAnsi="宋体" w:cs="宋体"/>
                <w:kern w:val="0"/>
                <w:szCs w:val="21"/>
              </w:rPr>
              <w:t>0分。报价得分＝（评标基准价/最终报价）</w:t>
            </w:r>
            <w:r>
              <w:rPr>
                <w:rFonts w:hint="eastAsia" w:ascii="宋体" w:hAnsi="宋体" w:cs="宋体"/>
                <w:bCs/>
                <w:kern w:val="0"/>
                <w:szCs w:val="21"/>
              </w:rPr>
              <w:t>×</w:t>
            </w:r>
            <w:r>
              <w:rPr>
                <w:rFonts w:hint="eastAsia" w:ascii="宋体" w:hAnsi="宋体" w:cs="宋体"/>
                <w:bCs/>
                <w:kern w:val="0"/>
                <w:szCs w:val="21"/>
                <w:lang w:val="en-US" w:eastAsia="zh-CN"/>
              </w:rPr>
              <w:t>3</w:t>
            </w:r>
            <w:r>
              <w:rPr>
                <w:rFonts w:hint="eastAsia" w:ascii="宋体" w:hAnsi="宋体" w:cs="宋体"/>
                <w:kern w:val="0"/>
                <w:szCs w:val="21"/>
              </w:rPr>
              <w:t>0%</w:t>
            </w:r>
            <w:r>
              <w:rPr>
                <w:rFonts w:hint="eastAsia" w:ascii="宋体" w:hAnsi="宋体" w:cs="宋体"/>
                <w:bCs/>
                <w:kern w:val="0"/>
                <w:szCs w:val="21"/>
              </w:rPr>
              <w:t>×</w:t>
            </w:r>
            <w:r>
              <w:rPr>
                <w:rFonts w:hint="eastAsia" w:ascii="宋体" w:hAnsi="宋体" w:cs="宋体"/>
                <w:kern w:val="0"/>
                <w:szCs w:val="21"/>
              </w:rPr>
              <w:t>100（小数点后保留2位小数）。</w:t>
            </w:r>
            <w:r>
              <w:rPr>
                <w:rFonts w:hint="eastAsia" w:ascii="宋体" w:hAnsi="宋体" w:cs="宋体"/>
                <w:color w:val="auto"/>
                <w:kern w:val="0"/>
                <w:sz w:val="21"/>
                <w:szCs w:val="21"/>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注：</w:t>
            </w:r>
            <w:r>
              <w:rPr>
                <w:rFonts w:hint="eastAsia" w:asciiTheme="minorEastAsia" w:hAnsiTheme="minorEastAsia" w:eastAsiaTheme="minorEastAsia" w:cstheme="minorEastAsia"/>
                <w:sz w:val="21"/>
                <w:szCs w:val="21"/>
              </w:rPr>
              <w:t>符</w:t>
            </w:r>
            <w:r>
              <w:rPr>
                <w:rFonts w:hint="eastAsia" w:asciiTheme="minorEastAsia" w:hAnsiTheme="minorEastAsia" w:eastAsiaTheme="minorEastAsia" w:cstheme="minorEastAsia"/>
                <w:sz w:val="21"/>
                <w:szCs w:val="21"/>
                <w:highlight w:val="none"/>
              </w:rPr>
              <w:t>合本章第</w:t>
            </w:r>
            <w:r>
              <w:rPr>
                <w:rFonts w:hint="eastAsia" w:asciiTheme="minorEastAsia" w:hAnsiTheme="minorEastAsia" w:eastAsiaTheme="minorEastAsia" w:cstheme="minorEastAsia"/>
                <w:sz w:val="21"/>
                <w:szCs w:val="21"/>
                <w:highlight w:val="none"/>
                <w:lang w:val="en-US" w:eastAsia="zh-CN"/>
              </w:rPr>
              <w:t>七</w:t>
            </w:r>
            <w:r>
              <w:rPr>
                <w:rFonts w:hint="eastAsia" w:asciiTheme="minorEastAsia" w:hAnsiTheme="minorEastAsia" w:eastAsiaTheme="minorEastAsia" w:cstheme="minorEastAsia"/>
                <w:sz w:val="21"/>
                <w:szCs w:val="21"/>
                <w:highlight w:val="none"/>
              </w:rPr>
              <w:t>点政府采购政策的，</w:t>
            </w:r>
            <w:r>
              <w:rPr>
                <w:rFonts w:hint="eastAsia" w:asciiTheme="minorEastAsia" w:hAnsiTheme="minorEastAsia" w:eastAsiaTheme="minorEastAsia" w:cstheme="minorEastAsia"/>
                <w:sz w:val="21"/>
                <w:szCs w:val="21"/>
                <w:highlight w:val="none"/>
                <w:lang w:val="en-US" w:eastAsia="zh-CN"/>
              </w:rPr>
              <w:t>根据对应情形，</w:t>
            </w:r>
            <w:r>
              <w:rPr>
                <w:rFonts w:hint="eastAsia" w:asciiTheme="minorEastAsia" w:hAnsiTheme="minorEastAsia" w:eastAsiaTheme="minorEastAsia" w:cstheme="minorEastAsia"/>
                <w:sz w:val="21"/>
                <w:szCs w:val="21"/>
                <w:highlight w:val="none"/>
              </w:rPr>
              <w:t>对报价给予</w:t>
            </w:r>
            <w:r>
              <w:rPr>
                <w:rFonts w:hint="eastAsia" w:asciiTheme="minorEastAsia" w:hAnsiTheme="minorEastAsia" w:eastAsiaTheme="minorEastAsia" w:cstheme="minorEastAsia"/>
                <w:sz w:val="21"/>
                <w:szCs w:val="21"/>
                <w:highlight w:val="none"/>
                <w:u w:val="single"/>
                <w:lang w:val="en-US" w:eastAsia="zh-CN"/>
              </w:rPr>
              <w:t>10%</w:t>
            </w:r>
            <w:r>
              <w:rPr>
                <w:rFonts w:hint="eastAsia" w:asciiTheme="minorEastAsia" w:hAnsiTheme="minorEastAsia" w:eastAsiaTheme="minorEastAsia" w:cstheme="minorEastAsia"/>
                <w:sz w:val="21"/>
                <w:szCs w:val="21"/>
                <w:highlight w:val="none"/>
                <w:u w:val="none"/>
              </w:rPr>
              <w:t xml:space="preserve"> </w:t>
            </w:r>
            <w:r>
              <w:rPr>
                <w:rFonts w:hint="eastAsia" w:asciiTheme="minorEastAsia" w:hAnsiTheme="minorEastAsia" w:eastAsiaTheme="minorEastAsia" w:cstheme="minorEastAsia"/>
                <w:sz w:val="21"/>
                <w:szCs w:val="21"/>
                <w:highlight w:val="none"/>
              </w:rPr>
              <w:t>的</w:t>
            </w:r>
            <w:r>
              <w:rPr>
                <w:rFonts w:hint="eastAsia" w:asciiTheme="minorEastAsia" w:hAnsiTheme="minorEastAsia" w:eastAsiaTheme="minorEastAsia" w:cstheme="minorEastAsia"/>
                <w:sz w:val="21"/>
                <w:szCs w:val="21"/>
              </w:rPr>
              <w:t>价格扣除，用扣除后的价格参与评审。</w:t>
            </w:r>
            <w:r>
              <w:rPr>
                <w:rFonts w:hint="eastAsia" w:ascii="宋体" w:hAnsi="宋体" w:cs="宋体"/>
                <w:color w:val="auto"/>
                <w:kern w:val="0"/>
                <w:sz w:val="21"/>
                <w:szCs w:val="21"/>
              </w:rPr>
              <w:t>)</w:t>
            </w:r>
          </w:p>
        </w:tc>
        <w:tc>
          <w:tcPr>
            <w:tcW w:w="720" w:type="dxa"/>
            <w:vAlign w:val="center"/>
          </w:tcPr>
          <w:p>
            <w:pPr>
              <w:keepNext w:val="0"/>
              <w:keepLines w:val="0"/>
              <w:pageBreakBefore w:val="0"/>
              <w:kinsoku/>
              <w:wordWrap/>
              <w:overflowPunct/>
              <w:topLinePunct w:val="0"/>
              <w:autoSpaceDE/>
              <w:autoSpaceDN/>
              <w:bidi w:val="0"/>
              <w:ind w:firstLine="0" w:firstLineChars="0"/>
              <w:jc w:val="center"/>
              <w:textAlignment w:val="auto"/>
              <w:rPr>
                <w:rFonts w:hint="default" w:ascii="宋体" w:hAnsi="宋体" w:cs="宋体"/>
                <w:kern w:val="0"/>
                <w:szCs w:val="21"/>
                <w:lang w:val="en-US"/>
              </w:rPr>
            </w:pPr>
            <w:r>
              <w:rPr>
                <w:rFonts w:hint="eastAsia" w:ascii="宋体" w:hAnsi="宋体" w:cs="宋体"/>
                <w:kern w:val="0"/>
                <w:szCs w:val="21"/>
                <w:lang w:val="en-US" w:eastAsia="zh-CN"/>
              </w:rPr>
              <w:t>30</w:t>
            </w:r>
          </w:p>
        </w:tc>
      </w:tr>
    </w:tbl>
    <w:p>
      <w:pPr>
        <w:autoSpaceDE w:val="0"/>
        <w:autoSpaceDN w:val="0"/>
        <w:adjustRightInd w:val="0"/>
        <w:spacing w:line="360" w:lineRule="auto"/>
        <w:ind w:firstLine="420" w:firstLineChars="200"/>
      </w:pPr>
    </w:p>
    <w:p>
      <w:pPr>
        <w:spacing w:line="360" w:lineRule="auto"/>
      </w:pPr>
      <w:r>
        <w:rPr>
          <w:rFonts w:hint="eastAsia"/>
        </w:rPr>
        <w:t>注：①请扫描上传合同、证书、报告及其他相关证明材料的原件扫描件至投标文件，并加盖公章。</w:t>
      </w:r>
    </w:p>
    <w:p>
      <w:pPr>
        <w:spacing w:line="360" w:lineRule="auto"/>
      </w:pPr>
      <w:r>
        <w:rPr>
          <w:rFonts w:hint="eastAsia"/>
        </w:rPr>
        <w:t>②对省级以上主管部门认定的首台套产品，自纳入《省推广应用指导目录》起三年内参加政府采购活动时,视同已具备相应销售业绩，业绩分为满分。</w:t>
      </w:r>
    </w:p>
    <w:p>
      <w:pPr>
        <w:pStyle w:val="21"/>
      </w:pP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①“政采云平台”上开启的投标报价与电子投标文件中开标一览表（报价表）内容不一致的，以电子投标文件中开标一览表（报价表）为准；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hint="eastAsia" w:ascii="宋体" w:hAnsi="宋体" w:eastAsia="宋体" w:cs="宋体"/>
          <w:sz w:val="24"/>
        </w:rPr>
      </w:pPr>
      <w:r>
        <w:rPr>
          <w:rFonts w:hint="eastAsia" w:ascii="宋体" w:hAnsi="宋体" w:cs="宋体"/>
          <w:sz w:val="24"/>
        </w:rPr>
        <w:t>④单价金额</w:t>
      </w:r>
      <w:r>
        <w:rPr>
          <w:rFonts w:hint="eastAsia" w:ascii="宋体" w:hAnsi="宋体" w:eastAsia="宋体" w:cs="宋体"/>
          <w:sz w:val="24"/>
        </w:rPr>
        <w:t>小数点或者百分比有明显错位的，以开标一览表的总价为准，并修改单价；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5 \* GB3 \* MERGEFORMAT </w:instrText>
      </w:r>
      <w:r>
        <w:rPr>
          <w:rFonts w:hint="eastAsia" w:ascii="宋体" w:hAnsi="宋体" w:eastAsia="宋体" w:cs="宋体"/>
          <w:sz w:val="24"/>
        </w:rPr>
        <w:fldChar w:fldCharType="separate"/>
      </w:r>
      <w:r>
        <w:rPr>
          <w:rFonts w:hint="eastAsia" w:ascii="宋体" w:hAnsi="宋体" w:eastAsia="宋体" w:cs="宋体"/>
          <w:sz w:val="24"/>
        </w:rPr>
        <w:t>⑤</w:t>
      </w:r>
      <w:r>
        <w:rPr>
          <w:rFonts w:hint="eastAsia" w:ascii="宋体" w:hAnsi="宋体" w:eastAsia="宋体" w:cs="宋体"/>
          <w:sz w:val="24"/>
        </w:rPr>
        <w:fldChar w:fldCharType="end"/>
      </w:r>
      <w:r>
        <w:rPr>
          <w:rFonts w:hint="eastAsia" w:ascii="宋体" w:hAnsi="宋体" w:eastAsia="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eastAsia="宋体" w:cs="宋体"/>
          <w:sz w:val="24"/>
        </w:rPr>
        <w:t>同时出现两种</w:t>
      </w:r>
      <w:r>
        <w:rPr>
          <w:rFonts w:hint="eastAsia" w:ascii="宋体" w:hAnsi="宋体" w:cs="宋体"/>
          <w:sz w:val="24"/>
        </w:rPr>
        <w:t>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outlineLvl w:val="9"/>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pPr>
        <w:spacing w:line="360" w:lineRule="auto"/>
        <w:ind w:firstLine="482" w:firstLineChars="200"/>
        <w:outlineLvl w:val="9"/>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pPr>
        <w:pStyle w:val="18"/>
        <w:spacing w:before="0" w:beforeAutospacing="0" w:after="0" w:afterAutospacing="0" w:line="360" w:lineRule="auto"/>
        <w:ind w:firstLine="482" w:firstLineChars="200"/>
        <w:jc w:val="both"/>
        <w:rPr>
          <w:rFonts w:hint="default" w:asciiTheme="minorEastAsia" w:hAnsiTheme="minorEastAsia" w:eastAsiaTheme="minorEastAsia"/>
          <w:b/>
          <w:bCs/>
        </w:rPr>
      </w:pPr>
    </w:p>
    <w:p>
      <w:pPr>
        <w:pStyle w:val="18"/>
        <w:spacing w:before="0" w:beforeAutospacing="0" w:after="0" w:afterAutospacing="0" w:line="360" w:lineRule="auto"/>
        <w:ind w:firstLine="482" w:firstLineChars="200"/>
        <w:jc w:val="both"/>
        <w:rPr>
          <w:rFonts w:hint="default" w:asciiTheme="minorEastAsia" w:hAnsiTheme="minorEastAsia" w:eastAsiaTheme="minorEastAsia"/>
          <w:b/>
          <w:bCs/>
        </w:rPr>
      </w:pPr>
      <w:bookmarkStart w:id="121" w:name="_GoBack"/>
      <w:bookmarkEnd w:id="121"/>
    </w:p>
    <w:p>
      <w:pPr>
        <w:rPr>
          <w:rFonts w:hint="default" w:asciiTheme="minorEastAsia" w:hAnsiTheme="minorEastAsia" w:eastAsiaTheme="minorEastAsia"/>
          <w:b/>
          <w:bCs/>
        </w:rPr>
      </w:pPr>
      <w:r>
        <w:rPr>
          <w:rFonts w:hint="default" w:asciiTheme="minorEastAsia" w:hAnsiTheme="minorEastAsia" w:eastAsiaTheme="minorEastAsia"/>
          <w:b/>
          <w:bCs/>
        </w:rPr>
        <w:br w:type="page"/>
      </w:r>
    </w:p>
    <w:p>
      <w:pPr>
        <w:pStyle w:val="18"/>
        <w:spacing w:before="0" w:beforeAutospacing="0" w:after="0" w:afterAutospacing="0" w:line="360" w:lineRule="auto"/>
        <w:ind w:firstLine="482" w:firstLineChars="200"/>
        <w:jc w:val="both"/>
        <w:rPr>
          <w:rFonts w:hint="default" w:asciiTheme="minorEastAsia" w:hAnsiTheme="minorEastAsia" w:eastAsiaTheme="minorEastAsia"/>
          <w:b/>
          <w:bCs/>
        </w:rPr>
      </w:pPr>
    </w:p>
    <w:p>
      <w:pPr>
        <w:rPr>
          <w:rFonts w:asciiTheme="minorEastAsia" w:hAnsiTheme="minorEastAsia" w:eastAsiaTheme="minorEastAsia"/>
          <w:b/>
          <w:sz w:val="36"/>
          <w:szCs w:val="36"/>
        </w:rPr>
      </w:pPr>
      <w:bookmarkStart w:id="38" w:name="_Toc27944_WPSOffice_Level1"/>
    </w:p>
    <w:p>
      <w:p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38"/>
      <w:r>
        <w:rPr>
          <w:rFonts w:hint="eastAsia" w:asciiTheme="minorEastAsia" w:hAnsiTheme="minorEastAsia" w:eastAsiaTheme="minorEastAsia"/>
          <w:b/>
          <w:sz w:val="36"/>
          <w:szCs w:val="36"/>
        </w:rPr>
        <w:t>拟签订的合同文本</w:t>
      </w:r>
    </w:p>
    <w:p>
      <w:pPr>
        <w:widowControl/>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以下为成交后签</w:t>
      </w:r>
      <w:r>
        <w:rPr>
          <w:rFonts w:hint="eastAsia" w:asciiTheme="minorEastAsia" w:hAnsiTheme="minorEastAsia" w:eastAsiaTheme="minorEastAsia"/>
          <w:sz w:val="24"/>
        </w:rPr>
        <w:t>订</w:t>
      </w:r>
      <w:r>
        <w:rPr>
          <w:rFonts w:asciiTheme="minorEastAsia" w:hAnsiTheme="minorEastAsia" w:eastAsiaTheme="minorEastAsia"/>
          <w:sz w:val="24"/>
        </w:rPr>
        <w:t>本项目合同的通用条款，</w:t>
      </w:r>
      <w:r>
        <w:rPr>
          <w:rFonts w:hint="eastAsia" w:asciiTheme="minorEastAsia" w:hAnsiTheme="minorEastAsia" w:eastAsiaTheme="minorEastAsia"/>
          <w:sz w:val="24"/>
        </w:rPr>
        <w:t>中标人</w:t>
      </w:r>
      <w:r>
        <w:rPr>
          <w:rFonts w:asciiTheme="minorEastAsia" w:hAnsiTheme="minorEastAsia" w:eastAsiaTheme="minorEastAsia"/>
          <w:sz w:val="24"/>
        </w:rPr>
        <w:t>不得提出实质性的修改，关于专用条款将由采购人与</w:t>
      </w:r>
      <w:r>
        <w:rPr>
          <w:rFonts w:hint="eastAsia" w:asciiTheme="minorEastAsia" w:hAnsiTheme="minorEastAsia" w:eastAsiaTheme="minorEastAsia"/>
          <w:sz w:val="24"/>
        </w:rPr>
        <w:t>中标人</w:t>
      </w:r>
      <w:r>
        <w:rPr>
          <w:rFonts w:asciiTheme="minorEastAsia" w:hAnsiTheme="minorEastAsia" w:eastAsiaTheme="minorEastAsia"/>
          <w:sz w:val="24"/>
        </w:rPr>
        <w:t>结合本项目具体情况协商后签订。</w:t>
      </w:r>
    </w:p>
    <w:p>
      <w:pPr>
        <w:pStyle w:val="11"/>
        <w:snapToGrid w:val="0"/>
        <w:spacing w:line="360" w:lineRule="auto"/>
        <w:rPr>
          <w:rFonts w:asciiTheme="minorEastAsia" w:hAnsiTheme="minorEastAsia" w:eastAsiaTheme="minorEastAsia"/>
          <w:sz w:val="24"/>
        </w:rPr>
      </w:pPr>
      <w:r>
        <w:rPr>
          <w:rFonts w:asciiTheme="minorEastAsia" w:hAnsiTheme="minorEastAsia" w:eastAsiaTheme="minorEastAsia"/>
          <w:sz w:val="24"/>
        </w:rPr>
        <w:t>项目名称：                                项目编号：</w:t>
      </w:r>
    </w:p>
    <w:p>
      <w:pPr>
        <w:pStyle w:val="11"/>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1"/>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pStyle w:val="11"/>
        <w:snapToGrid w:val="0"/>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Theme="minorEastAsia" w:hAnsiTheme="minorEastAsia" w:eastAsiaTheme="minorEastAsia"/>
          <w:sz w:val="24"/>
        </w:rPr>
        <w:t>关于</w:t>
      </w:r>
      <w:r>
        <w:rPr>
          <w:rFonts w:hint="eastAsia" w:cs="Arial" w:asciiTheme="minorEastAsia" w:hAnsiTheme="minorEastAsia" w:eastAsiaTheme="minorEastAsia"/>
          <w:sz w:val="24"/>
        </w:rPr>
        <w:t>××</w:t>
      </w:r>
      <w:r>
        <w:rPr>
          <w:rFonts w:asciiTheme="minorEastAsia" w:hAnsiTheme="minorEastAsia" w:eastAsiaTheme="minorEastAsia"/>
          <w:sz w:val="24"/>
        </w:rPr>
        <w:t>单位</w:t>
      </w:r>
      <w:r>
        <w:rPr>
          <w:rFonts w:hint="eastAsia" w:cs="Arial" w:asciiTheme="minorEastAsia" w:hAnsiTheme="minorEastAsia" w:eastAsiaTheme="minorEastAsia"/>
          <w:sz w:val="24"/>
        </w:rPr>
        <w:t>××</w:t>
      </w:r>
      <w:r>
        <w:rPr>
          <w:rFonts w:asciiTheme="minorEastAsia" w:hAnsiTheme="minorEastAsia" w:eastAsiaTheme="minorEastAsia"/>
          <w:sz w:val="24"/>
        </w:rPr>
        <w:t>项目公开招标的结果，签署本合同。</w:t>
      </w:r>
    </w:p>
    <w:p>
      <w:pPr>
        <w:spacing w:line="360" w:lineRule="auto"/>
        <w:ind w:firstLine="482" w:firstLineChars="200"/>
        <w:rPr>
          <w:rFonts w:ascii="宋体"/>
          <w:b/>
          <w:bCs/>
          <w:sz w:val="24"/>
          <w:lang w:val="zh-CN"/>
        </w:rPr>
      </w:pPr>
      <w:r>
        <w:rPr>
          <w:rFonts w:hint="eastAsia" w:ascii="宋体"/>
          <w:b/>
          <w:bCs/>
          <w:sz w:val="24"/>
          <w:lang w:val="zh-CN"/>
        </w:rPr>
        <w:t>一、合同文件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1"/>
        <w:snapToGrid w:val="0"/>
        <w:spacing w:line="360" w:lineRule="auto"/>
        <w:ind w:firstLine="480" w:firstLineChars="20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、货物内容</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货物名称：</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型号规格：</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技术参数：</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数量（单位）：</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、合同金额</w:t>
      </w:r>
    </w:p>
    <w:p>
      <w:pPr>
        <w:pStyle w:val="11"/>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本合同金额为（大写）：____________________元（￥__________元）人民币。</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w:t>
      </w:r>
      <w:r>
        <w:rPr>
          <w:rFonts w:asciiTheme="minorEastAsia" w:hAnsiTheme="minorEastAsia" w:eastAsiaTheme="minorEastAsia"/>
          <w:b/>
          <w:sz w:val="24"/>
        </w:rPr>
        <w:t>、技术资料</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乙方应按招标文件规定的时间向甲方提供使用货物的有关技术资料。</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没有甲方事先书面同意，乙方不得将由甲方提供的有关合同或任何合同条文、规格、计划、图纸、样品或资料提供</w:t>
      </w:r>
      <w:r>
        <w:rPr>
          <w:rFonts w:hint="eastAsia" w:asciiTheme="minorEastAsia" w:hAnsiTheme="minorEastAsia" w:eastAsiaTheme="minorEastAsia"/>
          <w:sz w:val="24"/>
        </w:rPr>
        <w:t>给予</w:t>
      </w:r>
      <w:r>
        <w:rPr>
          <w:rFonts w:asciiTheme="minorEastAsia" w:hAnsiTheme="minorEastAsia" w:eastAsiaTheme="minorEastAsia"/>
          <w:sz w:val="24"/>
        </w:rPr>
        <w:t>履行本合同无关的任何其他人。即使向履行本合同有关的人员提供，也应注意保密并限于履行合同的必需范围。</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w:t>
      </w:r>
      <w:r>
        <w:rPr>
          <w:rFonts w:asciiTheme="minorEastAsia" w:hAnsiTheme="minorEastAsia" w:eastAsiaTheme="minorEastAsia"/>
          <w:b/>
          <w:sz w:val="24"/>
        </w:rPr>
        <w:t>、知识产权</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乙方应保证所提供的货物或其任何一部分均不会侵犯任何第三方的知识产权。</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（二）若侵犯，由乙方赔偿甲方因此遭受的损失（包括但不限于应对及追偿过程中所支付的律师费、差旅费、诉讼费、保全费、鉴定费、评估费等）。</w:t>
      </w:r>
    </w:p>
    <w:p>
      <w:pPr>
        <w:pStyle w:val="11"/>
        <w:snapToGrid w:val="0"/>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六</w:t>
      </w:r>
      <w:r>
        <w:rPr>
          <w:rFonts w:asciiTheme="minorEastAsia" w:hAnsiTheme="minorEastAsia" w:eastAsiaTheme="minorEastAsia"/>
          <w:b/>
          <w:sz w:val="24"/>
        </w:rPr>
        <w:t>、产权担保</w:t>
      </w:r>
    </w:p>
    <w:p>
      <w:pPr>
        <w:pStyle w:val="11"/>
        <w:snapToGrid w:val="0"/>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乙方保证所交付的货物的所有权完全属于乙方且无任何抵押、查封等产权瑕疵。</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、履约保证金</w:t>
      </w:r>
    </w:p>
    <w:p>
      <w:pPr>
        <w:tabs>
          <w:tab w:val="left" w:pos="1418"/>
        </w:tabs>
        <w:autoSpaceDE w:val="0"/>
        <w:autoSpaceDN w:val="0"/>
        <w:adjustRightInd w:val="0"/>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本项目履约保证金为合同金额的</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w:t>
      </w:r>
      <w:r>
        <w:rPr>
          <w:rFonts w:hint="eastAsia" w:asciiTheme="minorEastAsia" w:hAnsiTheme="minorEastAsia" w:eastAsiaTheme="minorEastAsia" w:cstheme="minorBidi"/>
          <w:sz w:val="24"/>
        </w:rPr>
        <w:t>质保期满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年后及时</w:t>
      </w:r>
      <w:r>
        <w:rPr>
          <w:rFonts w:hint="eastAsia" w:asciiTheme="minorEastAsia" w:hAnsiTheme="minorEastAsia" w:eastAsiaTheme="minorEastAsia" w:cstheme="minorBidi"/>
          <w:sz w:val="24"/>
          <w:lang w:val="zh-CN"/>
        </w:rPr>
        <w:t>退还]</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八、转包或分包</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（一）本合同范围的货物，应由</w:t>
      </w:r>
      <w:r>
        <w:rPr>
          <w:rFonts w:asciiTheme="minorEastAsia" w:hAnsiTheme="minorEastAsia" w:eastAsiaTheme="minorEastAsia"/>
          <w:sz w:val="24"/>
        </w:rPr>
        <w:t>乙</w:t>
      </w:r>
      <w:r>
        <w:rPr>
          <w:rFonts w:hint="eastAsia" w:asciiTheme="minorEastAsia" w:hAnsiTheme="minorEastAsia" w:eastAsiaTheme="minorEastAsia"/>
          <w:sz w:val="24"/>
        </w:rPr>
        <w:t>方直接供应，不得转让他人供应。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（二）除非得到</w:t>
      </w:r>
      <w:r>
        <w:rPr>
          <w:rFonts w:asciiTheme="minorEastAsia" w:hAnsiTheme="minorEastAsia" w:eastAsiaTheme="minorEastAsia"/>
          <w:sz w:val="24"/>
        </w:rPr>
        <w:t>甲</w:t>
      </w:r>
      <w:r>
        <w:rPr>
          <w:rFonts w:hint="eastAsia" w:asciiTheme="minorEastAsia" w:hAnsiTheme="minorEastAsia" w:eastAsiaTheme="minorEastAsia"/>
          <w:sz w:val="24"/>
        </w:rPr>
        <w:t>方的书面同意，</w:t>
      </w:r>
      <w:r>
        <w:rPr>
          <w:rFonts w:asciiTheme="minorEastAsia" w:hAnsiTheme="minorEastAsia" w:eastAsiaTheme="minorEastAsia"/>
          <w:sz w:val="24"/>
        </w:rPr>
        <w:t>乙</w:t>
      </w:r>
      <w:r>
        <w:rPr>
          <w:rFonts w:hint="eastAsia" w:asciiTheme="minorEastAsia" w:hAnsiTheme="minorEastAsia" w:eastAsiaTheme="minorEastAsia"/>
          <w:sz w:val="24"/>
        </w:rPr>
        <w:t>方不得将本合同范围的货物全部或部分分包给他人供应。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（三）如有转让和未经</w:t>
      </w:r>
      <w:r>
        <w:rPr>
          <w:rFonts w:asciiTheme="minorEastAsia" w:hAnsiTheme="minorEastAsia" w:eastAsiaTheme="minorEastAsia"/>
          <w:sz w:val="24"/>
        </w:rPr>
        <w:t>甲</w:t>
      </w:r>
      <w:r>
        <w:rPr>
          <w:rFonts w:hint="eastAsia" w:asciiTheme="minorEastAsia" w:hAnsiTheme="minorEastAsia" w:eastAsiaTheme="minorEastAsia"/>
          <w:sz w:val="24"/>
        </w:rPr>
        <w:t>方同意的分包行为，</w:t>
      </w:r>
      <w:r>
        <w:rPr>
          <w:rFonts w:asciiTheme="minorEastAsia" w:hAnsiTheme="minorEastAsia" w:eastAsiaTheme="minorEastAsia"/>
          <w:sz w:val="24"/>
        </w:rPr>
        <w:t>甲</w:t>
      </w:r>
      <w:r>
        <w:rPr>
          <w:rFonts w:hint="eastAsia" w:asciiTheme="minorEastAsia" w:hAnsiTheme="minorEastAsia" w:eastAsiaTheme="minorEastAsia"/>
          <w:sz w:val="24"/>
        </w:rPr>
        <w:t>方有权解除合同，没收履约保证金并追究乙方的违约责任。</w:t>
      </w:r>
    </w:p>
    <w:p>
      <w:pPr>
        <w:pStyle w:val="11"/>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九</w:t>
      </w:r>
      <w:r>
        <w:rPr>
          <w:rFonts w:asciiTheme="minorEastAsia" w:hAnsiTheme="minorEastAsia" w:eastAsiaTheme="minorEastAsia"/>
          <w:b/>
          <w:sz w:val="24"/>
        </w:rPr>
        <w:t>、质保期</w:t>
      </w:r>
    </w:p>
    <w:p>
      <w:pPr>
        <w:pStyle w:val="11"/>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质保期</w:t>
      </w:r>
      <w:r>
        <w:rPr>
          <w:rFonts w:hAnsi="宋体" w:cs="Times New Roman"/>
          <w:sz w:val="24"/>
        </w:rPr>
        <w:t>___</w:t>
      </w:r>
      <w:r>
        <w:rPr>
          <w:rFonts w:asciiTheme="minorEastAsia" w:hAnsiTheme="minorEastAsia" w:eastAsiaTheme="minorEastAsia"/>
          <w:sz w:val="24"/>
        </w:rPr>
        <w:t>年。（自交货验收合格之日起计）</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w:t>
      </w:r>
      <w:r>
        <w:rPr>
          <w:rFonts w:asciiTheme="minorEastAsia" w:hAnsiTheme="minorEastAsia" w:eastAsiaTheme="minorEastAsia"/>
          <w:b/>
          <w:sz w:val="24"/>
        </w:rPr>
        <w:t>、交货期、交货方式及交货地点</w:t>
      </w:r>
    </w:p>
    <w:p>
      <w:pPr>
        <w:pStyle w:val="11"/>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交货期：</w:t>
      </w:r>
    </w:p>
    <w:p>
      <w:pPr>
        <w:pStyle w:val="11"/>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（二）</w:t>
      </w:r>
      <w:r>
        <w:rPr>
          <w:rFonts w:asciiTheme="minorEastAsia" w:hAnsiTheme="minorEastAsia" w:eastAsiaTheme="minorEastAsia"/>
          <w:bCs/>
          <w:sz w:val="24"/>
        </w:rPr>
        <w:t>交货方式：</w:t>
      </w:r>
    </w:p>
    <w:p>
      <w:pPr>
        <w:pStyle w:val="11"/>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（三）</w:t>
      </w:r>
      <w:r>
        <w:rPr>
          <w:rFonts w:asciiTheme="minorEastAsia" w:hAnsiTheme="minorEastAsia" w:eastAsiaTheme="minorEastAsia"/>
          <w:bCs/>
          <w:sz w:val="24"/>
        </w:rPr>
        <w:t>交货地点：</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一</w:t>
      </w:r>
      <w:r>
        <w:rPr>
          <w:rFonts w:asciiTheme="minorEastAsia" w:hAnsiTheme="minorEastAsia" w:eastAsiaTheme="minorEastAsia"/>
          <w:b/>
          <w:sz w:val="24"/>
        </w:rPr>
        <w:t>、货款支付</w:t>
      </w:r>
    </w:p>
    <w:p>
      <w:pPr>
        <w:pStyle w:val="11"/>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付款方式：</w:t>
      </w:r>
    </w:p>
    <w:p>
      <w:pPr>
        <w:pStyle w:val="11"/>
        <w:snapToGrid w:val="0"/>
        <w:spacing w:line="360" w:lineRule="auto"/>
        <w:ind w:firstLine="480" w:firstLineChars="200"/>
        <w:rPr>
          <w:rFonts w:asciiTheme="minorEastAsia" w:hAnsiTheme="minorEastAsia" w:eastAsiaTheme="minorEastAsia"/>
          <w:bCs/>
          <w:sz w:val="24"/>
        </w:rPr>
      </w:pPr>
      <w:r>
        <w:rPr>
          <w:rFonts w:hint="eastAsia" w:hAnsi="Times New Roman"/>
          <w:sz w:val="24"/>
          <w:lang w:val="zh-CN"/>
        </w:rPr>
        <w:t>（</w:t>
      </w:r>
      <w:r>
        <w:rPr>
          <w:rFonts w:hint="eastAsia" w:hAnsi="Times New Roman"/>
          <w:sz w:val="24"/>
        </w:rPr>
        <w:t>二</w:t>
      </w:r>
      <w:r>
        <w:rPr>
          <w:rFonts w:hint="eastAsia" w:hAnsi="Times New Roman"/>
          <w:sz w:val="24"/>
          <w:lang w:val="zh-CN"/>
        </w:rPr>
        <w:t>）当采购数量与实际使用数量不一致时，由采购单位向同级财政部门申请并经批准后，可以由乙方根据实际使用量供货，合同的最终结算金额按实际使用量乘以成交单价进行计算。</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十二、税费</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本合同执行中相关的一切税费均由</w:t>
      </w:r>
      <w:r>
        <w:rPr>
          <w:rFonts w:asciiTheme="minorEastAsia" w:hAnsiTheme="minorEastAsia" w:eastAsiaTheme="minorEastAsia"/>
          <w:sz w:val="24"/>
        </w:rPr>
        <w:t>乙</w:t>
      </w:r>
      <w:r>
        <w:rPr>
          <w:rFonts w:hint="eastAsia" w:asciiTheme="minorEastAsia" w:hAnsiTheme="minorEastAsia" w:eastAsiaTheme="minorEastAsia"/>
          <w:sz w:val="24"/>
        </w:rPr>
        <w:t>方负担。</w:t>
      </w:r>
    </w:p>
    <w:p>
      <w:pPr>
        <w:pStyle w:val="11"/>
        <w:snapToGrid w:val="0"/>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十</w:t>
      </w:r>
      <w:r>
        <w:rPr>
          <w:rFonts w:hint="eastAsia" w:asciiTheme="minorEastAsia" w:hAnsiTheme="minorEastAsia" w:eastAsiaTheme="minorEastAsia"/>
          <w:b/>
          <w:sz w:val="24"/>
        </w:rPr>
        <w:t>三</w:t>
      </w:r>
      <w:r>
        <w:rPr>
          <w:rFonts w:asciiTheme="minorEastAsia" w:hAnsiTheme="minorEastAsia" w:eastAsiaTheme="minorEastAsia"/>
          <w:b/>
          <w:sz w:val="24"/>
        </w:rPr>
        <w:t>、质量保证及售后服务</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乙方应按招标文件规定的货物性能、技术要求、质量标准向甲方提供未经使用的全新产品。</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乙方提供的货物在质</w:t>
      </w:r>
      <w:r>
        <w:rPr>
          <w:rFonts w:hint="eastAsia" w:asciiTheme="minorEastAsia" w:hAnsiTheme="minorEastAsia" w:eastAsiaTheme="minorEastAsia"/>
          <w:sz w:val="24"/>
        </w:rPr>
        <w:t>保</w:t>
      </w:r>
      <w:r>
        <w:rPr>
          <w:rFonts w:asciiTheme="minorEastAsia" w:hAnsiTheme="minorEastAsia" w:eastAsiaTheme="minorEastAsia"/>
          <w:sz w:val="24"/>
        </w:rPr>
        <w:t>期内因货物本身的质量问题发生故障，乙方应负责免费更换。对达不到技术要求者，根据实际情况，经双方协商，可按以下办法处理：</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更换：由乙方承担所发生的全部费用。</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贬值处理：由甲乙双方合议定价。</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退货处理：乙方应退还甲方支付的合同款，同时应承担该货物的直接费用（运输、保险、检验、货款利息及银行手续费等）。</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如在使用过程中发生质量问题，乙方在接到甲方通知后在</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小时内到达甲方现场。</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在质保期内，乙方应对货物出现的质量及安全问题负责处理解决并承担一切费用。</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上述的货物免费保修期为</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年，因人为因素出现的故障不在免费保修范围内。超过保修期的机器设备，</w:t>
      </w:r>
      <w:r>
        <w:rPr>
          <w:rFonts w:hint="eastAsia" w:asciiTheme="minorEastAsia" w:hAnsiTheme="minorEastAsia" w:eastAsiaTheme="minorEastAsia"/>
          <w:sz w:val="24"/>
        </w:rPr>
        <w:t>终身维修</w:t>
      </w:r>
      <w:r>
        <w:rPr>
          <w:rFonts w:asciiTheme="minorEastAsia" w:hAnsiTheme="minorEastAsia" w:eastAsiaTheme="minorEastAsia"/>
          <w:sz w:val="24"/>
        </w:rPr>
        <w:t>，维修时只收部件成本费。</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四</w:t>
      </w:r>
      <w:r>
        <w:rPr>
          <w:rFonts w:asciiTheme="minorEastAsia" w:hAnsiTheme="minorEastAsia" w:eastAsiaTheme="minorEastAsia"/>
          <w:b/>
          <w:sz w:val="24"/>
        </w:rPr>
        <w:t>、调试和验收</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sz w:val="24"/>
        </w:rPr>
        <w:t>个</w:t>
      </w:r>
      <w:r>
        <w:rPr>
          <w:rFonts w:asciiTheme="minorEastAsia" w:hAnsiTheme="minorEastAsia" w:eastAsiaTheme="minorEastAsia"/>
          <w:sz w:val="24"/>
        </w:rPr>
        <w:t>工作日内验收。</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乙方交货前应对产品作出全面检查和对验收文件进行整理，并列出清单，作为甲方收货验收和使用的技术条件依据，检验的结果应随货物交甲方。</w:t>
      </w:r>
    </w:p>
    <w:p>
      <w:pPr>
        <w:pStyle w:val="11"/>
        <w:snapToGrid w:val="0"/>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（三）</w:t>
      </w:r>
      <w:r>
        <w:rPr>
          <w:rFonts w:asciiTheme="minorEastAsia" w:hAnsiTheme="minorEastAsia" w:eastAsiaTheme="minorEastAsia"/>
          <w:sz w:val="24"/>
        </w:rPr>
        <w:t>甲方对乙方提供的货物在使用前进行调试时，乙方需负责安装并培训甲方的使用操作人员，并协助甲方一起调试，直到符合技术要求，甲方才</w:t>
      </w:r>
      <w:r>
        <w:rPr>
          <w:rFonts w:hint="eastAsia" w:asciiTheme="minorEastAsia" w:hAnsiTheme="minorEastAsia" w:eastAsiaTheme="minorEastAsia"/>
          <w:sz w:val="24"/>
        </w:rPr>
        <w:t>作</w:t>
      </w:r>
      <w:r>
        <w:rPr>
          <w:rFonts w:asciiTheme="minorEastAsia" w:hAnsiTheme="minorEastAsia" w:eastAsiaTheme="minorEastAsia"/>
          <w:sz w:val="24"/>
        </w:rPr>
        <w:t>最终验收。</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对技术复杂的货物，甲方应请国家认可的专业检测机构参与初步验收及最终验收，并由其出具质量检测报告。</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验收时乙方必须在现场，验收完毕后</w:t>
      </w:r>
      <w:r>
        <w:rPr>
          <w:rFonts w:hint="eastAsia" w:asciiTheme="minorEastAsia" w:hAnsiTheme="minorEastAsia" w:eastAsiaTheme="minorEastAsia"/>
          <w:sz w:val="24"/>
        </w:rPr>
        <w:t>做出</w:t>
      </w:r>
      <w:r>
        <w:rPr>
          <w:rFonts w:asciiTheme="minorEastAsia" w:hAnsiTheme="minorEastAsia" w:eastAsiaTheme="minorEastAsia"/>
          <w:sz w:val="24"/>
        </w:rPr>
        <w:t>验收结果报告；验收费用由</w:t>
      </w:r>
      <w:r>
        <w:rPr>
          <w:rFonts w:hint="eastAsia" w:asciiTheme="minorEastAsia" w:hAnsiTheme="minorEastAsia" w:eastAsiaTheme="minorEastAsia"/>
          <w:sz w:val="24"/>
        </w:rPr>
        <w:t>甲</w:t>
      </w:r>
      <w:r>
        <w:rPr>
          <w:rFonts w:asciiTheme="minorEastAsia" w:hAnsiTheme="minorEastAsia" w:eastAsiaTheme="minorEastAsia"/>
          <w:sz w:val="24"/>
        </w:rPr>
        <w:t>方负责。</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五</w:t>
      </w:r>
      <w:r>
        <w:rPr>
          <w:rFonts w:asciiTheme="minorEastAsia" w:hAnsiTheme="minorEastAsia" w:eastAsiaTheme="minorEastAsia"/>
          <w:b/>
          <w:sz w:val="24"/>
        </w:rPr>
        <w:t>、货物包装、发运及运输</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乙方应在货物发运前对其进行满足运输距离、防潮、防震、防锈和防破损装卸等要求包装，以保证货物安全运达甲方指定地点。</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使用说明书、质量检验证明书、随配附件和工具以及清单一并附于货物内。</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乙方在货物发运手续办理完毕后</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小时内或货到甲方</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小时前通知甲方，以准备接货。</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货物在交付甲方前发生的风险均由乙方负责。</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货物在规定的交付期限内由乙方送达甲方指定的地点视为交付，乙方同时需通知甲方货物已送达。</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（六）乙方运送的货物涉及商品包装和快递包装的，参考《商品包装政府采购需求标准（试行）》、《快递包装政府采购需求标准（试行）》（财办库〔2020〕123号）。</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六</w:t>
      </w:r>
      <w:r>
        <w:rPr>
          <w:rFonts w:asciiTheme="minorEastAsia" w:hAnsiTheme="minorEastAsia" w:eastAsiaTheme="minorEastAsia"/>
          <w:b/>
          <w:sz w:val="24"/>
        </w:rPr>
        <w:t>、违约责任</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甲方无正当理由拒收货物的，甲方向乙方偿付拒收货款总值的</w:t>
      </w:r>
      <w:r>
        <w:rPr>
          <w:rFonts w:asciiTheme="minorEastAsia" w:hAnsiTheme="minorEastAsia" w:eastAsiaTheme="minorEastAsia"/>
          <w:sz w:val="24"/>
          <w:u w:val="single"/>
        </w:rPr>
        <w:t>百分之五</w:t>
      </w:r>
      <w:r>
        <w:rPr>
          <w:rFonts w:asciiTheme="minorEastAsia" w:hAnsiTheme="minorEastAsia" w:eastAsiaTheme="minorEastAsia"/>
          <w:sz w:val="24"/>
        </w:rPr>
        <w:t>违约金。</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甲方无故逾期验收和办理货款支付手续的</w:t>
      </w:r>
      <w:r>
        <w:rPr>
          <w:rFonts w:hint="eastAsia" w:asciiTheme="minorEastAsia" w:hAnsiTheme="minorEastAsia" w:eastAsiaTheme="minorEastAsia"/>
          <w:sz w:val="24"/>
        </w:rPr>
        <w:t>，</w:t>
      </w:r>
      <w:r>
        <w:rPr>
          <w:rFonts w:asciiTheme="minorEastAsia" w:hAnsiTheme="minorEastAsia" w:eastAsiaTheme="minorEastAsia"/>
          <w:sz w:val="24"/>
        </w:rPr>
        <w:t>甲方应按逾期付款总额每日</w:t>
      </w:r>
      <w:r>
        <w:rPr>
          <w:rFonts w:asciiTheme="minorEastAsia" w:hAnsiTheme="minorEastAsia" w:eastAsiaTheme="minorEastAsia"/>
          <w:sz w:val="24"/>
          <w:u w:val="single"/>
        </w:rPr>
        <w:t>万分之五</w:t>
      </w:r>
      <w:r>
        <w:rPr>
          <w:rFonts w:asciiTheme="minorEastAsia" w:hAnsiTheme="minorEastAsia" w:eastAsiaTheme="minorEastAsia"/>
          <w:sz w:val="24"/>
        </w:rPr>
        <w:t>向乙方支付违约金。</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乙方逾期交付货物的，乙方应按逾期交货总额每日</w:t>
      </w:r>
      <w:r>
        <w:rPr>
          <w:rFonts w:asciiTheme="minorEastAsia" w:hAnsiTheme="minorEastAsia" w:eastAsiaTheme="minorEastAsia"/>
          <w:sz w:val="24"/>
          <w:u w:val="single"/>
        </w:rPr>
        <w:t>千分之六</w:t>
      </w:r>
      <w:r>
        <w:rPr>
          <w:rFonts w:asciiTheme="minorEastAsia" w:hAnsiTheme="minorEastAsia" w:eastAsiaTheme="minorEastAsia"/>
          <w:sz w:val="24"/>
        </w:rPr>
        <w:t>向甲方支付违约金，由甲方从待付货款中扣除。逾期超过约定日期</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个工作日不能交货的，甲方可解除本合同。乙方因逾期交货或因其他违约行为导致甲方解除合同的，乙方应向甲方支付合同总值</w:t>
      </w:r>
      <w:r>
        <w:rPr>
          <w:rFonts w:asciiTheme="minorEastAsia" w:hAnsiTheme="minorEastAsia" w:eastAsiaTheme="minorEastAsia"/>
          <w:sz w:val="24"/>
          <w:u w:val="single"/>
        </w:rPr>
        <w:t>5%</w:t>
      </w:r>
      <w:r>
        <w:rPr>
          <w:rFonts w:asciiTheme="minorEastAsia" w:hAnsiTheme="minorEastAsia" w:eastAsiaTheme="minorEastAsia"/>
          <w:sz w:val="24"/>
        </w:rPr>
        <w:t xml:space="preserve">的违约金，如造成甲方损失超过违约金的，超出部分由乙方继续承担赔偿责任。 </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（五）若发生纠纷，由违约方赔偿守约方因纠纷所支付的费用（包括但不限于律师费、差旅费、诉讼费、保全费、鉴定费、评估费等）。</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七</w:t>
      </w:r>
      <w:r>
        <w:rPr>
          <w:rFonts w:asciiTheme="minorEastAsia" w:hAnsiTheme="minorEastAsia" w:eastAsiaTheme="minorEastAsia"/>
          <w:b/>
          <w:sz w:val="24"/>
        </w:rPr>
        <w:t>、不可抗力事件处理</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在合同有效期内，任何一方因不可抗力事件导致不能履行合同，则合同履行期可延长，其延长期与不可抗力影响期相同。</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不可抗力事件发生后，应立即通知对方，并寄送有关权威机构出具的证明。</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不可抗力事件延续120天以上，双方应通过友好协商，确定是否继续履行合同。</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Theme="minorEastAsia" w:hAnsiTheme="minorEastAsia" w:eastAsiaTheme="minorEastAsia"/>
          <w:b/>
          <w:sz w:val="24"/>
        </w:rPr>
        <w:t>解决争议的方法</w:t>
      </w:r>
    </w:p>
    <w:p>
      <w:pPr>
        <w:pStyle w:val="11"/>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w:t>
      </w:r>
      <w:r>
        <w:rPr>
          <w:rFonts w:hint="eastAsia" w:asciiTheme="minorEastAsia" w:hAnsiTheme="minorEastAsia" w:eastAsiaTheme="minorEastAsia"/>
          <w:sz w:val="24"/>
        </w:rPr>
        <w:t>监管处</w:t>
      </w:r>
      <w:r>
        <w:rPr>
          <w:rFonts w:asciiTheme="minorEastAsia" w:hAnsiTheme="minorEastAsia" w:eastAsiaTheme="minorEastAsia"/>
          <w:sz w:val="24"/>
        </w:rPr>
        <w:t>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1"/>
        <w:tabs>
          <w:tab w:val="left" w:pos="5790"/>
        </w:tabs>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九</w:t>
      </w:r>
      <w:r>
        <w:rPr>
          <w:rFonts w:asciiTheme="minorEastAsia" w:hAnsiTheme="minorEastAsia" w:eastAsiaTheme="minorEastAsia"/>
          <w:b/>
          <w:sz w:val="24"/>
        </w:rPr>
        <w:t>、合同生效</w:t>
      </w:r>
      <w:r>
        <w:rPr>
          <w:rFonts w:hint="eastAsia" w:asciiTheme="minorEastAsia" w:hAnsiTheme="minorEastAsia" w:eastAsiaTheme="minorEastAsia"/>
          <w:b/>
          <w:sz w:val="24"/>
        </w:rPr>
        <w:t>及其他</w:t>
      </w:r>
      <w:r>
        <w:rPr>
          <w:rFonts w:asciiTheme="minorEastAsia" w:hAnsiTheme="minorEastAsia" w:eastAsiaTheme="minorEastAsia"/>
          <w:b/>
          <w:sz w:val="24"/>
        </w:rPr>
        <w:tab/>
      </w:r>
    </w:p>
    <w:p>
      <w:pPr>
        <w:pStyle w:val="9"/>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（一）</w:t>
      </w:r>
      <w:r>
        <w:rPr>
          <w:rFonts w:asciiTheme="minorEastAsia" w:hAnsiTheme="minorEastAsia" w:eastAsiaTheme="minorEastAsia"/>
        </w:rPr>
        <w:t>合同经双方法定代表人或授权代表</w:t>
      </w:r>
      <w:r>
        <w:rPr>
          <w:rFonts w:hint="eastAsia" w:asciiTheme="minorEastAsia" w:hAnsiTheme="minorEastAsia" w:eastAsiaTheme="minorEastAsia"/>
        </w:rPr>
        <w:t>签字</w:t>
      </w:r>
      <w:r>
        <w:rPr>
          <w:rFonts w:asciiTheme="minorEastAsia" w:hAnsiTheme="minorEastAsia" w:eastAsiaTheme="minorEastAsia"/>
        </w:rPr>
        <w:t>并加盖单位公章后生效。</w:t>
      </w:r>
    </w:p>
    <w:p>
      <w:pPr>
        <w:pStyle w:val="9"/>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（二）</w:t>
      </w:r>
      <w:r>
        <w:rPr>
          <w:rFonts w:asciiTheme="minorEastAsia" w:hAnsiTheme="minorEastAsia" w:eastAsiaTheme="minorEastAsia"/>
        </w:rPr>
        <w:t>本合同未尽事宜，遵照</w:t>
      </w:r>
      <w:r>
        <w:rPr>
          <w:rFonts w:hint="eastAsia" w:ascii="宋体" w:hAnsi="宋体" w:cs="宋体"/>
        </w:rPr>
        <w:t>《</w:t>
      </w:r>
      <w:r>
        <w:rPr>
          <w:rFonts w:hint="eastAsia" w:ascii="宋体" w:hAnsi="宋体" w:cs="宋体"/>
          <w:color w:val="111F2C"/>
          <w:szCs w:val="21"/>
          <w:shd w:val="clear" w:color="auto" w:fill="FFFFFF"/>
        </w:rPr>
        <w:t>中华人民共和国民法典</w:t>
      </w:r>
      <w:r>
        <w:rPr>
          <w:rFonts w:hint="eastAsia" w:ascii="宋体" w:hAnsi="宋体" w:cs="宋体"/>
        </w:rPr>
        <w:t>》有关</w:t>
      </w:r>
      <w:r>
        <w:rPr>
          <w:rFonts w:asciiTheme="minorEastAsia" w:hAnsiTheme="minorEastAsia" w:eastAsiaTheme="minorEastAsia"/>
        </w:rPr>
        <w:t>条文执行。</w:t>
      </w:r>
    </w:p>
    <w:p>
      <w:pPr>
        <w:pStyle w:val="9"/>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（三）本合同一式两份，甲、乙双方各执一份。本项目未尽事宜以招标文件、投标文件及澄清文件等为准。</w:t>
      </w:r>
    </w:p>
    <w:p>
      <w:pPr>
        <w:widowControl/>
        <w:spacing w:line="360" w:lineRule="auto"/>
        <w:ind w:firstLine="482" w:firstLineChars="200"/>
        <w:rPr>
          <w:rFonts w:asciiTheme="minorEastAsia" w:hAnsiTheme="minorEastAsia" w:eastAsiaTheme="minorEastAsia"/>
          <w:b/>
          <w:sz w:val="24"/>
        </w:rPr>
      </w:pPr>
    </w:p>
    <w:p>
      <w:pPr>
        <w:widowControl/>
        <w:spacing w:line="360" w:lineRule="auto"/>
        <w:ind w:firstLine="482" w:firstLineChars="200"/>
        <w:rPr>
          <w:rFonts w:asciiTheme="minorEastAsia" w:hAnsiTheme="minorEastAsia" w:eastAsiaTheme="minorEastAsia"/>
          <w:b/>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甲方（盖章）                                     乙方（盖章）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                                     法定代表人：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委托代理人：                                     委托代理人：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                                       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                                       开户银行：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账号：                                           账号：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地址及邮编：                                     地址及邮编：</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签订时间：    年   月    日</w:t>
      </w:r>
    </w:p>
    <w:p>
      <w:pPr>
        <w:spacing w:line="360" w:lineRule="auto"/>
        <w:ind w:firstLine="480" w:firstLineChars="200"/>
        <w:rPr>
          <w:rFonts w:asciiTheme="minorEastAsia" w:hAnsiTheme="minorEastAsia" w:eastAsiaTheme="minorEastAsia"/>
          <w:sz w:val="24"/>
        </w:rPr>
      </w:pPr>
    </w:p>
    <w:p>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专用条款</w:t>
      </w:r>
    </w:p>
    <w:p>
      <w:pPr>
        <w:spacing w:line="360" w:lineRule="auto"/>
        <w:ind w:firstLine="420" w:firstLineChars="0"/>
        <w:jc w:val="left"/>
        <w:rPr>
          <w:rFonts w:hint="eastAsia" w:asciiTheme="minorEastAsia" w:hAnsiTheme="minorEastAsia" w:eastAsiaTheme="majorEastAsia"/>
          <w:b/>
          <w:sz w:val="36"/>
          <w:szCs w:val="36"/>
          <w:lang w:eastAsia="zh-CN"/>
        </w:rPr>
      </w:pPr>
      <w:bookmarkStart w:id="39" w:name="_Toc5481_WPSOffice_Level1"/>
      <w:r>
        <w:rPr>
          <w:rFonts w:hint="eastAsia" w:asciiTheme="majorEastAsia" w:hAnsiTheme="majorEastAsia" w:eastAsiaTheme="majorEastAsia"/>
          <w:sz w:val="28"/>
          <w:szCs w:val="28"/>
        </w:rPr>
        <w:t>预付款保函</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rPr>
        <w:t>有效期至设备到货、清点合格的当天</w:t>
      </w:r>
      <w:r>
        <w:rPr>
          <w:rFonts w:hint="eastAsia" w:asciiTheme="majorEastAsia" w:hAnsiTheme="majorEastAsia" w:eastAsiaTheme="majorEastAsia"/>
          <w:sz w:val="28"/>
          <w:szCs w:val="28"/>
          <w:lang w:eastAsia="zh-CN"/>
        </w:rPr>
        <w:t>。</w:t>
      </w:r>
    </w:p>
    <w:p>
      <w:pP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第六章 投标文件格式</w:t>
      </w:r>
      <w:bookmarkEnd w:id="39"/>
    </w:p>
    <w:p>
      <w:pPr>
        <w:rPr>
          <w:rFonts w:ascii="宋体" w:hAnsi="宋体"/>
          <w:b/>
          <w:kern w:val="0"/>
          <w:sz w:val="28"/>
          <w:szCs w:val="28"/>
        </w:rPr>
      </w:pPr>
      <w:r>
        <w:rPr>
          <w:rFonts w:hint="eastAsia" w:ascii="宋体" w:hAnsi="宋体"/>
          <w:b/>
          <w:kern w:val="0"/>
          <w:sz w:val="28"/>
          <w:szCs w:val="28"/>
        </w:rPr>
        <w:t xml:space="preserve"> </w:t>
      </w: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40" w:name="_Toc4956_WPSOffice_Level1"/>
      <w:bookmarkStart w:id="41" w:name="_Toc19093_WPSOffice_Level1"/>
      <w:bookmarkStart w:id="42" w:name="_Toc32372_WPSOffice_Level1"/>
      <w:r>
        <w:rPr>
          <w:rFonts w:hint="eastAsia"/>
          <w:sz w:val="52"/>
          <w:szCs w:val="52"/>
        </w:rPr>
        <w:t>项目名称</w:t>
      </w:r>
      <w:bookmarkEnd w:id="40"/>
      <w:bookmarkEnd w:id="41"/>
      <w:bookmarkEnd w:id="42"/>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1"/>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rPr>
          <w:rFonts w:ascii="仿宋_GB2312" w:hAnsi="宋体" w:eastAsia="仿宋_GB2312"/>
          <w:b/>
          <w:sz w:val="36"/>
          <w:szCs w:val="36"/>
        </w:rPr>
      </w:pPr>
      <w:r>
        <w:rPr>
          <w:rFonts w:ascii="仿宋_GB2312" w:hAnsi="宋体" w:eastAsia="仿宋_GB2312"/>
          <w:b/>
          <w:sz w:val="36"/>
          <w:szCs w:val="36"/>
        </w:rPr>
        <w:br w:type="page"/>
      </w:r>
    </w:p>
    <w:p>
      <w:pPr>
        <w:pStyle w:val="21"/>
      </w:pPr>
    </w:p>
    <w:p>
      <w:pPr>
        <w:spacing w:line="360" w:lineRule="auto"/>
        <w:jc w:val="center"/>
        <w:rPr>
          <w:b/>
          <w:bCs/>
          <w:sz w:val="36"/>
          <w:szCs w:val="36"/>
        </w:rPr>
      </w:pPr>
      <w:r>
        <w:rPr>
          <w:rFonts w:hint="eastAsia"/>
          <w:b/>
          <w:bCs/>
          <w:sz w:val="36"/>
          <w:szCs w:val="36"/>
        </w:rPr>
        <w:t>资格证明文件目录</w:t>
      </w:r>
    </w:p>
    <w:p>
      <w:pPr>
        <w:pStyle w:val="6"/>
      </w:pPr>
    </w:p>
    <w:p/>
    <w:p>
      <w:pPr>
        <w:numPr>
          <w:ilvl w:val="0"/>
          <w:numId w:val="7"/>
        </w:numPr>
        <w:spacing w:line="360" w:lineRule="auto"/>
        <w:ind w:hanging="5"/>
        <w:rPr>
          <w:sz w:val="28"/>
          <w:szCs w:val="36"/>
        </w:rPr>
      </w:pPr>
      <w:bookmarkStart w:id="43" w:name="_Toc27049_WPSOffice_Level1"/>
      <w:bookmarkStart w:id="44" w:name="_Toc12587_WPSOffice_Level1"/>
      <w:r>
        <w:rPr>
          <w:rFonts w:hint="eastAsia"/>
          <w:sz w:val="28"/>
          <w:szCs w:val="36"/>
        </w:rPr>
        <w:t>投标声明书（附件1）</w:t>
      </w:r>
      <w:bookmarkEnd w:id="43"/>
      <w:bookmarkEnd w:id="44"/>
    </w:p>
    <w:p>
      <w:pPr>
        <w:numPr>
          <w:ilvl w:val="0"/>
          <w:numId w:val="7"/>
        </w:numPr>
        <w:spacing w:line="360" w:lineRule="auto"/>
        <w:ind w:hanging="5"/>
        <w:rPr>
          <w:sz w:val="28"/>
          <w:szCs w:val="36"/>
        </w:rPr>
      </w:pPr>
      <w:bookmarkStart w:id="45" w:name="_Toc28306_WPSOffice_Level1"/>
      <w:bookmarkStart w:id="46" w:name="_Toc25574_WPSOffice_Level1"/>
      <w:bookmarkStart w:id="47" w:name="_Toc32100_WPSOffice_Level1"/>
      <w:bookmarkStart w:id="48" w:name="_Toc29616_WPSOffice_Level1"/>
      <w:r>
        <w:rPr>
          <w:rFonts w:hint="eastAsia"/>
          <w:sz w:val="28"/>
          <w:szCs w:val="36"/>
        </w:rPr>
        <w:t>授权委托书或联合体授权委托书（法定代表人办理投标事宜的，则无需提交授权委托书；以联合体形式投标时需提供联合体授权委托书)（附件2-1、附件2-2）</w:t>
      </w:r>
      <w:bookmarkEnd w:id="45"/>
      <w:bookmarkEnd w:id="46"/>
    </w:p>
    <w:p>
      <w:pPr>
        <w:numPr>
          <w:ilvl w:val="0"/>
          <w:numId w:val="7"/>
        </w:numPr>
        <w:spacing w:line="360" w:lineRule="auto"/>
        <w:ind w:hanging="5"/>
        <w:rPr>
          <w:sz w:val="28"/>
          <w:szCs w:val="36"/>
        </w:rPr>
      </w:pPr>
      <w:r>
        <w:rPr>
          <w:rFonts w:hint="eastAsia"/>
          <w:sz w:val="28"/>
          <w:szCs w:val="36"/>
        </w:rPr>
        <w:t>联合体共同投标协议书（以联合体形式投标时需提供）（附件3）</w:t>
      </w:r>
    </w:p>
    <w:p>
      <w:pPr>
        <w:numPr>
          <w:ilvl w:val="0"/>
          <w:numId w:val="7"/>
        </w:numPr>
        <w:spacing w:line="360" w:lineRule="auto"/>
        <w:ind w:hanging="5"/>
        <w:rPr>
          <w:sz w:val="28"/>
          <w:szCs w:val="36"/>
        </w:rPr>
      </w:pPr>
      <w:r>
        <w:rPr>
          <w:rFonts w:hint="eastAsia"/>
          <w:sz w:val="28"/>
          <w:szCs w:val="36"/>
        </w:rPr>
        <w:t>法人或者其他组织的营业执照等证明文件、自然人的身份证明</w:t>
      </w:r>
      <w:bookmarkEnd w:id="47"/>
      <w:bookmarkEnd w:id="48"/>
    </w:p>
    <w:p>
      <w:pPr>
        <w:numPr>
          <w:ilvl w:val="0"/>
          <w:numId w:val="7"/>
        </w:numPr>
        <w:spacing w:line="360" w:lineRule="auto"/>
        <w:ind w:hanging="5"/>
        <w:rPr>
          <w:sz w:val="28"/>
          <w:szCs w:val="36"/>
        </w:rPr>
      </w:pPr>
      <w:bookmarkStart w:id="49" w:name="_Toc30751_WPSOffice_Level1"/>
      <w:bookmarkStart w:id="50" w:name="_Toc2696_WPSOffice_Level1"/>
      <w:r>
        <w:rPr>
          <w:rFonts w:hint="eastAsia"/>
          <w:sz w:val="28"/>
          <w:szCs w:val="36"/>
        </w:rPr>
        <w:t>具备履行合同所必需的设备和专业技术能力的证明材料</w:t>
      </w:r>
      <w:bookmarkEnd w:id="49"/>
      <w:bookmarkEnd w:id="50"/>
    </w:p>
    <w:p>
      <w:pPr>
        <w:numPr>
          <w:ilvl w:val="0"/>
          <w:numId w:val="7"/>
        </w:numPr>
        <w:spacing w:line="360" w:lineRule="auto"/>
        <w:ind w:hanging="5"/>
        <w:rPr>
          <w:sz w:val="28"/>
          <w:szCs w:val="36"/>
        </w:rPr>
      </w:pPr>
      <w:bookmarkStart w:id="51" w:name="_Toc14150_WPSOffice_Level1"/>
      <w:bookmarkStart w:id="52" w:name="_Toc4587_WPSOffice_Level1"/>
      <w:r>
        <w:rPr>
          <w:rFonts w:hint="eastAsia"/>
          <w:sz w:val="28"/>
          <w:szCs w:val="36"/>
        </w:rPr>
        <w:t>本项目资格审查要求的相关的承诺函（附件4）</w:t>
      </w:r>
    </w:p>
    <w:p>
      <w:pPr>
        <w:numPr>
          <w:ilvl w:val="0"/>
          <w:numId w:val="7"/>
        </w:numPr>
        <w:spacing w:line="360" w:lineRule="auto"/>
        <w:ind w:hanging="5"/>
        <w:rPr>
          <w:sz w:val="28"/>
          <w:szCs w:val="36"/>
        </w:rPr>
      </w:pPr>
      <w:r>
        <w:rPr>
          <w:rFonts w:hint="eastAsia"/>
          <w:sz w:val="28"/>
          <w:szCs w:val="36"/>
        </w:rPr>
        <w:t>本项目要求的特定资质证书</w:t>
      </w:r>
      <w:bookmarkEnd w:id="51"/>
      <w:bookmarkEnd w:id="52"/>
    </w:p>
    <w:p>
      <w:pPr>
        <w:pStyle w:val="9"/>
      </w:pPr>
    </w:p>
    <w:p>
      <w:pPr>
        <w:spacing w:line="360" w:lineRule="auto"/>
        <w:ind w:firstLine="482" w:firstLineChars="200"/>
        <w:rPr>
          <w:rFonts w:ascii="宋体" w:hAnsi="宋体"/>
          <w:b/>
          <w:sz w:val="24"/>
        </w:rPr>
      </w:pPr>
    </w:p>
    <w:p>
      <w:pPr>
        <w:spacing w:line="360" w:lineRule="auto"/>
        <w:ind w:left="420"/>
        <w:rPr>
          <w:rFonts w:ascii="宋体" w:hAnsi="宋体"/>
          <w:b/>
          <w:sz w:val="28"/>
        </w:rPr>
      </w:pPr>
    </w:p>
    <w:p>
      <w:pPr>
        <w:pStyle w:val="28"/>
        <w:rPr>
          <w:rFonts w:ascii="宋体" w:hAnsi="宋体"/>
          <w:b/>
          <w:sz w:val="28"/>
        </w:rPr>
      </w:pPr>
    </w:p>
    <w:p>
      <w:pPr>
        <w:pStyle w:val="28"/>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12" w:lineRule="auto"/>
        <w:rPr>
          <w:rFonts w:ascii="宋体" w:hAnsi="宋体"/>
          <w:b/>
          <w:sz w:val="28"/>
        </w:rPr>
      </w:pPr>
      <w:r>
        <w:rPr>
          <w:rFonts w:hint="eastAsia" w:ascii="宋体" w:hAnsi="宋体"/>
          <w:b/>
          <w:sz w:val="28"/>
        </w:rPr>
        <w:t>附件1</w:t>
      </w:r>
    </w:p>
    <w:p>
      <w:pPr>
        <w:adjustRightInd w:val="0"/>
        <w:snapToGrid w:val="0"/>
        <w:spacing w:line="312" w:lineRule="auto"/>
        <w:ind w:right="480"/>
        <w:jc w:val="center"/>
        <w:rPr>
          <w:rFonts w:ascii="宋体" w:hAnsi="宋体"/>
          <w:b/>
          <w:kern w:val="0"/>
          <w:sz w:val="32"/>
          <w:szCs w:val="32"/>
          <w:lang w:val="zh-CN"/>
        </w:rPr>
      </w:pPr>
      <w:bookmarkStart w:id="53" w:name="_Toc31708_WPSOffice_Level1"/>
      <w:bookmarkStart w:id="54" w:name="_Toc30723_WPSOffice_Level1"/>
      <w:r>
        <w:rPr>
          <w:rFonts w:hint="eastAsia" w:ascii="宋体" w:hAnsi="宋体"/>
          <w:b/>
          <w:kern w:val="0"/>
          <w:sz w:val="32"/>
          <w:szCs w:val="32"/>
          <w:lang w:val="zh-CN"/>
        </w:rPr>
        <w:t>投标声明书</w:t>
      </w:r>
      <w:bookmarkEnd w:id="53"/>
      <w:bookmarkEnd w:id="54"/>
    </w:p>
    <w:p>
      <w:pPr>
        <w:snapToGrid w:val="0"/>
        <w:spacing w:before="120" w:beforeLines="50" w:after="50" w:line="288" w:lineRule="auto"/>
        <w:rPr>
          <w:rFonts w:ascii="宋体" w:hAnsi="宋体" w:cs="宋体"/>
          <w:kern w:val="0"/>
          <w:sz w:val="24"/>
        </w:rPr>
      </w:pPr>
      <w:r>
        <w:rPr>
          <w:rFonts w:hint="eastAsia" w:hAnsi="宋体"/>
          <w:bCs/>
          <w:sz w:val="24"/>
          <w:u w:val="single"/>
        </w:rPr>
        <w:t>台州市政府采购中心</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8"/>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8"/>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8"/>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8"/>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8"/>
        </w:numPr>
        <w:snapToGrid w:val="0"/>
        <w:spacing w:line="360" w:lineRule="auto"/>
        <w:ind w:left="5" w:firstLine="415"/>
        <w:rPr>
          <w:rFonts w:ascii="仿宋_GB2312" w:hAnsi="仿宋_GB2312" w:eastAsia="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8"/>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法定代表人或授权委托人签字：</w:t>
      </w:r>
    </w:p>
    <w:p>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 xml:space="preserve"> 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rPr>
          <w:rFonts w:ascii="宋体" w:hAnsi="宋体" w:cs="仿宋_GB2312"/>
          <w:kern w:val="0"/>
          <w:sz w:val="24"/>
          <w:lang w:val="zh-CN"/>
        </w:rPr>
      </w:pPr>
      <w:r>
        <w:rPr>
          <w:rFonts w:hint="eastAsia" w:ascii="宋体" w:hAnsi="宋体" w:cs="仿宋_GB2312"/>
          <w:kern w:val="0"/>
          <w:sz w:val="24"/>
          <w:lang w:val="zh-CN"/>
        </w:rPr>
        <w:br w:type="page"/>
      </w:r>
    </w:p>
    <w:p>
      <w:pPr>
        <w:adjustRightInd w:val="0"/>
        <w:snapToGrid w:val="0"/>
        <w:spacing w:line="360" w:lineRule="auto"/>
        <w:ind w:right="480"/>
        <w:rPr>
          <w:rFonts w:ascii="宋体"/>
          <w:b/>
          <w:sz w:val="30"/>
          <w:szCs w:val="30"/>
        </w:rPr>
      </w:pPr>
      <w:r>
        <w:rPr>
          <w:rFonts w:hint="eastAsia" w:ascii="宋体" w:hAnsi="宋体"/>
          <w:b/>
          <w:sz w:val="28"/>
        </w:rPr>
        <w:t>附件2-1</w:t>
      </w:r>
    </w:p>
    <w:p>
      <w:pPr>
        <w:spacing w:line="360" w:lineRule="auto"/>
        <w:ind w:firstLine="321" w:firstLineChars="100"/>
        <w:jc w:val="center"/>
        <w:rPr>
          <w:rFonts w:hAnsi="宋体"/>
          <w:b/>
          <w:sz w:val="32"/>
          <w:szCs w:val="32"/>
          <w:u w:val="single"/>
        </w:rPr>
      </w:pPr>
      <w:bookmarkStart w:id="55" w:name="_Toc24373_WPSOffice_Level1"/>
      <w:bookmarkStart w:id="56" w:name="_Toc6870_WPSOffice_Level1"/>
      <w:r>
        <w:rPr>
          <w:b/>
          <w:sz w:val="32"/>
          <w:szCs w:val="32"/>
        </w:rPr>
        <w:t>授权</w:t>
      </w:r>
      <w:r>
        <w:rPr>
          <w:rFonts w:hint="eastAsia"/>
          <w:b/>
          <w:sz w:val="32"/>
          <w:szCs w:val="32"/>
        </w:rPr>
        <w:t>委托</w:t>
      </w:r>
      <w:r>
        <w:rPr>
          <w:b/>
          <w:sz w:val="32"/>
          <w:szCs w:val="32"/>
        </w:rPr>
        <w:t>书</w:t>
      </w:r>
      <w:bookmarkEnd w:id="55"/>
      <w:bookmarkEnd w:id="56"/>
    </w:p>
    <w:p>
      <w:pPr>
        <w:snapToGrid w:val="0"/>
        <w:spacing w:before="120" w:beforeLines="50" w:after="50" w:line="288" w:lineRule="auto"/>
        <w:rPr>
          <w:rFonts w:ascii="宋体" w:hAnsi="宋体" w:cs="宋体"/>
          <w:kern w:val="0"/>
          <w:sz w:val="24"/>
        </w:rPr>
      </w:pPr>
      <w:r>
        <w:rPr>
          <w:rFonts w:hint="eastAsia" w:hAnsi="宋体"/>
          <w:bCs/>
          <w:sz w:val="24"/>
          <w:u w:val="single"/>
        </w:rPr>
        <w:t>台州市政府采购中心</w:t>
      </w:r>
      <w:r>
        <w:rPr>
          <w:rFonts w:hint="eastAsia" w:ascii="宋体" w:hAnsi="宋体" w:cs="宋体"/>
          <w:kern w:val="0"/>
          <w:sz w:val="24"/>
        </w:rPr>
        <w:t>：</w:t>
      </w:r>
    </w:p>
    <w:p>
      <w:pPr>
        <w:pStyle w:val="11"/>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1"/>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1"/>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sz w:val="24"/>
        </w:rPr>
      </w:pPr>
      <w:r>
        <w:rPr>
          <w:rFonts w:hint="eastAsia" w:ascii="宋体"/>
          <w:sz w:val="24"/>
        </w:rPr>
        <w:br w:type="page"/>
      </w:r>
    </w:p>
    <w:p>
      <w:pPr>
        <w:adjustRightInd w:val="0"/>
        <w:snapToGrid w:val="0"/>
        <w:spacing w:line="360" w:lineRule="auto"/>
        <w:ind w:right="480"/>
        <w:rPr>
          <w:rFonts w:ascii="宋体" w:hAnsi="宋体" w:cs="宋体"/>
          <w:b/>
          <w:bCs/>
          <w:sz w:val="32"/>
          <w:szCs w:val="32"/>
        </w:rPr>
      </w:pPr>
      <w:r>
        <w:rPr>
          <w:rFonts w:hint="eastAsia" w:ascii="宋体" w:hAnsi="宋体"/>
          <w:b/>
          <w:sz w:val="28"/>
        </w:rPr>
        <w:t>附件2-2</w:t>
      </w:r>
    </w:p>
    <w:p>
      <w:pPr>
        <w:spacing w:line="360" w:lineRule="auto"/>
        <w:ind w:firstLine="321" w:firstLineChars="100"/>
        <w:jc w:val="center"/>
        <w:rPr>
          <w:rFonts w:hAnsi="宋体"/>
          <w:b/>
          <w:sz w:val="32"/>
          <w:szCs w:val="32"/>
          <w:u w:val="single"/>
        </w:rPr>
      </w:pPr>
      <w:r>
        <w:rPr>
          <w:rFonts w:hint="eastAsia" w:ascii="宋体" w:hAnsi="宋体" w:cs="宋体"/>
          <w:b/>
          <w:bCs/>
          <w:sz w:val="32"/>
          <w:szCs w:val="32"/>
        </w:rPr>
        <w:t>联合体</w:t>
      </w:r>
      <w:r>
        <w:rPr>
          <w:b/>
          <w:sz w:val="32"/>
          <w:szCs w:val="32"/>
        </w:rPr>
        <w:t>授权</w:t>
      </w:r>
      <w:r>
        <w:rPr>
          <w:rFonts w:hint="eastAsia"/>
          <w:b/>
          <w:sz w:val="32"/>
          <w:szCs w:val="32"/>
        </w:rPr>
        <w:t>委托</w:t>
      </w:r>
      <w:r>
        <w:rPr>
          <w:b/>
          <w:sz w:val="32"/>
          <w:szCs w:val="32"/>
        </w:rPr>
        <w:t>书</w:t>
      </w:r>
    </w:p>
    <w:p>
      <w:pPr>
        <w:snapToGrid w:val="0"/>
        <w:spacing w:before="120" w:beforeLines="50" w:after="50" w:line="288" w:lineRule="auto"/>
        <w:rPr>
          <w:rFonts w:ascii="宋体" w:hAnsi="宋体" w:cs="宋体"/>
          <w:bCs/>
          <w:kern w:val="0"/>
          <w:sz w:val="24"/>
        </w:rPr>
      </w:pPr>
      <w:r>
        <w:rPr>
          <w:rFonts w:hint="eastAsia" w:hAnsi="宋体"/>
          <w:bCs/>
          <w:sz w:val="24"/>
          <w:u w:val="single"/>
        </w:rPr>
        <w:t>台州市政府采购中心</w:t>
      </w:r>
      <w:r>
        <w:rPr>
          <w:rFonts w:hint="eastAsia" w:ascii="宋体" w:hAnsi="宋体" w:cs="宋体"/>
          <w:bCs/>
          <w:kern w:val="0"/>
          <w:sz w:val="24"/>
        </w:rPr>
        <w:t>：</w:t>
      </w:r>
    </w:p>
    <w:p>
      <w:pPr>
        <w:pStyle w:val="11"/>
        <w:spacing w:line="360" w:lineRule="auto"/>
        <w:ind w:firstLine="420"/>
        <w:rPr>
          <w:rFonts w:hAnsi="宋体"/>
          <w:sz w:val="24"/>
        </w:rPr>
      </w:pPr>
      <w:r>
        <w:rPr>
          <w:rFonts w:hAnsi="宋体"/>
          <w:sz w:val="24"/>
          <w:u w:val="single"/>
        </w:rPr>
        <w:t>（</w:t>
      </w:r>
      <w:r>
        <w:rPr>
          <w:rFonts w:hint="eastAsia" w:hAnsi="宋体"/>
          <w:sz w:val="24"/>
          <w:u w:val="single"/>
        </w:rPr>
        <w:t>联合体牵头人公司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int="eastAsia" w:hAnsi="宋体"/>
          <w:sz w:val="24"/>
        </w:rPr>
        <w:t>、</w:t>
      </w:r>
      <w:r>
        <w:rPr>
          <w:rFonts w:hint="eastAsia" w:hAnsi="宋体"/>
          <w:sz w:val="24"/>
          <w:u w:val="single"/>
        </w:rPr>
        <w:t xml:space="preserve">  </w:t>
      </w:r>
      <w:r>
        <w:rPr>
          <w:rFonts w:hAnsi="宋体"/>
          <w:sz w:val="24"/>
          <w:u w:val="single"/>
        </w:rPr>
        <w:t>（</w:t>
      </w:r>
      <w:r>
        <w:rPr>
          <w:rFonts w:hint="eastAsia" w:hAnsi="宋体"/>
          <w:sz w:val="24"/>
          <w:u w:val="single"/>
        </w:rPr>
        <w:t>联合体成员1公司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int="eastAsia" w:hAnsi="宋体"/>
          <w:sz w:val="24"/>
        </w:rPr>
        <w:t>、</w:t>
      </w:r>
      <w:r>
        <w:rPr>
          <w:rFonts w:hAnsi="宋体"/>
          <w:sz w:val="24"/>
          <w:u w:val="single"/>
        </w:rPr>
        <w:t>（</w:t>
      </w:r>
      <w:r>
        <w:rPr>
          <w:rFonts w:hint="eastAsia" w:hAnsi="宋体"/>
          <w:sz w:val="24"/>
          <w:u w:val="single"/>
        </w:rPr>
        <w:t>联合体成员2公司</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int="eastAsia" w:hAnsi="宋体"/>
          <w:sz w:val="24"/>
          <w:u w:val="single"/>
        </w:rPr>
        <w:t xml:space="preserve">     </w:t>
      </w:r>
      <w:r>
        <w:rPr>
          <w:rFonts w:hAnsi="宋体"/>
          <w:sz w:val="24"/>
          <w:u w:val="single"/>
        </w:rPr>
        <w:t xml:space="preserve"> </w:t>
      </w:r>
      <w:r>
        <w:rPr>
          <w:rFonts w:hint="eastAsia" w:hAnsi="宋体"/>
          <w:sz w:val="24"/>
          <w:u w:val="single"/>
        </w:rPr>
        <w:t xml:space="preserve">              </w:t>
      </w:r>
      <w:r>
        <w:rPr>
          <w:rFonts w:hint="eastAsia" w:hAnsi="宋体" w:cs="宋体"/>
          <w:color w:val="000000"/>
          <w:kern w:val="0"/>
          <w:sz w:val="24"/>
        </w:rPr>
        <w:t>组成的联合体</w:t>
      </w:r>
      <w:r>
        <w:rPr>
          <w:rFonts w:hint="eastAsia" w:hAnsi="宋体"/>
          <w:sz w:val="24"/>
        </w:rPr>
        <w:t>，现共同</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sz w:val="24"/>
          <w:u w:val="single"/>
        </w:rPr>
        <w:t xml:space="preserve">       </w:t>
      </w:r>
      <w:r>
        <w:rPr>
          <w:sz w:val="24"/>
          <w:u w:val="single"/>
        </w:rPr>
        <w:t>（项目名称）</w:t>
      </w:r>
      <w:r>
        <w:rPr>
          <w:rFonts w:hint="eastAsia"/>
          <w:sz w:val="24"/>
          <w:u w:val="single"/>
        </w:rPr>
        <w:t xml:space="preserve">      </w:t>
      </w:r>
      <w:r>
        <w:rPr>
          <w:sz w:val="24"/>
        </w:rPr>
        <w:t>（</w:t>
      </w:r>
      <w:r>
        <w:rPr>
          <w:rFonts w:hint="eastAsia"/>
          <w:sz w:val="24"/>
        </w:rPr>
        <w:t>项目</w:t>
      </w:r>
      <w:r>
        <w:rPr>
          <w:sz w:val="24"/>
        </w:rPr>
        <w:t>编号：</w:t>
      </w:r>
      <w:r>
        <w:rPr>
          <w:sz w:val="24"/>
          <w:u w:val="single"/>
        </w:rPr>
        <w:t xml:space="preserve">   </w:t>
      </w:r>
      <w:r>
        <w:rPr>
          <w:rFonts w:hint="eastAsia"/>
          <w:sz w:val="24"/>
          <w:u w:val="single"/>
        </w:rPr>
        <w:t xml:space="preserve">   </w:t>
      </w:r>
      <w:r>
        <w:rPr>
          <w:sz w:val="24"/>
          <w:u w:val="single"/>
        </w:rPr>
        <w:t xml:space="preserve">    </w:t>
      </w:r>
      <w:r>
        <w:rPr>
          <w:sz w:val="24"/>
        </w:rPr>
        <w:t>）</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11"/>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rFonts w:ascii="宋体"/>
          <w:sz w:val="24"/>
        </w:rPr>
      </w:pPr>
      <w:r>
        <w:rPr>
          <w:rFonts w:hint="eastAsia" w:hAnsi="宋体"/>
          <w:sz w:val="24"/>
        </w:rPr>
        <w:t>联合体牵头人</w:t>
      </w:r>
      <w:r>
        <w:rPr>
          <w:rFonts w:hint="eastAsia" w:ascii="宋体"/>
          <w:sz w:val="24"/>
        </w:rPr>
        <w:t xml:space="preserve">全称（公章）： </w:t>
      </w:r>
    </w:p>
    <w:p>
      <w:pPr>
        <w:spacing w:line="360" w:lineRule="auto"/>
        <w:rPr>
          <w:rFonts w:ascii="宋体"/>
          <w:sz w:val="24"/>
        </w:rPr>
      </w:pPr>
      <w:r>
        <w:rPr>
          <w:rFonts w:hint="eastAsia" w:ascii="宋体"/>
          <w:sz w:val="24"/>
        </w:rPr>
        <w:t>法定代表人签字或盖章：</w:t>
      </w:r>
    </w:p>
    <w:p>
      <w:pPr>
        <w:spacing w:line="360" w:lineRule="auto"/>
        <w:rPr>
          <w:rFonts w:ascii="宋体"/>
          <w:sz w:val="24"/>
        </w:rPr>
      </w:pPr>
      <w:r>
        <w:rPr>
          <w:rFonts w:hint="eastAsia" w:hAnsi="宋体"/>
          <w:sz w:val="24"/>
        </w:rPr>
        <w:t>联合体成员1</w:t>
      </w:r>
      <w:r>
        <w:rPr>
          <w:rFonts w:hint="eastAsia" w:ascii="宋体"/>
          <w:sz w:val="24"/>
        </w:rPr>
        <w:t xml:space="preserve">全称（公章）： </w:t>
      </w:r>
    </w:p>
    <w:p>
      <w:pPr>
        <w:spacing w:line="360" w:lineRule="auto"/>
      </w:pPr>
      <w:r>
        <w:rPr>
          <w:rFonts w:hint="eastAsia" w:ascii="宋体"/>
          <w:sz w:val="24"/>
        </w:rPr>
        <w:t>法定代表人签字或盖章：</w:t>
      </w:r>
    </w:p>
    <w:p>
      <w:pPr>
        <w:spacing w:line="360" w:lineRule="auto"/>
      </w:pPr>
      <w:r>
        <w:rPr>
          <w:rFonts w:hint="eastAsia" w:ascii="宋体"/>
          <w:sz w:val="24"/>
        </w:rPr>
        <w:t xml:space="preserve">                                                       日期：</w:t>
      </w:r>
    </w:p>
    <w:p>
      <w:pPr>
        <w:spacing w:line="360" w:lineRule="auto"/>
        <w:rPr>
          <w:b/>
          <w:sz w:val="24"/>
        </w:rPr>
      </w:pPr>
      <w:r>
        <w:rPr>
          <w:rFonts w:hint="eastAsia" w:ascii="宋体"/>
          <w:b/>
          <w:sz w:val="24"/>
        </w:rPr>
        <w:t>附：</w:t>
      </w: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法定代表身份证复印件粘贴处</w:t>
            </w:r>
          </w:p>
        </w:tc>
      </w:tr>
    </w:tbl>
    <w:p>
      <w:pPr>
        <w:spacing w:line="360" w:lineRule="auto"/>
        <w:rPr>
          <w:sz w:val="24"/>
        </w:rPr>
      </w:pPr>
      <w:r>
        <w:rPr>
          <w:rFonts w:hint="eastAsia" w:hAnsi="宋体"/>
          <w:sz w:val="24"/>
        </w:rPr>
        <w:t>联合体牵头人</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Ansi="宋体"/>
          <w:sz w:val="24"/>
        </w:rPr>
      </w:pPr>
    </w:p>
    <w:p>
      <w:pPr>
        <w:spacing w:line="360" w:lineRule="auto"/>
        <w:rPr>
          <w:rFonts w:hAnsi="宋体"/>
          <w:sz w:val="24"/>
        </w:rPr>
      </w:pPr>
    </w:p>
    <w:p>
      <w:pPr>
        <w:spacing w:line="360" w:lineRule="auto"/>
        <w:rPr>
          <w:rFonts w:hAnsi="宋体"/>
          <w:sz w:val="24"/>
        </w:rPr>
      </w:pPr>
    </w:p>
    <w:tbl>
      <w:tblPr>
        <w:tblStyle w:val="22"/>
        <w:tblpPr w:leftFromText="180" w:rightFromText="180" w:vertAnchor="text" w:horzAnchor="page" w:tblpX="5940" w:tblpY="-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法定代表身份证复印件粘贴处</w:t>
            </w:r>
          </w:p>
        </w:tc>
      </w:tr>
    </w:tbl>
    <w:p>
      <w:pPr>
        <w:spacing w:line="360" w:lineRule="auto"/>
        <w:rPr>
          <w:sz w:val="24"/>
        </w:rPr>
      </w:pPr>
      <w:r>
        <w:rPr>
          <w:rFonts w:hint="eastAsia" w:hAnsi="宋体"/>
          <w:sz w:val="24"/>
        </w:rPr>
        <w:t>联合体成员1</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Ansi="宋体"/>
          <w:sz w:val="24"/>
        </w:rPr>
      </w:pPr>
    </w:p>
    <w:p>
      <w:pPr>
        <w:spacing w:line="360" w:lineRule="auto"/>
        <w:rPr>
          <w:rFonts w:ascii="宋体"/>
          <w:sz w:val="24"/>
        </w:rPr>
      </w:pPr>
    </w:p>
    <w:tbl>
      <w:tblPr>
        <w:tblStyle w:val="22"/>
        <w:tblpPr w:leftFromText="180" w:rightFromText="180" w:vertAnchor="text" w:horzAnchor="page" w:tblpX="5940" w:tblpY="4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全权代表身份证复印件粘贴处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ectPr>
          <w:pgSz w:w="11906" w:h="16838"/>
          <w:pgMar w:top="1701" w:right="1418" w:bottom="1588" w:left="1418" w:header="851" w:footer="851" w:gutter="0"/>
          <w:cols w:space="720" w:num="1"/>
          <w:docGrid w:linePitch="312" w:charSpace="0"/>
        </w:sectPr>
      </w:pPr>
    </w:p>
    <w:p>
      <w:pPr>
        <w:rPr>
          <w:rFonts w:ascii="宋体" w:hAnsi="宋体"/>
          <w:b/>
          <w:sz w:val="28"/>
        </w:rPr>
      </w:pPr>
      <w:r>
        <w:rPr>
          <w:rFonts w:hint="eastAsia" w:ascii="宋体" w:hAnsi="宋体"/>
          <w:b/>
          <w:sz w:val="28"/>
        </w:rPr>
        <w:t>附件3</w:t>
      </w:r>
    </w:p>
    <w:p>
      <w:pPr>
        <w:spacing w:line="480" w:lineRule="auto"/>
        <w:ind w:firstLine="321" w:firstLineChars="100"/>
        <w:jc w:val="center"/>
        <w:rPr>
          <w:bCs/>
          <w:sz w:val="24"/>
        </w:rPr>
      </w:pPr>
      <w:r>
        <w:rPr>
          <w:rFonts w:hint="eastAsia" w:ascii="宋体" w:hAnsi="宋体" w:cs="宋体"/>
          <w:b/>
          <w:bCs/>
          <w:sz w:val="32"/>
          <w:szCs w:val="32"/>
        </w:rPr>
        <w:t>联合体共同投标协议书</w:t>
      </w:r>
    </w:p>
    <w:p>
      <w:pPr>
        <w:snapToGrid w:val="0"/>
        <w:spacing w:line="360" w:lineRule="auto"/>
        <w:ind w:firstLine="576"/>
        <w:rPr>
          <w:kern w:val="0"/>
          <w:sz w:val="24"/>
          <w:lang w:val="zh-CN"/>
        </w:rPr>
      </w:pPr>
      <w:r>
        <w:rPr>
          <w:rFonts w:hint="eastAsia"/>
          <w:kern w:val="0"/>
          <w:sz w:val="24"/>
          <w:u w:val="single"/>
        </w:rPr>
        <w:t xml:space="preserve"> </w:t>
      </w:r>
      <w:r>
        <w:rPr>
          <w:kern w:val="0"/>
          <w:sz w:val="24"/>
          <w:u w:val="single"/>
        </w:rPr>
        <w:t>（联合体所有成员名称）</w:t>
      </w:r>
      <w:r>
        <w:rPr>
          <w:rFonts w:hint="eastAsia"/>
          <w:kern w:val="0"/>
          <w:sz w:val="24"/>
          <w:u w:val="single"/>
        </w:rPr>
        <w:t xml:space="preserve"> </w:t>
      </w:r>
      <w:r>
        <w:rPr>
          <w:kern w:val="0"/>
          <w:sz w:val="24"/>
        </w:rPr>
        <w:t>自愿</w:t>
      </w:r>
      <w:r>
        <w:rPr>
          <w:kern w:val="0"/>
          <w:sz w:val="24"/>
          <w:lang w:val="zh-CN"/>
        </w:rPr>
        <w:t>组成联合体，以一个投标人的身份</w:t>
      </w:r>
      <w:r>
        <w:rPr>
          <w:rFonts w:hint="eastAsia"/>
          <w:kern w:val="0"/>
          <w:sz w:val="24"/>
        </w:rPr>
        <w:t>共同参加贵单位组织的</w:t>
      </w:r>
      <w:r>
        <w:rPr>
          <w:rFonts w:hint="eastAsia"/>
          <w:sz w:val="24"/>
          <w:u w:val="single"/>
        </w:rPr>
        <w:t xml:space="preserve">       </w:t>
      </w:r>
      <w:r>
        <w:rPr>
          <w:sz w:val="24"/>
          <w:u w:val="single"/>
        </w:rPr>
        <w:t>（项目名称）</w:t>
      </w:r>
      <w:r>
        <w:rPr>
          <w:rFonts w:hint="eastAsia"/>
          <w:sz w:val="24"/>
          <w:u w:val="single"/>
        </w:rPr>
        <w:t xml:space="preserve">      </w:t>
      </w:r>
      <w:r>
        <w:rPr>
          <w:sz w:val="24"/>
        </w:rPr>
        <w:t>（</w:t>
      </w:r>
      <w:r>
        <w:rPr>
          <w:rFonts w:hint="eastAsia"/>
          <w:sz w:val="24"/>
        </w:rPr>
        <w:t>项目</w:t>
      </w:r>
      <w:r>
        <w:rPr>
          <w:sz w:val="24"/>
        </w:rPr>
        <w:t>编号：</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的</w:t>
      </w:r>
      <w:r>
        <w:rPr>
          <w:kern w:val="0"/>
          <w:sz w:val="24"/>
          <w:lang w:val="zh-CN"/>
        </w:rPr>
        <w:t>投标。</w:t>
      </w:r>
      <w:r>
        <w:rPr>
          <w:rFonts w:hint="eastAsia"/>
          <w:kern w:val="0"/>
          <w:sz w:val="24"/>
        </w:rPr>
        <w:t>现就联合体投标事宜订立如下协议：</w:t>
      </w:r>
      <w:r>
        <w:rPr>
          <w:kern w:val="0"/>
          <w:sz w:val="24"/>
          <w:lang w:val="zh-CN"/>
        </w:rPr>
        <w:t xml:space="preserve"> </w:t>
      </w:r>
    </w:p>
    <w:p>
      <w:pPr>
        <w:numPr>
          <w:ilvl w:val="0"/>
          <w:numId w:val="9"/>
        </w:numPr>
        <w:snapToGrid w:val="0"/>
        <w:spacing w:line="360" w:lineRule="auto"/>
        <w:ind w:firstLine="576"/>
        <w:rPr>
          <w:kern w:val="0"/>
          <w:sz w:val="24"/>
          <w:u w:val="single"/>
        </w:rPr>
      </w:pPr>
      <w:r>
        <w:rPr>
          <w:kern w:val="0"/>
          <w:sz w:val="24"/>
          <w:u w:val="single"/>
        </w:rPr>
        <w:t>（某联合体成员名称）</w:t>
      </w:r>
      <w:r>
        <w:rPr>
          <w:rFonts w:hint="eastAsia"/>
          <w:kern w:val="0"/>
          <w:sz w:val="24"/>
          <w:u w:val="single"/>
        </w:rPr>
        <w:t xml:space="preserve"> 为联合体的牵头人。</w:t>
      </w:r>
    </w:p>
    <w:p>
      <w:pPr>
        <w:numPr>
          <w:ilvl w:val="0"/>
          <w:numId w:val="9"/>
        </w:numPr>
        <w:snapToGrid w:val="0"/>
        <w:spacing w:line="360" w:lineRule="auto"/>
        <w:ind w:firstLine="576"/>
      </w:pPr>
      <w:r>
        <w:rPr>
          <w:rFonts w:hint="eastAsia"/>
          <w:kern w:val="0"/>
          <w:sz w:val="24"/>
        </w:rPr>
        <w:t>联合体牵头人合法代表联合体各成员，负责本采购项目投标文件编制和合同谈判活动，并代表联合体提交和接受相关的资料、信息及指示，并处理与之有关的一切事务，负责合同实施阶段的主办、组织和协调工作。</w:t>
      </w:r>
    </w:p>
    <w:p>
      <w:pPr>
        <w:numPr>
          <w:ilvl w:val="0"/>
          <w:numId w:val="9"/>
        </w:numPr>
        <w:snapToGrid w:val="0"/>
        <w:spacing w:line="360" w:lineRule="auto"/>
        <w:ind w:firstLine="576"/>
        <w:rPr>
          <w:lang w:val="zh-CN"/>
        </w:rPr>
      </w:pPr>
      <w:r>
        <w:rPr>
          <w:rFonts w:hint="eastAsia"/>
          <w:kern w:val="0"/>
          <w:sz w:val="24"/>
        </w:rPr>
        <w:t>联合体将严格按照招标文件的各项要求，递交投标文件，履行合同，并对外承担连带责任。</w:t>
      </w:r>
    </w:p>
    <w:p>
      <w:pPr>
        <w:numPr>
          <w:ilvl w:val="0"/>
          <w:numId w:val="9"/>
        </w:numPr>
        <w:snapToGrid w:val="0"/>
        <w:spacing w:line="360" w:lineRule="auto"/>
        <w:ind w:firstLine="576"/>
        <w:rPr>
          <w:kern w:val="0"/>
          <w:sz w:val="24"/>
          <w:lang w:val="zh-CN"/>
        </w:rPr>
      </w:pPr>
      <w:r>
        <w:rPr>
          <w:rFonts w:hint="eastAsia"/>
          <w:kern w:val="0"/>
          <w:sz w:val="24"/>
        </w:rPr>
        <w:t>本次联合投标中，分工如下：</w:t>
      </w:r>
      <w:r>
        <w:rPr>
          <w:rFonts w:hint="eastAsia"/>
          <w:kern w:val="0"/>
          <w:sz w:val="24"/>
          <w:u w:val="single"/>
        </w:rPr>
        <w:t>（</w:t>
      </w:r>
      <w:r>
        <w:rPr>
          <w:kern w:val="0"/>
          <w:sz w:val="24"/>
          <w:u w:val="single"/>
        </w:rPr>
        <w:t>联合体</w:t>
      </w:r>
      <w:r>
        <w:rPr>
          <w:rFonts w:hint="eastAsia"/>
          <w:kern w:val="0"/>
          <w:sz w:val="24"/>
          <w:u w:val="single"/>
        </w:rPr>
        <w:t>牵头人</w:t>
      </w:r>
      <w:r>
        <w:rPr>
          <w:kern w:val="0"/>
          <w:sz w:val="24"/>
          <w:u w:val="single"/>
        </w:rPr>
        <w:t>名称）</w:t>
      </w:r>
      <w:r>
        <w:rPr>
          <w:kern w:val="0"/>
          <w:sz w:val="24"/>
          <w:lang w:val="zh-CN"/>
        </w:rPr>
        <w:t>承担</w:t>
      </w:r>
      <w:r>
        <w:rPr>
          <w:rFonts w:hint="eastAsia"/>
          <w:kern w:val="0"/>
          <w:sz w:val="24"/>
          <w:lang w:val="zh-CN"/>
        </w:rPr>
        <w:t>的工作</w:t>
      </w:r>
      <w:r>
        <w:rPr>
          <w:rFonts w:hint="eastAsia"/>
          <w:kern w:val="0"/>
          <w:sz w:val="24"/>
        </w:rPr>
        <w:t>义务</w:t>
      </w:r>
      <w:r>
        <w:rPr>
          <w:kern w:val="0"/>
          <w:sz w:val="24"/>
          <w:lang w:val="zh-CN"/>
        </w:rPr>
        <w:t>为：</w:t>
      </w:r>
      <w:r>
        <w:rPr>
          <w:sz w:val="24"/>
          <w:u w:val="single"/>
        </w:rPr>
        <w:t xml:space="preserve">            </w:t>
      </w:r>
      <w:r>
        <w:rPr>
          <w:rFonts w:hint="eastAsia"/>
          <w:sz w:val="24"/>
          <w:u w:val="single"/>
        </w:rPr>
        <w:t xml:space="preserve">  </w:t>
      </w:r>
      <w:r>
        <w:rPr>
          <w:sz w:val="24"/>
          <w:u w:val="single"/>
        </w:rPr>
        <w:t xml:space="preserve"> </w:t>
      </w:r>
      <w:r>
        <w:rPr>
          <w:kern w:val="0"/>
          <w:sz w:val="24"/>
          <w:lang w:val="zh-CN"/>
        </w:rPr>
        <w:t>；</w:t>
      </w:r>
      <w:r>
        <w:rPr>
          <w:kern w:val="0"/>
          <w:sz w:val="24"/>
          <w:u w:val="single"/>
        </w:rPr>
        <w:t>（联合体成员</w:t>
      </w:r>
      <w:r>
        <w:rPr>
          <w:rFonts w:hint="eastAsia"/>
          <w:kern w:val="0"/>
          <w:sz w:val="24"/>
          <w:u w:val="single"/>
        </w:rPr>
        <w:t>1</w:t>
      </w:r>
      <w:r>
        <w:rPr>
          <w:kern w:val="0"/>
          <w:sz w:val="24"/>
          <w:u w:val="single"/>
        </w:rPr>
        <w:t>名称）</w:t>
      </w:r>
      <w:r>
        <w:rPr>
          <w:kern w:val="0"/>
          <w:sz w:val="24"/>
          <w:lang w:val="zh-CN"/>
        </w:rPr>
        <w:t>承担的工作</w:t>
      </w:r>
      <w:r>
        <w:rPr>
          <w:rFonts w:hint="eastAsia"/>
          <w:kern w:val="0"/>
          <w:sz w:val="24"/>
        </w:rPr>
        <w:t>和义务</w:t>
      </w:r>
      <w:r>
        <w:rPr>
          <w:kern w:val="0"/>
          <w:sz w:val="24"/>
          <w:lang w:val="zh-CN"/>
        </w:rPr>
        <w:t>为：</w:t>
      </w:r>
      <w:r>
        <w:rPr>
          <w:sz w:val="24"/>
          <w:u w:val="single"/>
        </w:rPr>
        <w:t xml:space="preserve">         </w:t>
      </w:r>
      <w:r>
        <w:rPr>
          <w:rFonts w:hint="eastAsia"/>
          <w:sz w:val="24"/>
          <w:u w:val="single"/>
        </w:rPr>
        <w:t xml:space="preserve">   </w:t>
      </w:r>
      <w:r>
        <w:rPr>
          <w:sz w:val="24"/>
          <w:u w:val="single"/>
        </w:rPr>
        <w:t xml:space="preserve">    </w:t>
      </w:r>
      <w:r>
        <w:rPr>
          <w:rFonts w:hint="eastAsia"/>
          <w:sz w:val="24"/>
        </w:rPr>
        <w:t>。  ……</w:t>
      </w:r>
    </w:p>
    <w:p>
      <w:pPr>
        <w:numPr>
          <w:ilvl w:val="0"/>
          <w:numId w:val="9"/>
        </w:numPr>
        <w:snapToGrid w:val="0"/>
        <w:spacing w:line="360" w:lineRule="auto"/>
        <w:ind w:firstLine="576"/>
        <w:rPr>
          <w:kern w:val="0"/>
          <w:sz w:val="24"/>
        </w:rPr>
      </w:pPr>
      <w:r>
        <w:rPr>
          <w:rFonts w:hint="eastAsia"/>
          <w:kern w:val="0"/>
          <w:sz w:val="24"/>
        </w:rPr>
        <w:t>本次联合投标中，各方对于分享项目成果和知识产权的约定为：</w:t>
      </w:r>
      <w:r>
        <w:rPr>
          <w:rFonts w:hint="eastAsia"/>
          <w:kern w:val="0"/>
          <w:sz w:val="24"/>
          <w:u w:val="single"/>
        </w:rPr>
        <w:t xml:space="preserve">     </w:t>
      </w:r>
    </w:p>
    <w:p>
      <w:pPr>
        <w:snapToGrid w:val="0"/>
        <w:spacing w:line="360" w:lineRule="auto"/>
        <w:rPr>
          <w:kern w:val="0"/>
          <w:sz w:val="24"/>
          <w:u w:val="single"/>
        </w:rPr>
      </w:pPr>
      <w:r>
        <w:rPr>
          <w:rFonts w:hint="eastAsia"/>
          <w:kern w:val="0"/>
          <w:sz w:val="24"/>
          <w:u w:val="single"/>
        </w:rPr>
        <w:t xml:space="preserve">                                                                   。</w:t>
      </w:r>
    </w:p>
    <w:p>
      <w:pPr>
        <w:numPr>
          <w:ilvl w:val="0"/>
          <w:numId w:val="9"/>
        </w:numPr>
        <w:snapToGrid w:val="0"/>
        <w:spacing w:line="360" w:lineRule="auto"/>
        <w:ind w:firstLine="576"/>
        <w:rPr>
          <w:kern w:val="0"/>
          <w:sz w:val="24"/>
        </w:rPr>
      </w:pPr>
      <w:r>
        <w:rPr>
          <w:rFonts w:hint="eastAsia"/>
          <w:kern w:val="0"/>
          <w:sz w:val="24"/>
        </w:rPr>
        <w:t>各方具体的责任、权利、义务，在中标后经各方协商后报采购人同意后在合同中明确。</w:t>
      </w:r>
    </w:p>
    <w:p>
      <w:pPr>
        <w:numPr>
          <w:ilvl w:val="0"/>
          <w:numId w:val="9"/>
        </w:numPr>
        <w:snapToGrid w:val="0"/>
        <w:spacing w:line="360" w:lineRule="auto"/>
        <w:ind w:firstLine="576"/>
        <w:rPr>
          <w:kern w:val="0"/>
          <w:sz w:val="24"/>
        </w:rPr>
      </w:pPr>
      <w:r>
        <w:rPr>
          <w:rFonts w:hint="eastAsia"/>
          <w:kern w:val="0"/>
          <w:sz w:val="24"/>
        </w:rPr>
        <w:t>联合体各方不得再以自己的名义参加本项目的投标。联合投标的项目负责人不能作为其他联合体或单独投标单位的项目组成员。因发生上述问题导致联合体投标无效的，联合体的其他成员可追求违约行为。</w:t>
      </w:r>
    </w:p>
    <w:p>
      <w:pPr>
        <w:numPr>
          <w:ilvl w:val="0"/>
          <w:numId w:val="9"/>
        </w:numPr>
        <w:snapToGrid w:val="0"/>
        <w:spacing w:line="360" w:lineRule="auto"/>
        <w:ind w:firstLine="576"/>
        <w:rPr>
          <w:kern w:val="0"/>
          <w:sz w:val="24"/>
          <w:lang w:val="zh-CN"/>
        </w:rPr>
      </w:pPr>
      <w:r>
        <w:rPr>
          <w:rFonts w:hint="eastAsia"/>
          <w:kern w:val="0"/>
          <w:sz w:val="24"/>
        </w:rPr>
        <w:t>未中标，本协议自动废止。</w:t>
      </w:r>
    </w:p>
    <w:p>
      <w:pPr>
        <w:pStyle w:val="6"/>
        <w:rPr>
          <w:lang w:val="zh-CN"/>
        </w:rPr>
      </w:pPr>
    </w:p>
    <w:p>
      <w:pPr>
        <w:snapToGrid w:val="0"/>
        <w:spacing w:line="360" w:lineRule="auto"/>
        <w:rPr>
          <w:kern w:val="0"/>
          <w:sz w:val="24"/>
          <w:lang w:val="zh-CN"/>
        </w:rPr>
      </w:pPr>
      <w:r>
        <w:rPr>
          <w:kern w:val="0"/>
          <w:sz w:val="24"/>
          <w:lang w:val="zh-CN"/>
        </w:rPr>
        <w:t>联合体</w:t>
      </w:r>
      <w:r>
        <w:rPr>
          <w:rFonts w:hint="eastAsia"/>
          <w:kern w:val="0"/>
          <w:sz w:val="24"/>
        </w:rPr>
        <w:t>牵头人</w:t>
      </w:r>
      <w:r>
        <w:rPr>
          <w:kern w:val="0"/>
          <w:sz w:val="24"/>
          <w:lang w:val="zh-CN"/>
        </w:rPr>
        <w:t>名称（盖单位公章或电子签章）：</w:t>
      </w:r>
    </w:p>
    <w:p>
      <w:pPr>
        <w:snapToGrid w:val="0"/>
        <w:spacing w:line="360" w:lineRule="auto"/>
        <w:rPr>
          <w:kern w:val="0"/>
          <w:sz w:val="24"/>
          <w:lang w:val="zh-CN"/>
        </w:rPr>
      </w:pPr>
      <w:r>
        <w:rPr>
          <w:rFonts w:hint="eastAsia"/>
          <w:kern w:val="0"/>
          <w:sz w:val="24"/>
          <w:lang w:val="zh-CN"/>
        </w:rPr>
        <w:t>法定代表人（签字）：</w:t>
      </w:r>
    </w:p>
    <w:p>
      <w:pPr>
        <w:snapToGrid w:val="0"/>
        <w:spacing w:line="360" w:lineRule="auto"/>
        <w:rPr>
          <w:kern w:val="0"/>
          <w:sz w:val="24"/>
          <w:lang w:val="zh-CN"/>
        </w:rPr>
      </w:pPr>
      <w:r>
        <w:rPr>
          <w:kern w:val="0"/>
          <w:sz w:val="24"/>
          <w:lang w:val="zh-CN"/>
        </w:rPr>
        <w:t>联合体成员</w:t>
      </w:r>
      <w:r>
        <w:rPr>
          <w:rFonts w:hint="eastAsia"/>
          <w:kern w:val="0"/>
          <w:sz w:val="24"/>
        </w:rPr>
        <w:t>1</w:t>
      </w:r>
      <w:r>
        <w:rPr>
          <w:kern w:val="0"/>
          <w:sz w:val="24"/>
          <w:lang w:val="zh-CN"/>
        </w:rPr>
        <w:t>名称（盖单位公章或电子签章）：</w:t>
      </w:r>
    </w:p>
    <w:p>
      <w:pPr>
        <w:snapToGrid w:val="0"/>
        <w:spacing w:line="360" w:lineRule="auto"/>
        <w:rPr>
          <w:lang w:val="zh-CN"/>
        </w:rPr>
      </w:pPr>
      <w:r>
        <w:rPr>
          <w:rFonts w:hint="eastAsia"/>
          <w:kern w:val="0"/>
          <w:sz w:val="24"/>
        </w:rPr>
        <w:t>法定代表人（签字）：</w:t>
      </w:r>
    </w:p>
    <w:p>
      <w:pPr>
        <w:snapToGrid w:val="0"/>
        <w:spacing w:line="360" w:lineRule="auto"/>
        <w:rPr>
          <w:kern w:val="0"/>
          <w:sz w:val="24"/>
        </w:rPr>
      </w:pPr>
      <w:r>
        <w:rPr>
          <w:kern w:val="0"/>
          <w:sz w:val="24"/>
          <w:lang w:val="zh-CN"/>
        </w:rPr>
        <w:t xml:space="preserve">                                         </w:t>
      </w:r>
      <w:r>
        <w:rPr>
          <w:rFonts w:hint="eastAsia"/>
          <w:kern w:val="0"/>
          <w:sz w:val="24"/>
        </w:rPr>
        <w:t xml:space="preserve">   签订日期：   年   月   日</w:t>
      </w:r>
    </w:p>
    <w:p>
      <w:pPr>
        <w:snapToGrid w:val="0"/>
        <w:spacing w:line="360" w:lineRule="auto"/>
        <w:jc w:val="center"/>
        <w:rPr>
          <w:kern w:val="0"/>
          <w:sz w:val="24"/>
        </w:rPr>
      </w:pPr>
      <w:r>
        <w:rPr>
          <w:rFonts w:hint="eastAsia"/>
          <w:kern w:val="0"/>
          <w:sz w:val="24"/>
        </w:rPr>
        <w:t>（注：联合体各方成员应在本协议上共同盖章，不得分别签署协议书）</w:t>
      </w:r>
    </w:p>
    <w:p>
      <w:pPr>
        <w:rPr>
          <w:kern w:val="0"/>
          <w:sz w:val="24"/>
        </w:rPr>
      </w:pPr>
      <w:r>
        <w:rPr>
          <w:rFonts w:hint="eastAsia"/>
          <w:kern w:val="0"/>
          <w:sz w:val="24"/>
        </w:rPr>
        <w:br w:type="page"/>
      </w:r>
    </w:p>
    <w:p>
      <w:pPr>
        <w:rPr>
          <w:rFonts w:ascii="宋体" w:hAnsi="宋体"/>
          <w:b/>
          <w:sz w:val="28"/>
        </w:rPr>
      </w:pPr>
      <w:r>
        <w:rPr>
          <w:rFonts w:hint="eastAsia" w:ascii="宋体" w:hAnsi="宋体"/>
          <w:b/>
          <w:sz w:val="28"/>
        </w:rPr>
        <w:t>附件4</w:t>
      </w:r>
    </w:p>
    <w:p>
      <w:pPr>
        <w:pStyle w:val="6"/>
        <w:jc w:val="center"/>
        <w:rPr>
          <w:kern w:val="0"/>
          <w:sz w:val="24"/>
          <w:szCs w:val="24"/>
        </w:rPr>
      </w:pPr>
      <w:r>
        <w:rPr>
          <w:rFonts w:hint="eastAsia" w:ascii="宋体" w:hAnsi="宋体" w:cs="宋体"/>
          <w:b/>
          <w:bCs/>
          <w:sz w:val="32"/>
          <w:szCs w:val="32"/>
        </w:rPr>
        <w:t>承诺函</w:t>
      </w:r>
    </w:p>
    <w:p>
      <w:pPr>
        <w:snapToGrid w:val="0"/>
        <w:spacing w:before="120" w:beforeLines="50" w:after="50" w:line="288" w:lineRule="auto"/>
        <w:rPr>
          <w:rFonts w:ascii="宋体" w:hAnsi="宋体" w:cs="宋体"/>
          <w:kern w:val="0"/>
          <w:sz w:val="24"/>
        </w:rPr>
      </w:pPr>
      <w:r>
        <w:rPr>
          <w:rFonts w:hint="eastAsia" w:hAnsi="宋体"/>
          <w:bCs/>
          <w:sz w:val="24"/>
          <w:u w:val="single"/>
        </w:rPr>
        <w:t>台州市政府采购中心</w:t>
      </w:r>
      <w:r>
        <w:rPr>
          <w:rFonts w:hint="eastAsia" w:ascii="宋体" w:hAnsi="宋体" w:cs="宋体"/>
          <w:kern w:val="0"/>
          <w:sz w:val="24"/>
          <w:u w:val="single"/>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u w:val="single"/>
        </w:rPr>
        <w:t xml:space="preserve">       </w:t>
      </w:r>
      <w:r>
        <w:rPr>
          <w:rFonts w:hint="eastAsia" w:ascii="宋体" w:hAnsi="宋体" w:cs="宋体"/>
          <w:kern w:val="0"/>
          <w:sz w:val="24"/>
        </w:rPr>
        <w:t>）的投标，为此，就本次投标有关事项承诺如下：</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（一）我公司有良好的商业信誉和健全的财务会计制度；</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（二）我公司没有税收缴纳、社会保障等方面的失信记录；</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（三）不存在以下情况：</w:t>
      </w:r>
    </w:p>
    <w:p>
      <w:pPr>
        <w:snapToGrid w:val="0"/>
        <w:spacing w:line="360" w:lineRule="auto"/>
        <w:ind w:firstLine="897" w:firstLineChars="374"/>
        <w:rPr>
          <w:rFonts w:ascii="宋体" w:hAnsi="宋体" w:cs="宋体"/>
          <w:kern w:val="0"/>
          <w:sz w:val="24"/>
        </w:rPr>
      </w:pPr>
      <w:r>
        <w:rPr>
          <w:rFonts w:hint="eastAsia" w:ascii="宋体" w:hAnsi="宋体" w:cs="宋体"/>
          <w:kern w:val="0"/>
          <w:sz w:val="24"/>
        </w:rPr>
        <w:t>1.单位负责人为同一人或者存在直接控股、管理关系的不同供应商，同时参加本项目投标；</w:t>
      </w:r>
    </w:p>
    <w:p>
      <w:pPr>
        <w:snapToGrid w:val="0"/>
        <w:spacing w:line="360" w:lineRule="auto"/>
        <w:ind w:firstLine="897" w:firstLineChars="374"/>
        <w:rPr>
          <w:rFonts w:ascii="宋体" w:hAnsi="宋体" w:cs="宋体"/>
          <w:kern w:val="0"/>
          <w:sz w:val="24"/>
        </w:rPr>
      </w:pPr>
      <w:r>
        <w:rPr>
          <w:rFonts w:hint="eastAsia" w:ascii="宋体" w:hAnsi="宋体" w:cs="宋体"/>
          <w:kern w:val="0"/>
          <w:sz w:val="24"/>
        </w:rPr>
        <w:t>2.为本项目提供整体设计、规范编制或者项目管理、监理、检测等服务的供应商，再参与本项目投标。</w:t>
      </w:r>
    </w:p>
    <w:p>
      <w:pPr>
        <w:pStyle w:val="6"/>
        <w:rPr>
          <w:rFonts w:ascii="宋体" w:hAnsi="宋体" w:cs="宋体"/>
          <w:kern w:val="0"/>
          <w:sz w:val="24"/>
          <w:u w:val="single"/>
        </w:rPr>
      </w:pPr>
      <w:r>
        <w:rPr>
          <w:rFonts w:hint="eastAsia" w:ascii="宋体" w:hAnsi="宋体" w:cs="宋体"/>
          <w:kern w:val="0"/>
          <w:sz w:val="24"/>
        </w:rPr>
        <w:t>（四）</w:t>
      </w:r>
      <w:r>
        <w:rPr>
          <w:rFonts w:hint="eastAsia" w:ascii="宋体" w:hAnsi="宋体" w:cs="宋体"/>
          <w:kern w:val="0"/>
          <w:sz w:val="24"/>
          <w:u w:val="single"/>
        </w:rPr>
        <w:t xml:space="preserve">         （投标人认为需要承诺的其他内容）         。       </w:t>
      </w:r>
    </w:p>
    <w:p>
      <w:pPr>
        <w:rPr>
          <w:rFonts w:ascii="宋体" w:hAnsi="宋体" w:cs="宋体"/>
          <w:kern w:val="0"/>
          <w:sz w:val="24"/>
        </w:rPr>
      </w:pPr>
    </w:p>
    <w:p>
      <w:pPr>
        <w:ind w:firstLine="420"/>
        <w:rPr>
          <w:rFonts w:ascii="宋体" w:hAnsi="宋体" w:cs="宋体"/>
          <w:kern w:val="0"/>
          <w:sz w:val="24"/>
        </w:rPr>
      </w:pPr>
    </w:p>
    <w:p>
      <w:pPr>
        <w:ind w:firstLine="420"/>
      </w:pPr>
      <w:r>
        <w:rPr>
          <w:rFonts w:hint="eastAsia" w:ascii="宋体" w:hAnsi="宋体" w:cs="宋体"/>
          <w:kern w:val="0"/>
          <w:sz w:val="24"/>
        </w:rPr>
        <w:t>我公司对上述承诺内容的真实性负责。如有虚假，将依法承担相应责任。</w:t>
      </w:r>
    </w:p>
    <w:p/>
    <w:p>
      <w:pPr>
        <w:pStyle w:val="6"/>
      </w:pPr>
    </w:p>
    <w:p/>
    <w:p>
      <w:pPr>
        <w:pStyle w:val="6"/>
      </w:pPr>
    </w:p>
    <w:p/>
    <w:p>
      <w:pPr>
        <w:pStyle w:val="6"/>
      </w:pPr>
    </w:p>
    <w:p/>
    <w:p>
      <w:pPr>
        <w:pStyle w:val="6"/>
      </w:pPr>
    </w:p>
    <w:p/>
    <w:p/>
    <w:p>
      <w:pPr>
        <w:pStyle w:val="6"/>
      </w:pPr>
    </w:p>
    <w:p/>
    <w:p>
      <w:pPr>
        <w:pStyle w:val="6"/>
      </w:pPr>
    </w:p>
    <w:p/>
    <w:p>
      <w:pPr>
        <w:pStyle w:val="6"/>
      </w:pPr>
    </w:p>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pStyle w:val="9"/>
        <w:sectPr>
          <w:headerReference r:id="rId3" w:type="default"/>
          <w:footerReference r:id="rId4" w:type="default"/>
          <w:pgSz w:w="11906" w:h="16838"/>
          <w:pgMar w:top="1701" w:right="1448" w:bottom="1531" w:left="1418" w:header="851" w:footer="851" w:gutter="0"/>
          <w:cols w:space="720" w:num="1"/>
          <w:docGrid w:linePitch="312" w:charSpace="0"/>
        </w:sectPr>
      </w:pPr>
    </w:p>
    <w:p>
      <w:pPr>
        <w:rPr>
          <w:sz w:val="52"/>
          <w:szCs w:val="52"/>
        </w:rPr>
      </w:pPr>
      <w:bookmarkStart w:id="57" w:name="_Toc16825_WPSOffice_Level1"/>
      <w:bookmarkStart w:id="58" w:name="_Toc12331_WPSOffice_Level1"/>
      <w:bookmarkStart w:id="59" w:name="_Toc26389_WPSOffice_Level1"/>
    </w:p>
    <w:p>
      <w:pPr>
        <w:jc w:val="center"/>
        <w:rPr>
          <w:sz w:val="52"/>
          <w:szCs w:val="52"/>
        </w:rPr>
      </w:pPr>
      <w:r>
        <w:rPr>
          <w:rFonts w:hint="eastAsia"/>
          <w:sz w:val="52"/>
          <w:szCs w:val="52"/>
        </w:rPr>
        <w:t>项目名称</w:t>
      </w:r>
      <w:bookmarkEnd w:id="57"/>
      <w:bookmarkEnd w:id="58"/>
      <w:bookmarkEnd w:id="59"/>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8"/>
          <w:szCs w:val="28"/>
          <w:lang w:val="zh-CN"/>
        </w:rPr>
        <w:t>商务与技术文件</w:t>
      </w:r>
      <w:r>
        <w:rPr>
          <w:rFonts w:hint="eastAsia" w:ascii="宋体" w:hAnsi="宋体"/>
          <w:b/>
          <w:sz w:val="28"/>
          <w:szCs w:val="28"/>
        </w:rPr>
        <w:t>）</w:t>
      </w:r>
    </w:p>
    <w:p>
      <w:pPr>
        <w:pStyle w:val="21"/>
      </w:pPr>
    </w:p>
    <w:p>
      <w:pPr>
        <w:pStyle w:val="21"/>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rPr>
          <w:rFonts w:ascii="仿宋_GB2312" w:hAnsi="宋体" w:eastAsia="仿宋_GB2312"/>
          <w:b/>
          <w:sz w:val="36"/>
          <w:szCs w:val="36"/>
        </w:rPr>
      </w:pPr>
      <w:r>
        <w:rPr>
          <w:rFonts w:ascii="仿宋_GB2312" w:hAnsi="宋体" w:eastAsia="仿宋_GB2312"/>
          <w:b/>
          <w:sz w:val="36"/>
          <w:szCs w:val="36"/>
        </w:rPr>
        <w:br w:type="page"/>
      </w:r>
    </w:p>
    <w:p>
      <w:pPr>
        <w:pStyle w:val="21"/>
      </w:pPr>
    </w:p>
    <w:p>
      <w:pPr>
        <w:spacing w:line="360" w:lineRule="auto"/>
        <w:jc w:val="center"/>
        <w:rPr>
          <w:sz w:val="28"/>
          <w:szCs w:val="28"/>
        </w:rPr>
      </w:pPr>
      <w:bookmarkStart w:id="60" w:name="_Toc11308_WPSOffice_Level1"/>
      <w:bookmarkStart w:id="61" w:name="_Toc5889_WPSOffice_Level1"/>
      <w:r>
        <w:rPr>
          <w:rFonts w:hint="eastAsia"/>
          <w:b/>
          <w:bCs/>
          <w:sz w:val="36"/>
          <w:szCs w:val="36"/>
          <w:lang w:val="zh-CN"/>
        </w:rPr>
        <w:t>商务与技术文件目录</w:t>
      </w:r>
      <w:bookmarkEnd w:id="60"/>
      <w:bookmarkEnd w:id="61"/>
    </w:p>
    <w:p>
      <w:pPr>
        <w:spacing w:line="360" w:lineRule="auto"/>
        <w:ind w:firstLine="562" w:firstLineChars="200"/>
        <w:rPr>
          <w:b/>
          <w:bCs/>
          <w:sz w:val="28"/>
          <w:szCs w:val="28"/>
        </w:rPr>
      </w:pPr>
      <w:bookmarkStart w:id="62" w:name="_Toc21250_WPSOffice_Level1"/>
      <w:bookmarkStart w:id="63" w:name="_Toc20529_WPSOffice_Level1"/>
      <w:r>
        <w:rPr>
          <w:rFonts w:hint="eastAsia"/>
          <w:b/>
          <w:bCs/>
          <w:sz w:val="28"/>
          <w:szCs w:val="28"/>
        </w:rPr>
        <w:t>第一部分  技术方案描述部分</w:t>
      </w:r>
      <w:bookmarkEnd w:id="62"/>
      <w:bookmarkEnd w:id="63"/>
    </w:p>
    <w:p>
      <w:pPr>
        <w:numPr>
          <w:ilvl w:val="0"/>
          <w:numId w:val="10"/>
        </w:numPr>
        <w:spacing w:line="360" w:lineRule="auto"/>
        <w:ind w:left="405" w:firstLine="15"/>
        <w:rPr>
          <w:sz w:val="28"/>
          <w:szCs w:val="28"/>
        </w:rPr>
      </w:pPr>
      <w:r>
        <w:rPr>
          <w:rFonts w:hint="eastAsia"/>
          <w:sz w:val="28"/>
          <w:szCs w:val="28"/>
        </w:rPr>
        <w:t>投标人情况介绍（附件5）</w:t>
      </w:r>
    </w:p>
    <w:p>
      <w:pPr>
        <w:numPr>
          <w:ilvl w:val="0"/>
          <w:numId w:val="10"/>
        </w:numPr>
        <w:spacing w:line="360" w:lineRule="auto"/>
        <w:ind w:left="405" w:firstLine="15"/>
        <w:rPr>
          <w:sz w:val="28"/>
          <w:szCs w:val="28"/>
        </w:rPr>
      </w:pPr>
      <w:r>
        <w:rPr>
          <w:rFonts w:hint="eastAsia"/>
          <w:sz w:val="28"/>
          <w:szCs w:val="28"/>
        </w:rPr>
        <w:t>项目需求的理解与分析</w:t>
      </w:r>
    </w:p>
    <w:p>
      <w:pPr>
        <w:numPr>
          <w:ilvl w:val="0"/>
          <w:numId w:val="10"/>
        </w:numPr>
        <w:spacing w:line="360" w:lineRule="auto"/>
        <w:ind w:left="405" w:firstLine="15"/>
        <w:rPr>
          <w:sz w:val="28"/>
          <w:szCs w:val="28"/>
        </w:rPr>
      </w:pPr>
      <w:r>
        <w:rPr>
          <w:rFonts w:hint="eastAsia"/>
          <w:sz w:val="28"/>
          <w:szCs w:val="28"/>
        </w:rPr>
        <w:t>项目组织实施方案（可视情选用附件6、附件7）</w:t>
      </w:r>
    </w:p>
    <w:p>
      <w:pPr>
        <w:numPr>
          <w:ilvl w:val="0"/>
          <w:numId w:val="10"/>
        </w:numPr>
        <w:spacing w:line="360" w:lineRule="auto"/>
        <w:ind w:left="405" w:firstLine="15"/>
        <w:rPr>
          <w:sz w:val="28"/>
          <w:szCs w:val="28"/>
        </w:rPr>
      </w:pPr>
      <w:r>
        <w:rPr>
          <w:rFonts w:hint="eastAsia"/>
          <w:sz w:val="28"/>
          <w:szCs w:val="28"/>
        </w:rPr>
        <w:t>安装、调试及验收方案</w:t>
      </w:r>
    </w:p>
    <w:p>
      <w:pPr>
        <w:spacing w:line="360" w:lineRule="auto"/>
        <w:ind w:firstLine="562" w:firstLineChars="200"/>
        <w:rPr>
          <w:b/>
          <w:bCs/>
          <w:sz w:val="28"/>
          <w:szCs w:val="28"/>
        </w:rPr>
      </w:pPr>
      <w:bookmarkStart w:id="64" w:name="_Toc6008_WPSOffice_Level1"/>
      <w:bookmarkStart w:id="65" w:name="_Toc12004_WPSOffice_Level1"/>
      <w:r>
        <w:rPr>
          <w:rFonts w:hint="eastAsia"/>
          <w:b/>
          <w:bCs/>
          <w:sz w:val="28"/>
          <w:szCs w:val="28"/>
        </w:rPr>
        <w:t>第二部分  投标产品描述部分</w:t>
      </w:r>
      <w:bookmarkEnd w:id="64"/>
      <w:bookmarkEnd w:id="65"/>
    </w:p>
    <w:p>
      <w:pPr>
        <w:numPr>
          <w:ilvl w:val="0"/>
          <w:numId w:val="11"/>
        </w:numPr>
        <w:spacing w:line="360" w:lineRule="auto"/>
        <w:ind w:hanging="5"/>
        <w:rPr>
          <w:sz w:val="28"/>
          <w:szCs w:val="28"/>
        </w:rPr>
      </w:pPr>
      <w:r>
        <w:rPr>
          <w:rFonts w:hint="eastAsia"/>
          <w:sz w:val="28"/>
          <w:szCs w:val="28"/>
        </w:rPr>
        <w:t>投标产品描述及相关资料（可视情选用附件8）</w:t>
      </w:r>
    </w:p>
    <w:p>
      <w:pPr>
        <w:numPr>
          <w:ilvl w:val="0"/>
          <w:numId w:val="11"/>
        </w:numPr>
        <w:spacing w:line="360" w:lineRule="auto"/>
        <w:ind w:hanging="5"/>
        <w:rPr>
          <w:sz w:val="28"/>
          <w:szCs w:val="28"/>
        </w:rPr>
      </w:pPr>
      <w:r>
        <w:rPr>
          <w:rFonts w:hint="eastAsia"/>
          <w:sz w:val="28"/>
          <w:szCs w:val="28"/>
        </w:rPr>
        <w:t>技术需求响应表（附件9）</w:t>
      </w:r>
    </w:p>
    <w:p>
      <w:pPr>
        <w:numPr>
          <w:ilvl w:val="0"/>
          <w:numId w:val="11"/>
        </w:numPr>
        <w:spacing w:line="360" w:lineRule="auto"/>
        <w:ind w:hanging="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66" w:name="_Toc30029_WPSOffice_Level1"/>
      <w:bookmarkStart w:id="67" w:name="_Toc20986_WPSOffice_Level1"/>
      <w:r>
        <w:rPr>
          <w:rFonts w:hint="eastAsia"/>
          <w:b/>
          <w:bCs/>
          <w:sz w:val="28"/>
          <w:szCs w:val="28"/>
        </w:rPr>
        <w:t>第三部分  商务及其他部分</w:t>
      </w:r>
      <w:bookmarkEnd w:id="66"/>
      <w:bookmarkEnd w:id="67"/>
    </w:p>
    <w:p>
      <w:pPr>
        <w:numPr>
          <w:ilvl w:val="0"/>
          <w:numId w:val="12"/>
        </w:numPr>
        <w:spacing w:line="360" w:lineRule="auto"/>
        <w:ind w:hanging="5"/>
        <w:rPr>
          <w:sz w:val="28"/>
          <w:szCs w:val="28"/>
        </w:rPr>
      </w:pPr>
      <w:r>
        <w:rPr>
          <w:rFonts w:hint="eastAsia"/>
          <w:sz w:val="28"/>
          <w:szCs w:val="28"/>
        </w:rPr>
        <w:t>证书一览表（附件10）</w:t>
      </w:r>
    </w:p>
    <w:p>
      <w:pPr>
        <w:numPr>
          <w:ilvl w:val="0"/>
          <w:numId w:val="12"/>
        </w:numPr>
        <w:spacing w:line="360" w:lineRule="auto"/>
        <w:ind w:hanging="5"/>
        <w:rPr>
          <w:sz w:val="28"/>
          <w:szCs w:val="28"/>
        </w:rPr>
      </w:pPr>
      <w:r>
        <w:rPr>
          <w:rFonts w:hint="eastAsia"/>
          <w:sz w:val="28"/>
          <w:szCs w:val="28"/>
        </w:rPr>
        <w:t>近三年来类似项目的成功案例（附件11）</w:t>
      </w:r>
    </w:p>
    <w:p>
      <w:pPr>
        <w:numPr>
          <w:ilvl w:val="0"/>
          <w:numId w:val="12"/>
        </w:numPr>
        <w:spacing w:line="360" w:lineRule="auto"/>
        <w:ind w:hanging="5"/>
        <w:rPr>
          <w:sz w:val="28"/>
          <w:szCs w:val="28"/>
        </w:rPr>
      </w:pPr>
      <w:r>
        <w:rPr>
          <w:rFonts w:hint="eastAsia"/>
          <w:sz w:val="28"/>
          <w:szCs w:val="28"/>
        </w:rPr>
        <w:t>售后服务描述及承诺（可视情选用附件12，附件13）</w:t>
      </w:r>
    </w:p>
    <w:p>
      <w:pPr>
        <w:numPr>
          <w:ilvl w:val="0"/>
          <w:numId w:val="12"/>
        </w:numPr>
        <w:spacing w:line="360" w:lineRule="auto"/>
        <w:ind w:hanging="5"/>
        <w:rPr>
          <w:sz w:val="28"/>
          <w:szCs w:val="28"/>
        </w:rPr>
      </w:pPr>
      <w:r>
        <w:rPr>
          <w:rFonts w:hint="eastAsia"/>
          <w:sz w:val="28"/>
          <w:szCs w:val="28"/>
        </w:rPr>
        <w:t>投标人需要说明的其他内容（包括可能影响投标人企业实力及信誉评分项以及售后服务评分项的各类证明材料）</w:t>
      </w:r>
    </w:p>
    <w:p>
      <w:pPr>
        <w:numPr>
          <w:ilvl w:val="0"/>
          <w:numId w:val="12"/>
        </w:numPr>
        <w:spacing w:line="360" w:lineRule="auto"/>
        <w:ind w:hanging="5"/>
        <w:rPr>
          <w:sz w:val="28"/>
          <w:szCs w:val="28"/>
        </w:rPr>
      </w:pPr>
      <w:r>
        <w:rPr>
          <w:rFonts w:hint="eastAsia"/>
          <w:sz w:val="28"/>
          <w:szCs w:val="28"/>
        </w:rPr>
        <w:t>主要货物用材响应表（类似家具类货物采用，附件14）</w:t>
      </w:r>
    </w:p>
    <w:p>
      <w:pPr>
        <w:pStyle w:val="32"/>
        <w:spacing w:before="0" w:beforeAutospacing="0" w:after="0" w:afterAutospacing="0" w:line="360" w:lineRule="auto"/>
        <w:ind w:firstLine="482" w:firstLineChars="200"/>
        <w:jc w:val="both"/>
        <w:rPr>
          <w:b/>
        </w:rPr>
      </w:pPr>
    </w:p>
    <w:p>
      <w:pPr>
        <w:pStyle w:val="32"/>
        <w:spacing w:before="0" w:beforeAutospacing="0" w:after="0" w:afterAutospacing="0" w:line="360" w:lineRule="auto"/>
        <w:rPr>
          <w:b/>
          <w:sz w:val="28"/>
        </w:rPr>
      </w:pPr>
    </w:p>
    <w:p>
      <w:pPr>
        <w:rPr>
          <w:b/>
          <w:sz w:val="28"/>
        </w:rPr>
      </w:pPr>
      <w:r>
        <w:rPr>
          <w:b/>
          <w:sz w:val="28"/>
        </w:rPr>
        <w:br w:type="page"/>
      </w:r>
    </w:p>
    <w:p>
      <w:pPr>
        <w:pStyle w:val="32"/>
        <w:spacing w:before="0" w:beforeAutospacing="0" w:after="0" w:afterAutospacing="0" w:line="360" w:lineRule="auto"/>
        <w:rPr>
          <w:b/>
          <w:sz w:val="28"/>
        </w:rPr>
      </w:pPr>
      <w:r>
        <w:rPr>
          <w:rFonts w:hint="eastAsia"/>
          <w:b/>
          <w:sz w:val="28"/>
        </w:rPr>
        <w:t>附件5</w:t>
      </w:r>
    </w:p>
    <w:p>
      <w:pPr>
        <w:pStyle w:val="32"/>
        <w:spacing w:before="0" w:beforeAutospacing="0" w:after="0" w:afterAutospacing="0" w:line="360" w:lineRule="auto"/>
        <w:jc w:val="center"/>
        <w:rPr>
          <w:rFonts w:eastAsia="微软雅黑"/>
          <w:sz w:val="36"/>
          <w:szCs w:val="36"/>
        </w:rPr>
      </w:pPr>
      <w:r>
        <w:rPr>
          <w:rFonts w:hint="eastAsia"/>
          <w:b/>
          <w:sz w:val="32"/>
          <w:szCs w:val="32"/>
        </w:rPr>
        <w:t xml:space="preserve">  </w:t>
      </w:r>
      <w:bookmarkStart w:id="68" w:name="_Toc13307_WPSOffice_Level1"/>
      <w:bookmarkStart w:id="69" w:name="_Toc14261_WPSOffice_Level1"/>
      <w:r>
        <w:rPr>
          <w:rFonts w:hint="eastAsia"/>
          <w:b/>
          <w:sz w:val="32"/>
          <w:szCs w:val="32"/>
        </w:rPr>
        <w:t>投标</w:t>
      </w:r>
      <w:r>
        <w:rPr>
          <w:rFonts w:hint="eastAsia"/>
          <w:b/>
          <w:bCs/>
          <w:sz w:val="32"/>
          <w:szCs w:val="32"/>
        </w:rPr>
        <w:t>人基本情况表</w:t>
      </w:r>
      <w:bookmarkEnd w:id="68"/>
      <w:bookmarkEnd w:id="69"/>
    </w:p>
    <w:tbl>
      <w:tblPr>
        <w:tblStyle w:val="22"/>
        <w:tblpPr w:leftFromText="181" w:rightFromText="181" w:bottomFromText="170" w:vertAnchor="text" w:tblpXSpec="center" w:tblpY="1"/>
        <w:tblOverlap w:val="never"/>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00"/>
        <w:gridCol w:w="852"/>
        <w:gridCol w:w="58"/>
        <w:gridCol w:w="1196"/>
        <w:gridCol w:w="112"/>
        <w:gridCol w:w="1093"/>
        <w:gridCol w:w="325"/>
        <w:gridCol w:w="1276"/>
        <w:gridCol w:w="400"/>
        <w:gridCol w:w="122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22"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企业名称</w:t>
            </w:r>
          </w:p>
        </w:tc>
        <w:tc>
          <w:tcPr>
            <w:tcW w:w="4011" w:type="dxa"/>
            <w:gridSpan w:val="6"/>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法定代表人</w:t>
            </w:r>
          </w:p>
        </w:tc>
        <w:tc>
          <w:tcPr>
            <w:tcW w:w="2153"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22"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地址</w:t>
            </w:r>
          </w:p>
        </w:tc>
        <w:tc>
          <w:tcPr>
            <w:tcW w:w="4011" w:type="dxa"/>
            <w:gridSpan w:val="6"/>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企业性质</w:t>
            </w:r>
          </w:p>
        </w:tc>
        <w:tc>
          <w:tcPr>
            <w:tcW w:w="2153"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22" w:type="dxa"/>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股东姓名</w:t>
            </w:r>
          </w:p>
        </w:tc>
        <w:tc>
          <w:tcPr>
            <w:tcW w:w="700" w:type="dxa"/>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股权结构（%）</w:t>
            </w:r>
          </w:p>
        </w:tc>
        <w:tc>
          <w:tcPr>
            <w:tcW w:w="2401" w:type="dxa"/>
            <w:gridSpan w:val="3"/>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股东关系</w:t>
            </w:r>
          </w:p>
        </w:tc>
        <w:tc>
          <w:tcPr>
            <w:tcW w:w="2153"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2" w:type="dxa"/>
            <w:vMerge w:val="restart"/>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固定电话</w:t>
            </w:r>
          </w:p>
        </w:tc>
        <w:tc>
          <w:tcPr>
            <w:tcW w:w="2401" w:type="dxa"/>
            <w:gridSpan w:val="3"/>
            <w:tcBorders>
              <w:top w:val="nil"/>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传真</w:t>
            </w:r>
          </w:p>
        </w:tc>
        <w:tc>
          <w:tcPr>
            <w:tcW w:w="2153" w:type="dxa"/>
            <w:gridSpan w:val="2"/>
            <w:vMerge w:val="restart"/>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22" w:type="dxa"/>
            <w:vMerge w:val="continue"/>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700" w:type="dxa"/>
            <w:vMerge w:val="continue"/>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手机</w:t>
            </w:r>
          </w:p>
        </w:tc>
        <w:tc>
          <w:tcPr>
            <w:tcW w:w="2401" w:type="dxa"/>
            <w:gridSpan w:val="3"/>
            <w:tcBorders>
              <w:bottom w:val="single" w:color="auto" w:sz="4" w:space="0"/>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2153" w:type="dxa"/>
            <w:gridSpan w:val="2"/>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22" w:type="dxa"/>
            <w:vMerge w:val="restart"/>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w:t>
            </w:r>
          </w:p>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w:t>
            </w:r>
          </w:p>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概</w:t>
            </w:r>
          </w:p>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况</w:t>
            </w:r>
          </w:p>
        </w:tc>
        <w:tc>
          <w:tcPr>
            <w:tcW w:w="700" w:type="dxa"/>
            <w:tcBorders>
              <w:top w:val="nil"/>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职工人数</w:t>
            </w:r>
          </w:p>
        </w:tc>
        <w:tc>
          <w:tcPr>
            <w:tcW w:w="910" w:type="dxa"/>
            <w:gridSpan w:val="2"/>
            <w:tcBorders>
              <w:top w:val="nil"/>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196" w:type="dxa"/>
            <w:tcBorders>
              <w:top w:val="nil"/>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国家授予技术职称人数</w:t>
            </w:r>
          </w:p>
        </w:tc>
        <w:tc>
          <w:tcPr>
            <w:tcW w:w="2153" w:type="dxa"/>
            <w:gridSpan w:val="2"/>
            <w:tcMar>
              <w:top w:w="57" w:type="dxa"/>
              <w:left w:w="108" w:type="dxa"/>
              <w:bottom w:w="0" w:type="dxa"/>
              <w:right w:w="108" w:type="dxa"/>
            </w:tcMar>
            <w:vAlign w:val="center"/>
          </w:tcPr>
          <w:p>
            <w:pPr>
              <w:widowControl/>
              <w:jc w:val="center"/>
              <w:rPr>
                <w:rFonts w:asciiTheme="minorEastAsia" w:hAnsiTheme="minorEastAsia" w:eastAsiaTheme="minorEastAsia" w:cstheme="minorEastAsia"/>
                <w:bCs/>
                <w:kern w:val="0"/>
                <w:szCs w:val="21"/>
              </w:rPr>
            </w:pPr>
          </w:p>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占地面积</w:t>
            </w:r>
          </w:p>
        </w:tc>
        <w:tc>
          <w:tcPr>
            <w:tcW w:w="910"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建筑</w:t>
            </w:r>
          </w:p>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面积</w:t>
            </w:r>
          </w:p>
        </w:tc>
        <w:tc>
          <w:tcPr>
            <w:tcW w:w="1205" w:type="dxa"/>
            <w:gridSpan w:val="2"/>
            <w:tcMar>
              <w:top w:w="57" w:type="dxa"/>
              <w:left w:w="108" w:type="dxa"/>
              <w:bottom w:w="0" w:type="dxa"/>
              <w:right w:w="108" w:type="dxa"/>
            </w:tcMar>
            <w:vAlign w:val="center"/>
          </w:tcPr>
          <w:p>
            <w:pPr>
              <w:pStyle w:val="32"/>
              <w:spacing w:before="0" w:beforeAutospacing="0" w:after="0" w:afterAutospacing="0"/>
              <w:jc w:val="righ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平方米</w:t>
            </w:r>
          </w:p>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□自有</w:t>
            </w:r>
          </w:p>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□租赁</w:t>
            </w:r>
          </w:p>
        </w:tc>
        <w:tc>
          <w:tcPr>
            <w:tcW w:w="2001" w:type="dxa"/>
            <w:gridSpan w:val="3"/>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生产经营场所及场所的设施与设备</w:t>
            </w:r>
          </w:p>
        </w:tc>
        <w:tc>
          <w:tcPr>
            <w:tcW w:w="2153"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注册资金</w:t>
            </w:r>
          </w:p>
        </w:tc>
        <w:tc>
          <w:tcPr>
            <w:tcW w:w="910"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注册发证机关</w:t>
            </w:r>
          </w:p>
        </w:tc>
        <w:tc>
          <w:tcPr>
            <w:tcW w:w="3206" w:type="dxa"/>
            <w:gridSpan w:val="5"/>
            <w:tcMar>
              <w:top w:w="57" w:type="dxa"/>
              <w:left w:w="108" w:type="dxa"/>
              <w:bottom w:w="0" w:type="dxa"/>
              <w:right w:w="108" w:type="dxa"/>
            </w:tcMar>
            <w:vAlign w:val="center"/>
          </w:tcPr>
          <w:p>
            <w:pPr>
              <w:widowControl/>
              <w:jc w:val="center"/>
              <w:rPr>
                <w:rFonts w:asciiTheme="minorEastAsia" w:hAnsiTheme="minorEastAsia" w:eastAsiaTheme="minorEastAsia" w:cstheme="minorEastAsia"/>
                <w:bCs/>
                <w:kern w:val="0"/>
                <w:szCs w:val="21"/>
              </w:rPr>
            </w:pPr>
          </w:p>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220"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公司成立时间</w:t>
            </w:r>
          </w:p>
        </w:tc>
        <w:tc>
          <w:tcPr>
            <w:tcW w:w="933"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核准经营范围</w:t>
            </w:r>
          </w:p>
        </w:tc>
        <w:tc>
          <w:tcPr>
            <w:tcW w:w="7465" w:type="dxa"/>
            <w:gridSpan w:val="10"/>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8165" w:type="dxa"/>
            <w:gridSpan w:val="11"/>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2" w:type="dxa"/>
            <w:vMerge w:val="restart"/>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产品名称</w:t>
            </w:r>
          </w:p>
        </w:tc>
        <w:tc>
          <w:tcPr>
            <w:tcW w:w="1418"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发证机关</w:t>
            </w:r>
          </w:p>
        </w:tc>
        <w:tc>
          <w:tcPr>
            <w:tcW w:w="1276"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编号</w:t>
            </w:r>
          </w:p>
        </w:tc>
        <w:tc>
          <w:tcPr>
            <w:tcW w:w="1620"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发证时间</w:t>
            </w:r>
          </w:p>
        </w:tc>
        <w:tc>
          <w:tcPr>
            <w:tcW w:w="933"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366" w:type="dxa"/>
            <w:gridSpan w:val="3"/>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418"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276"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620"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933" w:type="dxa"/>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2" w:type="dxa"/>
            <w:vMerge w:val="continue"/>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企业获得专利情况</w:t>
            </w:r>
          </w:p>
        </w:tc>
        <w:tc>
          <w:tcPr>
            <w:tcW w:w="6613" w:type="dxa"/>
            <w:gridSpan w:val="9"/>
            <w:tcMar>
              <w:top w:w="57" w:type="dxa"/>
              <w:left w:w="108" w:type="dxa"/>
              <w:bottom w:w="0" w:type="dxa"/>
              <w:right w:w="108" w:type="dxa"/>
            </w:tcMar>
            <w:vAlign w:val="center"/>
          </w:tcPr>
          <w:p>
            <w:pPr>
              <w:pStyle w:val="32"/>
              <w:spacing w:before="0" w:beforeAutospacing="0" w:after="0" w:afterAutospacing="0"/>
              <w:jc w:val="center"/>
              <w:rPr>
                <w:rFonts w:asciiTheme="minorEastAsia" w:hAnsiTheme="minorEastAsia" w:eastAsiaTheme="minorEastAsia" w:cstheme="minorEastAsia"/>
                <w:bCs/>
                <w:sz w:val="21"/>
                <w:szCs w:val="21"/>
              </w:rPr>
            </w:pPr>
          </w:p>
        </w:tc>
      </w:tr>
    </w:tbl>
    <w:p>
      <w:pPr>
        <w:pStyle w:val="32"/>
        <w:spacing w:before="0" w:beforeAutospacing="0" w:after="0" w:afterAutospacing="0" w:line="360"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要求：</w:t>
      </w:r>
    </w:p>
    <w:p>
      <w:pPr>
        <w:pStyle w:val="32"/>
        <w:spacing w:before="0" w:beforeAutospacing="0" w:after="0" w:afterAutospacing="0"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2"/>
        <w:spacing w:before="0" w:beforeAutospacing="0" w:after="0" w:afterAutospacing="0" w:line="360" w:lineRule="auto"/>
        <w:ind w:firstLine="424" w:firstLineChars="177"/>
        <w:rPr>
          <w:b/>
          <w:bCs/>
        </w:rPr>
      </w:pPr>
      <w:r>
        <w:rPr>
          <w:rFonts w:hint="eastAsia"/>
        </w:rPr>
        <w:t>日        期：：</w:t>
      </w:r>
    </w:p>
    <w:p>
      <w:pPr>
        <w:rPr>
          <w:rFonts w:ascii="宋体" w:hAnsi="宋体"/>
          <w:b/>
          <w:sz w:val="24"/>
        </w:rPr>
      </w:pPr>
      <w:r>
        <w:rPr>
          <w:rFonts w:ascii="宋体" w:hAnsi="宋体"/>
          <w:b/>
          <w:sz w:val="24"/>
        </w:rPr>
        <w:br w:type="page"/>
      </w:r>
    </w:p>
    <w:p>
      <w:pPr>
        <w:spacing w:line="360" w:lineRule="auto"/>
        <w:rPr>
          <w:rFonts w:ascii="宋体" w:hAnsi="宋体"/>
          <w:sz w:val="24"/>
        </w:rPr>
      </w:pPr>
      <w:r>
        <w:rPr>
          <w:rFonts w:hint="eastAsia" w:ascii="宋体" w:hAnsi="宋体"/>
          <w:b/>
          <w:sz w:val="28"/>
        </w:rPr>
        <w:t>附件6</w:t>
      </w:r>
    </w:p>
    <w:p>
      <w:pPr>
        <w:snapToGrid w:val="0"/>
        <w:spacing w:before="120" w:beforeLines="50" w:after="50" w:line="360" w:lineRule="auto"/>
        <w:jc w:val="center"/>
        <w:rPr>
          <w:rFonts w:ascii="宋体" w:hAnsi="宋体"/>
          <w:b/>
          <w:sz w:val="36"/>
          <w:szCs w:val="36"/>
        </w:rPr>
      </w:pPr>
      <w:bookmarkStart w:id="70" w:name="_Toc23671_WPSOffice_Level1"/>
      <w:bookmarkStart w:id="71" w:name="_Toc20569_WPSOffice_Level1"/>
      <w:r>
        <w:rPr>
          <w:rFonts w:hint="eastAsia" w:ascii="宋体" w:hAnsi="宋体"/>
          <w:b/>
          <w:sz w:val="32"/>
          <w:szCs w:val="32"/>
        </w:rPr>
        <w:t>项目实施人员一览表</w:t>
      </w:r>
      <w:bookmarkEnd w:id="70"/>
      <w:bookmarkEnd w:id="71"/>
    </w:p>
    <w:p>
      <w:pPr>
        <w:snapToGrid w:val="0"/>
        <w:spacing w:before="120" w:beforeLines="50" w:after="50" w:line="360" w:lineRule="auto"/>
        <w:jc w:val="center"/>
        <w:rPr>
          <w:rFonts w:ascii="宋体" w:hAnsi="宋体"/>
          <w:sz w:val="24"/>
        </w:rPr>
      </w:pPr>
      <w:r>
        <w:rPr>
          <w:rFonts w:hint="eastAsia" w:ascii="宋体" w:hAnsi="宋体"/>
          <w:sz w:val="24"/>
        </w:rPr>
        <w:t>（主要从业人员及其技术资格）</w:t>
      </w:r>
    </w:p>
    <w:tbl>
      <w:tblPr>
        <w:tblStyle w:val="22"/>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napToGrid w:val="0"/>
              <w:spacing w:before="120" w:beforeLines="50" w:after="50" w:line="360" w:lineRule="auto"/>
              <w:ind w:left="5250"/>
              <w:rPr>
                <w:rFonts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napToGrid w:val="0"/>
              <w:spacing w:before="120" w:beforeLines="50" w:after="50" w:line="360" w:lineRule="auto"/>
              <w:ind w:left="5250"/>
              <w:rPr>
                <w:rFonts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pacing w:line="360" w:lineRule="auto"/>
              <w:ind w:left="5250"/>
              <w:rPr>
                <w:rFonts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szCs w:val="21"/>
        </w:rPr>
        <w:t>1.在填写时，如本表格不适合投标单位的实际情况，可根据本表格式自行划表填写。</w:t>
      </w:r>
    </w:p>
    <w:p>
      <w:pPr>
        <w:pStyle w:val="33"/>
        <w:spacing w:line="360" w:lineRule="auto"/>
        <w:ind w:left="424" w:leftChars="202"/>
        <w:rPr>
          <w:rFonts w:ascii="宋体" w:hAnsi="宋体"/>
          <w:szCs w:val="21"/>
        </w:rPr>
      </w:pPr>
      <w:r>
        <w:rPr>
          <w:rFonts w:hint="eastAsia" w:ascii="宋体" w:hAnsi="宋体"/>
          <w:szCs w:val="21"/>
        </w:rPr>
        <w:t>2.附人员证书。</w:t>
      </w:r>
    </w:p>
    <w:p>
      <w:pPr>
        <w:pStyle w:val="33"/>
        <w:spacing w:line="360" w:lineRule="auto"/>
        <w:ind w:left="424" w:hanging="424" w:hangingChars="202"/>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120" w:afterLines="50" w:line="360" w:lineRule="auto"/>
        <w:jc w:val="left"/>
        <w:rPr>
          <w:rFonts w:ascii="宋体" w:hAnsi="宋体"/>
          <w:sz w:val="24"/>
          <w:szCs w:val="20"/>
        </w:rPr>
      </w:pPr>
    </w:p>
    <w:p>
      <w:pPr>
        <w:snapToGrid w:val="0"/>
        <w:spacing w:before="50" w:after="12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宋体" w:hAnsi="宋体"/>
          <w:sz w:val="24"/>
        </w:rPr>
      </w:pPr>
      <w:r>
        <w:rPr>
          <w:rFonts w:hint="eastAsia" w:ascii="宋体" w:hAnsi="宋体"/>
          <w:sz w:val="24"/>
        </w:rPr>
        <w:br w:type="page"/>
      </w:r>
    </w:p>
    <w:p>
      <w:pPr>
        <w:spacing w:line="360" w:lineRule="auto"/>
        <w:rPr>
          <w:rFonts w:ascii="宋体" w:hAnsi="宋体"/>
        </w:rPr>
      </w:pPr>
      <w:r>
        <w:rPr>
          <w:rFonts w:hint="eastAsia" w:ascii="宋体" w:hAnsi="宋体"/>
          <w:b/>
          <w:sz w:val="28"/>
        </w:rPr>
        <w:t>附件7</w:t>
      </w:r>
    </w:p>
    <w:p>
      <w:pPr>
        <w:spacing w:before="120" w:beforeLines="50" w:after="120" w:afterLines="50" w:line="360" w:lineRule="auto"/>
        <w:ind w:right="-10"/>
        <w:jc w:val="center"/>
        <w:rPr>
          <w:rFonts w:ascii="宋体" w:hAnsi="宋体"/>
          <w:b/>
          <w:bCs/>
          <w:sz w:val="32"/>
          <w:szCs w:val="32"/>
        </w:rPr>
      </w:pPr>
      <w:bookmarkStart w:id="72" w:name="_Toc12710_WPSOffice_Level1"/>
      <w:bookmarkStart w:id="73" w:name="_Toc23055_WPSOffice_Level1"/>
      <w:r>
        <w:rPr>
          <w:rFonts w:hint="eastAsia" w:ascii="宋体" w:hAnsi="宋体"/>
          <w:b/>
          <w:bCs/>
          <w:sz w:val="32"/>
          <w:szCs w:val="32"/>
        </w:rPr>
        <w:t>项目负责人资格情况表</w:t>
      </w:r>
      <w:bookmarkEnd w:id="72"/>
      <w:bookmarkEnd w:id="73"/>
    </w:p>
    <w:tbl>
      <w:tblPr>
        <w:tblStyle w:val="22"/>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napToGrid w:val="0"/>
        <w:spacing w:before="50" w:after="50" w:line="360" w:lineRule="auto"/>
        <w:rPr>
          <w:rFonts w:ascii="宋体" w:hAnsi="宋体"/>
          <w:b/>
          <w:sz w:val="28"/>
        </w:rPr>
      </w:pPr>
      <w:r>
        <w:rPr>
          <w:rFonts w:hint="eastAsia" w:ascii="宋体" w:hAnsi="宋体"/>
          <w:b/>
          <w:sz w:val="28"/>
        </w:rPr>
        <w:t>附件8</w:t>
      </w:r>
    </w:p>
    <w:p>
      <w:pPr>
        <w:spacing w:line="360" w:lineRule="auto"/>
        <w:ind w:left="-2"/>
        <w:jc w:val="center"/>
        <w:rPr>
          <w:rFonts w:ascii="宋体" w:hAnsi="宋体"/>
          <w:sz w:val="24"/>
        </w:rPr>
      </w:pPr>
      <w:bookmarkStart w:id="74" w:name="_Toc3591_WPSOffice_Level1"/>
      <w:bookmarkStart w:id="75" w:name="_Toc32718_WPSOffice_Level1"/>
      <w:r>
        <w:rPr>
          <w:rFonts w:hint="eastAsia" w:ascii="宋体" w:hAnsi="宋体"/>
          <w:b/>
          <w:sz w:val="32"/>
          <w:szCs w:val="32"/>
        </w:rPr>
        <w:t>供货</w:t>
      </w:r>
      <w:r>
        <w:rPr>
          <w:rFonts w:ascii="宋体" w:hAnsi="宋体"/>
          <w:b/>
          <w:sz w:val="32"/>
          <w:szCs w:val="32"/>
        </w:rPr>
        <w:t>清单</w:t>
      </w:r>
      <w:bookmarkEnd w:id="74"/>
      <w:bookmarkEnd w:id="75"/>
    </w:p>
    <w:tbl>
      <w:tblPr>
        <w:tblStyle w:val="22"/>
        <w:tblpPr w:leftFromText="181" w:rightFromText="181" w:bottomFromText="170" w:vertAnchor="text" w:tblpXSpec="center" w:tblpY="1"/>
        <w:tblOverlap w:val="never"/>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81"/>
        <w:gridCol w:w="1134"/>
        <w:gridCol w:w="2195"/>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381"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134"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品牌</w:t>
            </w:r>
          </w:p>
        </w:tc>
        <w:tc>
          <w:tcPr>
            <w:tcW w:w="2195"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99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155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bl>
    <w:p>
      <w:pPr>
        <w:spacing w:line="360" w:lineRule="auto"/>
        <w:ind w:firstLine="422" w:firstLineChars="200"/>
        <w:rPr>
          <w:rFonts w:ascii="宋体" w:hAnsi="宋体"/>
          <w:b/>
          <w:szCs w:val="21"/>
        </w:rPr>
      </w:pPr>
      <w:r>
        <w:rPr>
          <w:rFonts w:hint="eastAsia" w:ascii="宋体" w:hAnsi="宋体"/>
          <w:b/>
          <w:szCs w:val="21"/>
        </w:rPr>
        <w:t>要求：</w:t>
      </w:r>
    </w:p>
    <w:p>
      <w:pPr>
        <w:numPr>
          <w:ilvl w:val="0"/>
          <w:numId w:val="13"/>
        </w:numPr>
        <w:spacing w:line="360" w:lineRule="auto"/>
        <w:ind w:left="435" w:firstLine="556" w:firstLineChars="265"/>
        <w:rPr>
          <w:rFonts w:ascii="宋体" w:hAnsi="宋体"/>
          <w:szCs w:val="21"/>
        </w:rPr>
      </w:pPr>
      <w:r>
        <w:rPr>
          <w:rFonts w:hint="eastAsia" w:ascii="宋体" w:hAnsi="宋体"/>
          <w:szCs w:val="21"/>
        </w:rPr>
        <w:t>本表中的名称、数量应与报价明细表中相对应的报价名称、数量一致。</w:t>
      </w:r>
    </w:p>
    <w:p>
      <w:pPr>
        <w:numPr>
          <w:ilvl w:val="0"/>
          <w:numId w:val="13"/>
        </w:numPr>
        <w:spacing w:line="360" w:lineRule="auto"/>
        <w:ind w:left="435" w:firstLine="556" w:firstLineChars="265"/>
        <w:rPr>
          <w:rFonts w:ascii="宋体" w:hAnsi="宋体"/>
          <w:szCs w:val="21"/>
        </w:rPr>
      </w:pPr>
      <w:r>
        <w:rPr>
          <w:rFonts w:hint="eastAsia" w:ascii="宋体" w:hAnsi="宋体"/>
          <w:szCs w:val="21"/>
        </w:rPr>
        <w:t>不含报价。</w:t>
      </w:r>
    </w:p>
    <w:p>
      <w:pPr>
        <w:spacing w:line="360" w:lineRule="auto"/>
        <w:rPr>
          <w:rFonts w:ascii="宋体" w:hAnsi="宋体"/>
          <w:sz w:val="24"/>
        </w:rPr>
      </w:pPr>
    </w:p>
    <w:p>
      <w:pPr>
        <w:spacing w:line="360" w:lineRule="auto"/>
        <w:ind w:left="420"/>
        <w:rPr>
          <w:rFonts w:ascii="宋体" w:hAnsi="宋体"/>
          <w:sz w:val="24"/>
        </w:rPr>
      </w:pPr>
    </w:p>
    <w:p>
      <w:pPr>
        <w:spacing w:line="360" w:lineRule="auto"/>
        <w:ind w:left="420" w:firstLine="571" w:firstLineChars="238"/>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993"/>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日        期：</w:t>
      </w:r>
    </w:p>
    <w:p>
      <w:pPr>
        <w:rPr>
          <w:rFonts w:ascii="宋体" w:hAnsi="宋体"/>
          <w:b/>
          <w:sz w:val="28"/>
        </w:rPr>
      </w:pPr>
      <w:r>
        <w:rPr>
          <w:rFonts w:ascii="宋体" w:hAnsi="宋体"/>
          <w:b/>
          <w:sz w:val="28"/>
        </w:rPr>
        <w:br w:type="page"/>
      </w:r>
    </w:p>
    <w:p>
      <w:pPr>
        <w:snapToGrid w:val="0"/>
        <w:spacing w:before="50" w:after="50" w:line="360" w:lineRule="auto"/>
        <w:rPr>
          <w:rFonts w:ascii="宋体" w:hAnsi="宋体"/>
          <w:b/>
          <w:sz w:val="28"/>
        </w:rPr>
      </w:pPr>
      <w:r>
        <w:rPr>
          <w:rFonts w:hint="eastAsia" w:ascii="宋体" w:hAnsi="宋体"/>
          <w:b/>
          <w:sz w:val="28"/>
        </w:rPr>
        <w:t>附件9</w:t>
      </w:r>
    </w:p>
    <w:p>
      <w:pPr>
        <w:spacing w:line="360" w:lineRule="auto"/>
        <w:ind w:left="480"/>
        <w:jc w:val="center"/>
        <w:rPr>
          <w:rFonts w:ascii="宋体" w:hAnsi="宋体"/>
          <w:b/>
          <w:sz w:val="32"/>
          <w:szCs w:val="32"/>
        </w:rPr>
      </w:pPr>
      <w:bookmarkStart w:id="76" w:name="_Toc12856_WPSOffice_Level1"/>
      <w:bookmarkStart w:id="77" w:name="_Toc26601_WPSOffice_Level1"/>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76"/>
      <w:bookmarkEnd w:id="77"/>
    </w:p>
    <w:tbl>
      <w:tblPr>
        <w:tblStyle w:val="22"/>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64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44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招标参数</w:t>
            </w: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投标参数</w:t>
            </w: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c>
          <w:tcPr>
            <w:tcW w:w="90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bl>
    <w:p>
      <w:pPr>
        <w:pStyle w:val="34"/>
        <w:tabs>
          <w:tab w:val="left" w:pos="360"/>
        </w:tabs>
        <w:spacing w:line="360" w:lineRule="auto"/>
        <w:jc w:val="both"/>
        <w:rPr>
          <w:rFonts w:ascii="宋体"/>
          <w:b/>
          <w:szCs w:val="21"/>
        </w:rPr>
      </w:pPr>
      <w:r>
        <w:rPr>
          <w:rFonts w:hint="eastAsia" w:ascii="宋体"/>
          <w:b/>
          <w:szCs w:val="21"/>
        </w:rPr>
        <w:t>要求：</w:t>
      </w:r>
    </w:p>
    <w:p>
      <w:pPr>
        <w:pStyle w:val="34"/>
        <w:tabs>
          <w:tab w:val="left" w:pos="360"/>
        </w:tabs>
        <w:spacing w:line="360" w:lineRule="auto"/>
        <w:ind w:firstLine="420" w:firstLineChars="200"/>
        <w:jc w:val="both"/>
        <w:rPr>
          <w:rFonts w:ascii="宋体"/>
          <w:szCs w:val="21"/>
        </w:rPr>
      </w:pPr>
      <w:r>
        <w:rPr>
          <w:rFonts w:hint="eastAsia" w:ascii="宋体"/>
          <w:szCs w:val="21"/>
        </w:rPr>
        <w:t>1.本表的名称须与《报价明细表》一致。</w:t>
      </w:r>
    </w:p>
    <w:p>
      <w:pPr>
        <w:pStyle w:val="34"/>
        <w:spacing w:line="360" w:lineRule="auto"/>
        <w:ind w:firstLine="420" w:firstLineChars="200"/>
        <w:jc w:val="both"/>
        <w:rPr>
          <w:rFonts w:ascii="宋体"/>
          <w:szCs w:val="21"/>
        </w:rPr>
      </w:pPr>
      <w:r>
        <w:rPr>
          <w:rFonts w:hint="eastAsia" w:ascii="宋体"/>
          <w:szCs w:val="21"/>
        </w:rPr>
        <w:t>2.本表参照本招标文件第三部分“招标需求”内第二条“具体技术需求”填制，投标人应根据投标设备的性能指标、服务指标，对照招标文件要求在“偏离情况”栏注明“正偏离”、“负偏离”或“无偏离”。</w:t>
      </w:r>
    </w:p>
    <w:p>
      <w:pPr>
        <w:pStyle w:val="34"/>
        <w:spacing w:line="360" w:lineRule="auto"/>
        <w:ind w:firstLine="420" w:firstLineChars="200"/>
        <w:jc w:val="both"/>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1"/>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pStyle w:val="35"/>
        <w:spacing w:line="360" w:lineRule="auto"/>
        <w:jc w:val="left"/>
        <w:rPr>
          <w:rFonts w:ascii="宋体" w:hAnsi="宋体"/>
          <w:b/>
          <w:sz w:val="28"/>
        </w:rPr>
      </w:pPr>
      <w:r>
        <w:rPr>
          <w:rFonts w:hint="eastAsia" w:ascii="宋体" w:hAnsi="宋体"/>
          <w:b/>
          <w:sz w:val="28"/>
        </w:rPr>
        <w:t>附件10</w:t>
      </w:r>
    </w:p>
    <w:p>
      <w:pPr>
        <w:pStyle w:val="36"/>
        <w:spacing w:line="360" w:lineRule="auto"/>
        <w:jc w:val="center"/>
        <w:rPr>
          <w:rFonts w:ascii="宋体" w:hAnsi="宋体"/>
          <w:b/>
          <w:sz w:val="32"/>
          <w:szCs w:val="32"/>
        </w:rPr>
      </w:pPr>
      <w:bookmarkStart w:id="78" w:name="_Toc11030_WPSOffice_Level1"/>
      <w:bookmarkStart w:id="79" w:name="_Toc17604_WPSOffice_Level1"/>
      <w:r>
        <w:rPr>
          <w:rFonts w:hint="eastAsia" w:ascii="宋体" w:hAnsi="宋体"/>
          <w:b/>
          <w:sz w:val="32"/>
          <w:szCs w:val="32"/>
        </w:rPr>
        <w:t>证书一览表</w:t>
      </w:r>
      <w:bookmarkEnd w:id="78"/>
      <w:bookmarkEnd w:id="79"/>
    </w:p>
    <w:tbl>
      <w:tblPr>
        <w:tblStyle w:val="22"/>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pPr>
              <w:pStyle w:val="36"/>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pPr>
              <w:pStyle w:val="36"/>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pPr>
              <w:pStyle w:val="36"/>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pPr>
              <w:pStyle w:val="36"/>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58" w:type="dxa"/>
            <w:tcBorders>
              <w:top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60" w:type="dxa"/>
            <w:tcBorders>
              <w:top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58" w:type="dxa"/>
            <w:tcBorders>
              <w:bottom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260" w:type="dxa"/>
            <w:tcBorders>
              <w:bottom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pPr>
              <w:pStyle w:val="36"/>
              <w:spacing w:line="360" w:lineRule="auto"/>
              <w:jc w:val="center"/>
              <w:rPr>
                <w:rFonts w:asciiTheme="minorEastAsia" w:hAnsiTheme="minorEastAsia" w:eastAsiaTheme="minorEastAsia" w:cstheme="minorEastAsia"/>
                <w:szCs w:val="21"/>
              </w:rPr>
            </w:pPr>
          </w:p>
        </w:tc>
      </w:tr>
    </w:tbl>
    <w:p>
      <w:pPr>
        <w:pStyle w:val="36"/>
        <w:tabs>
          <w:tab w:val="left" w:pos="1050"/>
        </w:tabs>
        <w:spacing w:line="360" w:lineRule="auto"/>
        <w:rPr>
          <w:rFonts w:ascii="宋体" w:hAnsi="宋体"/>
          <w:szCs w:val="21"/>
        </w:rPr>
      </w:pPr>
      <w:r>
        <w:rPr>
          <w:rFonts w:hint="eastAsia" w:ascii="宋体" w:hAnsi="宋体"/>
          <w:b/>
          <w:szCs w:val="21"/>
        </w:rPr>
        <w:t>要求：</w:t>
      </w:r>
    </w:p>
    <w:p>
      <w:pPr>
        <w:pStyle w:val="36"/>
        <w:tabs>
          <w:tab w:val="left" w:pos="1050"/>
        </w:tabs>
        <w:spacing w:line="360" w:lineRule="auto"/>
        <w:ind w:firstLine="420" w:firstLineChars="200"/>
        <w:rPr>
          <w:rFonts w:ascii="宋体" w:hAnsi="宋体"/>
          <w:szCs w:val="21"/>
        </w:rPr>
      </w:pPr>
      <w:r>
        <w:rPr>
          <w:rFonts w:hint="eastAsia" w:ascii="宋体" w:hAnsi="宋体"/>
          <w:szCs w:val="21"/>
        </w:rPr>
        <w:t>1.填写投标人获得资质、认证或企业信誉证书。</w:t>
      </w:r>
    </w:p>
    <w:p>
      <w:pPr>
        <w:pStyle w:val="36"/>
        <w:tabs>
          <w:tab w:val="left" w:pos="1050"/>
        </w:tabs>
        <w:spacing w:line="360" w:lineRule="auto"/>
        <w:ind w:firstLine="420" w:firstLineChars="200"/>
        <w:rPr>
          <w:rFonts w:ascii="宋体" w:hAnsi="宋体"/>
          <w:szCs w:val="21"/>
        </w:rPr>
      </w:pPr>
      <w:r>
        <w:rPr>
          <w:rFonts w:hint="eastAsia" w:ascii="宋体" w:hAnsi="宋体"/>
          <w:szCs w:val="21"/>
        </w:rPr>
        <w:t>2.附所列证书或其他证明材料。</w:t>
      </w:r>
    </w:p>
    <w:p>
      <w:pPr>
        <w:pStyle w:val="36"/>
        <w:tabs>
          <w:tab w:val="left" w:pos="1050"/>
        </w:tabs>
        <w:spacing w:line="360" w:lineRule="auto"/>
        <w:rPr>
          <w:rFonts w:ascii="仿宋_GB2312" w:hAnsi="宋体" w:eastAsia="仿宋_GB2312"/>
          <w:sz w:val="24"/>
        </w:rPr>
      </w:pPr>
    </w:p>
    <w:p>
      <w:pPr>
        <w:pStyle w:val="36"/>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2"/>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ascii="宋体" w:hAnsi="宋体"/>
          <w:b/>
          <w:sz w:val="28"/>
        </w:rPr>
      </w:pPr>
      <w:r>
        <w:rPr>
          <w:rFonts w:hint="eastAsia" w:ascii="宋体" w:hAnsi="宋体"/>
          <w:b/>
          <w:sz w:val="28"/>
        </w:rPr>
        <w:t>附件11</w:t>
      </w:r>
    </w:p>
    <w:p>
      <w:pPr>
        <w:pStyle w:val="35"/>
        <w:spacing w:line="360" w:lineRule="auto"/>
        <w:jc w:val="center"/>
        <w:rPr>
          <w:rFonts w:ascii="仿宋_GB2312" w:eastAsia="仿宋_GB2312"/>
          <w:b/>
          <w:sz w:val="28"/>
          <w:szCs w:val="28"/>
        </w:rPr>
      </w:pPr>
      <w:bookmarkStart w:id="80" w:name="_Toc7134_WPSOffice_Level1"/>
      <w:bookmarkStart w:id="81" w:name="_Toc19231_WPSOffice_Level1"/>
      <w:r>
        <w:rPr>
          <w:rFonts w:hint="eastAsia" w:ascii="宋体" w:hAnsi="宋体"/>
          <w:b/>
          <w:sz w:val="32"/>
          <w:szCs w:val="32"/>
        </w:rPr>
        <w:t>投标人类似项目实施情况一览表</w:t>
      </w:r>
      <w:bookmarkEnd w:id="80"/>
      <w:bookmarkEnd w:id="81"/>
    </w:p>
    <w:tbl>
      <w:tblPr>
        <w:tblStyle w:val="22"/>
        <w:tblpPr w:leftFromText="181" w:rightFromText="181" w:bottomFromText="170" w:vertAnchor="text" w:tblpXSpec="center" w:tblpY="1"/>
        <w:tblOverlap w:val="never"/>
        <w:tblW w:w="9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5"/>
              <w:spacing w:line="360" w:lineRule="auto"/>
              <w:rPr>
                <w:rFonts w:asciiTheme="minorEastAsia" w:hAnsiTheme="minorEastAsia" w:eastAsiaTheme="minorEastAsia" w:cstheme="minorEastAsia"/>
                <w:szCs w:val="21"/>
              </w:rPr>
            </w:pPr>
          </w:p>
        </w:tc>
      </w:tr>
    </w:tbl>
    <w:p>
      <w:pPr>
        <w:autoSpaceDE w:val="0"/>
        <w:autoSpaceDN w:val="0"/>
        <w:adjustRightInd w:val="0"/>
        <w:spacing w:before="120"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20"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仿宋" w:hAnsi="仿宋" w:eastAsia="仿宋"/>
          <w:snapToGrid w:val="0"/>
          <w:kern w:val="0"/>
          <w:sz w:val="24"/>
        </w:rPr>
      </w:pPr>
      <w:r>
        <w:rPr>
          <w:rFonts w:ascii="仿宋" w:hAnsi="仿宋" w:eastAsia="仿宋"/>
          <w:snapToGrid w:val="0"/>
          <w:kern w:val="0"/>
          <w:sz w:val="24"/>
        </w:rPr>
        <w:br w:type="page"/>
      </w:r>
    </w:p>
    <w:p>
      <w:pPr>
        <w:pStyle w:val="36"/>
        <w:tabs>
          <w:tab w:val="left" w:pos="1050"/>
        </w:tabs>
        <w:spacing w:line="360" w:lineRule="auto"/>
        <w:rPr>
          <w:rFonts w:ascii="仿宋_GB2312" w:hAnsi="宋体"/>
          <w:sz w:val="24"/>
        </w:rPr>
      </w:pPr>
      <w:r>
        <w:rPr>
          <w:rFonts w:hint="eastAsia" w:ascii="宋体" w:hAnsi="宋体"/>
          <w:b/>
          <w:sz w:val="28"/>
        </w:rPr>
        <w:t>附件12</w:t>
      </w:r>
    </w:p>
    <w:p>
      <w:pPr>
        <w:spacing w:line="360" w:lineRule="auto"/>
        <w:ind w:hanging="9"/>
        <w:jc w:val="center"/>
        <w:rPr>
          <w:rFonts w:ascii="宋体" w:hAnsi="宋体"/>
          <w:b/>
          <w:sz w:val="18"/>
          <w:szCs w:val="18"/>
        </w:rPr>
      </w:pPr>
      <w:bookmarkStart w:id="82" w:name="_Toc3068_WPSOffice_Level1"/>
      <w:bookmarkStart w:id="83" w:name="_Toc21582_WPSOffice_Level1"/>
      <w:r>
        <w:rPr>
          <w:rFonts w:hint="eastAsia" w:ascii="宋体" w:hAnsi="宋体"/>
          <w:b/>
          <w:sz w:val="32"/>
          <w:szCs w:val="32"/>
        </w:rPr>
        <w:t>商务需求响应表</w:t>
      </w:r>
      <w:bookmarkEnd w:id="82"/>
      <w:bookmarkEnd w:id="83"/>
    </w:p>
    <w:tbl>
      <w:tblPr>
        <w:tblStyle w:val="22"/>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序号</w:t>
            </w:r>
          </w:p>
        </w:tc>
        <w:tc>
          <w:tcPr>
            <w:tcW w:w="2587"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 xml:space="preserve">   内容</w:t>
            </w:r>
          </w:p>
        </w:tc>
        <w:tc>
          <w:tcPr>
            <w:tcW w:w="1785" w:type="dxa"/>
            <w:tcMar>
              <w:top w:w="57" w:type="dxa"/>
              <w:left w:w="108" w:type="dxa"/>
              <w:bottom w:w="0" w:type="dxa"/>
              <w:right w:w="108" w:type="dxa"/>
            </w:tcMar>
            <w:vAlign w:val="center"/>
          </w:tcPr>
          <w:p>
            <w:pPr>
              <w:ind w:left="53" w:leftChars="25" w:firstLine="241" w:firstLineChars="100"/>
              <w:rPr>
                <w:rFonts w:ascii="宋体" w:hAnsi="宋体"/>
                <w:b/>
                <w:sz w:val="24"/>
              </w:rPr>
            </w:pPr>
            <w:r>
              <w:rPr>
                <w:rFonts w:hint="eastAsia" w:ascii="宋体" w:hAnsi="宋体"/>
                <w:b/>
                <w:sz w:val="24"/>
              </w:rPr>
              <w:t>招标需求</w:t>
            </w:r>
          </w:p>
        </w:tc>
        <w:tc>
          <w:tcPr>
            <w:tcW w:w="1365" w:type="dxa"/>
            <w:tcMar>
              <w:top w:w="57" w:type="dxa"/>
              <w:left w:w="108" w:type="dxa"/>
              <w:bottom w:w="0" w:type="dxa"/>
              <w:right w:w="108" w:type="dxa"/>
            </w:tcMar>
            <w:vAlign w:val="center"/>
          </w:tcPr>
          <w:p>
            <w:pPr>
              <w:ind w:left="152"/>
              <w:rPr>
                <w:rFonts w:ascii="宋体" w:hAnsi="宋体"/>
                <w:b/>
                <w:sz w:val="24"/>
              </w:rPr>
            </w:pPr>
            <w:r>
              <w:rPr>
                <w:rFonts w:hint="eastAsia" w:ascii="宋体" w:hAnsi="宋体"/>
                <w:b/>
                <w:sz w:val="24"/>
              </w:rPr>
              <w:t>是否响应</w:t>
            </w:r>
          </w:p>
        </w:tc>
        <w:tc>
          <w:tcPr>
            <w:tcW w:w="2633" w:type="dxa"/>
            <w:tcMar>
              <w:top w:w="57" w:type="dxa"/>
              <w:left w:w="108" w:type="dxa"/>
              <w:bottom w:w="0" w:type="dxa"/>
              <w:right w:w="108" w:type="dxa"/>
            </w:tcMar>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售后服务保障要求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备品备件及耗材等要求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质保期</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交货和服务</w:t>
            </w:r>
          </w:p>
          <w:p>
            <w:pPr>
              <w:snapToGrid w:val="0"/>
              <w:rPr>
                <w:rFonts w:ascii="宋体" w:hAnsi="宋体" w:cs="Arial"/>
                <w:bCs/>
                <w:szCs w:val="21"/>
              </w:rPr>
            </w:pPr>
            <w:r>
              <w:rPr>
                <w:rFonts w:hint="eastAsia" w:ascii="宋体" w:hAnsi="宋体" w:cs="Arial"/>
                <w:bCs/>
                <w:szCs w:val="21"/>
              </w:rPr>
              <w:t>时间及地点</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付款条件</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rPr>
                <w:rFonts w:ascii="宋体" w:hAnsi="宋体" w:cs="Arial"/>
                <w:bCs/>
                <w:szCs w:val="21"/>
              </w:rPr>
            </w:pPr>
            <w:r>
              <w:rPr>
                <w:rFonts w:hint="eastAsia" w:ascii="宋体" w:hAnsi="宋体" w:cs="Arial"/>
                <w:bCs/>
                <w:szCs w:val="21"/>
              </w:rPr>
              <w:t>……</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rPr>
          <w:rFonts w:ascii="宋体" w:hAnsi="宋体"/>
          <w:b/>
          <w:sz w:val="28"/>
        </w:rPr>
      </w:pPr>
      <w:r>
        <w:rPr>
          <w:rFonts w:ascii="宋体" w:hAnsi="宋体"/>
          <w:b/>
          <w:sz w:val="28"/>
        </w:rPr>
        <w:br w:type="page"/>
      </w:r>
    </w:p>
    <w:p>
      <w:pPr>
        <w:tabs>
          <w:tab w:val="left" w:pos="2460"/>
        </w:tabs>
        <w:spacing w:line="360" w:lineRule="auto"/>
        <w:rPr>
          <w:rFonts w:ascii="宋体" w:hAnsi="宋体"/>
          <w:b/>
          <w:sz w:val="28"/>
        </w:rPr>
      </w:pPr>
      <w:r>
        <w:rPr>
          <w:rFonts w:hint="eastAsia" w:ascii="宋体" w:hAnsi="宋体"/>
          <w:b/>
          <w:sz w:val="28"/>
        </w:rPr>
        <w:t>附件13</w:t>
      </w:r>
      <w:r>
        <w:rPr>
          <w:rFonts w:ascii="宋体" w:hAnsi="宋体"/>
          <w:b/>
          <w:sz w:val="28"/>
        </w:rPr>
        <w:tab/>
      </w:r>
    </w:p>
    <w:p>
      <w:pPr>
        <w:spacing w:line="360" w:lineRule="auto"/>
        <w:jc w:val="center"/>
        <w:rPr>
          <w:rFonts w:ascii="宋体" w:hAnsi="宋体"/>
          <w:b/>
          <w:sz w:val="24"/>
        </w:rPr>
      </w:pPr>
      <w:bookmarkStart w:id="84" w:name="_Toc3463_WPSOffice_Level1"/>
      <w:bookmarkStart w:id="85" w:name="_Toc29652_WPSOffice_Level1"/>
      <w:r>
        <w:rPr>
          <w:rFonts w:hint="eastAsia" w:ascii="宋体" w:hAnsi="宋体"/>
          <w:b/>
          <w:sz w:val="32"/>
          <w:szCs w:val="32"/>
        </w:rPr>
        <w:t>售后服务情况表</w:t>
      </w:r>
      <w:bookmarkEnd w:id="84"/>
      <w:bookmarkEnd w:id="85"/>
    </w:p>
    <w:tbl>
      <w:tblPr>
        <w:tblStyle w:val="22"/>
        <w:tblpPr w:leftFromText="181" w:rightFromText="181" w:bottomFromText="170" w:vertAnchor="text" w:tblpXSpec="center" w:tblpY="1"/>
        <w:tblOverlap w:val="never"/>
        <w:tblW w:w="89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879"/>
        <w:gridCol w:w="4061"/>
        <w:gridCol w:w="1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7"/>
              <w:spacing w:line="360" w:lineRule="auto"/>
              <w:jc w:val="center"/>
              <w:rPr>
                <w:rFonts w:ascii="宋体" w:hAnsi="宋体" w:cs="Arial"/>
                <w:b/>
                <w:szCs w:val="21"/>
              </w:rPr>
            </w:pPr>
            <w:r>
              <w:rPr>
                <w:rFonts w:hint="eastAsia" w:ascii="宋体" w:hAnsi="宋体" w:cs="Arial"/>
                <w:b/>
                <w:szCs w:val="21"/>
              </w:rPr>
              <w:t>序号</w:t>
            </w:r>
          </w:p>
        </w:tc>
        <w:tc>
          <w:tcPr>
            <w:tcW w:w="2879" w:type="dxa"/>
            <w:tcMar>
              <w:top w:w="57" w:type="dxa"/>
              <w:left w:w="108" w:type="dxa"/>
              <w:bottom w:w="0" w:type="dxa"/>
              <w:right w:w="108" w:type="dxa"/>
            </w:tcMar>
            <w:vAlign w:val="center"/>
          </w:tcPr>
          <w:p>
            <w:pPr>
              <w:pStyle w:val="37"/>
              <w:spacing w:line="360" w:lineRule="auto"/>
              <w:jc w:val="center"/>
              <w:rPr>
                <w:rFonts w:ascii="宋体" w:hAnsi="宋体" w:cs="Arial"/>
                <w:b/>
                <w:szCs w:val="21"/>
              </w:rPr>
            </w:pPr>
            <w:r>
              <w:rPr>
                <w:rFonts w:hint="eastAsia" w:ascii="宋体" w:hAnsi="宋体" w:cs="Arial"/>
                <w:b/>
                <w:szCs w:val="21"/>
              </w:rPr>
              <w:t>项目</w:t>
            </w:r>
          </w:p>
        </w:tc>
        <w:tc>
          <w:tcPr>
            <w:tcW w:w="4061" w:type="dxa"/>
            <w:tcMar>
              <w:top w:w="57" w:type="dxa"/>
              <w:left w:w="108" w:type="dxa"/>
              <w:bottom w:w="0" w:type="dxa"/>
              <w:right w:w="108" w:type="dxa"/>
            </w:tcMar>
            <w:vAlign w:val="center"/>
          </w:tcPr>
          <w:p>
            <w:pPr>
              <w:pStyle w:val="37"/>
              <w:spacing w:line="360" w:lineRule="auto"/>
              <w:jc w:val="center"/>
              <w:rPr>
                <w:rFonts w:ascii="宋体" w:hAnsi="宋体" w:cs="Arial"/>
                <w:b/>
                <w:szCs w:val="21"/>
              </w:rPr>
            </w:pPr>
            <w:r>
              <w:rPr>
                <w:rFonts w:hint="eastAsia" w:ascii="宋体" w:hAnsi="宋体" w:cs="Arial"/>
                <w:b/>
                <w:szCs w:val="21"/>
              </w:rPr>
              <w:t>投标人情况</w:t>
            </w:r>
          </w:p>
        </w:tc>
        <w:tc>
          <w:tcPr>
            <w:tcW w:w="1301" w:type="dxa"/>
            <w:tcMar>
              <w:top w:w="57" w:type="dxa"/>
              <w:left w:w="108" w:type="dxa"/>
              <w:bottom w:w="0" w:type="dxa"/>
              <w:right w:w="108" w:type="dxa"/>
            </w:tcMar>
            <w:vAlign w:val="center"/>
          </w:tcPr>
          <w:p>
            <w:pPr>
              <w:pStyle w:val="37"/>
              <w:spacing w:line="360" w:lineRule="auto"/>
              <w:jc w:val="center"/>
              <w:rPr>
                <w:rFonts w:ascii="宋体" w:hAnsi="宋体" w:cs="Arial"/>
                <w:b/>
                <w:szCs w:val="21"/>
              </w:rPr>
            </w:pPr>
            <w:r>
              <w:rPr>
                <w:rFonts w:hint="eastAsia" w:ascii="宋体" w:hAnsi="宋体" w:cs="Arial"/>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7"/>
              <w:spacing w:line="360" w:lineRule="auto"/>
              <w:jc w:val="center"/>
              <w:rPr>
                <w:rFonts w:ascii="宋体" w:hAnsi="宋体" w:cs="Arial"/>
                <w:bCs/>
                <w:szCs w:val="21"/>
              </w:rPr>
            </w:pPr>
            <w:r>
              <w:rPr>
                <w:rFonts w:hint="eastAsia" w:ascii="宋体" w:hAnsi="宋体" w:cs="Arial"/>
                <w:bCs/>
                <w:szCs w:val="21"/>
              </w:rPr>
              <w:t>1</w:t>
            </w:r>
          </w:p>
        </w:tc>
        <w:tc>
          <w:tcPr>
            <w:tcW w:w="2879" w:type="dxa"/>
            <w:vMerge w:val="restart"/>
            <w:tcMar>
              <w:top w:w="57" w:type="dxa"/>
              <w:left w:w="108" w:type="dxa"/>
              <w:bottom w:w="0" w:type="dxa"/>
              <w:right w:w="108" w:type="dxa"/>
            </w:tcMar>
            <w:vAlign w:val="center"/>
          </w:tcPr>
          <w:p>
            <w:pPr>
              <w:pStyle w:val="37"/>
              <w:widowControl/>
              <w:spacing w:line="360" w:lineRule="auto"/>
              <w:jc w:val="left"/>
              <w:rPr>
                <w:rFonts w:ascii="宋体" w:hAnsi="宋体" w:cs="Arial"/>
                <w:bCs/>
                <w:szCs w:val="21"/>
              </w:rPr>
            </w:pPr>
            <w:r>
              <w:rPr>
                <w:rFonts w:hint="eastAsia" w:ascii="宋体" w:hAnsi="宋体" w:cs="Arial"/>
                <w:bCs/>
                <w:szCs w:val="21"/>
              </w:rPr>
              <w:t>保修期内售后服务情况(</w:t>
            </w:r>
            <w:r>
              <w:rPr>
                <w:rFonts w:ascii="宋体" w:hAnsi="宋体" w:cs="Arial"/>
                <w:bCs/>
                <w:szCs w:val="21"/>
              </w:rPr>
              <w:t>服务</w:t>
            </w:r>
            <w:r>
              <w:rPr>
                <w:rFonts w:hint="eastAsia" w:ascii="宋体" w:hAnsi="宋体" w:cs="Arial"/>
                <w:bCs/>
                <w:szCs w:val="21"/>
              </w:rPr>
              <w:t>方式、服务网点</w:t>
            </w:r>
            <w:r>
              <w:rPr>
                <w:rFonts w:ascii="宋体" w:hAnsi="宋体" w:cs="Arial"/>
                <w:bCs/>
                <w:szCs w:val="21"/>
              </w:rPr>
              <w:t>、售后服务的内容和措施</w:t>
            </w:r>
            <w:r>
              <w:rPr>
                <w:rFonts w:hint="eastAsia" w:ascii="宋体" w:hAnsi="宋体" w:cs="Arial"/>
                <w:bCs/>
                <w:szCs w:val="21"/>
              </w:rPr>
              <w:t>等等，可用附页和宣传材料)</w:t>
            </w:r>
          </w:p>
        </w:tc>
        <w:tc>
          <w:tcPr>
            <w:tcW w:w="4061" w:type="dxa"/>
            <w:tcMar>
              <w:top w:w="57" w:type="dxa"/>
              <w:left w:w="108" w:type="dxa"/>
              <w:bottom w:w="0" w:type="dxa"/>
              <w:right w:w="108" w:type="dxa"/>
            </w:tcMar>
          </w:tcPr>
          <w:p>
            <w:pPr>
              <w:pStyle w:val="37"/>
              <w:spacing w:line="360" w:lineRule="auto"/>
              <w:rPr>
                <w:rFonts w:ascii="宋体" w:hAnsi="宋体" w:cs="Arial"/>
                <w:bCs/>
                <w:szCs w:val="21"/>
              </w:rPr>
            </w:pPr>
            <w:r>
              <w:rPr>
                <w:rFonts w:hint="eastAsia" w:ascii="宋体" w:hAnsi="宋体" w:cs="Arial"/>
                <w:bCs/>
                <w:szCs w:val="21"/>
              </w:rPr>
              <w:t>生产厂商售后服务情况：</w:t>
            </w:r>
          </w:p>
        </w:tc>
        <w:tc>
          <w:tcPr>
            <w:tcW w:w="1301" w:type="dxa"/>
            <w:tcMar>
              <w:top w:w="57" w:type="dxa"/>
              <w:left w:w="108" w:type="dxa"/>
              <w:bottom w:w="0" w:type="dxa"/>
              <w:right w:w="108" w:type="dxa"/>
            </w:tcMar>
          </w:tcPr>
          <w:p>
            <w:pPr>
              <w:pStyle w:val="37"/>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tcMar>
              <w:top w:w="57" w:type="dxa"/>
              <w:left w:w="108" w:type="dxa"/>
              <w:bottom w:w="0" w:type="dxa"/>
              <w:right w:w="108" w:type="dxa"/>
            </w:tcMar>
            <w:vAlign w:val="center"/>
          </w:tcPr>
          <w:p>
            <w:pPr>
              <w:pStyle w:val="37"/>
              <w:widowControl/>
              <w:spacing w:line="360" w:lineRule="auto"/>
              <w:jc w:val="left"/>
              <w:rPr>
                <w:rFonts w:ascii="宋体" w:hAnsi="宋体" w:cs="Arial"/>
                <w:bCs/>
                <w:szCs w:val="21"/>
              </w:rPr>
            </w:pPr>
          </w:p>
        </w:tc>
        <w:tc>
          <w:tcPr>
            <w:tcW w:w="2879" w:type="dxa"/>
            <w:vMerge w:val="continue"/>
            <w:tcMar>
              <w:top w:w="57" w:type="dxa"/>
              <w:left w:w="108" w:type="dxa"/>
              <w:bottom w:w="0" w:type="dxa"/>
              <w:right w:w="108" w:type="dxa"/>
            </w:tcMar>
            <w:vAlign w:val="center"/>
          </w:tcPr>
          <w:p>
            <w:pPr>
              <w:pStyle w:val="37"/>
              <w:widowControl/>
              <w:spacing w:line="360" w:lineRule="auto"/>
              <w:jc w:val="left"/>
              <w:rPr>
                <w:rFonts w:ascii="宋体" w:hAnsi="宋体" w:cs="Arial"/>
                <w:bCs/>
                <w:szCs w:val="21"/>
              </w:rPr>
            </w:pPr>
          </w:p>
        </w:tc>
        <w:tc>
          <w:tcPr>
            <w:tcW w:w="4061" w:type="dxa"/>
            <w:tcMar>
              <w:top w:w="57" w:type="dxa"/>
              <w:left w:w="108" w:type="dxa"/>
              <w:bottom w:w="0" w:type="dxa"/>
              <w:right w:w="108" w:type="dxa"/>
            </w:tcMar>
          </w:tcPr>
          <w:p>
            <w:pPr>
              <w:pStyle w:val="37"/>
              <w:spacing w:line="360" w:lineRule="auto"/>
              <w:rPr>
                <w:rFonts w:ascii="宋体" w:hAnsi="宋体" w:cs="Arial"/>
                <w:bCs/>
                <w:szCs w:val="21"/>
              </w:rPr>
            </w:pPr>
            <w:r>
              <w:rPr>
                <w:rFonts w:hint="eastAsia" w:ascii="宋体" w:hAnsi="宋体" w:cs="Arial"/>
                <w:bCs/>
                <w:szCs w:val="21"/>
              </w:rPr>
              <w:t>投标人售后服务情况：</w:t>
            </w:r>
          </w:p>
        </w:tc>
        <w:tc>
          <w:tcPr>
            <w:tcW w:w="1301" w:type="dxa"/>
            <w:tcMar>
              <w:top w:w="57" w:type="dxa"/>
              <w:left w:w="108" w:type="dxa"/>
              <w:bottom w:w="0" w:type="dxa"/>
              <w:right w:w="108" w:type="dxa"/>
            </w:tcMar>
          </w:tcPr>
          <w:p>
            <w:pPr>
              <w:pStyle w:val="37"/>
              <w:spacing w:line="360" w:lineRule="auto"/>
              <w:jc w:val="left"/>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1" w:hRule="exact"/>
          <w:jc w:val="center"/>
        </w:trPr>
        <w:tc>
          <w:tcPr>
            <w:tcW w:w="739" w:type="dxa"/>
            <w:tcMar>
              <w:top w:w="57" w:type="dxa"/>
              <w:left w:w="108" w:type="dxa"/>
              <w:bottom w:w="0" w:type="dxa"/>
              <w:right w:w="108" w:type="dxa"/>
            </w:tcMar>
            <w:vAlign w:val="center"/>
          </w:tcPr>
          <w:p>
            <w:pPr>
              <w:pStyle w:val="37"/>
              <w:spacing w:line="360" w:lineRule="auto"/>
              <w:jc w:val="center"/>
              <w:rPr>
                <w:rFonts w:ascii="宋体" w:hAnsi="宋体" w:cs="Arial"/>
                <w:bCs/>
                <w:szCs w:val="21"/>
              </w:rPr>
            </w:pPr>
            <w:r>
              <w:rPr>
                <w:rFonts w:hint="eastAsia" w:ascii="宋体" w:hAnsi="宋体" w:cs="Arial"/>
                <w:bCs/>
                <w:szCs w:val="21"/>
              </w:rPr>
              <w:t>2</w:t>
            </w:r>
          </w:p>
        </w:tc>
        <w:tc>
          <w:tcPr>
            <w:tcW w:w="2879" w:type="dxa"/>
            <w:tcMar>
              <w:top w:w="57" w:type="dxa"/>
              <w:left w:w="108" w:type="dxa"/>
              <w:bottom w:w="0" w:type="dxa"/>
              <w:right w:w="108" w:type="dxa"/>
            </w:tcMar>
            <w:vAlign w:val="center"/>
          </w:tcPr>
          <w:p>
            <w:pPr>
              <w:pStyle w:val="37"/>
              <w:spacing w:line="360" w:lineRule="auto"/>
              <w:rPr>
                <w:rFonts w:ascii="宋体" w:hAnsi="宋体" w:cs="Arial"/>
                <w:bCs/>
                <w:szCs w:val="21"/>
              </w:rPr>
            </w:pPr>
            <w:r>
              <w:rPr>
                <w:rFonts w:hint="eastAsia" w:ascii="宋体" w:hAnsi="宋体" w:cs="Arial"/>
                <w:bCs/>
                <w:szCs w:val="21"/>
              </w:rPr>
              <w:t>保修期后售后服务</w:t>
            </w:r>
          </w:p>
        </w:tc>
        <w:tc>
          <w:tcPr>
            <w:tcW w:w="4061" w:type="dxa"/>
            <w:tcMar>
              <w:top w:w="57" w:type="dxa"/>
              <w:left w:w="108" w:type="dxa"/>
              <w:bottom w:w="0" w:type="dxa"/>
              <w:right w:w="108" w:type="dxa"/>
            </w:tcMar>
          </w:tcPr>
          <w:p>
            <w:pPr>
              <w:pStyle w:val="37"/>
              <w:widowControl/>
              <w:spacing w:line="360" w:lineRule="auto"/>
              <w:jc w:val="left"/>
              <w:rPr>
                <w:rFonts w:ascii="宋体" w:hAnsi="宋体" w:cs="Arial"/>
                <w:bCs/>
                <w:szCs w:val="21"/>
              </w:rPr>
            </w:pPr>
          </w:p>
          <w:p>
            <w:pPr>
              <w:pStyle w:val="37"/>
              <w:widowControl/>
              <w:spacing w:line="360" w:lineRule="auto"/>
              <w:jc w:val="left"/>
              <w:rPr>
                <w:rFonts w:ascii="宋体" w:hAnsi="宋体" w:cs="Arial"/>
                <w:bCs/>
                <w:szCs w:val="21"/>
              </w:rPr>
            </w:pPr>
          </w:p>
          <w:p>
            <w:pPr>
              <w:pStyle w:val="37"/>
              <w:spacing w:line="360" w:lineRule="auto"/>
              <w:rPr>
                <w:rFonts w:ascii="宋体" w:hAnsi="宋体" w:cs="Arial"/>
                <w:bCs/>
                <w:szCs w:val="21"/>
              </w:rPr>
            </w:pPr>
          </w:p>
        </w:tc>
        <w:tc>
          <w:tcPr>
            <w:tcW w:w="1301" w:type="dxa"/>
            <w:tcMar>
              <w:top w:w="57" w:type="dxa"/>
              <w:left w:w="108" w:type="dxa"/>
              <w:bottom w:w="0" w:type="dxa"/>
              <w:right w:w="108" w:type="dxa"/>
            </w:tcMar>
          </w:tcPr>
          <w:p>
            <w:pPr>
              <w:pStyle w:val="37"/>
              <w:widowControl/>
              <w:spacing w:line="360" w:lineRule="auto"/>
              <w:jc w:val="left"/>
              <w:rPr>
                <w:rFonts w:ascii="宋体" w:hAnsi="宋体" w:cs="Arial"/>
                <w:bCs/>
                <w:szCs w:val="21"/>
              </w:rPr>
            </w:pPr>
          </w:p>
          <w:p>
            <w:pPr>
              <w:pStyle w:val="37"/>
              <w:widowControl/>
              <w:spacing w:line="360" w:lineRule="auto"/>
              <w:jc w:val="left"/>
              <w:rPr>
                <w:rFonts w:ascii="宋体" w:hAnsi="宋体" w:cs="Arial"/>
                <w:bCs/>
                <w:szCs w:val="21"/>
              </w:rPr>
            </w:pPr>
          </w:p>
          <w:p>
            <w:pPr>
              <w:pStyle w:val="37"/>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0" w:hRule="exact"/>
          <w:jc w:val="center"/>
        </w:trPr>
        <w:tc>
          <w:tcPr>
            <w:tcW w:w="739" w:type="dxa"/>
            <w:tcMar>
              <w:top w:w="57" w:type="dxa"/>
              <w:left w:w="108" w:type="dxa"/>
              <w:bottom w:w="0" w:type="dxa"/>
              <w:right w:w="108" w:type="dxa"/>
            </w:tcMar>
            <w:vAlign w:val="center"/>
          </w:tcPr>
          <w:p>
            <w:pPr>
              <w:pStyle w:val="37"/>
              <w:widowControl/>
              <w:spacing w:line="360" w:lineRule="auto"/>
              <w:jc w:val="left"/>
              <w:rPr>
                <w:rFonts w:ascii="宋体" w:hAnsi="宋体" w:cs="Arial"/>
                <w:bCs/>
                <w:szCs w:val="21"/>
              </w:rPr>
            </w:pPr>
            <w:r>
              <w:rPr>
                <w:rFonts w:hint="eastAsia" w:ascii="宋体" w:hAnsi="宋体" w:cs="Arial"/>
                <w:bCs/>
                <w:szCs w:val="21"/>
              </w:rPr>
              <w:t xml:space="preserve"> 3</w:t>
            </w:r>
          </w:p>
        </w:tc>
        <w:tc>
          <w:tcPr>
            <w:tcW w:w="2879" w:type="dxa"/>
            <w:tcMar>
              <w:top w:w="57" w:type="dxa"/>
              <w:left w:w="108" w:type="dxa"/>
              <w:bottom w:w="0" w:type="dxa"/>
              <w:right w:w="108" w:type="dxa"/>
            </w:tcMar>
            <w:vAlign w:val="center"/>
          </w:tcPr>
          <w:p>
            <w:pPr>
              <w:pStyle w:val="37"/>
              <w:widowControl/>
              <w:spacing w:line="360" w:lineRule="auto"/>
              <w:jc w:val="left"/>
              <w:rPr>
                <w:rFonts w:ascii="宋体" w:hAnsi="宋体" w:cs="Arial"/>
                <w:bCs/>
                <w:szCs w:val="21"/>
              </w:rPr>
            </w:pPr>
            <w:r>
              <w:rPr>
                <w:rFonts w:hint="eastAsia" w:ascii="宋体" w:hAnsi="宋体" w:cs="Arial"/>
                <w:bCs/>
                <w:szCs w:val="21"/>
              </w:rPr>
              <w:t>培训方案（可用附页）</w:t>
            </w:r>
          </w:p>
        </w:tc>
        <w:tc>
          <w:tcPr>
            <w:tcW w:w="4061" w:type="dxa"/>
            <w:tcMar>
              <w:top w:w="57" w:type="dxa"/>
              <w:left w:w="108" w:type="dxa"/>
              <w:bottom w:w="0" w:type="dxa"/>
              <w:right w:w="108" w:type="dxa"/>
            </w:tcMar>
          </w:tcPr>
          <w:p>
            <w:pPr>
              <w:pStyle w:val="37"/>
              <w:widowControl/>
              <w:spacing w:line="360" w:lineRule="auto"/>
              <w:jc w:val="left"/>
              <w:rPr>
                <w:rFonts w:ascii="宋体" w:hAnsi="宋体" w:cs="Arial"/>
                <w:bCs/>
                <w:i/>
                <w:szCs w:val="21"/>
              </w:rPr>
            </w:pPr>
          </w:p>
          <w:p>
            <w:pPr>
              <w:pStyle w:val="37"/>
              <w:widowControl/>
              <w:spacing w:line="360" w:lineRule="auto"/>
              <w:jc w:val="left"/>
              <w:rPr>
                <w:rFonts w:ascii="宋体" w:hAnsi="宋体" w:cs="Arial"/>
                <w:bCs/>
                <w:i/>
                <w:szCs w:val="21"/>
              </w:rPr>
            </w:pPr>
          </w:p>
        </w:tc>
        <w:tc>
          <w:tcPr>
            <w:tcW w:w="1301" w:type="dxa"/>
            <w:tcMar>
              <w:top w:w="57" w:type="dxa"/>
              <w:left w:w="108" w:type="dxa"/>
              <w:bottom w:w="0" w:type="dxa"/>
              <w:right w:w="108" w:type="dxa"/>
            </w:tcMar>
          </w:tcPr>
          <w:p>
            <w:pPr>
              <w:pStyle w:val="37"/>
              <w:widowControl/>
              <w:spacing w:line="360" w:lineRule="auto"/>
              <w:jc w:val="left"/>
              <w:rPr>
                <w:rFonts w:ascii="宋体" w:hAnsi="宋体" w:cs="Arial"/>
                <w:bCs/>
                <w:i/>
                <w:szCs w:val="21"/>
              </w:rPr>
            </w:pPr>
          </w:p>
          <w:p>
            <w:pPr>
              <w:pStyle w:val="37"/>
              <w:widowControl/>
              <w:spacing w:line="360" w:lineRule="auto"/>
              <w:jc w:val="left"/>
              <w:rPr>
                <w:rFonts w:ascii="宋体" w:hAnsi="宋体" w:cs="Arial"/>
                <w:bCs/>
                <w:i/>
                <w:szCs w:val="21"/>
              </w:rPr>
            </w:pPr>
          </w:p>
          <w:p>
            <w:pPr>
              <w:pStyle w:val="37"/>
              <w:widowControl/>
              <w:spacing w:line="360" w:lineRule="auto"/>
              <w:jc w:val="left"/>
              <w:rPr>
                <w:rFonts w:ascii="宋体" w:hAnsi="宋体" w:cs="Arial"/>
                <w:bCs/>
                <w:i/>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7"/>
              <w:widowControl/>
              <w:spacing w:line="360" w:lineRule="auto"/>
              <w:jc w:val="left"/>
              <w:rPr>
                <w:rFonts w:ascii="宋体" w:hAnsi="宋体" w:cs="Arial"/>
                <w:bCs/>
                <w:szCs w:val="21"/>
              </w:rPr>
            </w:pPr>
            <w:r>
              <w:rPr>
                <w:rFonts w:ascii="宋体" w:hAnsi="宋体" w:cs="Arial"/>
                <w:bCs/>
                <w:szCs w:val="21"/>
              </w:rPr>
              <w:t>……</w:t>
            </w:r>
          </w:p>
        </w:tc>
        <w:tc>
          <w:tcPr>
            <w:tcW w:w="2879" w:type="dxa"/>
            <w:tcMar>
              <w:top w:w="57" w:type="dxa"/>
              <w:left w:w="108" w:type="dxa"/>
              <w:bottom w:w="0" w:type="dxa"/>
              <w:right w:w="108" w:type="dxa"/>
            </w:tcMar>
            <w:vAlign w:val="center"/>
          </w:tcPr>
          <w:p>
            <w:pPr>
              <w:pStyle w:val="37"/>
              <w:widowControl/>
              <w:spacing w:line="360" w:lineRule="auto"/>
              <w:jc w:val="left"/>
              <w:rPr>
                <w:rFonts w:ascii="宋体" w:hAnsi="宋体" w:cs="Arial"/>
                <w:bCs/>
                <w:szCs w:val="21"/>
              </w:rPr>
            </w:pPr>
            <w:r>
              <w:rPr>
                <w:rFonts w:ascii="宋体" w:hAnsi="宋体" w:cs="Arial"/>
                <w:bCs/>
                <w:szCs w:val="21"/>
              </w:rPr>
              <w:t>……</w:t>
            </w:r>
          </w:p>
        </w:tc>
        <w:tc>
          <w:tcPr>
            <w:tcW w:w="4061" w:type="dxa"/>
            <w:tcMar>
              <w:top w:w="57" w:type="dxa"/>
              <w:left w:w="108" w:type="dxa"/>
              <w:bottom w:w="0" w:type="dxa"/>
              <w:right w:w="108" w:type="dxa"/>
            </w:tcMar>
          </w:tcPr>
          <w:p>
            <w:pPr>
              <w:pStyle w:val="37"/>
              <w:widowControl/>
              <w:spacing w:line="360" w:lineRule="auto"/>
              <w:jc w:val="left"/>
              <w:rPr>
                <w:rFonts w:ascii="宋体" w:hAnsi="宋体" w:cs="Arial"/>
                <w:bCs/>
                <w:szCs w:val="21"/>
              </w:rPr>
            </w:pPr>
          </w:p>
        </w:tc>
        <w:tc>
          <w:tcPr>
            <w:tcW w:w="1301" w:type="dxa"/>
            <w:tcMar>
              <w:top w:w="57" w:type="dxa"/>
              <w:left w:w="108" w:type="dxa"/>
              <w:bottom w:w="0" w:type="dxa"/>
              <w:right w:w="108" w:type="dxa"/>
            </w:tcMar>
          </w:tcPr>
          <w:p>
            <w:pPr>
              <w:pStyle w:val="37"/>
              <w:widowControl/>
              <w:spacing w:line="360" w:lineRule="auto"/>
              <w:jc w:val="left"/>
              <w:rPr>
                <w:rFonts w:ascii="宋体" w:hAnsi="宋体" w:cs="Arial"/>
                <w:bCs/>
                <w:szCs w:val="21"/>
              </w:rPr>
            </w:pPr>
          </w:p>
        </w:tc>
      </w:tr>
    </w:tbl>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spacing w:line="360" w:lineRule="auto"/>
        <w:ind w:firstLine="435"/>
        <w:rPr>
          <w:rFonts w:ascii="宋体" w:hAnsi="宋体"/>
          <w:sz w:val="24"/>
          <w:u w:val="single"/>
        </w:rPr>
      </w:pPr>
    </w:p>
    <w:p>
      <w:pPr>
        <w:pStyle w:val="6"/>
        <w:rPr>
          <w:rFonts w:ascii="宋体" w:hAnsi="宋体"/>
          <w:sz w:val="24"/>
          <w:u w:val="single"/>
        </w:rPr>
      </w:pPr>
    </w:p>
    <w:p>
      <w:pPr>
        <w:pStyle w:val="6"/>
        <w:rPr>
          <w:rFonts w:ascii="宋体" w:hAnsi="宋体"/>
          <w:sz w:val="24"/>
          <w:u w:val="single"/>
        </w:rPr>
      </w:pPr>
    </w:p>
    <w:p>
      <w:pPr>
        <w:pStyle w:val="6"/>
        <w:rPr>
          <w:rFonts w:ascii="宋体" w:hAnsi="宋体"/>
          <w:sz w:val="24"/>
          <w:u w:val="single"/>
        </w:rPr>
      </w:pPr>
    </w:p>
    <w:p>
      <w:pPr>
        <w:pStyle w:val="6"/>
        <w:ind w:firstLine="0"/>
        <w:rPr>
          <w:rFonts w:ascii="宋体" w:hAnsi="宋体"/>
          <w:sz w:val="24"/>
          <w:u w:val="single"/>
        </w:rPr>
      </w:pPr>
    </w:p>
    <w:p>
      <w:pPr>
        <w:pStyle w:val="6"/>
        <w:ind w:firstLine="0"/>
        <w:rPr>
          <w:rFonts w:ascii="宋体" w:hAnsi="宋体"/>
          <w:sz w:val="24"/>
          <w:u w:val="single"/>
        </w:rPr>
      </w:pPr>
    </w:p>
    <w:p>
      <w:pPr>
        <w:pStyle w:val="6"/>
        <w:ind w:firstLine="0"/>
        <w:rPr>
          <w:rFonts w:ascii="宋体" w:hAnsi="宋体"/>
          <w:sz w:val="24"/>
          <w:u w:val="single"/>
        </w:rPr>
      </w:pPr>
    </w:p>
    <w:p>
      <w:pPr>
        <w:pStyle w:val="38"/>
        <w:spacing w:line="360" w:lineRule="auto"/>
        <w:rPr>
          <w:rFonts w:hAnsi="宋体"/>
          <w:b/>
          <w:sz w:val="28"/>
          <w:szCs w:val="28"/>
        </w:rPr>
      </w:pPr>
      <w:r>
        <w:rPr>
          <w:rFonts w:hint="eastAsia" w:hAnsi="宋体"/>
          <w:b/>
          <w:sz w:val="28"/>
          <w:szCs w:val="28"/>
        </w:rPr>
        <w:t>附件14</w:t>
      </w:r>
    </w:p>
    <w:p>
      <w:pPr>
        <w:pStyle w:val="38"/>
        <w:spacing w:line="360" w:lineRule="auto"/>
        <w:jc w:val="center"/>
        <w:rPr>
          <w:rFonts w:hAnsi="宋体"/>
          <w:b/>
          <w:sz w:val="32"/>
          <w:szCs w:val="32"/>
          <w:lang w:val="en-GB"/>
        </w:rPr>
      </w:pPr>
      <w:bookmarkStart w:id="86" w:name="_Toc15536_WPSOffice_Level1"/>
      <w:bookmarkStart w:id="87" w:name="_Toc16175_WPSOffice_Level1"/>
      <w:r>
        <w:rPr>
          <w:rFonts w:hint="eastAsia" w:hAnsi="宋体"/>
          <w:b/>
          <w:sz w:val="32"/>
          <w:szCs w:val="32"/>
        </w:rPr>
        <w:t>主要货物用材响应表(类似家具类货物采用)</w:t>
      </w:r>
      <w:bookmarkEnd w:id="86"/>
      <w:bookmarkEnd w:id="87"/>
    </w:p>
    <w:tbl>
      <w:tblPr>
        <w:tblStyle w:val="22"/>
        <w:tblpPr w:leftFromText="181" w:rightFromText="181" w:bottomFromText="170" w:vertAnchor="text" w:tblpXSpec="center" w:tblpY="1"/>
        <w:tblOverlap w:val="never"/>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58"/>
        <w:gridCol w:w="788"/>
        <w:gridCol w:w="1260"/>
        <w:gridCol w:w="900"/>
        <w:gridCol w:w="773"/>
        <w:gridCol w:w="1260"/>
        <w:gridCol w:w="89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货物名称</w:t>
            </w:r>
          </w:p>
        </w:tc>
        <w:tc>
          <w:tcPr>
            <w:tcW w:w="78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产品配置</w:t>
            </w:r>
          </w:p>
        </w:tc>
        <w:tc>
          <w:tcPr>
            <w:tcW w:w="5988" w:type="dxa"/>
            <w:gridSpan w:val="6"/>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78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材料规格及参数</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w:t>
            </w:r>
          </w:p>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商标</w:t>
            </w: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生产厂家</w:t>
            </w: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符合标准</w:t>
            </w: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性能说明</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ind w:right="84" w:rightChars="40"/>
              <w:jc w:val="center"/>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7"/>
              <w:spacing w:line="360" w:lineRule="auto"/>
              <w:rPr>
                <w:rFonts w:asciiTheme="minorEastAsia" w:hAnsiTheme="minorEastAsia" w:eastAsiaTheme="minorEastAsia" w:cstheme="minorEastAsia"/>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7"/>
              <w:autoSpaceDE w:val="0"/>
              <w:autoSpaceDN w:val="0"/>
              <w:adjustRightInd w:val="0"/>
              <w:spacing w:line="360" w:lineRule="auto"/>
              <w:ind w:right="84" w:rightChars="40"/>
              <w:jc w:val="center"/>
              <w:rPr>
                <w:rFonts w:asciiTheme="minorEastAsia" w:hAnsiTheme="minorEastAsia" w:eastAsiaTheme="minorEastAsia" w:cstheme="minorEastAsia"/>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firstLine="420" w:firstLineChars="200"/>
        <w:rPr>
          <w:rFonts w:ascii="宋体" w:hAnsi="宋体"/>
          <w:szCs w:val="21"/>
        </w:rPr>
      </w:pPr>
      <w:r>
        <w:rPr>
          <w:rFonts w:hint="eastAsia" w:ascii="宋体" w:hAnsi="宋体"/>
          <w:szCs w:val="21"/>
        </w:rPr>
        <w:t>1.请列出以上产品的各项主要用材、辅料、油漆、五金件等。</w:t>
      </w:r>
    </w:p>
    <w:p>
      <w:pPr>
        <w:pStyle w:val="37"/>
        <w:spacing w:line="360" w:lineRule="auto"/>
        <w:ind w:firstLine="420" w:firstLineChars="200"/>
        <w:rPr>
          <w:rFonts w:ascii="宋体" w:hAnsi="宋体"/>
          <w:szCs w:val="21"/>
        </w:rPr>
      </w:pPr>
      <w:r>
        <w:rPr>
          <w:rFonts w:hint="eastAsia" w:ascii="宋体" w:hAnsi="宋体"/>
          <w:szCs w:val="21"/>
        </w:rPr>
        <w:t>2.本表所列产品主要用材均为采购人抽样送检的范围。</w:t>
      </w:r>
    </w:p>
    <w:p>
      <w:pPr>
        <w:pStyle w:val="37"/>
        <w:spacing w:line="360" w:lineRule="auto"/>
        <w:ind w:firstLine="480" w:firstLineChars="200"/>
        <w:rPr>
          <w:rFonts w:ascii="仿宋_GB2312" w:eastAsia="仿宋_GB2312"/>
          <w:sz w:val="24"/>
        </w:rPr>
      </w:pPr>
    </w:p>
    <w:p>
      <w:pPr>
        <w:pStyle w:val="37"/>
        <w:spacing w:line="360" w:lineRule="auto"/>
        <w:ind w:firstLine="480" w:firstLineChars="200"/>
        <w:rPr>
          <w:rFonts w:ascii="仿宋_GB2312" w:eastAsia="仿宋_GB2312"/>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日        期：</w:t>
      </w:r>
    </w:p>
    <w:p>
      <w:pPr>
        <w:spacing w:line="360" w:lineRule="auto"/>
        <w:ind w:right="-110"/>
        <w:jc w:val="left"/>
        <w:rPr>
          <w:rFonts w:ascii="宋体" w:hAnsi="宋体"/>
          <w:b/>
          <w:sz w:val="28"/>
        </w:rPr>
      </w:pPr>
    </w:p>
    <w:p>
      <w:pPr>
        <w:rPr>
          <w:rFonts w:ascii="宋体" w:hAnsi="宋体"/>
          <w:b/>
          <w:sz w:val="28"/>
        </w:rPr>
      </w:pPr>
      <w:r>
        <w:rPr>
          <w:rFonts w:hint="eastAsia" w:ascii="宋体" w:hAnsi="宋体"/>
          <w:b/>
          <w:sz w:val="28"/>
        </w:rPr>
        <w:br w:type="page"/>
      </w:r>
    </w:p>
    <w:p>
      <w:pPr>
        <w:jc w:val="center"/>
        <w:rPr>
          <w:sz w:val="52"/>
          <w:szCs w:val="52"/>
        </w:rPr>
      </w:pPr>
      <w:bookmarkStart w:id="88" w:name="_Toc4615_WPSOffice_Level1"/>
      <w:bookmarkStart w:id="89" w:name="_Toc30468_WPSOffice_Level1"/>
      <w:bookmarkStart w:id="90" w:name="_Toc21322_WPSOffice_Level1"/>
    </w:p>
    <w:p>
      <w:pPr>
        <w:pStyle w:val="21"/>
      </w:pPr>
    </w:p>
    <w:p>
      <w:pPr>
        <w:jc w:val="center"/>
        <w:rPr>
          <w:sz w:val="52"/>
          <w:szCs w:val="52"/>
        </w:rPr>
      </w:pPr>
    </w:p>
    <w:p>
      <w:pPr>
        <w:jc w:val="center"/>
        <w:rPr>
          <w:sz w:val="52"/>
          <w:szCs w:val="52"/>
        </w:rPr>
      </w:pPr>
      <w:r>
        <w:rPr>
          <w:rFonts w:hint="eastAsia"/>
          <w:sz w:val="52"/>
          <w:szCs w:val="52"/>
        </w:rPr>
        <w:t>项目名称</w:t>
      </w:r>
      <w:bookmarkEnd w:id="88"/>
      <w:bookmarkEnd w:id="89"/>
      <w:bookmarkEnd w:id="90"/>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1"/>
      </w:pPr>
    </w:p>
    <w:p>
      <w:pPr>
        <w:jc w:val="center"/>
        <w:rPr>
          <w:sz w:val="84"/>
          <w:szCs w:val="84"/>
        </w:rPr>
      </w:pPr>
      <w:bookmarkStart w:id="91" w:name="_Toc8885_WPSOffice_Level1"/>
      <w:bookmarkStart w:id="92" w:name="_Toc9453_WPSOffice_Level1"/>
      <w:r>
        <w:rPr>
          <w:rFonts w:hint="eastAsia"/>
          <w:sz w:val="84"/>
          <w:szCs w:val="84"/>
        </w:rPr>
        <w:t>报</w:t>
      </w:r>
      <w:bookmarkEnd w:id="91"/>
      <w:bookmarkEnd w:id="92"/>
    </w:p>
    <w:p>
      <w:pPr>
        <w:jc w:val="center"/>
        <w:rPr>
          <w:sz w:val="84"/>
          <w:szCs w:val="84"/>
        </w:rPr>
      </w:pPr>
      <w:bookmarkStart w:id="93" w:name="_Toc10910_WPSOffice_Level1"/>
      <w:bookmarkStart w:id="94" w:name="_Toc7485_WPSOffice_Level1"/>
      <w:r>
        <w:rPr>
          <w:rFonts w:hint="eastAsia"/>
          <w:sz w:val="84"/>
          <w:szCs w:val="84"/>
        </w:rPr>
        <w:t>价</w:t>
      </w:r>
      <w:bookmarkEnd w:id="93"/>
      <w:bookmarkEnd w:id="94"/>
    </w:p>
    <w:p>
      <w:pPr>
        <w:jc w:val="center"/>
        <w:rPr>
          <w:sz w:val="84"/>
          <w:szCs w:val="84"/>
        </w:rPr>
      </w:pPr>
      <w:bookmarkStart w:id="95" w:name="_Toc3932_WPSOffice_Level1"/>
      <w:bookmarkStart w:id="96" w:name="_Toc14572_WPSOffice_Level1"/>
      <w:r>
        <w:rPr>
          <w:rFonts w:hint="eastAsia"/>
          <w:sz w:val="84"/>
          <w:szCs w:val="84"/>
        </w:rPr>
        <w:t>文</w:t>
      </w:r>
      <w:bookmarkEnd w:id="95"/>
      <w:bookmarkEnd w:id="96"/>
    </w:p>
    <w:p>
      <w:pPr>
        <w:jc w:val="center"/>
        <w:rPr>
          <w:sz w:val="84"/>
          <w:szCs w:val="84"/>
        </w:rPr>
      </w:pPr>
      <w:bookmarkStart w:id="97" w:name="_Toc16973_WPSOffice_Level1"/>
      <w:bookmarkStart w:id="98" w:name="_Toc7562_WPSOffice_Level1"/>
      <w:r>
        <w:rPr>
          <w:rFonts w:hint="eastAsia"/>
          <w:sz w:val="84"/>
          <w:szCs w:val="84"/>
        </w:rPr>
        <w:t>件</w:t>
      </w:r>
      <w:bookmarkEnd w:id="97"/>
      <w:bookmarkEnd w:id="98"/>
    </w:p>
    <w:p>
      <w:pPr>
        <w:spacing w:line="360" w:lineRule="auto"/>
        <w:ind w:right="532"/>
        <w:rPr>
          <w:rFonts w:ascii="宋体" w:hAnsi="宋体"/>
          <w:sz w:val="36"/>
          <w:szCs w:val="36"/>
        </w:rPr>
      </w:pPr>
    </w:p>
    <w:p>
      <w:pPr>
        <w:pStyle w:val="21"/>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99" w:name="_Toc26700_WPSOffice_Level1"/>
      <w:bookmarkStart w:id="100" w:name="_Toc4603_WPSOffice_Level1"/>
      <w:r>
        <w:rPr>
          <w:rFonts w:hint="eastAsia" w:ascii="宋体" w:hAnsi="宋体"/>
          <w:sz w:val="36"/>
          <w:szCs w:val="36"/>
        </w:rPr>
        <w:t>投标人全称（公章）：</w:t>
      </w:r>
      <w:bookmarkEnd w:id="99"/>
      <w:bookmarkEnd w:id="100"/>
    </w:p>
    <w:p>
      <w:pPr>
        <w:spacing w:line="360" w:lineRule="auto"/>
        <w:ind w:right="-108" w:firstLine="720" w:firstLineChars="200"/>
        <w:rPr>
          <w:rFonts w:ascii="宋体" w:hAnsi="宋体"/>
          <w:sz w:val="36"/>
          <w:szCs w:val="36"/>
        </w:rPr>
      </w:pPr>
      <w:bookmarkStart w:id="101" w:name="_Toc1391_WPSOffice_Level1"/>
      <w:bookmarkStart w:id="102" w:name="_Toc32593_WPSOffice_Level1"/>
      <w:r>
        <w:rPr>
          <w:rFonts w:hint="eastAsia" w:ascii="宋体" w:hAnsi="宋体"/>
          <w:sz w:val="36"/>
          <w:szCs w:val="36"/>
        </w:rPr>
        <w:t>地    址：</w:t>
      </w:r>
      <w:bookmarkEnd w:id="101"/>
      <w:bookmarkEnd w:id="102"/>
    </w:p>
    <w:p>
      <w:pPr>
        <w:spacing w:line="360" w:lineRule="auto"/>
        <w:ind w:right="-108" w:firstLine="720" w:firstLineChars="200"/>
        <w:rPr>
          <w:rFonts w:ascii="宋体" w:hAnsi="宋体"/>
          <w:sz w:val="36"/>
          <w:szCs w:val="36"/>
        </w:rPr>
      </w:pPr>
      <w:bookmarkStart w:id="103" w:name="_Toc20938_WPSOffice_Level1"/>
      <w:bookmarkStart w:id="104" w:name="_Toc3791_WPSOffice_Level1"/>
      <w:r>
        <w:rPr>
          <w:rFonts w:hint="eastAsia" w:ascii="宋体" w:hAnsi="宋体"/>
          <w:sz w:val="36"/>
          <w:szCs w:val="36"/>
        </w:rPr>
        <w:t>时    间：</w:t>
      </w:r>
      <w:bookmarkEnd w:id="103"/>
      <w:bookmarkEnd w:id="104"/>
    </w:p>
    <w:p>
      <w:pPr>
        <w:spacing w:line="360" w:lineRule="auto"/>
        <w:ind w:right="-108"/>
        <w:jc w:val="center"/>
        <w:rPr>
          <w:rFonts w:ascii="仿宋_GB2312" w:hAnsi="宋体" w:eastAsia="仿宋_GB2312"/>
          <w:b/>
          <w:sz w:val="36"/>
          <w:szCs w:val="36"/>
        </w:rPr>
      </w:pPr>
    </w:p>
    <w:p>
      <w:pPr>
        <w:pStyle w:val="21"/>
      </w:pPr>
    </w:p>
    <w:p>
      <w:pPr>
        <w:pStyle w:val="21"/>
      </w:pPr>
    </w:p>
    <w:p>
      <w:pPr>
        <w:pStyle w:val="21"/>
      </w:pPr>
    </w:p>
    <w:p>
      <w:pPr>
        <w:pStyle w:val="6"/>
        <w:ind w:firstLine="0"/>
        <w:rPr>
          <w:rFonts w:ascii="仿宋_GB2312" w:hAnsi="宋体" w:eastAsia="仿宋_GB2312"/>
          <w:b/>
          <w:sz w:val="36"/>
          <w:szCs w:val="36"/>
        </w:rPr>
      </w:pPr>
    </w:p>
    <w:p>
      <w:pPr>
        <w:pStyle w:val="6"/>
        <w:ind w:firstLine="0"/>
        <w:rPr>
          <w:rFonts w:ascii="仿宋_GB2312" w:hAnsi="宋体" w:eastAsia="仿宋_GB2312"/>
          <w:b/>
          <w:sz w:val="36"/>
          <w:szCs w:val="36"/>
        </w:rPr>
      </w:pPr>
    </w:p>
    <w:p>
      <w:pPr>
        <w:spacing w:line="480" w:lineRule="auto"/>
        <w:jc w:val="center"/>
        <w:rPr>
          <w:rFonts w:ascii="宋体" w:hAnsi="宋体"/>
          <w:b/>
          <w:bCs/>
          <w:sz w:val="36"/>
          <w:szCs w:val="36"/>
        </w:rPr>
      </w:pPr>
      <w:bookmarkStart w:id="105" w:name="_Toc19972_WPSOffice_Level1"/>
      <w:bookmarkStart w:id="106" w:name="_Toc29537_WPSOffice_Level1"/>
      <w:r>
        <w:rPr>
          <w:rFonts w:hint="eastAsia" w:ascii="宋体" w:hAnsi="宋体"/>
          <w:b/>
          <w:bCs/>
          <w:sz w:val="36"/>
          <w:szCs w:val="36"/>
        </w:rPr>
        <w:t>报价文件目录</w:t>
      </w:r>
      <w:bookmarkEnd w:id="105"/>
      <w:bookmarkEnd w:id="106"/>
    </w:p>
    <w:p>
      <w:pPr>
        <w:pStyle w:val="21"/>
      </w:pPr>
    </w:p>
    <w:p>
      <w:pPr>
        <w:spacing w:line="360" w:lineRule="auto"/>
        <w:ind w:firstLine="480" w:firstLineChars="200"/>
        <w:rPr>
          <w:sz w:val="24"/>
        </w:rPr>
      </w:pPr>
    </w:p>
    <w:p>
      <w:pPr>
        <w:numPr>
          <w:ilvl w:val="0"/>
          <w:numId w:val="14"/>
        </w:numPr>
        <w:spacing w:line="360" w:lineRule="auto"/>
        <w:rPr>
          <w:rFonts w:asciiTheme="minorEastAsia" w:hAnsiTheme="minorEastAsia" w:eastAsiaTheme="minorEastAsia" w:cstheme="minorEastAsia"/>
          <w:sz w:val="28"/>
          <w:szCs w:val="28"/>
        </w:rPr>
      </w:pPr>
      <w:bookmarkStart w:id="107" w:name="_Toc6778_WPSOffice_Level1"/>
      <w:bookmarkStart w:id="108" w:name="_Toc29988_WPSOffice_Level1"/>
      <w:r>
        <w:rPr>
          <w:rFonts w:hint="eastAsia" w:asciiTheme="minorEastAsia" w:hAnsiTheme="minorEastAsia" w:eastAsiaTheme="minorEastAsia" w:cstheme="minorEastAsia"/>
          <w:sz w:val="28"/>
          <w:szCs w:val="28"/>
        </w:rPr>
        <w:t>开标一览表（附件15）</w:t>
      </w:r>
      <w:bookmarkEnd w:id="107"/>
      <w:bookmarkEnd w:id="108"/>
    </w:p>
    <w:p>
      <w:pPr>
        <w:numPr>
          <w:ilvl w:val="0"/>
          <w:numId w:val="14"/>
        </w:numPr>
        <w:spacing w:line="360" w:lineRule="auto"/>
        <w:rPr>
          <w:rFonts w:asciiTheme="minorEastAsia" w:hAnsiTheme="minorEastAsia" w:eastAsiaTheme="minorEastAsia" w:cstheme="minorEastAsia"/>
          <w:sz w:val="28"/>
          <w:szCs w:val="28"/>
        </w:rPr>
      </w:pPr>
      <w:bookmarkStart w:id="109" w:name="_Toc11601_WPSOffice_Level1"/>
      <w:bookmarkStart w:id="110" w:name="_Toc15601_WPSOffice_Level1"/>
      <w:r>
        <w:rPr>
          <w:rFonts w:hint="eastAsia" w:asciiTheme="minorEastAsia" w:hAnsiTheme="minorEastAsia" w:eastAsiaTheme="minorEastAsia" w:cstheme="minorEastAsia"/>
          <w:sz w:val="28"/>
          <w:szCs w:val="28"/>
        </w:rPr>
        <w:t>报价明细表（附件16）</w:t>
      </w:r>
      <w:bookmarkEnd w:id="109"/>
      <w:bookmarkEnd w:id="110"/>
    </w:p>
    <w:p>
      <w:pPr>
        <w:numPr>
          <w:ilvl w:val="0"/>
          <w:numId w:val="14"/>
        </w:numPr>
        <w:spacing w:line="360" w:lineRule="auto"/>
        <w:rPr>
          <w:rFonts w:asciiTheme="minorEastAsia" w:hAnsiTheme="minorEastAsia" w:eastAsiaTheme="minorEastAsia" w:cstheme="minorEastAsia"/>
          <w:sz w:val="28"/>
          <w:szCs w:val="28"/>
        </w:rPr>
      </w:pPr>
      <w:bookmarkStart w:id="111" w:name="_Toc17543_WPSOffice_Level1"/>
      <w:bookmarkStart w:id="112" w:name="_Toc45_WPSOffice_Level1"/>
      <w:r>
        <w:rPr>
          <w:rFonts w:hint="eastAsia" w:asciiTheme="minorEastAsia" w:hAnsiTheme="minorEastAsia" w:eastAsiaTheme="minorEastAsia" w:cstheme="minorEastAsia"/>
          <w:sz w:val="28"/>
          <w:szCs w:val="28"/>
        </w:rPr>
        <w:t>中小企业声明函、</w:t>
      </w:r>
      <w:r>
        <w:rPr>
          <w:rFonts w:hint="eastAsia" w:asciiTheme="minorEastAsia" w:hAnsiTheme="minorEastAsia" w:eastAsiaTheme="minorEastAsia" w:cstheme="minorEastAsia"/>
          <w:sz w:val="28"/>
          <w:szCs w:val="28"/>
          <w:lang w:val="en-GB"/>
        </w:rPr>
        <w:t>残疾人福利性单位声明函</w:t>
      </w:r>
      <w:r>
        <w:rPr>
          <w:rFonts w:hint="eastAsia" w:asciiTheme="minorEastAsia" w:hAnsiTheme="minorEastAsia" w:eastAsiaTheme="minorEastAsia" w:cstheme="minorEastAsia"/>
          <w:sz w:val="28"/>
          <w:szCs w:val="28"/>
        </w:rPr>
        <w:t>（附件17）</w:t>
      </w:r>
      <w:bookmarkEnd w:id="111"/>
      <w:bookmarkEnd w:id="112"/>
    </w:p>
    <w:p>
      <w:pPr>
        <w:numPr>
          <w:ilvl w:val="0"/>
          <w:numId w:val="14"/>
        </w:num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针对报价投标人认为其他需要说明的</w:t>
      </w:r>
    </w:p>
    <w:p>
      <w:pPr>
        <w:spacing w:line="360" w:lineRule="auto"/>
        <w:rPr>
          <w:rFonts w:asciiTheme="minorEastAsia" w:hAnsiTheme="minorEastAsia" w:eastAsiaTheme="minorEastAsia" w:cstheme="minorEastAsia"/>
          <w:sz w:val="28"/>
          <w:szCs w:val="28"/>
        </w:rPr>
      </w:pPr>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ascii="宋体" w:hAnsi="宋体"/>
          <w:b/>
          <w:sz w:val="28"/>
        </w:rPr>
      </w:pPr>
      <w:r>
        <w:rPr>
          <w:rFonts w:ascii="宋体" w:hAnsi="宋体"/>
          <w:b/>
          <w:sz w:val="28"/>
        </w:rPr>
        <w:br w:type="page"/>
      </w:r>
    </w:p>
    <w:p>
      <w:pPr>
        <w:spacing w:line="360" w:lineRule="auto"/>
        <w:rPr>
          <w:rFonts w:ascii="宋体" w:hAnsi="宋体"/>
          <w:b/>
          <w:sz w:val="28"/>
        </w:rPr>
      </w:pPr>
      <w:r>
        <w:rPr>
          <w:rFonts w:hint="eastAsia" w:ascii="宋体" w:hAnsi="宋体"/>
          <w:b/>
          <w:sz w:val="28"/>
        </w:rPr>
        <w:t>附件15</w:t>
      </w:r>
    </w:p>
    <w:p>
      <w:pPr>
        <w:spacing w:line="360" w:lineRule="auto"/>
        <w:ind w:left="-2" w:hanging="2"/>
        <w:jc w:val="center"/>
        <w:rPr>
          <w:rFonts w:ascii="宋体" w:hAnsi="宋体"/>
          <w:b/>
          <w:sz w:val="32"/>
          <w:szCs w:val="32"/>
        </w:rPr>
      </w:pPr>
      <w:bookmarkStart w:id="113" w:name="_Toc16144_WPSOffice_Level1"/>
      <w:bookmarkStart w:id="114" w:name="_Toc30363_WPSOffice_Level1"/>
      <w:r>
        <w:rPr>
          <w:rFonts w:hint="eastAsia" w:ascii="宋体" w:hAnsi="宋体"/>
          <w:b/>
          <w:sz w:val="32"/>
          <w:szCs w:val="32"/>
        </w:rPr>
        <w:t>开标一览表</w:t>
      </w:r>
      <w:bookmarkEnd w:id="113"/>
      <w:bookmarkEnd w:id="114"/>
    </w:p>
    <w:p>
      <w:pPr>
        <w:pStyle w:val="21"/>
      </w:pPr>
    </w:p>
    <w:p>
      <w:pPr>
        <w:pStyle w:val="11"/>
        <w:spacing w:line="360" w:lineRule="auto"/>
        <w:ind w:firstLine="482" w:firstLineChars="200"/>
        <w:rPr>
          <w:rFonts w:hAnsi="宋体"/>
          <w:b/>
          <w:sz w:val="24"/>
        </w:rPr>
      </w:pPr>
      <w:r>
        <w:rPr>
          <w:rFonts w:hAnsi="宋体"/>
          <w:b/>
          <w:sz w:val="24"/>
        </w:rPr>
        <w:t>项目编号：</w:t>
      </w:r>
    </w:p>
    <w:p>
      <w:pPr>
        <w:pStyle w:val="41"/>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2"/>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投标总报价</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bl>
    <w:p>
      <w:pPr>
        <w:spacing w:line="360" w:lineRule="auto"/>
        <w:ind w:firstLine="422" w:firstLineChars="200"/>
        <w:rPr>
          <w:rFonts w:ascii="宋体" w:hAnsi="宋体" w:cs="宋体"/>
          <w:sz w:val="24"/>
        </w:rPr>
      </w:pPr>
      <w:r>
        <w:rPr>
          <w:rFonts w:hint="eastAsia" w:ascii="宋体" w:hAnsi="宋体"/>
          <w:b/>
          <w:szCs w:val="21"/>
        </w:rPr>
        <w:t>填报要求：</w:t>
      </w:r>
      <w:r>
        <w:rPr>
          <w:rFonts w:hint="eastAsia" w:ascii="宋体" w:hAnsi="宋体" w:cs="宋体"/>
          <w:color w:val="111F2C"/>
          <w:szCs w:val="21"/>
          <w:shd w:val="clear" w:color="auto" w:fill="FFFFFF"/>
        </w:rPr>
        <w:t>投标报价包括本项目采购需求和投入使用的所有费用，包括但不限于主件、标准附件、备品备件、施工、服务、专用工具、安装、调试、检验、培训、运输、保险、税款等。</w:t>
      </w:r>
    </w:p>
    <w:p>
      <w:pPr>
        <w:spacing w:line="360" w:lineRule="auto"/>
        <w:rPr>
          <w:rFonts w:ascii="宋体" w:hAnsi="宋体" w:cs="宋体"/>
          <w:sz w:val="24"/>
        </w:rPr>
      </w:pPr>
    </w:p>
    <w:p>
      <w:pPr>
        <w:pStyle w:val="21"/>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ascii="宋体" w:hAnsi="宋体"/>
          <w:b/>
          <w:sz w:val="28"/>
        </w:rPr>
      </w:pPr>
      <w:r>
        <w:rPr>
          <w:rFonts w:hint="eastAsia" w:ascii="宋体" w:hAnsi="宋体"/>
          <w:b/>
          <w:sz w:val="28"/>
        </w:rPr>
        <w:t>附件16</w:t>
      </w:r>
    </w:p>
    <w:p>
      <w:pPr>
        <w:spacing w:line="360" w:lineRule="auto"/>
        <w:jc w:val="center"/>
        <w:rPr>
          <w:rFonts w:ascii="宋体" w:hAnsi="宋体"/>
          <w:sz w:val="24"/>
        </w:rPr>
      </w:pPr>
      <w:bookmarkStart w:id="115" w:name="_Toc8975_WPSOffice_Level1"/>
      <w:bookmarkStart w:id="116" w:name="_Toc22412_WPSOffice_Level1"/>
      <w:r>
        <w:rPr>
          <w:rFonts w:hint="eastAsia" w:ascii="宋体" w:hAnsi="宋体"/>
          <w:b/>
          <w:sz w:val="32"/>
          <w:szCs w:val="32"/>
        </w:rPr>
        <w:t>报价明细表</w:t>
      </w:r>
      <w:bookmarkEnd w:id="115"/>
      <w:bookmarkEnd w:id="116"/>
      <w:r>
        <w:rPr>
          <w:rFonts w:hint="eastAsia" w:ascii="宋体" w:hAnsi="宋体"/>
          <w:sz w:val="24"/>
        </w:rPr>
        <w:t xml:space="preserve">  </w:t>
      </w:r>
    </w:p>
    <w:p>
      <w:pPr>
        <w:spacing w:line="360" w:lineRule="auto"/>
        <w:rPr>
          <w:rFonts w:hAnsi="宋体"/>
          <w:b/>
          <w:sz w:val="24"/>
        </w:rPr>
      </w:pPr>
      <w:r>
        <w:rPr>
          <w:rFonts w:hAnsi="宋体"/>
          <w:b/>
          <w:sz w:val="24"/>
        </w:rPr>
        <w:t>项目编号：</w:t>
      </w:r>
    </w:p>
    <w:p>
      <w:pPr>
        <w:pStyle w:val="41"/>
        <w:spacing w:line="360" w:lineRule="auto"/>
        <w:ind w:right="48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2"/>
        <w:tblpPr w:leftFromText="181" w:rightFromText="181" w:bottomFromText="170" w:vertAnchor="text" w:tblpXSpec="center" w:tblpY="1"/>
        <w:tblOverlap w:val="never"/>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44"/>
        <w:gridCol w:w="1034"/>
        <w:gridCol w:w="1260"/>
        <w:gridCol w:w="1036"/>
        <w:gridCol w:w="1005"/>
        <w:gridCol w:w="851"/>
        <w:gridCol w:w="714"/>
        <w:gridCol w:w="69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序号</w:t>
            </w:r>
          </w:p>
        </w:tc>
        <w:tc>
          <w:tcPr>
            <w:tcW w:w="114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报价项目</w:t>
            </w:r>
          </w:p>
        </w:tc>
        <w:tc>
          <w:tcPr>
            <w:tcW w:w="103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品牌、产地</w:t>
            </w:r>
          </w:p>
        </w:tc>
        <w:tc>
          <w:tcPr>
            <w:tcW w:w="1260" w:type="dxa"/>
            <w:tcMar>
              <w:top w:w="57" w:type="dxa"/>
              <w:left w:w="108" w:type="dxa"/>
              <w:bottom w:w="0" w:type="dxa"/>
              <w:right w:w="108" w:type="dxa"/>
            </w:tcMar>
            <w:vAlign w:val="center"/>
          </w:tcPr>
          <w:p>
            <w:pPr>
              <w:spacing w:line="360" w:lineRule="auto"/>
              <w:ind w:left="52"/>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型号规格</w:t>
            </w:r>
          </w:p>
        </w:tc>
        <w:tc>
          <w:tcPr>
            <w:tcW w:w="1036"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制造商名称</w:t>
            </w:r>
          </w:p>
        </w:tc>
        <w:tc>
          <w:tcPr>
            <w:tcW w:w="1005"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是否是小微企业</w:t>
            </w:r>
          </w:p>
        </w:tc>
        <w:tc>
          <w:tcPr>
            <w:tcW w:w="851" w:type="dxa"/>
            <w:tcMar>
              <w:top w:w="57" w:type="dxa"/>
              <w:left w:w="108" w:type="dxa"/>
              <w:bottom w:w="0" w:type="dxa"/>
              <w:right w:w="108" w:type="dxa"/>
            </w:tcMar>
            <w:vAlign w:val="center"/>
          </w:tcPr>
          <w:p>
            <w:pPr>
              <w:spacing w:line="360" w:lineRule="auto"/>
              <w:ind w:left="152"/>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数量</w:t>
            </w:r>
          </w:p>
        </w:tc>
        <w:tc>
          <w:tcPr>
            <w:tcW w:w="714"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单价</w:t>
            </w:r>
          </w:p>
        </w:tc>
        <w:tc>
          <w:tcPr>
            <w:tcW w:w="697"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小计</w:t>
            </w:r>
          </w:p>
        </w:tc>
        <w:tc>
          <w:tcPr>
            <w:tcW w:w="709"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975" w:type="dxa"/>
            <w:gridSpan w:val="10"/>
            <w:tcBorders>
              <w:bottom w:val="single" w:color="auto" w:sz="4" w:space="0"/>
            </w:tcBorders>
            <w:tcMar>
              <w:top w:w="57" w:type="dxa"/>
              <w:left w:w="108" w:type="dxa"/>
              <w:bottom w:w="0" w:type="dxa"/>
              <w:right w:w="108" w:type="dxa"/>
            </w:tcMar>
            <w:vAlign w:val="center"/>
          </w:tcPr>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合计人民币：大写                               小写</w:t>
            </w:r>
          </w:p>
        </w:tc>
      </w:tr>
    </w:tbl>
    <w:p>
      <w:pPr>
        <w:spacing w:line="360" w:lineRule="auto"/>
        <w:rPr>
          <w:rFonts w:hint="eastAsia" w:ascii="宋体" w:hAnsi="宋体"/>
          <w:b/>
          <w:szCs w:val="21"/>
        </w:rPr>
      </w:pPr>
    </w:p>
    <w:p>
      <w:pPr>
        <w:spacing w:line="360" w:lineRule="auto"/>
        <w:rPr>
          <w:rFonts w:ascii="宋体" w:hAnsi="宋体"/>
          <w:b/>
          <w:szCs w:val="21"/>
        </w:rPr>
      </w:pPr>
      <w:r>
        <w:rPr>
          <w:rFonts w:hint="eastAsia" w:ascii="宋体" w:hAnsi="宋体"/>
          <w:b/>
          <w:szCs w:val="21"/>
        </w:rPr>
        <w:t>要求：</w:t>
      </w:r>
    </w:p>
    <w:p>
      <w:pPr>
        <w:spacing w:line="360" w:lineRule="auto"/>
        <w:ind w:left="15" w:firstLine="420" w:firstLineChars="200"/>
        <w:rPr>
          <w:rFonts w:ascii="宋体" w:hAnsi="宋体"/>
          <w:szCs w:val="21"/>
        </w:rPr>
      </w:pPr>
      <w:r>
        <w:rPr>
          <w:rFonts w:hint="eastAsia" w:ascii="宋体" w:hAnsi="宋体"/>
          <w:szCs w:val="21"/>
        </w:rPr>
        <w:t>1.本表为《开标一览表》的报价明细表，如有缺项、漏项，视为投标报价中已包含相关费用，采购人无需另外支付任何费用。</w:t>
      </w:r>
    </w:p>
    <w:p>
      <w:pPr>
        <w:spacing w:line="360" w:lineRule="auto"/>
        <w:ind w:left="15" w:firstLine="420" w:firstLineChars="200"/>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15" w:firstLine="420" w:firstLineChars="200"/>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pPr>
        <w:spacing w:line="360" w:lineRule="auto"/>
        <w:ind w:left="15" w:firstLine="420" w:firstLineChars="200"/>
        <w:rPr>
          <w:rFonts w:hint="eastAsia" w:ascii="宋体" w:hAnsi="Times New Roman" w:eastAsia="宋体" w:cs="Times New Roman"/>
          <w:szCs w:val="21"/>
          <w:lang w:val="zh-CN" w:eastAsia="zh-CN"/>
        </w:rPr>
      </w:pPr>
      <w:r>
        <w:rPr>
          <w:rFonts w:hint="eastAsia" w:ascii="宋体"/>
          <w:szCs w:val="21"/>
          <w:lang w:val="zh-CN"/>
        </w:rPr>
        <w:t>▲4.本表中的型号规格必须</w:t>
      </w:r>
      <w:r>
        <w:rPr>
          <w:rFonts w:hint="eastAsia" w:ascii="宋体" w:hAnsi="Times New Roman" w:eastAsia="宋体" w:cs="Times New Roman"/>
          <w:szCs w:val="21"/>
          <w:lang w:val="zh-CN" w:eastAsia="zh-CN"/>
        </w:rPr>
        <w:t>明确，招标文件中明确要求定制的除外。</w:t>
      </w:r>
    </w:p>
    <w:p>
      <w:pPr>
        <w:spacing w:line="360" w:lineRule="auto"/>
        <w:ind w:left="15" w:firstLine="420" w:firstLineChars="200"/>
        <w:rPr>
          <w:rFonts w:hint="eastAsia" w:ascii="宋体"/>
          <w:szCs w:val="21"/>
          <w:highlight w:val="yellow"/>
          <w:lang w:val="en-US" w:eastAsia="zh-CN"/>
        </w:rPr>
      </w:pPr>
      <w:r>
        <w:rPr>
          <w:rFonts w:hint="eastAsia" w:ascii="宋体"/>
          <w:szCs w:val="21"/>
          <w:highlight w:val="yellow"/>
          <w:lang w:val="zh-CN"/>
        </w:rPr>
        <w:t>▲投标人针对单项采购内容的报价不得超过“</w:t>
      </w:r>
      <w:r>
        <w:rPr>
          <w:rFonts w:hint="eastAsia" w:ascii="宋体"/>
          <w:szCs w:val="21"/>
          <w:highlight w:val="yellow"/>
          <w:lang w:val="en-US" w:eastAsia="zh-CN"/>
        </w:rPr>
        <w:t>采购内容一览表</w:t>
      </w:r>
      <w:r>
        <w:rPr>
          <w:rFonts w:hint="eastAsia" w:ascii="宋体"/>
          <w:szCs w:val="21"/>
          <w:highlight w:val="yellow"/>
          <w:lang w:val="zh-CN"/>
        </w:rPr>
        <w:t>”</w:t>
      </w:r>
      <w:r>
        <w:rPr>
          <w:rFonts w:hint="eastAsia" w:ascii="宋体"/>
          <w:szCs w:val="21"/>
          <w:highlight w:val="yellow"/>
          <w:lang w:val="en-US" w:eastAsia="zh-CN"/>
        </w:rPr>
        <w:t>中对应产品的</w:t>
      </w:r>
      <w:r>
        <w:rPr>
          <w:rFonts w:hint="eastAsia" w:ascii="宋体"/>
          <w:szCs w:val="21"/>
          <w:highlight w:val="yellow"/>
          <w:lang w:val="zh-CN"/>
        </w:rPr>
        <w:t>单价</w:t>
      </w:r>
      <w:r>
        <w:rPr>
          <w:rFonts w:hint="eastAsia" w:ascii="宋体"/>
          <w:szCs w:val="21"/>
          <w:highlight w:val="yellow"/>
          <w:lang w:val="en-US" w:eastAsia="zh-CN"/>
        </w:rPr>
        <w:t>最高限价</w:t>
      </w:r>
      <w:r>
        <w:rPr>
          <w:rFonts w:hint="eastAsia" w:ascii="宋体"/>
          <w:szCs w:val="21"/>
          <w:highlight w:val="yellow"/>
          <w:lang w:val="zh-CN"/>
        </w:rPr>
        <w:t>及总价最高限价。</w:t>
      </w:r>
    </w:p>
    <w:p>
      <w:pPr>
        <w:spacing w:line="360" w:lineRule="auto"/>
        <w:ind w:left="15" w:firstLine="420" w:firstLineChars="200"/>
        <w:rPr>
          <w:rFonts w:hint="default" w:ascii="宋体"/>
          <w:szCs w:val="21"/>
          <w:lang w:val="en-US" w:eastAsia="zh-CN"/>
        </w:rPr>
      </w:pP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napToGrid w:val="0"/>
        <w:spacing w:before="120" w:beforeLines="50" w:after="50" w:line="360" w:lineRule="auto"/>
        <w:rPr>
          <w:rFonts w:ascii="宋体" w:hAnsi="宋体"/>
          <w:b/>
          <w:sz w:val="28"/>
          <w:szCs w:val="28"/>
        </w:rPr>
      </w:pPr>
      <w:r>
        <w:rPr>
          <w:rFonts w:hint="eastAsia" w:ascii="宋体" w:hAnsi="宋体"/>
          <w:b/>
          <w:sz w:val="28"/>
        </w:rPr>
        <w:t>附件17</w:t>
      </w:r>
    </w:p>
    <w:p>
      <w:pPr>
        <w:pStyle w:val="6"/>
        <w:spacing w:line="360" w:lineRule="auto"/>
        <w:ind w:firstLine="0"/>
        <w:jc w:val="center"/>
        <w:rPr>
          <w:rFonts w:ascii="宋体" w:hAnsi="宋体" w:cs="宋体"/>
          <w:b/>
          <w:sz w:val="32"/>
          <w:szCs w:val="32"/>
        </w:rPr>
      </w:pPr>
      <w:bookmarkStart w:id="117" w:name="_Toc12654_WPSOffice_Level1"/>
      <w:bookmarkStart w:id="118" w:name="_Toc29357_WPSOffice_Level1"/>
      <w:r>
        <w:rPr>
          <w:rFonts w:hint="eastAsia" w:ascii="宋体" w:hAnsi="宋体" w:cs="宋体"/>
          <w:b/>
          <w:sz w:val="32"/>
          <w:szCs w:val="32"/>
        </w:rPr>
        <w:t>中小企业声明函（货物）</w:t>
      </w:r>
      <w:bookmarkEnd w:id="117"/>
      <w:bookmarkEnd w:id="118"/>
    </w:p>
    <w:p>
      <w:pPr>
        <w:pStyle w:val="6"/>
        <w:spacing w:line="360" w:lineRule="auto"/>
        <w:ind w:firstLine="643" w:firstLineChars="200"/>
        <w:rPr>
          <w:rFonts w:ascii="宋体" w:hAnsi="宋体" w:cs="宋体"/>
          <w:b/>
          <w:sz w:val="32"/>
          <w:szCs w:val="32"/>
        </w:rPr>
      </w:pP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wordWrap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fldChar w:fldCharType="begin"/>
      </w:r>
      <w:r>
        <w:rPr>
          <w:rFonts w:hint="eastAsia" w:ascii="宋体" w:hAnsi="宋体" w:cs="宋体"/>
          <w:sz w:val="24"/>
          <w:vertAlign w:val="superscript"/>
        </w:rPr>
        <w:instrText xml:space="preserve"> = 1 \* GB3 </w:instrText>
      </w:r>
      <w:r>
        <w:rPr>
          <w:rFonts w:hint="eastAsia" w:ascii="宋体" w:hAnsi="宋体" w:cs="宋体"/>
          <w:sz w:val="24"/>
          <w:vertAlign w:val="superscript"/>
        </w:rPr>
        <w:fldChar w:fldCharType="separate"/>
      </w:r>
      <w:r>
        <w:rPr>
          <w:rFonts w:hint="eastAsia" w:ascii="宋体" w:hAnsi="宋体" w:cs="宋体"/>
          <w:sz w:val="24"/>
          <w:vertAlign w:val="superscript"/>
        </w:rPr>
        <w:t>①</w:t>
      </w:r>
      <w:r>
        <w:rPr>
          <w:rFonts w:hint="eastAsia" w:ascii="宋体" w:hAnsi="宋体" w:cs="宋体"/>
          <w:sz w:val="24"/>
          <w:vertAlign w:val="superscript"/>
        </w:rPr>
        <w:fldChar w:fldCharType="end"/>
      </w:r>
      <w:r>
        <w:rPr>
          <w:rFonts w:hint="eastAsia" w:ascii="宋体" w:hAnsi="宋体" w:cs="宋体"/>
          <w:sz w:val="24"/>
        </w:rPr>
        <w:t>，属于（中型企业、小型企业、微型企业）；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企业名称（盖章）：        </w:t>
      </w: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日 期：    </w:t>
      </w: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w:t>
      </w:r>
    </w:p>
    <w:p>
      <w:pPr>
        <w:wordWrap w:val="0"/>
        <w:spacing w:line="360" w:lineRule="auto"/>
        <w:ind w:firstLine="480" w:firstLineChars="200"/>
        <w:jc w:val="right"/>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sectPr>
          <w:headerReference r:id="rId6" w:type="first"/>
          <w:footerReference r:id="rId8" w:type="first"/>
          <w:headerReference r:id="rId5" w:type="default"/>
          <w:footerReference r:id="rId7" w:type="default"/>
          <w:pgSz w:w="11906" w:h="16838"/>
          <w:pgMar w:top="1701" w:right="1418" w:bottom="1588"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1"/>
        <w:spacing w:line="360" w:lineRule="auto"/>
        <w:jc w:val="center"/>
        <w:outlineLvl w:val="9"/>
        <w:rPr>
          <w:rFonts w:hAnsi="宋体" w:cs="宋体"/>
          <w:b/>
          <w:sz w:val="32"/>
          <w:szCs w:val="32"/>
          <w:lang w:val="en-GB"/>
        </w:rPr>
      </w:pPr>
      <w:bookmarkStart w:id="119" w:name="_Toc27483_WPSOffice_Level1"/>
      <w:bookmarkStart w:id="120" w:name="_Toc17646_WPSOffice_Level1"/>
      <w:r>
        <w:rPr>
          <w:rFonts w:hint="eastAsia" w:hAnsi="宋体" w:cs="宋体"/>
          <w:b/>
          <w:sz w:val="32"/>
          <w:szCs w:val="32"/>
          <w:lang w:val="en-GB"/>
        </w:rPr>
        <w:t>残疾人福利性单位声明函</w:t>
      </w:r>
      <w:bookmarkEnd w:id="119"/>
      <w:bookmarkEnd w:id="120"/>
    </w:p>
    <w:p>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2"/>
        <w:spacing w:line="360" w:lineRule="auto"/>
        <w:ind w:left="4788" w:leftChars="2280"/>
        <w:rPr>
          <w:rFonts w:ascii="宋体" w:hAnsi="宋体"/>
          <w:sz w:val="24"/>
        </w:rPr>
      </w:pPr>
      <w:r>
        <w:rPr>
          <w:rFonts w:hint="eastAsia" w:ascii="宋体" w:hAnsi="宋体" w:cs="宋体"/>
          <w:sz w:val="24"/>
        </w:rPr>
        <w:t xml:space="preserve">                                </w:t>
      </w:r>
      <w:r>
        <w:rPr>
          <w:rFonts w:hint="eastAsia" w:ascii="宋体" w:hAnsi="宋体"/>
          <w:sz w:val="24"/>
        </w:rPr>
        <w:t>单位名称（盖章）：</w:t>
      </w:r>
    </w:p>
    <w:p>
      <w:pPr>
        <w:pStyle w:val="42"/>
        <w:spacing w:line="360" w:lineRule="auto"/>
        <w:ind w:left="3591" w:leftChars="1710" w:firstLine="1200" w:firstLineChars="500"/>
        <w:rPr>
          <w:rFonts w:ascii="宋体" w:hAnsi="宋体"/>
          <w:sz w:val="24"/>
        </w:rPr>
      </w:pPr>
      <w:r>
        <w:rPr>
          <w:rFonts w:hint="eastAsia" w:ascii="宋体" w:hAnsi="宋体"/>
          <w:sz w:val="24"/>
        </w:rPr>
        <w:t>日  期  ：</w:t>
      </w:r>
    </w:p>
    <w:p>
      <w:pPr>
        <w:tabs>
          <w:tab w:val="left" w:pos="4860"/>
        </w:tabs>
        <w:spacing w:line="588" w:lineRule="exact"/>
        <w:ind w:right="1560" w:firstLine="480" w:firstLineChars="200"/>
        <w:jc w:val="center"/>
        <w:rPr>
          <w:rFonts w:ascii="宋体" w:hAnsi="宋体" w:cs="宋体"/>
          <w:sz w:val="24"/>
        </w:rPr>
      </w:pPr>
    </w:p>
    <w:p>
      <w:pPr>
        <w:pStyle w:val="42"/>
        <w:spacing w:line="360" w:lineRule="auto"/>
      </w:pPr>
    </w:p>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政府采购文件公开招标服务类示范文本（试行）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政府采购文件公开招标货物类示范文本（试行）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XXX政府采购招标文件--货物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8AB44E3A"/>
    <w:multiLevelType w:val="singleLevel"/>
    <w:tmpl w:val="8AB44E3A"/>
    <w:lvl w:ilvl="0" w:tentative="0">
      <w:start w:val="1"/>
      <w:numFmt w:val="decimal"/>
      <w:suff w:val="nothing"/>
      <w:lvlText w:val="%1、"/>
      <w:lvlJc w:val="left"/>
      <w:rPr>
        <w:rFonts w:hint="default" w:ascii="宋体" w:hAnsi="宋体" w:eastAsia="宋体" w:cs="宋体"/>
        <w:sz w:val="24"/>
        <w:szCs w:val="24"/>
      </w:rPr>
    </w:lvl>
  </w:abstractNum>
  <w:abstractNum w:abstractNumId="2">
    <w:nsid w:val="8FA37827"/>
    <w:multiLevelType w:val="singleLevel"/>
    <w:tmpl w:val="8FA37827"/>
    <w:lvl w:ilvl="0" w:tentative="0">
      <w:start w:val="1"/>
      <w:numFmt w:val="decimal"/>
      <w:lvlText w:val="%1."/>
      <w:lvlJc w:val="left"/>
      <w:pPr>
        <w:ind w:left="425" w:hanging="425"/>
      </w:pPr>
      <w:rPr>
        <w:rFonts w:hint="default"/>
      </w:rPr>
    </w:lvl>
  </w:abstractNum>
  <w:abstractNum w:abstractNumId="3">
    <w:nsid w:val="B778F772"/>
    <w:multiLevelType w:val="singleLevel"/>
    <w:tmpl w:val="B778F772"/>
    <w:lvl w:ilvl="0" w:tentative="0">
      <w:start w:val="1"/>
      <w:numFmt w:val="decimal"/>
      <w:lvlText w:val="%1."/>
      <w:lvlJc w:val="left"/>
      <w:pPr>
        <w:tabs>
          <w:tab w:val="left" w:pos="312"/>
        </w:tabs>
      </w:pPr>
    </w:lvl>
  </w:abstractNum>
  <w:abstractNum w:abstractNumId="4">
    <w:nsid w:val="DB9645F2"/>
    <w:multiLevelType w:val="singleLevel"/>
    <w:tmpl w:val="DB9645F2"/>
    <w:lvl w:ilvl="0" w:tentative="0">
      <w:start w:val="2"/>
      <w:numFmt w:val="chineseCounting"/>
      <w:suff w:val="nothing"/>
      <w:lvlText w:val="（%1）"/>
      <w:lvlJc w:val="left"/>
      <w:rPr>
        <w:rFonts w:hint="eastAsia"/>
      </w:rPr>
    </w:lvl>
  </w:abstractNum>
  <w:abstractNum w:abstractNumId="5">
    <w:nsid w:val="F931D4A4"/>
    <w:multiLevelType w:val="singleLevel"/>
    <w:tmpl w:val="F931D4A4"/>
    <w:lvl w:ilvl="0" w:tentative="0">
      <w:start w:val="1"/>
      <w:numFmt w:val="decimal"/>
      <w:lvlText w:val="%1."/>
      <w:lvlJc w:val="left"/>
      <w:pPr>
        <w:tabs>
          <w:tab w:val="left" w:pos="312"/>
        </w:tabs>
      </w:pPr>
    </w:lvl>
  </w:abstractNum>
  <w:abstractNum w:abstractNumId="6">
    <w:nsid w:val="FF4D4BA8"/>
    <w:multiLevelType w:val="singleLevel"/>
    <w:tmpl w:val="FF4D4BA8"/>
    <w:lvl w:ilvl="0" w:tentative="0">
      <w:start w:val="1"/>
      <w:numFmt w:val="decimal"/>
      <w:lvlText w:val="%1."/>
      <w:lvlJc w:val="left"/>
      <w:pPr>
        <w:ind w:left="425" w:hanging="425"/>
      </w:pPr>
      <w:rPr>
        <w:rFonts w:hint="default"/>
      </w:rPr>
    </w:lvl>
  </w:abstractNum>
  <w:abstractNum w:abstractNumId="7">
    <w:nsid w:val="0ED2C79B"/>
    <w:multiLevelType w:val="singleLevel"/>
    <w:tmpl w:val="0ED2C79B"/>
    <w:lvl w:ilvl="0" w:tentative="0">
      <w:start w:val="1"/>
      <w:numFmt w:val="decimal"/>
      <w:pStyle w:val="5"/>
      <w:lvlText w:val="%1."/>
      <w:lvlJc w:val="left"/>
      <w:pPr>
        <w:tabs>
          <w:tab w:val="left" w:pos="360"/>
        </w:tabs>
        <w:ind w:left="360" w:hanging="360"/>
      </w:pPr>
    </w:lvl>
  </w:abstractNum>
  <w:abstractNum w:abstractNumId="8">
    <w:nsid w:val="289F1F1C"/>
    <w:multiLevelType w:val="singleLevel"/>
    <w:tmpl w:val="289F1F1C"/>
    <w:lvl w:ilvl="0" w:tentative="0">
      <w:start w:val="1"/>
      <w:numFmt w:val="decimal"/>
      <w:lvlText w:val="%1."/>
      <w:lvlJc w:val="left"/>
      <w:pPr>
        <w:ind w:left="425" w:hanging="425"/>
      </w:pPr>
      <w:rPr>
        <w:rFonts w:hint="default"/>
      </w:rPr>
    </w:lvl>
  </w:abstractNum>
  <w:abstractNum w:abstractNumId="9">
    <w:nsid w:val="461E5E94"/>
    <w:multiLevelType w:val="singleLevel"/>
    <w:tmpl w:val="461E5E94"/>
    <w:lvl w:ilvl="0" w:tentative="0">
      <w:start w:val="2"/>
      <w:numFmt w:val="chineseCounting"/>
      <w:suff w:val="space"/>
      <w:lvlText w:val="第%1章"/>
      <w:lvlJc w:val="left"/>
      <w:rPr>
        <w:rFonts w:hint="eastAsia"/>
      </w:rPr>
    </w:lvl>
  </w:abstractNum>
  <w:abstractNum w:abstractNumId="10">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1">
    <w:nsid w:val="66DDD653"/>
    <w:multiLevelType w:val="singleLevel"/>
    <w:tmpl w:val="66DDD653"/>
    <w:lvl w:ilvl="0" w:tentative="0">
      <w:start w:val="1"/>
      <w:numFmt w:val="chineseCounting"/>
      <w:suff w:val="space"/>
      <w:lvlText w:val="第%1章"/>
      <w:lvlJc w:val="left"/>
      <w:rPr>
        <w:rFonts w:hint="eastAsia"/>
      </w:rPr>
    </w:lvl>
  </w:abstractNum>
  <w:abstractNum w:abstractNumId="12">
    <w:nsid w:val="7488A27B"/>
    <w:multiLevelType w:val="singleLevel"/>
    <w:tmpl w:val="7488A27B"/>
    <w:lvl w:ilvl="0" w:tentative="0">
      <w:start w:val="1"/>
      <w:numFmt w:val="decimal"/>
      <w:lvlText w:val="%1."/>
      <w:lvlJc w:val="left"/>
      <w:pPr>
        <w:ind w:left="425" w:hanging="425"/>
      </w:pPr>
      <w:rPr>
        <w:rFonts w:hint="default"/>
      </w:rPr>
    </w:lvl>
  </w:abstractNum>
  <w:abstractNum w:abstractNumId="13">
    <w:nsid w:val="7E92F494"/>
    <w:multiLevelType w:val="singleLevel"/>
    <w:tmpl w:val="7E92F494"/>
    <w:lvl w:ilvl="0" w:tentative="0">
      <w:start w:val="1"/>
      <w:numFmt w:val="decimal"/>
      <w:lvlText w:val="%1."/>
      <w:lvlJc w:val="left"/>
      <w:pPr>
        <w:ind w:left="425" w:hanging="425"/>
      </w:pPr>
      <w:rPr>
        <w:rFonts w:hint="default"/>
      </w:rPr>
    </w:lvl>
  </w:abstractNum>
  <w:num w:numId="1">
    <w:abstractNumId w:val="10"/>
  </w:num>
  <w:num w:numId="2">
    <w:abstractNumId w:val="7"/>
  </w:num>
  <w:num w:numId="3">
    <w:abstractNumId w:val="11"/>
  </w:num>
  <w:num w:numId="4">
    <w:abstractNumId w:val="9"/>
  </w:num>
  <w:num w:numId="5">
    <w:abstractNumId w:val="5"/>
  </w:num>
  <w:num w:numId="6">
    <w:abstractNumId w:val="4"/>
  </w:num>
  <w:num w:numId="7">
    <w:abstractNumId w:val="0"/>
  </w:num>
  <w:num w:numId="8">
    <w:abstractNumId w:val="13"/>
  </w:num>
  <w:num w:numId="9">
    <w:abstractNumId w:val="1"/>
  </w:num>
  <w:num w:numId="10">
    <w:abstractNumId w:val="12"/>
  </w:num>
  <w:num w:numId="11">
    <w:abstractNumId w:val="2"/>
  </w:num>
  <w:num w:numId="12">
    <w:abstractNumId w:val="8"/>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WFiN2RiMzkzNDk5ZGMwZjViNzVlYjhkMzAwMmUifQ=="/>
  </w:docVars>
  <w:rsids>
    <w:rsidRoot w:val="685F2B0C"/>
    <w:rsid w:val="0002799D"/>
    <w:rsid w:val="00037F4A"/>
    <w:rsid w:val="00072A3F"/>
    <w:rsid w:val="00091092"/>
    <w:rsid w:val="000E538F"/>
    <w:rsid w:val="001136A2"/>
    <w:rsid w:val="001B51C8"/>
    <w:rsid w:val="001C4F91"/>
    <w:rsid w:val="001E6CF9"/>
    <w:rsid w:val="00242A20"/>
    <w:rsid w:val="002A4418"/>
    <w:rsid w:val="00312C7C"/>
    <w:rsid w:val="00315916"/>
    <w:rsid w:val="003201FA"/>
    <w:rsid w:val="00330F75"/>
    <w:rsid w:val="003C4BB8"/>
    <w:rsid w:val="003E7404"/>
    <w:rsid w:val="00401AC8"/>
    <w:rsid w:val="00417DFF"/>
    <w:rsid w:val="00494691"/>
    <w:rsid w:val="005240D4"/>
    <w:rsid w:val="00565F77"/>
    <w:rsid w:val="00595EED"/>
    <w:rsid w:val="005B7FA6"/>
    <w:rsid w:val="00623A21"/>
    <w:rsid w:val="00627077"/>
    <w:rsid w:val="00627D71"/>
    <w:rsid w:val="0066350B"/>
    <w:rsid w:val="006F24A9"/>
    <w:rsid w:val="006F679D"/>
    <w:rsid w:val="0072317A"/>
    <w:rsid w:val="007E4962"/>
    <w:rsid w:val="0093255C"/>
    <w:rsid w:val="00987EDA"/>
    <w:rsid w:val="009F3B27"/>
    <w:rsid w:val="00A921FD"/>
    <w:rsid w:val="00A97E75"/>
    <w:rsid w:val="00AA020C"/>
    <w:rsid w:val="00AB49B7"/>
    <w:rsid w:val="00B023A2"/>
    <w:rsid w:val="00B44061"/>
    <w:rsid w:val="00B524C2"/>
    <w:rsid w:val="00BD378A"/>
    <w:rsid w:val="00C4791F"/>
    <w:rsid w:val="00CF3329"/>
    <w:rsid w:val="00D00C48"/>
    <w:rsid w:val="00D0546E"/>
    <w:rsid w:val="00D07E9B"/>
    <w:rsid w:val="00D71794"/>
    <w:rsid w:val="00DB1E3F"/>
    <w:rsid w:val="00DC1336"/>
    <w:rsid w:val="00E16519"/>
    <w:rsid w:val="00E32B23"/>
    <w:rsid w:val="00E41EBA"/>
    <w:rsid w:val="00E448AC"/>
    <w:rsid w:val="00E66CDC"/>
    <w:rsid w:val="00EC04A9"/>
    <w:rsid w:val="00EF43FF"/>
    <w:rsid w:val="00F26F1C"/>
    <w:rsid w:val="01016402"/>
    <w:rsid w:val="010742D5"/>
    <w:rsid w:val="01077B6C"/>
    <w:rsid w:val="011C2867"/>
    <w:rsid w:val="011E4134"/>
    <w:rsid w:val="012355F0"/>
    <w:rsid w:val="012B6D61"/>
    <w:rsid w:val="013438E8"/>
    <w:rsid w:val="015C2A86"/>
    <w:rsid w:val="015F789E"/>
    <w:rsid w:val="01851778"/>
    <w:rsid w:val="01AE11E6"/>
    <w:rsid w:val="01B70CE3"/>
    <w:rsid w:val="01D10A61"/>
    <w:rsid w:val="01D61DCE"/>
    <w:rsid w:val="01F170ED"/>
    <w:rsid w:val="01F53A09"/>
    <w:rsid w:val="01F916C8"/>
    <w:rsid w:val="02040004"/>
    <w:rsid w:val="022115FB"/>
    <w:rsid w:val="02292E42"/>
    <w:rsid w:val="02375009"/>
    <w:rsid w:val="02536BAE"/>
    <w:rsid w:val="0277756A"/>
    <w:rsid w:val="0294584C"/>
    <w:rsid w:val="029A4E8A"/>
    <w:rsid w:val="02AC6928"/>
    <w:rsid w:val="02BD7D6C"/>
    <w:rsid w:val="02BE15ED"/>
    <w:rsid w:val="02C73731"/>
    <w:rsid w:val="032A675A"/>
    <w:rsid w:val="032C58C3"/>
    <w:rsid w:val="035C5B7D"/>
    <w:rsid w:val="036059A4"/>
    <w:rsid w:val="037628ED"/>
    <w:rsid w:val="03804F1D"/>
    <w:rsid w:val="038D5F87"/>
    <w:rsid w:val="03996F9E"/>
    <w:rsid w:val="03A92BAF"/>
    <w:rsid w:val="03AD4EC4"/>
    <w:rsid w:val="03DB6F2A"/>
    <w:rsid w:val="03DC5B25"/>
    <w:rsid w:val="041155D0"/>
    <w:rsid w:val="04315D2A"/>
    <w:rsid w:val="04431C4F"/>
    <w:rsid w:val="044D523C"/>
    <w:rsid w:val="04604D98"/>
    <w:rsid w:val="046212F9"/>
    <w:rsid w:val="04663F34"/>
    <w:rsid w:val="04686D1E"/>
    <w:rsid w:val="04AD0A6D"/>
    <w:rsid w:val="04E470F1"/>
    <w:rsid w:val="04E746F0"/>
    <w:rsid w:val="04E87471"/>
    <w:rsid w:val="050A0D5B"/>
    <w:rsid w:val="050D23B9"/>
    <w:rsid w:val="05162537"/>
    <w:rsid w:val="051E7487"/>
    <w:rsid w:val="053F0EAC"/>
    <w:rsid w:val="053F23D3"/>
    <w:rsid w:val="056B3DBF"/>
    <w:rsid w:val="057D6BFC"/>
    <w:rsid w:val="057E41A9"/>
    <w:rsid w:val="05B01B1D"/>
    <w:rsid w:val="05BC5BB6"/>
    <w:rsid w:val="05CB2372"/>
    <w:rsid w:val="05FD1629"/>
    <w:rsid w:val="06221E50"/>
    <w:rsid w:val="064860D7"/>
    <w:rsid w:val="06653309"/>
    <w:rsid w:val="06653EC4"/>
    <w:rsid w:val="067544C8"/>
    <w:rsid w:val="0699402C"/>
    <w:rsid w:val="069C64C8"/>
    <w:rsid w:val="06A0112C"/>
    <w:rsid w:val="06AD7687"/>
    <w:rsid w:val="06B2548B"/>
    <w:rsid w:val="06B864B2"/>
    <w:rsid w:val="06D372D6"/>
    <w:rsid w:val="06D64E56"/>
    <w:rsid w:val="06F061D6"/>
    <w:rsid w:val="0703081A"/>
    <w:rsid w:val="070C5153"/>
    <w:rsid w:val="070E765D"/>
    <w:rsid w:val="07157529"/>
    <w:rsid w:val="07171649"/>
    <w:rsid w:val="071747A0"/>
    <w:rsid w:val="071E2C8A"/>
    <w:rsid w:val="07347410"/>
    <w:rsid w:val="07375BAD"/>
    <w:rsid w:val="07425FC3"/>
    <w:rsid w:val="074273EB"/>
    <w:rsid w:val="07463A3E"/>
    <w:rsid w:val="074E4D14"/>
    <w:rsid w:val="07655746"/>
    <w:rsid w:val="07954BCA"/>
    <w:rsid w:val="079F3EE7"/>
    <w:rsid w:val="07AE41DE"/>
    <w:rsid w:val="07D85507"/>
    <w:rsid w:val="07DF5164"/>
    <w:rsid w:val="07E50580"/>
    <w:rsid w:val="07F46C10"/>
    <w:rsid w:val="07F9224F"/>
    <w:rsid w:val="07FA589D"/>
    <w:rsid w:val="082E5DF2"/>
    <w:rsid w:val="085403A4"/>
    <w:rsid w:val="085E020A"/>
    <w:rsid w:val="086951C1"/>
    <w:rsid w:val="08696EDC"/>
    <w:rsid w:val="087075EB"/>
    <w:rsid w:val="088D6A54"/>
    <w:rsid w:val="08941B48"/>
    <w:rsid w:val="089E20A9"/>
    <w:rsid w:val="08C60C4A"/>
    <w:rsid w:val="08C72312"/>
    <w:rsid w:val="08DC3175"/>
    <w:rsid w:val="08F0261B"/>
    <w:rsid w:val="08F81693"/>
    <w:rsid w:val="09060203"/>
    <w:rsid w:val="090A0832"/>
    <w:rsid w:val="093C7432"/>
    <w:rsid w:val="095406F9"/>
    <w:rsid w:val="0955362C"/>
    <w:rsid w:val="09566590"/>
    <w:rsid w:val="09583EB5"/>
    <w:rsid w:val="095D7A37"/>
    <w:rsid w:val="09875848"/>
    <w:rsid w:val="09B565E4"/>
    <w:rsid w:val="09BB0BBA"/>
    <w:rsid w:val="09BB6CF7"/>
    <w:rsid w:val="09C77B1C"/>
    <w:rsid w:val="09E70A54"/>
    <w:rsid w:val="09E77E14"/>
    <w:rsid w:val="09E9749A"/>
    <w:rsid w:val="09F232F3"/>
    <w:rsid w:val="09F46495"/>
    <w:rsid w:val="09F623EB"/>
    <w:rsid w:val="09FF3A0A"/>
    <w:rsid w:val="0A082AE0"/>
    <w:rsid w:val="0A0D5A3B"/>
    <w:rsid w:val="0A127523"/>
    <w:rsid w:val="0A172426"/>
    <w:rsid w:val="0A2355D9"/>
    <w:rsid w:val="0A4063E1"/>
    <w:rsid w:val="0A4573B3"/>
    <w:rsid w:val="0A53599E"/>
    <w:rsid w:val="0A744A82"/>
    <w:rsid w:val="0A8528D5"/>
    <w:rsid w:val="0A903A5E"/>
    <w:rsid w:val="0A904AA4"/>
    <w:rsid w:val="0A93374C"/>
    <w:rsid w:val="0A972E8D"/>
    <w:rsid w:val="0AAA5EAC"/>
    <w:rsid w:val="0AB40849"/>
    <w:rsid w:val="0ABB2280"/>
    <w:rsid w:val="0AD56F1F"/>
    <w:rsid w:val="0AE946CC"/>
    <w:rsid w:val="0AEA3C8C"/>
    <w:rsid w:val="0AEE0D1E"/>
    <w:rsid w:val="0AFC0782"/>
    <w:rsid w:val="0B1A05FF"/>
    <w:rsid w:val="0B1E0CF0"/>
    <w:rsid w:val="0B556C34"/>
    <w:rsid w:val="0B6C389D"/>
    <w:rsid w:val="0B760351"/>
    <w:rsid w:val="0B846791"/>
    <w:rsid w:val="0B8B536A"/>
    <w:rsid w:val="0BCC7711"/>
    <w:rsid w:val="0BCD0049"/>
    <w:rsid w:val="0BE83010"/>
    <w:rsid w:val="0BEA0DB9"/>
    <w:rsid w:val="0C061D9D"/>
    <w:rsid w:val="0C0F3325"/>
    <w:rsid w:val="0C1358B4"/>
    <w:rsid w:val="0C35472E"/>
    <w:rsid w:val="0C4551B9"/>
    <w:rsid w:val="0C480F3E"/>
    <w:rsid w:val="0C4813D5"/>
    <w:rsid w:val="0C585BE0"/>
    <w:rsid w:val="0C7E2237"/>
    <w:rsid w:val="0C803B53"/>
    <w:rsid w:val="0C950840"/>
    <w:rsid w:val="0C9F1CEA"/>
    <w:rsid w:val="0CBE1DF9"/>
    <w:rsid w:val="0CC9599A"/>
    <w:rsid w:val="0CE0341A"/>
    <w:rsid w:val="0D10283C"/>
    <w:rsid w:val="0D3F7F2E"/>
    <w:rsid w:val="0D47704E"/>
    <w:rsid w:val="0D494870"/>
    <w:rsid w:val="0D5456F5"/>
    <w:rsid w:val="0D5955C7"/>
    <w:rsid w:val="0D5B5EF8"/>
    <w:rsid w:val="0D637544"/>
    <w:rsid w:val="0D705EC6"/>
    <w:rsid w:val="0D7C5049"/>
    <w:rsid w:val="0D83675C"/>
    <w:rsid w:val="0D8C75B3"/>
    <w:rsid w:val="0D9E0018"/>
    <w:rsid w:val="0DB757B9"/>
    <w:rsid w:val="0DE7555E"/>
    <w:rsid w:val="0DF06351"/>
    <w:rsid w:val="0E0979BF"/>
    <w:rsid w:val="0E5A014C"/>
    <w:rsid w:val="0E5E4DB8"/>
    <w:rsid w:val="0E5F6E07"/>
    <w:rsid w:val="0E607B1B"/>
    <w:rsid w:val="0E6126CF"/>
    <w:rsid w:val="0E635AF2"/>
    <w:rsid w:val="0E7F77A7"/>
    <w:rsid w:val="0E8405CA"/>
    <w:rsid w:val="0E8D5133"/>
    <w:rsid w:val="0E971943"/>
    <w:rsid w:val="0EB1236A"/>
    <w:rsid w:val="0EBB0A82"/>
    <w:rsid w:val="0F197C6F"/>
    <w:rsid w:val="0F270991"/>
    <w:rsid w:val="0F3E6F11"/>
    <w:rsid w:val="0F6F7789"/>
    <w:rsid w:val="0FC27645"/>
    <w:rsid w:val="0FCB3337"/>
    <w:rsid w:val="1005731A"/>
    <w:rsid w:val="10113C70"/>
    <w:rsid w:val="101F02CE"/>
    <w:rsid w:val="105C5738"/>
    <w:rsid w:val="10650C32"/>
    <w:rsid w:val="107907CC"/>
    <w:rsid w:val="10843C5D"/>
    <w:rsid w:val="109909D1"/>
    <w:rsid w:val="10B73F1D"/>
    <w:rsid w:val="10BE1B05"/>
    <w:rsid w:val="10C84882"/>
    <w:rsid w:val="10D1178C"/>
    <w:rsid w:val="10E07EE2"/>
    <w:rsid w:val="10F630E0"/>
    <w:rsid w:val="11112CBE"/>
    <w:rsid w:val="11163418"/>
    <w:rsid w:val="111818B8"/>
    <w:rsid w:val="113B439C"/>
    <w:rsid w:val="11537715"/>
    <w:rsid w:val="11565610"/>
    <w:rsid w:val="11674F62"/>
    <w:rsid w:val="1171000D"/>
    <w:rsid w:val="118A244C"/>
    <w:rsid w:val="11950BDB"/>
    <w:rsid w:val="11971588"/>
    <w:rsid w:val="119C5B20"/>
    <w:rsid w:val="11A2124C"/>
    <w:rsid w:val="11AC592C"/>
    <w:rsid w:val="11AD389E"/>
    <w:rsid w:val="11C20C82"/>
    <w:rsid w:val="11C768FF"/>
    <w:rsid w:val="11D675CB"/>
    <w:rsid w:val="11D877F4"/>
    <w:rsid w:val="12063740"/>
    <w:rsid w:val="12101447"/>
    <w:rsid w:val="12275F24"/>
    <w:rsid w:val="123756C9"/>
    <w:rsid w:val="125F1817"/>
    <w:rsid w:val="12631B42"/>
    <w:rsid w:val="12655569"/>
    <w:rsid w:val="12695551"/>
    <w:rsid w:val="127F2662"/>
    <w:rsid w:val="128435EC"/>
    <w:rsid w:val="129643EF"/>
    <w:rsid w:val="12B83A98"/>
    <w:rsid w:val="12BB4641"/>
    <w:rsid w:val="12BF6231"/>
    <w:rsid w:val="12CD4F26"/>
    <w:rsid w:val="12CE1F8E"/>
    <w:rsid w:val="13024F62"/>
    <w:rsid w:val="1307442E"/>
    <w:rsid w:val="130B3F40"/>
    <w:rsid w:val="13244721"/>
    <w:rsid w:val="13285985"/>
    <w:rsid w:val="133A1A09"/>
    <w:rsid w:val="133C703D"/>
    <w:rsid w:val="13494163"/>
    <w:rsid w:val="134C77A5"/>
    <w:rsid w:val="134D2BB6"/>
    <w:rsid w:val="135D3F89"/>
    <w:rsid w:val="135E6A8D"/>
    <w:rsid w:val="13731B39"/>
    <w:rsid w:val="1381791C"/>
    <w:rsid w:val="13A11F77"/>
    <w:rsid w:val="13A75515"/>
    <w:rsid w:val="13C30E6E"/>
    <w:rsid w:val="140769BE"/>
    <w:rsid w:val="14131750"/>
    <w:rsid w:val="1413430F"/>
    <w:rsid w:val="141613F9"/>
    <w:rsid w:val="14203CB8"/>
    <w:rsid w:val="143A0B7C"/>
    <w:rsid w:val="143C354F"/>
    <w:rsid w:val="144646A7"/>
    <w:rsid w:val="14545F32"/>
    <w:rsid w:val="14596F4E"/>
    <w:rsid w:val="146F011F"/>
    <w:rsid w:val="147632A2"/>
    <w:rsid w:val="14872049"/>
    <w:rsid w:val="14936552"/>
    <w:rsid w:val="14C272D2"/>
    <w:rsid w:val="14E463A0"/>
    <w:rsid w:val="14EA3450"/>
    <w:rsid w:val="14F767B6"/>
    <w:rsid w:val="14FB222F"/>
    <w:rsid w:val="14FF79DA"/>
    <w:rsid w:val="150F0D42"/>
    <w:rsid w:val="151C2838"/>
    <w:rsid w:val="153E582F"/>
    <w:rsid w:val="159016BB"/>
    <w:rsid w:val="15E5000F"/>
    <w:rsid w:val="16031113"/>
    <w:rsid w:val="16213B9C"/>
    <w:rsid w:val="16674FC6"/>
    <w:rsid w:val="16692CA6"/>
    <w:rsid w:val="16725D01"/>
    <w:rsid w:val="16774427"/>
    <w:rsid w:val="168F227C"/>
    <w:rsid w:val="16F45F36"/>
    <w:rsid w:val="16FC1D97"/>
    <w:rsid w:val="171F0861"/>
    <w:rsid w:val="17372639"/>
    <w:rsid w:val="173D243C"/>
    <w:rsid w:val="17534ECF"/>
    <w:rsid w:val="175F0E7A"/>
    <w:rsid w:val="1764437C"/>
    <w:rsid w:val="1767434D"/>
    <w:rsid w:val="17870CCC"/>
    <w:rsid w:val="17BA77C8"/>
    <w:rsid w:val="17C93C3F"/>
    <w:rsid w:val="17D71645"/>
    <w:rsid w:val="17DD1E28"/>
    <w:rsid w:val="17E01BB1"/>
    <w:rsid w:val="17E15D6F"/>
    <w:rsid w:val="17E21891"/>
    <w:rsid w:val="181011F1"/>
    <w:rsid w:val="181C38B0"/>
    <w:rsid w:val="181E053B"/>
    <w:rsid w:val="18205336"/>
    <w:rsid w:val="184F29B3"/>
    <w:rsid w:val="18810539"/>
    <w:rsid w:val="18AA0A18"/>
    <w:rsid w:val="18DF40DC"/>
    <w:rsid w:val="18F45107"/>
    <w:rsid w:val="18F47AF6"/>
    <w:rsid w:val="190A522C"/>
    <w:rsid w:val="191C0124"/>
    <w:rsid w:val="192349BD"/>
    <w:rsid w:val="19297C63"/>
    <w:rsid w:val="192A06DB"/>
    <w:rsid w:val="192C0B58"/>
    <w:rsid w:val="192D288C"/>
    <w:rsid w:val="194335B5"/>
    <w:rsid w:val="19670DE9"/>
    <w:rsid w:val="198218DD"/>
    <w:rsid w:val="19826CFD"/>
    <w:rsid w:val="19A01ECA"/>
    <w:rsid w:val="19BF2F9E"/>
    <w:rsid w:val="19C56581"/>
    <w:rsid w:val="19EE41FA"/>
    <w:rsid w:val="1A002E3D"/>
    <w:rsid w:val="1A0E78C9"/>
    <w:rsid w:val="1A5A6066"/>
    <w:rsid w:val="1A777345"/>
    <w:rsid w:val="1A7A4184"/>
    <w:rsid w:val="1A8D59A2"/>
    <w:rsid w:val="1A8E3BCD"/>
    <w:rsid w:val="1A922FA8"/>
    <w:rsid w:val="1A9670F7"/>
    <w:rsid w:val="1AD15B84"/>
    <w:rsid w:val="1ADA6CD0"/>
    <w:rsid w:val="1AF47380"/>
    <w:rsid w:val="1B0C0005"/>
    <w:rsid w:val="1B251F48"/>
    <w:rsid w:val="1B3833FF"/>
    <w:rsid w:val="1B396BED"/>
    <w:rsid w:val="1B4C6CA1"/>
    <w:rsid w:val="1B4D4F04"/>
    <w:rsid w:val="1B52759D"/>
    <w:rsid w:val="1B612ED3"/>
    <w:rsid w:val="1B6A011C"/>
    <w:rsid w:val="1B705E15"/>
    <w:rsid w:val="1B7350C7"/>
    <w:rsid w:val="1B8C6B7B"/>
    <w:rsid w:val="1BA0571E"/>
    <w:rsid w:val="1BA72C10"/>
    <w:rsid w:val="1BB91038"/>
    <w:rsid w:val="1BBF65FB"/>
    <w:rsid w:val="1BD162E3"/>
    <w:rsid w:val="1BDE64F1"/>
    <w:rsid w:val="1BEA1EEC"/>
    <w:rsid w:val="1BF657FB"/>
    <w:rsid w:val="1BF868AD"/>
    <w:rsid w:val="1C0503E8"/>
    <w:rsid w:val="1C126363"/>
    <w:rsid w:val="1C2023D8"/>
    <w:rsid w:val="1C766429"/>
    <w:rsid w:val="1C771298"/>
    <w:rsid w:val="1C786858"/>
    <w:rsid w:val="1C800114"/>
    <w:rsid w:val="1C9A155D"/>
    <w:rsid w:val="1CB15134"/>
    <w:rsid w:val="1CC92F95"/>
    <w:rsid w:val="1CFA7EEF"/>
    <w:rsid w:val="1CFB1146"/>
    <w:rsid w:val="1D0E75B6"/>
    <w:rsid w:val="1D2331DE"/>
    <w:rsid w:val="1D312AFC"/>
    <w:rsid w:val="1D325ED3"/>
    <w:rsid w:val="1D37062D"/>
    <w:rsid w:val="1D4105A8"/>
    <w:rsid w:val="1D487EB6"/>
    <w:rsid w:val="1D7B204C"/>
    <w:rsid w:val="1DB63878"/>
    <w:rsid w:val="1DB72E7F"/>
    <w:rsid w:val="1DD20AFD"/>
    <w:rsid w:val="1E317170"/>
    <w:rsid w:val="1E331E3B"/>
    <w:rsid w:val="1E4914EC"/>
    <w:rsid w:val="1E561B49"/>
    <w:rsid w:val="1E5B5B74"/>
    <w:rsid w:val="1E925E44"/>
    <w:rsid w:val="1EDB21B2"/>
    <w:rsid w:val="1EE21D29"/>
    <w:rsid w:val="1EEC4FDC"/>
    <w:rsid w:val="1F0B37C8"/>
    <w:rsid w:val="1F280F4B"/>
    <w:rsid w:val="1F3E1D5D"/>
    <w:rsid w:val="1F441C9D"/>
    <w:rsid w:val="1F4F3DC6"/>
    <w:rsid w:val="1F6E3177"/>
    <w:rsid w:val="1F6F04BA"/>
    <w:rsid w:val="1F6F7A87"/>
    <w:rsid w:val="1F7742A1"/>
    <w:rsid w:val="1F832B7E"/>
    <w:rsid w:val="1F8C15A6"/>
    <w:rsid w:val="1F986F45"/>
    <w:rsid w:val="1F9F6666"/>
    <w:rsid w:val="1FC3227C"/>
    <w:rsid w:val="1FCD6552"/>
    <w:rsid w:val="1FD20A9D"/>
    <w:rsid w:val="1FE07634"/>
    <w:rsid w:val="1FF829ED"/>
    <w:rsid w:val="20027E74"/>
    <w:rsid w:val="200A44E7"/>
    <w:rsid w:val="200D6661"/>
    <w:rsid w:val="201047BC"/>
    <w:rsid w:val="2019412B"/>
    <w:rsid w:val="2024650C"/>
    <w:rsid w:val="204E5FD2"/>
    <w:rsid w:val="205449DE"/>
    <w:rsid w:val="20703E6E"/>
    <w:rsid w:val="207A428C"/>
    <w:rsid w:val="20835E3C"/>
    <w:rsid w:val="208A0C45"/>
    <w:rsid w:val="208F1332"/>
    <w:rsid w:val="20AA71C2"/>
    <w:rsid w:val="20B10A0D"/>
    <w:rsid w:val="20B9166B"/>
    <w:rsid w:val="20D02ECC"/>
    <w:rsid w:val="20DC2970"/>
    <w:rsid w:val="20FA7410"/>
    <w:rsid w:val="21076B87"/>
    <w:rsid w:val="21094E07"/>
    <w:rsid w:val="21113681"/>
    <w:rsid w:val="211D038B"/>
    <w:rsid w:val="21250156"/>
    <w:rsid w:val="212B3666"/>
    <w:rsid w:val="21523AD1"/>
    <w:rsid w:val="215C6880"/>
    <w:rsid w:val="216D19EE"/>
    <w:rsid w:val="21860B2C"/>
    <w:rsid w:val="218F0080"/>
    <w:rsid w:val="21E13F03"/>
    <w:rsid w:val="22084595"/>
    <w:rsid w:val="2225605D"/>
    <w:rsid w:val="222A72A4"/>
    <w:rsid w:val="222F2404"/>
    <w:rsid w:val="22423882"/>
    <w:rsid w:val="225B0982"/>
    <w:rsid w:val="227334E7"/>
    <w:rsid w:val="22734646"/>
    <w:rsid w:val="22AE1EDE"/>
    <w:rsid w:val="22C23296"/>
    <w:rsid w:val="22DD6CC1"/>
    <w:rsid w:val="2307360A"/>
    <w:rsid w:val="230F0CC5"/>
    <w:rsid w:val="23243D93"/>
    <w:rsid w:val="232931CF"/>
    <w:rsid w:val="233E3FBC"/>
    <w:rsid w:val="23444415"/>
    <w:rsid w:val="234D2AE9"/>
    <w:rsid w:val="23505F5A"/>
    <w:rsid w:val="235F3612"/>
    <w:rsid w:val="23666663"/>
    <w:rsid w:val="23693289"/>
    <w:rsid w:val="23757B5B"/>
    <w:rsid w:val="237B0E89"/>
    <w:rsid w:val="238732D2"/>
    <w:rsid w:val="23887728"/>
    <w:rsid w:val="239147E1"/>
    <w:rsid w:val="23920DB7"/>
    <w:rsid w:val="239C1E68"/>
    <w:rsid w:val="23BB34F7"/>
    <w:rsid w:val="23BC770E"/>
    <w:rsid w:val="23D167C1"/>
    <w:rsid w:val="23EC6B25"/>
    <w:rsid w:val="23FE2934"/>
    <w:rsid w:val="24105169"/>
    <w:rsid w:val="24145543"/>
    <w:rsid w:val="2415164D"/>
    <w:rsid w:val="242853E9"/>
    <w:rsid w:val="24372605"/>
    <w:rsid w:val="24426206"/>
    <w:rsid w:val="247921D2"/>
    <w:rsid w:val="24D40FD8"/>
    <w:rsid w:val="24DE5C48"/>
    <w:rsid w:val="24E51E80"/>
    <w:rsid w:val="24F64777"/>
    <w:rsid w:val="24FB1C59"/>
    <w:rsid w:val="24FE0E05"/>
    <w:rsid w:val="250E1BB4"/>
    <w:rsid w:val="25517809"/>
    <w:rsid w:val="256C1BBD"/>
    <w:rsid w:val="256F2571"/>
    <w:rsid w:val="2576124C"/>
    <w:rsid w:val="258130F7"/>
    <w:rsid w:val="259402E7"/>
    <w:rsid w:val="259678F1"/>
    <w:rsid w:val="25AF3989"/>
    <w:rsid w:val="25B82D92"/>
    <w:rsid w:val="25C73339"/>
    <w:rsid w:val="25C772BF"/>
    <w:rsid w:val="25D05B49"/>
    <w:rsid w:val="25D62822"/>
    <w:rsid w:val="25FD1357"/>
    <w:rsid w:val="260B3061"/>
    <w:rsid w:val="26205FC9"/>
    <w:rsid w:val="262931EB"/>
    <w:rsid w:val="262E591A"/>
    <w:rsid w:val="263771C4"/>
    <w:rsid w:val="26400EA4"/>
    <w:rsid w:val="265B4748"/>
    <w:rsid w:val="26622CD9"/>
    <w:rsid w:val="266372C2"/>
    <w:rsid w:val="266428D6"/>
    <w:rsid w:val="267961DB"/>
    <w:rsid w:val="268C7D4E"/>
    <w:rsid w:val="26A60A07"/>
    <w:rsid w:val="26AF2F03"/>
    <w:rsid w:val="26B424FB"/>
    <w:rsid w:val="26CC1B59"/>
    <w:rsid w:val="26D10ECC"/>
    <w:rsid w:val="26EF57DC"/>
    <w:rsid w:val="26F84191"/>
    <w:rsid w:val="27083115"/>
    <w:rsid w:val="27142A2D"/>
    <w:rsid w:val="271B4881"/>
    <w:rsid w:val="27214C90"/>
    <w:rsid w:val="272414C7"/>
    <w:rsid w:val="27266A61"/>
    <w:rsid w:val="272A2ED5"/>
    <w:rsid w:val="273E547E"/>
    <w:rsid w:val="273F0152"/>
    <w:rsid w:val="27685524"/>
    <w:rsid w:val="276959E0"/>
    <w:rsid w:val="276F555C"/>
    <w:rsid w:val="27702C8E"/>
    <w:rsid w:val="27827E3D"/>
    <w:rsid w:val="279050B3"/>
    <w:rsid w:val="27A028B7"/>
    <w:rsid w:val="27AB6605"/>
    <w:rsid w:val="27BF3604"/>
    <w:rsid w:val="27D26786"/>
    <w:rsid w:val="27EA6257"/>
    <w:rsid w:val="27FD3CE9"/>
    <w:rsid w:val="28311878"/>
    <w:rsid w:val="2831638E"/>
    <w:rsid w:val="284F457A"/>
    <w:rsid w:val="28503B39"/>
    <w:rsid w:val="285117F8"/>
    <w:rsid w:val="288445F5"/>
    <w:rsid w:val="28883EBB"/>
    <w:rsid w:val="28885F5E"/>
    <w:rsid w:val="28901CD3"/>
    <w:rsid w:val="28907627"/>
    <w:rsid w:val="28A908AA"/>
    <w:rsid w:val="28C3120E"/>
    <w:rsid w:val="28D9203E"/>
    <w:rsid w:val="290A1459"/>
    <w:rsid w:val="290D2770"/>
    <w:rsid w:val="291E5605"/>
    <w:rsid w:val="293430C2"/>
    <w:rsid w:val="29394DC3"/>
    <w:rsid w:val="294D3F3D"/>
    <w:rsid w:val="296A69AB"/>
    <w:rsid w:val="296E2E4C"/>
    <w:rsid w:val="2974053B"/>
    <w:rsid w:val="297A28A9"/>
    <w:rsid w:val="29871168"/>
    <w:rsid w:val="299C3570"/>
    <w:rsid w:val="299C610E"/>
    <w:rsid w:val="299F7580"/>
    <w:rsid w:val="29A50C45"/>
    <w:rsid w:val="29AD74F9"/>
    <w:rsid w:val="29B24934"/>
    <w:rsid w:val="29B661A7"/>
    <w:rsid w:val="29C25DAC"/>
    <w:rsid w:val="29EF59E7"/>
    <w:rsid w:val="29F869C7"/>
    <w:rsid w:val="29FA460F"/>
    <w:rsid w:val="2A081208"/>
    <w:rsid w:val="2A19132F"/>
    <w:rsid w:val="2A1E3A2B"/>
    <w:rsid w:val="2A3714C4"/>
    <w:rsid w:val="2A4E1459"/>
    <w:rsid w:val="2A5E24DB"/>
    <w:rsid w:val="2A7C3754"/>
    <w:rsid w:val="2A926984"/>
    <w:rsid w:val="2AA908E7"/>
    <w:rsid w:val="2AC017A8"/>
    <w:rsid w:val="2AC36155"/>
    <w:rsid w:val="2ADD064C"/>
    <w:rsid w:val="2AF2488D"/>
    <w:rsid w:val="2B1C1A99"/>
    <w:rsid w:val="2B334F71"/>
    <w:rsid w:val="2B50394A"/>
    <w:rsid w:val="2B753191"/>
    <w:rsid w:val="2B7D6E07"/>
    <w:rsid w:val="2B9444D2"/>
    <w:rsid w:val="2BE340CE"/>
    <w:rsid w:val="2BFC3479"/>
    <w:rsid w:val="2BFD1056"/>
    <w:rsid w:val="2C1E1CA1"/>
    <w:rsid w:val="2C214447"/>
    <w:rsid w:val="2C232160"/>
    <w:rsid w:val="2C4D6F1B"/>
    <w:rsid w:val="2C587217"/>
    <w:rsid w:val="2C825683"/>
    <w:rsid w:val="2C8D63B1"/>
    <w:rsid w:val="2C921B27"/>
    <w:rsid w:val="2CBB44E5"/>
    <w:rsid w:val="2CBC77F6"/>
    <w:rsid w:val="2CCB0287"/>
    <w:rsid w:val="2CDB55D6"/>
    <w:rsid w:val="2D1C0521"/>
    <w:rsid w:val="2D1D236A"/>
    <w:rsid w:val="2DAB174B"/>
    <w:rsid w:val="2DAC3053"/>
    <w:rsid w:val="2DB21AB3"/>
    <w:rsid w:val="2DC70AE2"/>
    <w:rsid w:val="2DCA6026"/>
    <w:rsid w:val="2DCD4928"/>
    <w:rsid w:val="2DE96603"/>
    <w:rsid w:val="2E096E66"/>
    <w:rsid w:val="2E1729D6"/>
    <w:rsid w:val="2E1A0C6A"/>
    <w:rsid w:val="2E347EE6"/>
    <w:rsid w:val="2E374A38"/>
    <w:rsid w:val="2E3A1850"/>
    <w:rsid w:val="2E3C5510"/>
    <w:rsid w:val="2E4A61BB"/>
    <w:rsid w:val="2E554EFB"/>
    <w:rsid w:val="2E6305D7"/>
    <w:rsid w:val="2E690638"/>
    <w:rsid w:val="2E875B98"/>
    <w:rsid w:val="2EA37EAA"/>
    <w:rsid w:val="2EBD7031"/>
    <w:rsid w:val="2EE84A4B"/>
    <w:rsid w:val="2EF73B32"/>
    <w:rsid w:val="2F011E82"/>
    <w:rsid w:val="2F240791"/>
    <w:rsid w:val="2F492921"/>
    <w:rsid w:val="2F4C7446"/>
    <w:rsid w:val="2F6858EF"/>
    <w:rsid w:val="2F6A0B1E"/>
    <w:rsid w:val="2F784161"/>
    <w:rsid w:val="2F7B48B5"/>
    <w:rsid w:val="2F853233"/>
    <w:rsid w:val="2FAF333B"/>
    <w:rsid w:val="2FC27E67"/>
    <w:rsid w:val="2FCD2C96"/>
    <w:rsid w:val="2FE66FC1"/>
    <w:rsid w:val="30160CDB"/>
    <w:rsid w:val="301B2075"/>
    <w:rsid w:val="30243B4E"/>
    <w:rsid w:val="30287A71"/>
    <w:rsid w:val="3046030C"/>
    <w:rsid w:val="30613F93"/>
    <w:rsid w:val="306162D4"/>
    <w:rsid w:val="30635A86"/>
    <w:rsid w:val="30797BE5"/>
    <w:rsid w:val="308146B4"/>
    <w:rsid w:val="309F27BB"/>
    <w:rsid w:val="30C01081"/>
    <w:rsid w:val="30C81567"/>
    <w:rsid w:val="30CD46BC"/>
    <w:rsid w:val="31013135"/>
    <w:rsid w:val="311763B6"/>
    <w:rsid w:val="31257A15"/>
    <w:rsid w:val="31452A71"/>
    <w:rsid w:val="31527289"/>
    <w:rsid w:val="315A39E6"/>
    <w:rsid w:val="31834561"/>
    <w:rsid w:val="318F2514"/>
    <w:rsid w:val="31AC658F"/>
    <w:rsid w:val="31B2519D"/>
    <w:rsid w:val="31B37BA1"/>
    <w:rsid w:val="31EE6D68"/>
    <w:rsid w:val="31F241E6"/>
    <w:rsid w:val="31FD2600"/>
    <w:rsid w:val="32114B98"/>
    <w:rsid w:val="32127E75"/>
    <w:rsid w:val="32210BD1"/>
    <w:rsid w:val="322658D9"/>
    <w:rsid w:val="32361B53"/>
    <w:rsid w:val="32400891"/>
    <w:rsid w:val="32493248"/>
    <w:rsid w:val="324C0B81"/>
    <w:rsid w:val="3272558C"/>
    <w:rsid w:val="32726CAA"/>
    <w:rsid w:val="327403EA"/>
    <w:rsid w:val="32C25872"/>
    <w:rsid w:val="32D473D1"/>
    <w:rsid w:val="32DA51AD"/>
    <w:rsid w:val="32DC671C"/>
    <w:rsid w:val="33091096"/>
    <w:rsid w:val="33232830"/>
    <w:rsid w:val="33247F6A"/>
    <w:rsid w:val="33442827"/>
    <w:rsid w:val="33462AFF"/>
    <w:rsid w:val="337E52FC"/>
    <w:rsid w:val="33843CA1"/>
    <w:rsid w:val="338604C2"/>
    <w:rsid w:val="338F2A0F"/>
    <w:rsid w:val="33996246"/>
    <w:rsid w:val="33DC7649"/>
    <w:rsid w:val="33EA7BE8"/>
    <w:rsid w:val="340639D6"/>
    <w:rsid w:val="34105AD1"/>
    <w:rsid w:val="343C23AA"/>
    <w:rsid w:val="34731AFC"/>
    <w:rsid w:val="347728F4"/>
    <w:rsid w:val="348B54C8"/>
    <w:rsid w:val="34915550"/>
    <w:rsid w:val="349D56AC"/>
    <w:rsid w:val="349D6BA5"/>
    <w:rsid w:val="34A11B7B"/>
    <w:rsid w:val="34A6697A"/>
    <w:rsid w:val="34AF7E71"/>
    <w:rsid w:val="34B33A72"/>
    <w:rsid w:val="34B561E0"/>
    <w:rsid w:val="34BF1760"/>
    <w:rsid w:val="34D5280E"/>
    <w:rsid w:val="34E20D20"/>
    <w:rsid w:val="350C7DB7"/>
    <w:rsid w:val="3535208F"/>
    <w:rsid w:val="3562042D"/>
    <w:rsid w:val="356608C9"/>
    <w:rsid w:val="35805146"/>
    <w:rsid w:val="35850AE6"/>
    <w:rsid w:val="35DE1818"/>
    <w:rsid w:val="35E06871"/>
    <w:rsid w:val="36146F55"/>
    <w:rsid w:val="36787E34"/>
    <w:rsid w:val="367F42A3"/>
    <w:rsid w:val="36CD4B67"/>
    <w:rsid w:val="36CF1487"/>
    <w:rsid w:val="36D974F7"/>
    <w:rsid w:val="36E03CF2"/>
    <w:rsid w:val="36E05B33"/>
    <w:rsid w:val="36E77649"/>
    <w:rsid w:val="36FC06E4"/>
    <w:rsid w:val="37002BA5"/>
    <w:rsid w:val="372A57D1"/>
    <w:rsid w:val="373006D6"/>
    <w:rsid w:val="373215AF"/>
    <w:rsid w:val="37395AAC"/>
    <w:rsid w:val="37533A9C"/>
    <w:rsid w:val="37554C2A"/>
    <w:rsid w:val="376C2F8C"/>
    <w:rsid w:val="37733C45"/>
    <w:rsid w:val="37BE138C"/>
    <w:rsid w:val="37CC657A"/>
    <w:rsid w:val="37EA244F"/>
    <w:rsid w:val="37F12F6A"/>
    <w:rsid w:val="38002156"/>
    <w:rsid w:val="3801691A"/>
    <w:rsid w:val="38053C44"/>
    <w:rsid w:val="3815032E"/>
    <w:rsid w:val="3816564C"/>
    <w:rsid w:val="382A2A0E"/>
    <w:rsid w:val="383C5D00"/>
    <w:rsid w:val="383F5E4A"/>
    <w:rsid w:val="38576FF9"/>
    <w:rsid w:val="38622194"/>
    <w:rsid w:val="38684F32"/>
    <w:rsid w:val="387A7CA5"/>
    <w:rsid w:val="387E3BF1"/>
    <w:rsid w:val="388E0F50"/>
    <w:rsid w:val="388E2941"/>
    <w:rsid w:val="38941E98"/>
    <w:rsid w:val="38983F5E"/>
    <w:rsid w:val="38C401F2"/>
    <w:rsid w:val="38EC1118"/>
    <w:rsid w:val="38F96580"/>
    <w:rsid w:val="38FD1A72"/>
    <w:rsid w:val="39056352"/>
    <w:rsid w:val="392F5095"/>
    <w:rsid w:val="3938092E"/>
    <w:rsid w:val="393949A6"/>
    <w:rsid w:val="39413193"/>
    <w:rsid w:val="39465433"/>
    <w:rsid w:val="395B6912"/>
    <w:rsid w:val="39750ACE"/>
    <w:rsid w:val="398A61BC"/>
    <w:rsid w:val="399510E7"/>
    <w:rsid w:val="399B683C"/>
    <w:rsid w:val="399D3FE9"/>
    <w:rsid w:val="39A9771A"/>
    <w:rsid w:val="39B37D35"/>
    <w:rsid w:val="39B51F60"/>
    <w:rsid w:val="39BE3B67"/>
    <w:rsid w:val="39CE257B"/>
    <w:rsid w:val="39E932D4"/>
    <w:rsid w:val="39EA0C0C"/>
    <w:rsid w:val="3A1C6D85"/>
    <w:rsid w:val="3A3F6C87"/>
    <w:rsid w:val="3A531373"/>
    <w:rsid w:val="3A5B021A"/>
    <w:rsid w:val="3A772970"/>
    <w:rsid w:val="3A7D6D38"/>
    <w:rsid w:val="3A805F5F"/>
    <w:rsid w:val="3AB971E4"/>
    <w:rsid w:val="3ADF78F0"/>
    <w:rsid w:val="3AE00107"/>
    <w:rsid w:val="3AE428CE"/>
    <w:rsid w:val="3B023CD3"/>
    <w:rsid w:val="3B140F58"/>
    <w:rsid w:val="3B170940"/>
    <w:rsid w:val="3B1A27F8"/>
    <w:rsid w:val="3B2A2C19"/>
    <w:rsid w:val="3B376B70"/>
    <w:rsid w:val="3B7A7129"/>
    <w:rsid w:val="3B7D7576"/>
    <w:rsid w:val="3B7F1E8C"/>
    <w:rsid w:val="3B890DAC"/>
    <w:rsid w:val="3BA25DBC"/>
    <w:rsid w:val="3BC76E9C"/>
    <w:rsid w:val="3BCB467A"/>
    <w:rsid w:val="3BE90506"/>
    <w:rsid w:val="3BEB6832"/>
    <w:rsid w:val="3BF45DB6"/>
    <w:rsid w:val="3BFA06DC"/>
    <w:rsid w:val="3C2E5ED4"/>
    <w:rsid w:val="3C40766B"/>
    <w:rsid w:val="3C7F621D"/>
    <w:rsid w:val="3C8B47EB"/>
    <w:rsid w:val="3CBB6AC9"/>
    <w:rsid w:val="3CBD35C8"/>
    <w:rsid w:val="3CEB1A97"/>
    <w:rsid w:val="3CFB2BFE"/>
    <w:rsid w:val="3D0D27EA"/>
    <w:rsid w:val="3D1456AE"/>
    <w:rsid w:val="3D145DCC"/>
    <w:rsid w:val="3D1C0002"/>
    <w:rsid w:val="3D2962ED"/>
    <w:rsid w:val="3D2D7B94"/>
    <w:rsid w:val="3D340B81"/>
    <w:rsid w:val="3D424389"/>
    <w:rsid w:val="3D4E706F"/>
    <w:rsid w:val="3D8311E9"/>
    <w:rsid w:val="3DAA319C"/>
    <w:rsid w:val="3E036111"/>
    <w:rsid w:val="3E2C1657"/>
    <w:rsid w:val="3E5D6B5C"/>
    <w:rsid w:val="3E7E4756"/>
    <w:rsid w:val="3E8106B7"/>
    <w:rsid w:val="3E845265"/>
    <w:rsid w:val="3E9A3719"/>
    <w:rsid w:val="3EC254C0"/>
    <w:rsid w:val="3ED07987"/>
    <w:rsid w:val="3EED10F8"/>
    <w:rsid w:val="3EFE25BA"/>
    <w:rsid w:val="3F0347D2"/>
    <w:rsid w:val="3F310FA6"/>
    <w:rsid w:val="3F337D20"/>
    <w:rsid w:val="3F506818"/>
    <w:rsid w:val="3F684E6E"/>
    <w:rsid w:val="3F6A3676"/>
    <w:rsid w:val="3F710A6F"/>
    <w:rsid w:val="3F7E1F67"/>
    <w:rsid w:val="3F83420A"/>
    <w:rsid w:val="3F8F7315"/>
    <w:rsid w:val="3F9960DF"/>
    <w:rsid w:val="3F9A203F"/>
    <w:rsid w:val="3FA67005"/>
    <w:rsid w:val="3FAE6184"/>
    <w:rsid w:val="3FE36C1C"/>
    <w:rsid w:val="3FE72AEA"/>
    <w:rsid w:val="3FEB19D5"/>
    <w:rsid w:val="403B55F7"/>
    <w:rsid w:val="403D5505"/>
    <w:rsid w:val="404C5FC4"/>
    <w:rsid w:val="40632B44"/>
    <w:rsid w:val="408853C4"/>
    <w:rsid w:val="409163A5"/>
    <w:rsid w:val="40D75E60"/>
    <w:rsid w:val="40F2437B"/>
    <w:rsid w:val="40FD48E0"/>
    <w:rsid w:val="40FE1BCF"/>
    <w:rsid w:val="40FE520F"/>
    <w:rsid w:val="41353E3C"/>
    <w:rsid w:val="414562FD"/>
    <w:rsid w:val="41497192"/>
    <w:rsid w:val="414C3B30"/>
    <w:rsid w:val="41563B9A"/>
    <w:rsid w:val="41731331"/>
    <w:rsid w:val="417B7161"/>
    <w:rsid w:val="41826EB4"/>
    <w:rsid w:val="418579D7"/>
    <w:rsid w:val="418C6B85"/>
    <w:rsid w:val="4196095F"/>
    <w:rsid w:val="41961CCB"/>
    <w:rsid w:val="419D72A2"/>
    <w:rsid w:val="41A0236E"/>
    <w:rsid w:val="41A96728"/>
    <w:rsid w:val="41AB6899"/>
    <w:rsid w:val="41F95353"/>
    <w:rsid w:val="42076836"/>
    <w:rsid w:val="420F1D94"/>
    <w:rsid w:val="423B1FA8"/>
    <w:rsid w:val="424E4424"/>
    <w:rsid w:val="429325D1"/>
    <w:rsid w:val="429B53DF"/>
    <w:rsid w:val="429E3CF8"/>
    <w:rsid w:val="42BC7452"/>
    <w:rsid w:val="42D12138"/>
    <w:rsid w:val="42F7079D"/>
    <w:rsid w:val="430D4AC0"/>
    <w:rsid w:val="431E047F"/>
    <w:rsid w:val="431E65EF"/>
    <w:rsid w:val="43522956"/>
    <w:rsid w:val="43624EAD"/>
    <w:rsid w:val="437750CA"/>
    <w:rsid w:val="437C1BC3"/>
    <w:rsid w:val="4387685F"/>
    <w:rsid w:val="438D45B9"/>
    <w:rsid w:val="43985D00"/>
    <w:rsid w:val="43986BA3"/>
    <w:rsid w:val="43AB2F4E"/>
    <w:rsid w:val="43AC3F44"/>
    <w:rsid w:val="43B1210D"/>
    <w:rsid w:val="43C53F65"/>
    <w:rsid w:val="43D35BC7"/>
    <w:rsid w:val="43DE77F3"/>
    <w:rsid w:val="43EF7EFB"/>
    <w:rsid w:val="43FA2050"/>
    <w:rsid w:val="4400649E"/>
    <w:rsid w:val="441910A9"/>
    <w:rsid w:val="441E4BDC"/>
    <w:rsid w:val="44500782"/>
    <w:rsid w:val="446871A0"/>
    <w:rsid w:val="4478624B"/>
    <w:rsid w:val="447B6681"/>
    <w:rsid w:val="4493367B"/>
    <w:rsid w:val="44961F17"/>
    <w:rsid w:val="44A84176"/>
    <w:rsid w:val="44AB74B4"/>
    <w:rsid w:val="44BB301C"/>
    <w:rsid w:val="44D27AB2"/>
    <w:rsid w:val="450A3185"/>
    <w:rsid w:val="450E61CB"/>
    <w:rsid w:val="451037D6"/>
    <w:rsid w:val="451E77A5"/>
    <w:rsid w:val="452905F3"/>
    <w:rsid w:val="45582FC6"/>
    <w:rsid w:val="4568103F"/>
    <w:rsid w:val="45801D53"/>
    <w:rsid w:val="45953C03"/>
    <w:rsid w:val="459A5BE3"/>
    <w:rsid w:val="45AE2DF6"/>
    <w:rsid w:val="45F459D1"/>
    <w:rsid w:val="46052F0A"/>
    <w:rsid w:val="460C379B"/>
    <w:rsid w:val="462B2635"/>
    <w:rsid w:val="464A3711"/>
    <w:rsid w:val="466B4F4C"/>
    <w:rsid w:val="469246C4"/>
    <w:rsid w:val="46977D08"/>
    <w:rsid w:val="46AF3AB5"/>
    <w:rsid w:val="46E25CA4"/>
    <w:rsid w:val="46E37251"/>
    <w:rsid w:val="46F40267"/>
    <w:rsid w:val="47017932"/>
    <w:rsid w:val="47294A71"/>
    <w:rsid w:val="474C71DB"/>
    <w:rsid w:val="475662DB"/>
    <w:rsid w:val="47651690"/>
    <w:rsid w:val="47756FD4"/>
    <w:rsid w:val="479B7297"/>
    <w:rsid w:val="47A214C1"/>
    <w:rsid w:val="47D626EF"/>
    <w:rsid w:val="47DE0285"/>
    <w:rsid w:val="47E81AB8"/>
    <w:rsid w:val="47F3460E"/>
    <w:rsid w:val="47F77566"/>
    <w:rsid w:val="47F94BE6"/>
    <w:rsid w:val="4812405E"/>
    <w:rsid w:val="481A3D49"/>
    <w:rsid w:val="481C1F20"/>
    <w:rsid w:val="48220E04"/>
    <w:rsid w:val="48225672"/>
    <w:rsid w:val="482454C6"/>
    <w:rsid w:val="48297C86"/>
    <w:rsid w:val="48370969"/>
    <w:rsid w:val="4844625B"/>
    <w:rsid w:val="486B4E85"/>
    <w:rsid w:val="48801F0A"/>
    <w:rsid w:val="488C6B30"/>
    <w:rsid w:val="48913C4F"/>
    <w:rsid w:val="489757F5"/>
    <w:rsid w:val="489C3512"/>
    <w:rsid w:val="489C7EA5"/>
    <w:rsid w:val="48AF592F"/>
    <w:rsid w:val="48DB5184"/>
    <w:rsid w:val="48DC4BB3"/>
    <w:rsid w:val="48F11175"/>
    <w:rsid w:val="48FC5916"/>
    <w:rsid w:val="49035E3C"/>
    <w:rsid w:val="49161A6F"/>
    <w:rsid w:val="491B567A"/>
    <w:rsid w:val="492819DC"/>
    <w:rsid w:val="49336FEA"/>
    <w:rsid w:val="493E22D0"/>
    <w:rsid w:val="49415896"/>
    <w:rsid w:val="4953162D"/>
    <w:rsid w:val="495C3D14"/>
    <w:rsid w:val="496A4A80"/>
    <w:rsid w:val="497C5511"/>
    <w:rsid w:val="498E2725"/>
    <w:rsid w:val="499C6D01"/>
    <w:rsid w:val="49A3132A"/>
    <w:rsid w:val="49B65DC9"/>
    <w:rsid w:val="49C828D8"/>
    <w:rsid w:val="49D94123"/>
    <w:rsid w:val="49E82B6B"/>
    <w:rsid w:val="49E970EA"/>
    <w:rsid w:val="49EE0415"/>
    <w:rsid w:val="4A0805D0"/>
    <w:rsid w:val="4A26545B"/>
    <w:rsid w:val="4A3E1268"/>
    <w:rsid w:val="4A560AA6"/>
    <w:rsid w:val="4A631F60"/>
    <w:rsid w:val="4A7B659D"/>
    <w:rsid w:val="4A8F76FA"/>
    <w:rsid w:val="4AA51F75"/>
    <w:rsid w:val="4AD018B4"/>
    <w:rsid w:val="4AD122F6"/>
    <w:rsid w:val="4AF76671"/>
    <w:rsid w:val="4AFB6678"/>
    <w:rsid w:val="4B12483C"/>
    <w:rsid w:val="4B17558A"/>
    <w:rsid w:val="4B1B4C10"/>
    <w:rsid w:val="4B281AD9"/>
    <w:rsid w:val="4B286964"/>
    <w:rsid w:val="4B462533"/>
    <w:rsid w:val="4B497516"/>
    <w:rsid w:val="4B5D6832"/>
    <w:rsid w:val="4B5F395F"/>
    <w:rsid w:val="4B887ABD"/>
    <w:rsid w:val="4B927D05"/>
    <w:rsid w:val="4BA71700"/>
    <w:rsid w:val="4BC40127"/>
    <w:rsid w:val="4BCF7C38"/>
    <w:rsid w:val="4BD1718E"/>
    <w:rsid w:val="4BD95ACE"/>
    <w:rsid w:val="4BE35197"/>
    <w:rsid w:val="4C000F41"/>
    <w:rsid w:val="4C1E38AF"/>
    <w:rsid w:val="4C1F09E8"/>
    <w:rsid w:val="4C3318E9"/>
    <w:rsid w:val="4C6A4F05"/>
    <w:rsid w:val="4C6B7BE3"/>
    <w:rsid w:val="4C771D65"/>
    <w:rsid w:val="4C783020"/>
    <w:rsid w:val="4C9743B6"/>
    <w:rsid w:val="4CD104DB"/>
    <w:rsid w:val="4CEE4DA0"/>
    <w:rsid w:val="4CFA5EBA"/>
    <w:rsid w:val="4CFB7F02"/>
    <w:rsid w:val="4D0B09F5"/>
    <w:rsid w:val="4D243AE6"/>
    <w:rsid w:val="4D2576BD"/>
    <w:rsid w:val="4D333254"/>
    <w:rsid w:val="4D362180"/>
    <w:rsid w:val="4D3C4079"/>
    <w:rsid w:val="4D4152D2"/>
    <w:rsid w:val="4D420722"/>
    <w:rsid w:val="4D561624"/>
    <w:rsid w:val="4D5D2973"/>
    <w:rsid w:val="4D670A85"/>
    <w:rsid w:val="4D743D70"/>
    <w:rsid w:val="4D806473"/>
    <w:rsid w:val="4DA27E03"/>
    <w:rsid w:val="4DB87F6B"/>
    <w:rsid w:val="4DE22211"/>
    <w:rsid w:val="4DF85FC0"/>
    <w:rsid w:val="4E001052"/>
    <w:rsid w:val="4E2B135E"/>
    <w:rsid w:val="4E2F0B94"/>
    <w:rsid w:val="4E3F2EE6"/>
    <w:rsid w:val="4E457068"/>
    <w:rsid w:val="4E4E4B6D"/>
    <w:rsid w:val="4E625DA3"/>
    <w:rsid w:val="4E7B029B"/>
    <w:rsid w:val="4E94139D"/>
    <w:rsid w:val="4ED36E10"/>
    <w:rsid w:val="4ED61833"/>
    <w:rsid w:val="4EDA18B9"/>
    <w:rsid w:val="4EEA1FB8"/>
    <w:rsid w:val="4F1214F9"/>
    <w:rsid w:val="4F37236C"/>
    <w:rsid w:val="4F400F3C"/>
    <w:rsid w:val="4F573543"/>
    <w:rsid w:val="4F851019"/>
    <w:rsid w:val="4FA24E56"/>
    <w:rsid w:val="4FA613D6"/>
    <w:rsid w:val="4FAE4B93"/>
    <w:rsid w:val="4FB43984"/>
    <w:rsid w:val="4FB80520"/>
    <w:rsid w:val="4FCE557D"/>
    <w:rsid w:val="4FCF67B8"/>
    <w:rsid w:val="4FFE7F33"/>
    <w:rsid w:val="500E331C"/>
    <w:rsid w:val="500F7F8E"/>
    <w:rsid w:val="5010363B"/>
    <w:rsid w:val="501802EF"/>
    <w:rsid w:val="501A6EB3"/>
    <w:rsid w:val="501C4E89"/>
    <w:rsid w:val="501E7B62"/>
    <w:rsid w:val="503108D2"/>
    <w:rsid w:val="50401C90"/>
    <w:rsid w:val="50520469"/>
    <w:rsid w:val="50705EA7"/>
    <w:rsid w:val="508A0BD0"/>
    <w:rsid w:val="508E4B33"/>
    <w:rsid w:val="50CB3E82"/>
    <w:rsid w:val="50DD3BA3"/>
    <w:rsid w:val="50E61CAB"/>
    <w:rsid w:val="50EE7DC2"/>
    <w:rsid w:val="514136A1"/>
    <w:rsid w:val="514A20B0"/>
    <w:rsid w:val="515463AA"/>
    <w:rsid w:val="516C2F33"/>
    <w:rsid w:val="517D1FD1"/>
    <w:rsid w:val="51820F0A"/>
    <w:rsid w:val="51B00924"/>
    <w:rsid w:val="51BD4A0F"/>
    <w:rsid w:val="51BF1CEA"/>
    <w:rsid w:val="51C55B60"/>
    <w:rsid w:val="51C720FB"/>
    <w:rsid w:val="51D2101C"/>
    <w:rsid w:val="51E441B2"/>
    <w:rsid w:val="51E878B5"/>
    <w:rsid w:val="51EE3F4A"/>
    <w:rsid w:val="51F8599D"/>
    <w:rsid w:val="51F97291"/>
    <w:rsid w:val="52144845"/>
    <w:rsid w:val="522B4481"/>
    <w:rsid w:val="523F3431"/>
    <w:rsid w:val="52433E33"/>
    <w:rsid w:val="52461D9B"/>
    <w:rsid w:val="52556F68"/>
    <w:rsid w:val="526131D0"/>
    <w:rsid w:val="527A0BC1"/>
    <w:rsid w:val="528E5F94"/>
    <w:rsid w:val="52B73817"/>
    <w:rsid w:val="52C92AF8"/>
    <w:rsid w:val="53014F84"/>
    <w:rsid w:val="53081FE2"/>
    <w:rsid w:val="53757657"/>
    <w:rsid w:val="53836E13"/>
    <w:rsid w:val="5399393C"/>
    <w:rsid w:val="53BC34C4"/>
    <w:rsid w:val="53CE29B7"/>
    <w:rsid w:val="5423339D"/>
    <w:rsid w:val="54451376"/>
    <w:rsid w:val="545B0024"/>
    <w:rsid w:val="54623CCF"/>
    <w:rsid w:val="54783F91"/>
    <w:rsid w:val="54C52C01"/>
    <w:rsid w:val="54DE257B"/>
    <w:rsid w:val="54F848FC"/>
    <w:rsid w:val="551B052F"/>
    <w:rsid w:val="551F503D"/>
    <w:rsid w:val="552E7B6C"/>
    <w:rsid w:val="55356F21"/>
    <w:rsid w:val="553B1566"/>
    <w:rsid w:val="553D5A1E"/>
    <w:rsid w:val="554E66B4"/>
    <w:rsid w:val="55623019"/>
    <w:rsid w:val="559508F1"/>
    <w:rsid w:val="55A0704C"/>
    <w:rsid w:val="55CD2AA4"/>
    <w:rsid w:val="55CD5B20"/>
    <w:rsid w:val="55DD38ED"/>
    <w:rsid w:val="55E33C19"/>
    <w:rsid w:val="55E3492A"/>
    <w:rsid w:val="55E63D84"/>
    <w:rsid w:val="55FB5288"/>
    <w:rsid w:val="560F5295"/>
    <w:rsid w:val="56536DD0"/>
    <w:rsid w:val="569C20D1"/>
    <w:rsid w:val="56A16CF1"/>
    <w:rsid w:val="56C569E8"/>
    <w:rsid w:val="56D62B0B"/>
    <w:rsid w:val="56EA1F97"/>
    <w:rsid w:val="56FE7B3D"/>
    <w:rsid w:val="57115A76"/>
    <w:rsid w:val="57356CE5"/>
    <w:rsid w:val="57400691"/>
    <w:rsid w:val="57477A7D"/>
    <w:rsid w:val="574C5991"/>
    <w:rsid w:val="575E0275"/>
    <w:rsid w:val="57685E63"/>
    <w:rsid w:val="576E359C"/>
    <w:rsid w:val="57761A73"/>
    <w:rsid w:val="57803A91"/>
    <w:rsid w:val="578F63E0"/>
    <w:rsid w:val="57974CC5"/>
    <w:rsid w:val="57AA5D1A"/>
    <w:rsid w:val="57B717AF"/>
    <w:rsid w:val="57C06BFC"/>
    <w:rsid w:val="57D0016E"/>
    <w:rsid w:val="57D46CDD"/>
    <w:rsid w:val="57DD461C"/>
    <w:rsid w:val="57DE15F7"/>
    <w:rsid w:val="57F052A5"/>
    <w:rsid w:val="57F56DA8"/>
    <w:rsid w:val="580F5DBC"/>
    <w:rsid w:val="58372026"/>
    <w:rsid w:val="584809DA"/>
    <w:rsid w:val="587316C8"/>
    <w:rsid w:val="588A1881"/>
    <w:rsid w:val="588C1B3F"/>
    <w:rsid w:val="588C3DE2"/>
    <w:rsid w:val="58952B75"/>
    <w:rsid w:val="589923E8"/>
    <w:rsid w:val="58D3199A"/>
    <w:rsid w:val="58DA5821"/>
    <w:rsid w:val="58E146E6"/>
    <w:rsid w:val="58E80082"/>
    <w:rsid w:val="59043E08"/>
    <w:rsid w:val="5934326C"/>
    <w:rsid w:val="59471B28"/>
    <w:rsid w:val="59763E82"/>
    <w:rsid w:val="597B318D"/>
    <w:rsid w:val="597F5245"/>
    <w:rsid w:val="598A3666"/>
    <w:rsid w:val="59A3232E"/>
    <w:rsid w:val="59A63822"/>
    <w:rsid w:val="59AC10B0"/>
    <w:rsid w:val="59B8355B"/>
    <w:rsid w:val="59F91109"/>
    <w:rsid w:val="59FE08FA"/>
    <w:rsid w:val="5A257E94"/>
    <w:rsid w:val="5A2736BC"/>
    <w:rsid w:val="5A2A02BF"/>
    <w:rsid w:val="5A5106AE"/>
    <w:rsid w:val="5A60741A"/>
    <w:rsid w:val="5A7A608F"/>
    <w:rsid w:val="5A955DA5"/>
    <w:rsid w:val="5A976E36"/>
    <w:rsid w:val="5A9D694A"/>
    <w:rsid w:val="5AA2358A"/>
    <w:rsid w:val="5AA24080"/>
    <w:rsid w:val="5AAD1EF8"/>
    <w:rsid w:val="5ACF7403"/>
    <w:rsid w:val="5B2577D7"/>
    <w:rsid w:val="5B365C08"/>
    <w:rsid w:val="5B46719F"/>
    <w:rsid w:val="5B5C0955"/>
    <w:rsid w:val="5B60313C"/>
    <w:rsid w:val="5B705B09"/>
    <w:rsid w:val="5B7B2848"/>
    <w:rsid w:val="5B9331F3"/>
    <w:rsid w:val="5B983712"/>
    <w:rsid w:val="5B997CCC"/>
    <w:rsid w:val="5B9D7438"/>
    <w:rsid w:val="5BA42A14"/>
    <w:rsid w:val="5BC52ADE"/>
    <w:rsid w:val="5C007F19"/>
    <w:rsid w:val="5C1E7608"/>
    <w:rsid w:val="5C4C2917"/>
    <w:rsid w:val="5C504986"/>
    <w:rsid w:val="5C60141A"/>
    <w:rsid w:val="5C691962"/>
    <w:rsid w:val="5C757E7F"/>
    <w:rsid w:val="5C8D4642"/>
    <w:rsid w:val="5CA70BEA"/>
    <w:rsid w:val="5CFA70E0"/>
    <w:rsid w:val="5CFF3634"/>
    <w:rsid w:val="5D0B0214"/>
    <w:rsid w:val="5D1A0A42"/>
    <w:rsid w:val="5D282771"/>
    <w:rsid w:val="5D3A4C89"/>
    <w:rsid w:val="5D42151C"/>
    <w:rsid w:val="5D4F1710"/>
    <w:rsid w:val="5D5D43F4"/>
    <w:rsid w:val="5D5F478F"/>
    <w:rsid w:val="5D71045F"/>
    <w:rsid w:val="5D9A4060"/>
    <w:rsid w:val="5DAB19D1"/>
    <w:rsid w:val="5DBE340A"/>
    <w:rsid w:val="5DD263B9"/>
    <w:rsid w:val="5DE41D76"/>
    <w:rsid w:val="5DE555FC"/>
    <w:rsid w:val="5DF27C61"/>
    <w:rsid w:val="5E4A015A"/>
    <w:rsid w:val="5E617327"/>
    <w:rsid w:val="5E772D56"/>
    <w:rsid w:val="5E843AB7"/>
    <w:rsid w:val="5E9A1FB9"/>
    <w:rsid w:val="5EB11CC9"/>
    <w:rsid w:val="5EB3347B"/>
    <w:rsid w:val="5EB7165F"/>
    <w:rsid w:val="5EDA2E6C"/>
    <w:rsid w:val="5EDF49B6"/>
    <w:rsid w:val="5EE659E4"/>
    <w:rsid w:val="5EF029BA"/>
    <w:rsid w:val="5EF2401E"/>
    <w:rsid w:val="5EF37A12"/>
    <w:rsid w:val="5F19063B"/>
    <w:rsid w:val="5F2A58BF"/>
    <w:rsid w:val="5F2D2E3D"/>
    <w:rsid w:val="5F3F28CF"/>
    <w:rsid w:val="5F4D6034"/>
    <w:rsid w:val="5F6F41EF"/>
    <w:rsid w:val="5FBE3FE5"/>
    <w:rsid w:val="5FC03792"/>
    <w:rsid w:val="5FC939D5"/>
    <w:rsid w:val="5FDA399F"/>
    <w:rsid w:val="5FF22D36"/>
    <w:rsid w:val="5FFA79ED"/>
    <w:rsid w:val="60075E39"/>
    <w:rsid w:val="600D0AF4"/>
    <w:rsid w:val="601C382B"/>
    <w:rsid w:val="60273573"/>
    <w:rsid w:val="60276DC2"/>
    <w:rsid w:val="602A54A3"/>
    <w:rsid w:val="60315C67"/>
    <w:rsid w:val="60370997"/>
    <w:rsid w:val="604F40FC"/>
    <w:rsid w:val="605A259A"/>
    <w:rsid w:val="6060154E"/>
    <w:rsid w:val="606870EA"/>
    <w:rsid w:val="606D0EF6"/>
    <w:rsid w:val="60B07C9E"/>
    <w:rsid w:val="60D06270"/>
    <w:rsid w:val="60EA7F29"/>
    <w:rsid w:val="61013040"/>
    <w:rsid w:val="611128E5"/>
    <w:rsid w:val="611C35B8"/>
    <w:rsid w:val="612260FC"/>
    <w:rsid w:val="61315EF6"/>
    <w:rsid w:val="613A0A49"/>
    <w:rsid w:val="614E56CB"/>
    <w:rsid w:val="615440FF"/>
    <w:rsid w:val="616E368F"/>
    <w:rsid w:val="6184566A"/>
    <w:rsid w:val="619012C2"/>
    <w:rsid w:val="61AE7556"/>
    <w:rsid w:val="61D41854"/>
    <w:rsid w:val="61E3363C"/>
    <w:rsid w:val="62282B27"/>
    <w:rsid w:val="623743B3"/>
    <w:rsid w:val="623E7108"/>
    <w:rsid w:val="625A6442"/>
    <w:rsid w:val="626A1CE1"/>
    <w:rsid w:val="626C134E"/>
    <w:rsid w:val="629B22CB"/>
    <w:rsid w:val="62A3229B"/>
    <w:rsid w:val="62A45588"/>
    <w:rsid w:val="62A57C35"/>
    <w:rsid w:val="62B952CA"/>
    <w:rsid w:val="62E07553"/>
    <w:rsid w:val="63081C9E"/>
    <w:rsid w:val="63421845"/>
    <w:rsid w:val="634A387E"/>
    <w:rsid w:val="6361478E"/>
    <w:rsid w:val="636E52EB"/>
    <w:rsid w:val="637BCF4F"/>
    <w:rsid w:val="638B4892"/>
    <w:rsid w:val="638F365A"/>
    <w:rsid w:val="639279AF"/>
    <w:rsid w:val="63944825"/>
    <w:rsid w:val="63D762DC"/>
    <w:rsid w:val="63EC2A57"/>
    <w:rsid w:val="63F76F5B"/>
    <w:rsid w:val="63FE5C95"/>
    <w:rsid w:val="640E22EE"/>
    <w:rsid w:val="641222ED"/>
    <w:rsid w:val="64156B80"/>
    <w:rsid w:val="642B5582"/>
    <w:rsid w:val="642F3826"/>
    <w:rsid w:val="643B040A"/>
    <w:rsid w:val="645D1336"/>
    <w:rsid w:val="64643953"/>
    <w:rsid w:val="649122E0"/>
    <w:rsid w:val="6491381F"/>
    <w:rsid w:val="64B77EFF"/>
    <w:rsid w:val="64BB209D"/>
    <w:rsid w:val="64FB2F8F"/>
    <w:rsid w:val="65077676"/>
    <w:rsid w:val="651722E7"/>
    <w:rsid w:val="65347231"/>
    <w:rsid w:val="65740427"/>
    <w:rsid w:val="6577651D"/>
    <w:rsid w:val="658C66C4"/>
    <w:rsid w:val="65A05658"/>
    <w:rsid w:val="65AC2EFD"/>
    <w:rsid w:val="65B46375"/>
    <w:rsid w:val="65D37A5B"/>
    <w:rsid w:val="65F4511D"/>
    <w:rsid w:val="65F47DC0"/>
    <w:rsid w:val="65FF7596"/>
    <w:rsid w:val="66021A37"/>
    <w:rsid w:val="66096B05"/>
    <w:rsid w:val="6627721E"/>
    <w:rsid w:val="66537DD0"/>
    <w:rsid w:val="66753E2C"/>
    <w:rsid w:val="6687460E"/>
    <w:rsid w:val="66A146AB"/>
    <w:rsid w:val="66A34F7A"/>
    <w:rsid w:val="66A43DA7"/>
    <w:rsid w:val="66AE0D1C"/>
    <w:rsid w:val="66B56271"/>
    <w:rsid w:val="66C32061"/>
    <w:rsid w:val="66C500E9"/>
    <w:rsid w:val="66CE247E"/>
    <w:rsid w:val="66D1553B"/>
    <w:rsid w:val="66D678E5"/>
    <w:rsid w:val="66D76349"/>
    <w:rsid w:val="66E23A48"/>
    <w:rsid w:val="66EF31C1"/>
    <w:rsid w:val="66F123D1"/>
    <w:rsid w:val="66F16A47"/>
    <w:rsid w:val="66F203EF"/>
    <w:rsid w:val="671A0D2D"/>
    <w:rsid w:val="67200F9C"/>
    <w:rsid w:val="672252C1"/>
    <w:rsid w:val="67340A1D"/>
    <w:rsid w:val="674A4FC0"/>
    <w:rsid w:val="674D101A"/>
    <w:rsid w:val="675249FA"/>
    <w:rsid w:val="67654CDF"/>
    <w:rsid w:val="67683CFC"/>
    <w:rsid w:val="67695733"/>
    <w:rsid w:val="67B406DA"/>
    <w:rsid w:val="67C75EAB"/>
    <w:rsid w:val="67D13F82"/>
    <w:rsid w:val="67D47556"/>
    <w:rsid w:val="67E83BD3"/>
    <w:rsid w:val="67FA4933"/>
    <w:rsid w:val="67FE0A51"/>
    <w:rsid w:val="683021EA"/>
    <w:rsid w:val="6831292C"/>
    <w:rsid w:val="683A5F07"/>
    <w:rsid w:val="683D4EA1"/>
    <w:rsid w:val="68482B4B"/>
    <w:rsid w:val="6857517B"/>
    <w:rsid w:val="685F2B0C"/>
    <w:rsid w:val="68615AEE"/>
    <w:rsid w:val="686465B8"/>
    <w:rsid w:val="686E2F1C"/>
    <w:rsid w:val="686E4CA0"/>
    <w:rsid w:val="686F3D4E"/>
    <w:rsid w:val="6892121B"/>
    <w:rsid w:val="689E473A"/>
    <w:rsid w:val="689F77D6"/>
    <w:rsid w:val="68A772BD"/>
    <w:rsid w:val="68AD32C0"/>
    <w:rsid w:val="68B055E0"/>
    <w:rsid w:val="68C163CF"/>
    <w:rsid w:val="68E01B05"/>
    <w:rsid w:val="68F77559"/>
    <w:rsid w:val="690A7BA1"/>
    <w:rsid w:val="693053C2"/>
    <w:rsid w:val="69577852"/>
    <w:rsid w:val="697548DF"/>
    <w:rsid w:val="697A46A8"/>
    <w:rsid w:val="69AA61FA"/>
    <w:rsid w:val="69B022B6"/>
    <w:rsid w:val="69B72806"/>
    <w:rsid w:val="69B83AE8"/>
    <w:rsid w:val="69C21FC2"/>
    <w:rsid w:val="69D05774"/>
    <w:rsid w:val="69DD68EF"/>
    <w:rsid w:val="69F431E5"/>
    <w:rsid w:val="6A0B12F9"/>
    <w:rsid w:val="6A0D79ED"/>
    <w:rsid w:val="6A387A83"/>
    <w:rsid w:val="6A4E3481"/>
    <w:rsid w:val="6AB0358F"/>
    <w:rsid w:val="6AC81DFB"/>
    <w:rsid w:val="6ACC2C9C"/>
    <w:rsid w:val="6ACC4B2B"/>
    <w:rsid w:val="6AD5470C"/>
    <w:rsid w:val="6B156F01"/>
    <w:rsid w:val="6B1823F4"/>
    <w:rsid w:val="6B302155"/>
    <w:rsid w:val="6B5061B8"/>
    <w:rsid w:val="6B5541CC"/>
    <w:rsid w:val="6B594757"/>
    <w:rsid w:val="6B794694"/>
    <w:rsid w:val="6BB10ECA"/>
    <w:rsid w:val="6BB80CD3"/>
    <w:rsid w:val="6BD97443"/>
    <w:rsid w:val="6BE154D6"/>
    <w:rsid w:val="6BE27333"/>
    <w:rsid w:val="6BFA34BF"/>
    <w:rsid w:val="6C1E27AA"/>
    <w:rsid w:val="6C253A83"/>
    <w:rsid w:val="6C282E9B"/>
    <w:rsid w:val="6C4C1DDE"/>
    <w:rsid w:val="6C60775B"/>
    <w:rsid w:val="6C787CBB"/>
    <w:rsid w:val="6C8A4E5F"/>
    <w:rsid w:val="6C8C5CC8"/>
    <w:rsid w:val="6C9165B6"/>
    <w:rsid w:val="6CA87474"/>
    <w:rsid w:val="6CAE0CBE"/>
    <w:rsid w:val="6CBA4949"/>
    <w:rsid w:val="6D1075E9"/>
    <w:rsid w:val="6D2F4343"/>
    <w:rsid w:val="6D353D8C"/>
    <w:rsid w:val="6D4E6285"/>
    <w:rsid w:val="6D5C18AC"/>
    <w:rsid w:val="6D6B1613"/>
    <w:rsid w:val="6D886D51"/>
    <w:rsid w:val="6DCC4C0D"/>
    <w:rsid w:val="6DEA0A67"/>
    <w:rsid w:val="6DEC6437"/>
    <w:rsid w:val="6DEE1BE4"/>
    <w:rsid w:val="6DFC561D"/>
    <w:rsid w:val="6E035957"/>
    <w:rsid w:val="6E0F76B0"/>
    <w:rsid w:val="6E382FA7"/>
    <w:rsid w:val="6E395E9E"/>
    <w:rsid w:val="6E4341AC"/>
    <w:rsid w:val="6E4B46DF"/>
    <w:rsid w:val="6E5126B4"/>
    <w:rsid w:val="6E567C0C"/>
    <w:rsid w:val="6E5A5127"/>
    <w:rsid w:val="6E5D6868"/>
    <w:rsid w:val="6E683231"/>
    <w:rsid w:val="6E7C1EB5"/>
    <w:rsid w:val="6EB664D0"/>
    <w:rsid w:val="6ED36BB1"/>
    <w:rsid w:val="6EE110A6"/>
    <w:rsid w:val="6EF03BAE"/>
    <w:rsid w:val="6F155D21"/>
    <w:rsid w:val="6F1E3244"/>
    <w:rsid w:val="6F286746"/>
    <w:rsid w:val="6F2B2506"/>
    <w:rsid w:val="6F436F8F"/>
    <w:rsid w:val="6F451BBF"/>
    <w:rsid w:val="6F634567"/>
    <w:rsid w:val="6F8D6B1D"/>
    <w:rsid w:val="6F9521C8"/>
    <w:rsid w:val="6FAE4748"/>
    <w:rsid w:val="6FD91F90"/>
    <w:rsid w:val="6FE31AA8"/>
    <w:rsid w:val="70045D42"/>
    <w:rsid w:val="700A0D6E"/>
    <w:rsid w:val="704D2ABA"/>
    <w:rsid w:val="706717CB"/>
    <w:rsid w:val="707200F0"/>
    <w:rsid w:val="707663A9"/>
    <w:rsid w:val="707F274F"/>
    <w:rsid w:val="70950CE0"/>
    <w:rsid w:val="709D2458"/>
    <w:rsid w:val="70A2698B"/>
    <w:rsid w:val="70AA312E"/>
    <w:rsid w:val="70B3627C"/>
    <w:rsid w:val="70C24A2F"/>
    <w:rsid w:val="70CC0C4C"/>
    <w:rsid w:val="70E41087"/>
    <w:rsid w:val="70E65326"/>
    <w:rsid w:val="70E80F60"/>
    <w:rsid w:val="70F11D57"/>
    <w:rsid w:val="71014D29"/>
    <w:rsid w:val="710A2B65"/>
    <w:rsid w:val="71191A27"/>
    <w:rsid w:val="711F713E"/>
    <w:rsid w:val="71217371"/>
    <w:rsid w:val="712E54D4"/>
    <w:rsid w:val="71321C7C"/>
    <w:rsid w:val="714A1780"/>
    <w:rsid w:val="71637917"/>
    <w:rsid w:val="7170146E"/>
    <w:rsid w:val="71705776"/>
    <w:rsid w:val="717268C8"/>
    <w:rsid w:val="71802D0E"/>
    <w:rsid w:val="71832D45"/>
    <w:rsid w:val="71880353"/>
    <w:rsid w:val="718F5890"/>
    <w:rsid w:val="71947E73"/>
    <w:rsid w:val="71981E73"/>
    <w:rsid w:val="71C16BD6"/>
    <w:rsid w:val="71C363B8"/>
    <w:rsid w:val="71D14144"/>
    <w:rsid w:val="72143089"/>
    <w:rsid w:val="72150CEA"/>
    <w:rsid w:val="721F1006"/>
    <w:rsid w:val="721F4F40"/>
    <w:rsid w:val="7227177D"/>
    <w:rsid w:val="723419F5"/>
    <w:rsid w:val="7235573F"/>
    <w:rsid w:val="723E6CB9"/>
    <w:rsid w:val="72477BAC"/>
    <w:rsid w:val="7255330E"/>
    <w:rsid w:val="726C56B8"/>
    <w:rsid w:val="72760CB0"/>
    <w:rsid w:val="7288771C"/>
    <w:rsid w:val="729326C7"/>
    <w:rsid w:val="72A458E1"/>
    <w:rsid w:val="72B13FB1"/>
    <w:rsid w:val="72C13E7C"/>
    <w:rsid w:val="72CD388B"/>
    <w:rsid w:val="72CE592F"/>
    <w:rsid w:val="72D21B1B"/>
    <w:rsid w:val="73014E33"/>
    <w:rsid w:val="730770A2"/>
    <w:rsid w:val="73197AE0"/>
    <w:rsid w:val="73221860"/>
    <w:rsid w:val="732F2FC7"/>
    <w:rsid w:val="733A4EF6"/>
    <w:rsid w:val="733D0234"/>
    <w:rsid w:val="733D1497"/>
    <w:rsid w:val="735F4C52"/>
    <w:rsid w:val="73773239"/>
    <w:rsid w:val="739D4E7F"/>
    <w:rsid w:val="73A52CA9"/>
    <w:rsid w:val="73C66DBA"/>
    <w:rsid w:val="73C82E30"/>
    <w:rsid w:val="73FA14E3"/>
    <w:rsid w:val="73FA4129"/>
    <w:rsid w:val="73FD29BB"/>
    <w:rsid w:val="740A7F35"/>
    <w:rsid w:val="740B686A"/>
    <w:rsid w:val="74193434"/>
    <w:rsid w:val="7436153F"/>
    <w:rsid w:val="744401CE"/>
    <w:rsid w:val="745819FD"/>
    <w:rsid w:val="746C366D"/>
    <w:rsid w:val="748200B4"/>
    <w:rsid w:val="749C71E6"/>
    <w:rsid w:val="74AC77E0"/>
    <w:rsid w:val="74DE6D4A"/>
    <w:rsid w:val="75045F44"/>
    <w:rsid w:val="75154170"/>
    <w:rsid w:val="751F2CCD"/>
    <w:rsid w:val="75334F10"/>
    <w:rsid w:val="754A3843"/>
    <w:rsid w:val="755811A7"/>
    <w:rsid w:val="755E6626"/>
    <w:rsid w:val="75714F21"/>
    <w:rsid w:val="75801690"/>
    <w:rsid w:val="75841DF5"/>
    <w:rsid w:val="75883FFE"/>
    <w:rsid w:val="759118EE"/>
    <w:rsid w:val="759A0BFF"/>
    <w:rsid w:val="75A62B5C"/>
    <w:rsid w:val="75B660D9"/>
    <w:rsid w:val="75DA056C"/>
    <w:rsid w:val="75E13877"/>
    <w:rsid w:val="75FA2F4D"/>
    <w:rsid w:val="76177C7F"/>
    <w:rsid w:val="761E4555"/>
    <w:rsid w:val="7652518B"/>
    <w:rsid w:val="765661CE"/>
    <w:rsid w:val="766B1FE7"/>
    <w:rsid w:val="767737E8"/>
    <w:rsid w:val="7687321E"/>
    <w:rsid w:val="769C5380"/>
    <w:rsid w:val="769D488D"/>
    <w:rsid w:val="76A648DB"/>
    <w:rsid w:val="76AA6FCA"/>
    <w:rsid w:val="76AD33AB"/>
    <w:rsid w:val="76AE1A33"/>
    <w:rsid w:val="76B645C9"/>
    <w:rsid w:val="76CB05E9"/>
    <w:rsid w:val="76F557EA"/>
    <w:rsid w:val="76FB601C"/>
    <w:rsid w:val="771E0B46"/>
    <w:rsid w:val="77243900"/>
    <w:rsid w:val="7745626C"/>
    <w:rsid w:val="774A218D"/>
    <w:rsid w:val="77534E7F"/>
    <w:rsid w:val="77765B6B"/>
    <w:rsid w:val="777D79D9"/>
    <w:rsid w:val="7788271D"/>
    <w:rsid w:val="778A3CA6"/>
    <w:rsid w:val="77AB127E"/>
    <w:rsid w:val="77B8759C"/>
    <w:rsid w:val="77CA7AD8"/>
    <w:rsid w:val="77E606B5"/>
    <w:rsid w:val="77F04589"/>
    <w:rsid w:val="780776F7"/>
    <w:rsid w:val="785D4AC2"/>
    <w:rsid w:val="78755AD9"/>
    <w:rsid w:val="78867CFB"/>
    <w:rsid w:val="7895518B"/>
    <w:rsid w:val="78DA375A"/>
    <w:rsid w:val="78FB6861"/>
    <w:rsid w:val="790C30F7"/>
    <w:rsid w:val="79182F94"/>
    <w:rsid w:val="791E6626"/>
    <w:rsid w:val="791F15A3"/>
    <w:rsid w:val="791F1ABD"/>
    <w:rsid w:val="792A6014"/>
    <w:rsid w:val="792A77CA"/>
    <w:rsid w:val="792C1C9C"/>
    <w:rsid w:val="79534836"/>
    <w:rsid w:val="795F47C4"/>
    <w:rsid w:val="79880110"/>
    <w:rsid w:val="79894347"/>
    <w:rsid w:val="799447B2"/>
    <w:rsid w:val="79993DEC"/>
    <w:rsid w:val="79A91848"/>
    <w:rsid w:val="79B155D3"/>
    <w:rsid w:val="79BE02AE"/>
    <w:rsid w:val="79C44E91"/>
    <w:rsid w:val="79C530CE"/>
    <w:rsid w:val="79D75B18"/>
    <w:rsid w:val="79F9227E"/>
    <w:rsid w:val="7A03141B"/>
    <w:rsid w:val="7A102B3D"/>
    <w:rsid w:val="7A2F5A98"/>
    <w:rsid w:val="7A340EA4"/>
    <w:rsid w:val="7A3F5F0E"/>
    <w:rsid w:val="7A402127"/>
    <w:rsid w:val="7A677819"/>
    <w:rsid w:val="7A75750A"/>
    <w:rsid w:val="7A7C3110"/>
    <w:rsid w:val="7A9E603E"/>
    <w:rsid w:val="7AA5799A"/>
    <w:rsid w:val="7AAE7A48"/>
    <w:rsid w:val="7AF259C5"/>
    <w:rsid w:val="7B12265C"/>
    <w:rsid w:val="7B1A4642"/>
    <w:rsid w:val="7B4E1237"/>
    <w:rsid w:val="7B52531A"/>
    <w:rsid w:val="7B557668"/>
    <w:rsid w:val="7B5721B8"/>
    <w:rsid w:val="7B5C6BFD"/>
    <w:rsid w:val="7B707D38"/>
    <w:rsid w:val="7B7F7574"/>
    <w:rsid w:val="7B884D33"/>
    <w:rsid w:val="7BA630A7"/>
    <w:rsid w:val="7BBB6A08"/>
    <w:rsid w:val="7BCB5994"/>
    <w:rsid w:val="7BED154E"/>
    <w:rsid w:val="7BED6B05"/>
    <w:rsid w:val="7C1946E0"/>
    <w:rsid w:val="7C42078B"/>
    <w:rsid w:val="7C527996"/>
    <w:rsid w:val="7C953CBE"/>
    <w:rsid w:val="7C9C6D51"/>
    <w:rsid w:val="7CA326C8"/>
    <w:rsid w:val="7CAA5F0D"/>
    <w:rsid w:val="7CC500B7"/>
    <w:rsid w:val="7D1B3CD3"/>
    <w:rsid w:val="7D25417D"/>
    <w:rsid w:val="7D470375"/>
    <w:rsid w:val="7D5A124C"/>
    <w:rsid w:val="7D6B3C9C"/>
    <w:rsid w:val="7D6C7837"/>
    <w:rsid w:val="7D87483A"/>
    <w:rsid w:val="7D886B89"/>
    <w:rsid w:val="7D8A3047"/>
    <w:rsid w:val="7D92427A"/>
    <w:rsid w:val="7D9A4A61"/>
    <w:rsid w:val="7DA653E8"/>
    <w:rsid w:val="7DAB4450"/>
    <w:rsid w:val="7DAE4568"/>
    <w:rsid w:val="7DC3009F"/>
    <w:rsid w:val="7DC80DDA"/>
    <w:rsid w:val="7DDC30D5"/>
    <w:rsid w:val="7E0B16A2"/>
    <w:rsid w:val="7E12506E"/>
    <w:rsid w:val="7E1B5179"/>
    <w:rsid w:val="7E3610F8"/>
    <w:rsid w:val="7E510147"/>
    <w:rsid w:val="7E594E0B"/>
    <w:rsid w:val="7E7C766D"/>
    <w:rsid w:val="7E833262"/>
    <w:rsid w:val="7E896BC6"/>
    <w:rsid w:val="7E932FC5"/>
    <w:rsid w:val="7E9B5F2D"/>
    <w:rsid w:val="7ECE4E91"/>
    <w:rsid w:val="7ECE6209"/>
    <w:rsid w:val="7EDB5D8D"/>
    <w:rsid w:val="7EDD4604"/>
    <w:rsid w:val="7EE626A2"/>
    <w:rsid w:val="7F0A31ED"/>
    <w:rsid w:val="7F165CD8"/>
    <w:rsid w:val="7F243837"/>
    <w:rsid w:val="7F2A3BE3"/>
    <w:rsid w:val="7F2B17D8"/>
    <w:rsid w:val="7F3C05D3"/>
    <w:rsid w:val="7F4E60A4"/>
    <w:rsid w:val="7F676C28"/>
    <w:rsid w:val="7F6FD541"/>
    <w:rsid w:val="7F751E64"/>
    <w:rsid w:val="7F7A4953"/>
    <w:rsid w:val="7F806C96"/>
    <w:rsid w:val="7F8A2766"/>
    <w:rsid w:val="7F90721E"/>
    <w:rsid w:val="7F990359"/>
    <w:rsid w:val="7FAC08C1"/>
    <w:rsid w:val="7FAD0277"/>
    <w:rsid w:val="7FB44E0C"/>
    <w:rsid w:val="7FCF5193"/>
    <w:rsid w:val="7FD06104"/>
    <w:rsid w:val="7FF03D02"/>
    <w:rsid w:val="CC7E3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2"/>
      </w:numPr>
    </w:pPr>
  </w:style>
  <w:style w:type="paragraph" w:styleId="6">
    <w:name w:val="Normal Indent"/>
    <w:basedOn w:val="1"/>
    <w:next w:val="1"/>
    <w:qFormat/>
    <w:uiPriority w:val="0"/>
    <w:pPr>
      <w:ind w:firstLine="420"/>
    </w:pPr>
    <w:rPr>
      <w:szCs w:val="20"/>
    </w:rPr>
  </w:style>
  <w:style w:type="paragraph" w:styleId="7">
    <w:name w:val="toa heading"/>
    <w:basedOn w:val="1"/>
    <w:next w:val="1"/>
    <w:semiHidden/>
    <w:qFormat/>
    <w:uiPriority w:val="99"/>
    <w:pPr>
      <w:spacing w:before="120"/>
    </w:pPr>
    <w:rPr>
      <w:rFonts w:ascii="Arial" w:hAnsi="Arial" w:cs="Arial"/>
      <w:sz w:val="24"/>
    </w:rPr>
  </w:style>
  <w:style w:type="paragraph" w:styleId="8">
    <w:name w:val="annotation text"/>
    <w:basedOn w:val="1"/>
    <w:qFormat/>
    <w:uiPriority w:val="0"/>
    <w:pPr>
      <w:jc w:val="left"/>
    </w:pPr>
  </w:style>
  <w:style w:type="paragraph" w:styleId="9">
    <w:name w:val="Body Text"/>
    <w:basedOn w:val="1"/>
    <w:qFormat/>
    <w:uiPriority w:val="0"/>
    <w:pPr>
      <w:spacing w:line="360" w:lineRule="exact"/>
    </w:pPr>
    <w:rPr>
      <w:sz w:val="24"/>
    </w:rPr>
  </w:style>
  <w:style w:type="paragraph" w:styleId="10">
    <w:name w:val="Body Text Indent"/>
    <w:basedOn w:val="1"/>
    <w:next w:val="1"/>
    <w:qFormat/>
    <w:uiPriority w:val="0"/>
    <w:pPr>
      <w:spacing w:after="120"/>
      <w:ind w:left="420" w:leftChars="200"/>
    </w:pPr>
  </w:style>
  <w:style w:type="paragraph" w:styleId="11">
    <w:name w:val="Plain Text"/>
    <w:basedOn w:val="1"/>
    <w:next w:val="12"/>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5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7">
    <w:name w:val="toc 6"/>
    <w:basedOn w:val="1"/>
    <w:next w:val="1"/>
    <w:unhideWhenUsed/>
    <w:qFormat/>
    <w:uiPriority w:val="39"/>
    <w:pPr>
      <w:widowControl/>
      <w:ind w:left="2100" w:leftChars="1000"/>
      <w:jc w:val="left"/>
    </w:pPr>
    <w:rPr>
      <w:rFonts w:ascii="宋体" w:hAnsi="宋体" w:cs="宋体"/>
      <w:kern w:val="0"/>
      <w:sz w:val="24"/>
    </w:rPr>
  </w:style>
  <w:style w:type="paragraph" w:styleId="1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9">
    <w:name w:val="Title"/>
    <w:basedOn w:val="1"/>
    <w:qFormat/>
    <w:uiPriority w:val="10"/>
    <w:pPr>
      <w:spacing w:before="240" w:after="60"/>
      <w:jc w:val="center"/>
      <w:outlineLvl w:val="0"/>
    </w:pPr>
    <w:rPr>
      <w:rFonts w:ascii="Arial" w:hAnsi="Arial"/>
      <w:b/>
      <w:sz w:val="32"/>
    </w:rPr>
  </w:style>
  <w:style w:type="paragraph" w:styleId="20">
    <w:name w:val="Body Text First Indent"/>
    <w:basedOn w:val="9"/>
    <w:next w:val="17"/>
    <w:qFormat/>
    <w:uiPriority w:val="0"/>
    <w:pPr>
      <w:ind w:firstLine="200" w:firstLineChars="200"/>
    </w:pPr>
  </w:style>
  <w:style w:type="paragraph" w:styleId="21">
    <w:name w:val="Body Text First Indent 2"/>
    <w:basedOn w:val="10"/>
    <w:qFormat/>
    <w:uiPriority w:val="0"/>
    <w:pPr>
      <w:ind w:firstLine="420"/>
    </w:pPr>
  </w:style>
  <w:style w:type="table" w:styleId="23">
    <w:name w:val="Table Grid"/>
    <w:basedOn w:val="22"/>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5">
    <w:name w:val="FollowedHyperlink"/>
    <w:basedOn w:val="24"/>
    <w:qFormat/>
    <w:uiPriority w:val="0"/>
    <w:rPr>
      <w:color w:val="800080"/>
      <w:u w:val="single"/>
    </w:rPr>
  </w:style>
  <w:style w:type="character" w:styleId="26">
    <w:name w:val="Hyperlink"/>
    <w:qFormat/>
    <w:uiPriority w:val="0"/>
    <w:rPr>
      <w:color w:val="0000FF"/>
      <w:u w:val="single"/>
    </w:rPr>
  </w:style>
  <w:style w:type="character" w:styleId="27">
    <w:name w:val="annotation reference"/>
    <w:basedOn w:val="24"/>
    <w:qFormat/>
    <w:uiPriority w:val="0"/>
    <w:rPr>
      <w:sz w:val="21"/>
      <w:szCs w:val="21"/>
    </w:rPr>
  </w:style>
  <w:style w:type="paragraph" w:customStyle="1" w:styleId="28">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9">
    <w:name w:val="List Paragraph"/>
    <w:basedOn w:val="1"/>
    <w:qFormat/>
    <w:uiPriority w:val="34"/>
    <w:pPr>
      <w:ind w:firstLine="420" w:firstLineChars="200"/>
    </w:pPr>
    <w:rPr>
      <w:rFonts w:ascii="Calibri" w:hAnsi="Calibri"/>
      <w:szCs w:val="22"/>
    </w:rPr>
  </w:style>
  <w:style w:type="paragraph" w:customStyle="1" w:styleId="30">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1">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4"/>
    <w:qFormat/>
    <w:uiPriority w:val="0"/>
    <w:rPr>
      <w:rFonts w:ascii="Times New Roman" w:hAnsi="Times New Roman" w:eastAsia="宋体" w:cs="Times New Roman"/>
      <w:sz w:val="21"/>
      <w:szCs w:val="22"/>
      <w:lang w:val="en-US" w:eastAsia="zh-CN" w:bidi="ar-SA"/>
    </w:rPr>
  </w:style>
  <w:style w:type="paragraph" w:customStyle="1" w:styleId="3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_3"/>
    <w:basedOn w:val="37"/>
    <w:qFormat/>
    <w:uiPriority w:val="0"/>
    <w:pPr>
      <w:widowControl/>
      <w:jc w:val="left"/>
    </w:pPr>
    <w:rPr>
      <w:rFonts w:ascii="宋体" w:hAnsi="Courier New" w:eastAsiaTheme="minorEastAsia" w:cstheme="minorBidi"/>
      <w:szCs w:val="21"/>
    </w:rPr>
  </w:style>
  <w:style w:type="paragraph" w:customStyle="1" w:styleId="39">
    <w:name w:val="纯文本_0_1"/>
    <w:basedOn w:val="1"/>
    <w:qFormat/>
    <w:uiPriority w:val="0"/>
    <w:pPr>
      <w:widowControl/>
      <w:jc w:val="left"/>
    </w:pPr>
    <w:rPr>
      <w:rFonts w:ascii="宋体" w:hAnsi="Courier New" w:eastAsiaTheme="minorEastAsia" w:cstheme="minorBidi"/>
      <w:szCs w:val="21"/>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font21"/>
    <w:basedOn w:val="24"/>
    <w:qFormat/>
    <w:uiPriority w:val="0"/>
    <w:rPr>
      <w:rFonts w:hint="default" w:ascii="Arial" w:hAnsi="Arial" w:cs="Arial"/>
      <w:color w:val="000000"/>
      <w:sz w:val="20"/>
      <w:szCs w:val="20"/>
      <w:u w:val="none"/>
    </w:rPr>
  </w:style>
  <w:style w:type="character" w:customStyle="1" w:styleId="45">
    <w:name w:val="font01"/>
    <w:basedOn w:val="24"/>
    <w:qFormat/>
    <w:uiPriority w:val="0"/>
    <w:rPr>
      <w:rFonts w:hint="eastAsia" w:ascii="宋体" w:hAnsi="宋体" w:eastAsia="宋体" w:cs="宋体"/>
      <w:color w:val="000000"/>
      <w:sz w:val="20"/>
      <w:szCs w:val="20"/>
      <w:u w:val="none"/>
    </w:rPr>
  </w:style>
  <w:style w:type="paragraph" w:customStyle="1" w:styleId="46">
    <w:name w:val="纯文本1"/>
    <w:basedOn w:val="47"/>
    <w:qFormat/>
    <w:uiPriority w:val="0"/>
    <w:pPr>
      <w:widowControl/>
      <w:jc w:val="left"/>
    </w:pPr>
    <w:rPr>
      <w:rFonts w:ascii="宋体" w:hAnsi="Courier New"/>
    </w:rPr>
  </w:style>
  <w:style w:type="paragraph" w:customStyle="1" w:styleId="4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8">
    <w:name w:val="Table Paragraph"/>
    <w:basedOn w:val="1"/>
    <w:qFormat/>
    <w:uiPriority w:val="1"/>
    <w:rPr>
      <w:rFonts w:ascii="宋体" w:hAnsi="宋体" w:cs="宋体"/>
    </w:rPr>
  </w:style>
  <w:style w:type="paragraph" w:customStyle="1" w:styleId="49">
    <w:name w:val="WPSOffice手动目录 1"/>
    <w:qFormat/>
    <w:uiPriority w:val="0"/>
    <w:rPr>
      <w:rFonts w:ascii="Times New Roman" w:hAnsi="Times New Roman" w:eastAsia="宋体" w:cs="Times New Roman"/>
      <w:lang w:val="en-US" w:eastAsia="zh-CN" w:bidi="ar-SA"/>
    </w:rPr>
  </w:style>
  <w:style w:type="character" w:customStyle="1" w:styleId="50">
    <w:name w:val="标题 1 Char Char"/>
    <w:basedOn w:val="24"/>
    <w:qFormat/>
    <w:uiPriority w:val="0"/>
    <w:rPr>
      <w:rFonts w:eastAsia="宋体"/>
      <w:b/>
      <w:spacing w:val="-2"/>
      <w:sz w:val="24"/>
      <w:lang w:val="en-US" w:eastAsia="zh-CN" w:bidi="ar-SA"/>
    </w:rPr>
  </w:style>
  <w:style w:type="character" w:customStyle="1" w:styleId="51">
    <w:name w:val="批注框文本 字符"/>
    <w:basedOn w:val="24"/>
    <w:link w:val="13"/>
    <w:qFormat/>
    <w:uiPriority w:val="0"/>
    <w:rPr>
      <w:kern w:val="2"/>
      <w:sz w:val="18"/>
      <w:szCs w:val="18"/>
    </w:rPr>
  </w:style>
  <w:style w:type="character" w:customStyle="1" w:styleId="52">
    <w:name w:val="font41"/>
    <w:basedOn w:val="24"/>
    <w:qFormat/>
    <w:uiPriority w:val="0"/>
    <w:rPr>
      <w:rFonts w:hint="eastAsia" w:ascii="宋体" w:hAnsi="宋体" w:eastAsia="宋体" w:cs="宋体"/>
      <w:b/>
      <w:bCs/>
      <w:color w:val="000000"/>
      <w:sz w:val="21"/>
      <w:szCs w:val="21"/>
      <w:u w:val="none"/>
    </w:rPr>
  </w:style>
  <w:style w:type="paragraph" w:customStyle="1" w:styleId="53">
    <w:name w:val="正文首行缩进 21"/>
    <w:basedOn w:val="10"/>
    <w:qFormat/>
    <w:uiPriority w:val="0"/>
    <w:pPr>
      <w:spacing w:before="100" w:beforeAutospacing="1"/>
      <w:ind w:firstLine="420"/>
    </w:pPr>
    <w:rPr>
      <w:szCs w:val="21"/>
    </w:rPr>
  </w:style>
  <w:style w:type="character" w:customStyle="1" w:styleId="54">
    <w:name w:val="font11"/>
    <w:basedOn w:val="24"/>
    <w:qFormat/>
    <w:uiPriority w:val="0"/>
    <w:rPr>
      <w:rFonts w:hint="eastAsia" w:ascii="宋体" w:hAnsi="宋体" w:eastAsia="宋体"/>
      <w:color w:val="000000"/>
      <w:sz w:val="20"/>
      <w:szCs w:val="20"/>
      <w:u w:val="none"/>
    </w:rPr>
  </w:style>
  <w:style w:type="paragraph" w:customStyle="1" w:styleId="55">
    <w:name w:val="表格"/>
    <w:basedOn w:val="1"/>
    <w:qFormat/>
    <w:uiPriority w:val="0"/>
    <w:pPr>
      <w:spacing w:line="280" w:lineRule="exact"/>
      <w:ind w:left="64" w:leftChars="20" w:right="64" w:rightChars="20" w:firstLine="0" w:firstLineChars="0"/>
    </w:pPr>
    <w:rPr>
      <w:rFonts w:cs="仿宋_GB2312"/>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30415</Words>
  <Characters>32386</Characters>
  <Lines>361</Lines>
  <Paragraphs>101</Paragraphs>
  <TotalTime>7</TotalTime>
  <ScaleCrop>false</ScaleCrop>
  <LinksUpToDate>false</LinksUpToDate>
  <CharactersWithSpaces>34312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2021-02-06T09:06:00Z</dcterms:created>
  <dc:creator>admin</dc:creator>
  <cp:lastModifiedBy>阿拉丁</cp:lastModifiedBy>
  <cp:lastPrinted>2024-05-17T03:57:00Z</cp:lastPrinted>
  <dcterms:modified xsi:type="dcterms:W3CDTF">2024-06-27T01:33:19Z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1EEDF1A0C51A49858D6291BFE41E7482_13</vt:lpwstr>
  </property>
</Properties>
</file>