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0DA78">
      <w:pPr>
        <w:adjustRightInd/>
        <w:spacing w:line="360" w:lineRule="auto"/>
        <w:jc w:val="center"/>
        <w:rPr>
          <w:rFonts w:hint="eastAsia" w:ascii="楷体_GB2312" w:eastAsia="楷体_GB2312"/>
          <w:b/>
          <w:color w:val="000000" w:themeColor="text1"/>
          <w:sz w:val="52"/>
          <w:szCs w:val="52"/>
          <w:highlight w:val="none"/>
          <w:lang w:eastAsia="zh-CN"/>
          <w14:textFill>
            <w14:solidFill>
              <w14:schemeClr w14:val="tx1"/>
            </w14:solidFill>
          </w14:textFill>
        </w:rPr>
      </w:pPr>
      <w:r>
        <w:rPr>
          <w:rFonts w:hint="eastAsia" w:ascii="楷体_GB2312" w:eastAsia="楷体_GB2312"/>
          <w:b/>
          <w:color w:val="000000" w:themeColor="text1"/>
          <w:sz w:val="52"/>
          <w:szCs w:val="52"/>
          <w:highlight w:val="none"/>
          <w:lang w:eastAsia="zh-CN"/>
          <w14:textFill>
            <w14:solidFill>
              <w14:schemeClr w14:val="tx1"/>
            </w14:solidFill>
          </w14:textFill>
        </w:rPr>
        <w:t>玉环市校舍</w:t>
      </w:r>
      <w:r>
        <w:rPr>
          <w:rFonts w:hint="eastAsia" w:ascii="楷体_GB2312" w:eastAsia="楷体_GB2312"/>
          <w:b/>
          <w:color w:val="000000" w:themeColor="text1"/>
          <w:sz w:val="52"/>
          <w:szCs w:val="52"/>
          <w:highlight w:val="none"/>
          <w:lang w:val="en-US" w:eastAsia="zh-CN"/>
          <w14:textFill>
            <w14:solidFill>
              <w14:schemeClr w14:val="tx1"/>
            </w14:solidFill>
          </w14:textFill>
        </w:rPr>
        <w:t>房屋结构</w:t>
      </w:r>
      <w:r>
        <w:rPr>
          <w:rFonts w:hint="eastAsia" w:ascii="楷体_GB2312" w:eastAsia="楷体_GB2312"/>
          <w:b/>
          <w:color w:val="000000" w:themeColor="text1"/>
          <w:sz w:val="52"/>
          <w:szCs w:val="52"/>
          <w:highlight w:val="none"/>
          <w:lang w:eastAsia="zh-CN"/>
          <w14:textFill>
            <w14:solidFill>
              <w14:schemeClr w14:val="tx1"/>
            </w14:solidFill>
          </w14:textFill>
        </w:rPr>
        <w:t>安全</w:t>
      </w:r>
      <w:r>
        <w:rPr>
          <w:rFonts w:hint="eastAsia" w:ascii="楷体_GB2312" w:eastAsia="楷体_GB2312"/>
          <w:b/>
          <w:color w:val="000000" w:themeColor="text1"/>
          <w:sz w:val="52"/>
          <w:szCs w:val="52"/>
          <w:highlight w:val="none"/>
          <w:lang w:val="en-US" w:eastAsia="zh-CN"/>
          <w14:textFill>
            <w14:solidFill>
              <w14:schemeClr w14:val="tx1"/>
            </w14:solidFill>
          </w14:textFill>
        </w:rPr>
        <w:t>鉴定</w:t>
      </w:r>
      <w:r>
        <w:rPr>
          <w:rFonts w:hint="eastAsia" w:ascii="楷体_GB2312" w:eastAsia="楷体_GB2312"/>
          <w:b/>
          <w:color w:val="000000" w:themeColor="text1"/>
          <w:sz w:val="52"/>
          <w:szCs w:val="52"/>
          <w:highlight w:val="none"/>
          <w:lang w:eastAsia="zh-CN"/>
          <w14:textFill>
            <w14:solidFill>
              <w14:schemeClr w14:val="tx1"/>
            </w14:solidFill>
          </w14:textFill>
        </w:rPr>
        <w:t>（</w:t>
      </w:r>
      <w:r>
        <w:rPr>
          <w:rFonts w:hint="eastAsia" w:ascii="楷体_GB2312" w:eastAsia="楷体_GB2312"/>
          <w:b/>
          <w:color w:val="000000" w:themeColor="text1"/>
          <w:sz w:val="52"/>
          <w:szCs w:val="52"/>
          <w:highlight w:val="none"/>
          <w:lang w:val="en-US" w:eastAsia="zh-CN"/>
          <w14:textFill>
            <w14:solidFill>
              <w14:schemeClr w14:val="tx1"/>
            </w14:solidFill>
          </w14:textFill>
        </w:rPr>
        <w:t>校舍安全动态监测）</w:t>
      </w:r>
      <w:r>
        <w:rPr>
          <w:rFonts w:hint="eastAsia" w:ascii="楷体_GB2312" w:eastAsia="楷体_GB2312"/>
          <w:b/>
          <w:color w:val="000000" w:themeColor="text1"/>
          <w:sz w:val="52"/>
          <w:szCs w:val="52"/>
          <w:highlight w:val="none"/>
          <w:lang w:eastAsia="zh-CN"/>
          <w14:textFill>
            <w14:solidFill>
              <w14:schemeClr w14:val="tx1"/>
            </w14:solidFill>
          </w14:textFill>
        </w:rPr>
        <w:t>采购项目</w:t>
      </w:r>
    </w:p>
    <w:p w14:paraId="4ABCBEB7">
      <w:pPr>
        <w:pStyle w:val="16"/>
        <w:rPr>
          <w:rFonts w:hint="eastAsia" w:ascii="楷体_GB2312" w:eastAsia="楷体_GB2312"/>
          <w:b/>
          <w:color w:val="000000" w:themeColor="text1"/>
          <w:sz w:val="52"/>
          <w:szCs w:val="52"/>
          <w:highlight w:val="none"/>
          <w:lang w:eastAsia="zh-CN"/>
          <w14:textFill>
            <w14:solidFill>
              <w14:schemeClr w14:val="tx1"/>
            </w14:solidFill>
          </w14:textFill>
        </w:rPr>
      </w:pPr>
      <w:r>
        <w:rPr>
          <w:sz w:val="18"/>
        </w:rPr>
        <w:drawing>
          <wp:anchor distT="0" distB="0" distL="114300" distR="114300" simplePos="0" relativeHeight="251664384" behindDoc="0" locked="0" layoutInCell="1" allowOverlap="1">
            <wp:simplePos x="0" y="0"/>
            <wp:positionH relativeFrom="column">
              <wp:posOffset>1837055</wp:posOffset>
            </wp:positionH>
            <wp:positionV relativeFrom="paragraph">
              <wp:posOffset>77470</wp:posOffset>
            </wp:positionV>
            <wp:extent cx="1455420" cy="1112520"/>
            <wp:effectExtent l="0" t="0" r="11430" b="11430"/>
            <wp:wrapSquare wrapText="bothSides"/>
            <wp:docPr id="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
                    <pic:cNvPicPr>
                      <a:picLocks noChangeAspect="1"/>
                    </pic:cNvPicPr>
                  </pic:nvPicPr>
                  <pic:blipFill>
                    <a:blip r:embed="rId26"/>
                    <a:stretch>
                      <a:fillRect/>
                    </a:stretch>
                  </pic:blipFill>
                  <pic:spPr>
                    <a:xfrm>
                      <a:off x="0" y="0"/>
                      <a:ext cx="1455420" cy="1112520"/>
                    </a:xfrm>
                    <a:prstGeom prst="rect">
                      <a:avLst/>
                    </a:prstGeom>
                    <a:noFill/>
                    <a:ln>
                      <a:noFill/>
                    </a:ln>
                  </pic:spPr>
                </pic:pic>
              </a:graphicData>
            </a:graphic>
          </wp:anchor>
        </w:drawing>
      </w:r>
    </w:p>
    <w:p w14:paraId="1905F233">
      <w:pPr>
        <w:rPr>
          <w:rFonts w:hint="eastAsia"/>
          <w:lang w:eastAsia="zh-CN"/>
        </w:rPr>
      </w:pPr>
    </w:p>
    <w:p w14:paraId="3E718129">
      <w:pPr>
        <w:adjustRightInd/>
        <w:spacing w:line="360" w:lineRule="auto"/>
        <w:jc w:val="center"/>
        <w:rPr>
          <w:rFonts w:hint="eastAsia" w:ascii="楷体_GB2312" w:eastAsia="楷体_GB2312"/>
          <w:b/>
          <w:color w:val="000000" w:themeColor="text1"/>
          <w:sz w:val="52"/>
          <w:szCs w:val="52"/>
          <w:highlight w:val="none"/>
          <w:lang w:eastAsia="zh-CN"/>
          <w14:textFill>
            <w14:solidFill>
              <w14:schemeClr w14:val="tx1"/>
            </w14:solidFill>
          </w14:textFill>
        </w:rPr>
      </w:pPr>
    </w:p>
    <w:p w14:paraId="140838FC">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b/>
          <w:color w:val="000000" w:themeColor="text1"/>
          <w:sz w:val="28"/>
          <w:szCs w:val="28"/>
          <w:highlight w:val="none"/>
          <w14:textFill>
            <w14:solidFill>
              <w14:schemeClr w14:val="tx1"/>
            </w14:solidFill>
          </w14:textFill>
        </w:rPr>
        <w:t>:</w:t>
      </w:r>
      <w:r>
        <w:rPr>
          <w:rFonts w:hint="eastAsia" w:ascii="宋体" w:hAnsi="宋体"/>
          <w:b/>
          <w:color w:val="000000"/>
          <w:kern w:val="0"/>
          <w:sz w:val="32"/>
          <w:szCs w:val="32"/>
          <w:highlight w:val="none"/>
          <w:lang w:eastAsia="zh-CN"/>
        </w:rPr>
        <w:t>ZJJTYH-2024-01</w:t>
      </w:r>
      <w:r>
        <w:rPr>
          <w:rFonts w:hint="eastAsia" w:ascii="宋体" w:hAnsi="宋体"/>
          <w:b/>
          <w:color w:val="000000"/>
          <w:kern w:val="0"/>
          <w:sz w:val="32"/>
          <w:szCs w:val="32"/>
          <w:highlight w:val="none"/>
          <w:lang w:val="en-US" w:eastAsia="zh-CN"/>
        </w:rPr>
        <w:t>8</w:t>
      </w:r>
    </w:p>
    <w:p w14:paraId="08ED1CFA">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公</w:t>
      </w:r>
    </w:p>
    <w:p w14:paraId="58B47B81">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开</w:t>
      </w:r>
    </w:p>
    <w:p w14:paraId="76F8130B">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招</w:t>
      </w:r>
    </w:p>
    <w:p w14:paraId="4FA6840E">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标</w:t>
      </w:r>
    </w:p>
    <w:p w14:paraId="650DB45C">
      <w:pPr>
        <w:jc w:val="center"/>
        <w:outlineLvl w:val="0"/>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14:paraId="7A4FE46F">
      <w:pPr>
        <w:jc w:val="center"/>
        <w:outlineLvl w:val="0"/>
        <w:rPr>
          <w:rFonts w:hint="eastAsia" w:ascii="仿宋" w:hAnsi="仿宋" w:eastAsia="仿宋" w:cs="仿宋"/>
          <w:color w:val="000000" w:themeColor="text1"/>
          <w:sz w:val="44"/>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14:paraId="3C20B0C2">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（电子招投标）</w:t>
      </w:r>
    </w:p>
    <w:p w14:paraId="03AC7B49">
      <w:pPr>
        <w:pStyle w:val="16"/>
        <w:rPr>
          <w:rFonts w:hint="eastAsia"/>
          <w:lang w:val="en-US" w:eastAsia="zh-CN"/>
        </w:rPr>
      </w:pPr>
    </w:p>
    <w:tbl>
      <w:tblPr>
        <w:tblStyle w:val="18"/>
        <w:tblW w:w="7801" w:type="dxa"/>
        <w:jc w:val="center"/>
        <w:tblLayout w:type="fixed"/>
        <w:tblCellMar>
          <w:top w:w="0" w:type="dxa"/>
          <w:left w:w="108" w:type="dxa"/>
          <w:bottom w:w="0" w:type="dxa"/>
          <w:right w:w="108" w:type="dxa"/>
        </w:tblCellMar>
      </w:tblPr>
      <w:tblGrid>
        <w:gridCol w:w="2356"/>
        <w:gridCol w:w="5445"/>
      </w:tblGrid>
      <w:tr w14:paraId="0F4F8415">
        <w:tblPrEx>
          <w:tblCellMar>
            <w:top w:w="0" w:type="dxa"/>
            <w:left w:w="108" w:type="dxa"/>
            <w:bottom w:w="0" w:type="dxa"/>
            <w:right w:w="108" w:type="dxa"/>
          </w:tblCellMar>
        </w:tblPrEx>
        <w:trPr>
          <w:trHeight w:val="443" w:hRule="atLeast"/>
          <w:jc w:val="center"/>
        </w:trPr>
        <w:tc>
          <w:tcPr>
            <w:tcW w:w="2356" w:type="dxa"/>
          </w:tcPr>
          <w:p w14:paraId="790FBE6D">
            <w:pPr>
              <w:spacing w:after="100" w:afterAutospacing="1" w:line="4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93"/>
                <w:kern w:val="0"/>
                <w:sz w:val="28"/>
                <w:szCs w:val="28"/>
                <w:highlight w:val="none"/>
                <w14:textFill>
                  <w14:solidFill>
                    <w14:schemeClr w14:val="tx1"/>
                  </w14:solidFill>
                </w14:textFill>
              </w:rPr>
              <w:t>采购单</w:t>
            </w:r>
            <w:r>
              <w:rPr>
                <w:rFonts w:hint="eastAsia" w:ascii="仿宋" w:hAnsi="仿宋" w:eastAsia="仿宋" w:cs="仿宋"/>
                <w:color w:val="000000" w:themeColor="text1"/>
                <w:spacing w:val="1"/>
                <w:kern w:val="0"/>
                <w:sz w:val="28"/>
                <w:szCs w:val="28"/>
                <w:highlight w:val="none"/>
                <w14:textFill>
                  <w14:solidFill>
                    <w14:schemeClr w14:val="tx1"/>
                  </w14:solidFill>
                </w14:textFill>
              </w:rPr>
              <w:t>位</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vAlign w:val="center"/>
          </w:tcPr>
          <w:p w14:paraId="7E526512">
            <w:pPr>
              <w:spacing w:line="320" w:lineRule="exact"/>
              <w:outlineLvl w:val="0"/>
              <w:rPr>
                <w:rFonts w:hint="default" w:ascii="仿宋" w:hAnsi="仿宋" w:eastAsia="楷体_GB2312" w:cs="仿宋"/>
                <w:color w:val="000000" w:themeColor="text1"/>
                <w:sz w:val="28"/>
                <w:szCs w:val="28"/>
                <w:highlight w:val="none"/>
                <w:lang w:val="en-US" w:eastAsia="zh-CN"/>
                <w14:textFill>
                  <w14:solidFill>
                    <w14:schemeClr w14:val="tx1"/>
                  </w14:solidFill>
                </w14:textFill>
              </w:rPr>
            </w:pPr>
            <w:r>
              <w:rPr>
                <w:rFonts w:hint="eastAsia" w:ascii="仿宋" w:hAnsi="仿宋" w:eastAsia="楷体_GB2312" w:cs="仿宋"/>
                <w:color w:val="000000" w:themeColor="text1"/>
                <w:sz w:val="28"/>
                <w:szCs w:val="28"/>
                <w:highlight w:val="none"/>
                <w:lang w:val="en-US" w:eastAsia="zh-CN"/>
                <w14:textFill>
                  <w14:solidFill>
                    <w14:schemeClr w14:val="tx1"/>
                  </w14:solidFill>
                </w14:textFill>
              </w:rPr>
              <w:t>玉环市教育局</w:t>
            </w:r>
          </w:p>
        </w:tc>
      </w:tr>
      <w:tr w14:paraId="6113344A">
        <w:tblPrEx>
          <w:tblCellMar>
            <w:top w:w="0" w:type="dxa"/>
            <w:left w:w="108" w:type="dxa"/>
            <w:bottom w:w="0" w:type="dxa"/>
            <w:right w:w="108" w:type="dxa"/>
          </w:tblCellMar>
        </w:tblPrEx>
        <w:trPr>
          <w:trHeight w:val="494" w:hRule="atLeast"/>
          <w:jc w:val="center"/>
        </w:trPr>
        <w:tc>
          <w:tcPr>
            <w:tcW w:w="2356" w:type="dxa"/>
          </w:tcPr>
          <w:p w14:paraId="672D61D8">
            <w:pPr>
              <w:spacing w:after="100" w:afterAutospacing="1" w:line="4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0"/>
                <w:w w:val="100"/>
                <w:kern w:val="0"/>
                <w:sz w:val="28"/>
                <w:szCs w:val="28"/>
                <w:highlight w:val="none"/>
                <w:fitText w:val="1680" w:id="954803029"/>
                <w14:textFill>
                  <w14:solidFill>
                    <w14:schemeClr w14:val="tx1"/>
                  </w14:solidFill>
                </w14:textFill>
              </w:rPr>
              <w:t>采购代理机构</w:t>
            </w:r>
            <w:r>
              <w:rPr>
                <w:rFonts w:hint="eastAsia" w:ascii="仿宋" w:hAnsi="仿宋" w:eastAsia="仿宋" w:cs="仿宋"/>
                <w:color w:val="000000" w:themeColor="text1"/>
                <w:sz w:val="28"/>
                <w:szCs w:val="28"/>
                <w:highlight w:val="none"/>
                <w14:textFill>
                  <w14:solidFill>
                    <w14:schemeClr w14:val="tx1"/>
                  </w14:solidFill>
                </w14:textFill>
              </w:rPr>
              <w:t>：</w:t>
            </w:r>
          </w:p>
        </w:tc>
        <w:tc>
          <w:tcPr>
            <w:tcW w:w="5445" w:type="dxa"/>
          </w:tcPr>
          <w:p w14:paraId="7A0FC905">
            <w:pPr>
              <w:spacing w:after="100" w:afterAutospacing="1" w:line="44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楷体_GB2312" w:cs="仿宋"/>
                <w:color w:val="000000" w:themeColor="text1"/>
                <w:sz w:val="28"/>
                <w:szCs w:val="28"/>
                <w:highlight w:val="none"/>
                <w:lang w:val="en-US" w:eastAsia="zh-CN"/>
                <w14:textFill>
                  <w14:solidFill>
                    <w14:schemeClr w14:val="tx1"/>
                  </w14:solidFill>
                </w14:textFill>
              </w:rPr>
              <w:t>浙江建通工程管理有限公司</w:t>
            </w:r>
          </w:p>
        </w:tc>
      </w:tr>
      <w:tr w14:paraId="2DBCD7E4">
        <w:tblPrEx>
          <w:tblCellMar>
            <w:top w:w="0" w:type="dxa"/>
            <w:left w:w="108" w:type="dxa"/>
            <w:bottom w:w="0" w:type="dxa"/>
            <w:right w:w="108" w:type="dxa"/>
          </w:tblCellMar>
        </w:tblPrEx>
        <w:trPr>
          <w:trHeight w:val="333" w:hRule="atLeast"/>
          <w:jc w:val="center"/>
        </w:trPr>
        <w:tc>
          <w:tcPr>
            <w:tcW w:w="7801" w:type="dxa"/>
            <w:gridSpan w:val="2"/>
          </w:tcPr>
          <w:p w14:paraId="4894A211">
            <w:pPr>
              <w:spacing w:after="100" w:afterAutospacing="1" w:line="44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楷体_GB2312" w:cs="仿宋"/>
                <w:color w:val="000000" w:themeColor="text1"/>
                <w:sz w:val="28"/>
                <w:szCs w:val="28"/>
                <w:highlight w:val="none"/>
                <w:lang w:val="en-US" w:eastAsia="zh-CN"/>
                <w14:textFill>
                  <w14:solidFill>
                    <w14:schemeClr w14:val="tx1"/>
                  </w14:solidFill>
                </w14:textFill>
              </w:rPr>
              <w:t>二○二四年九月</w:t>
            </w:r>
          </w:p>
        </w:tc>
      </w:tr>
    </w:tbl>
    <w:p w14:paraId="3624F908">
      <w:pPr>
        <w:pStyle w:val="26"/>
        <w:rPr>
          <w:rFonts w:hint="eastAsia" w:ascii="仿宋" w:hAnsi="仿宋" w:eastAsia="仿宋" w:cs="仿宋"/>
          <w:color w:val="000000" w:themeColor="text1"/>
          <w:highlight w:val="none"/>
          <w14:textFill>
            <w14:solidFill>
              <w14:schemeClr w14:val="tx1"/>
            </w14:solidFill>
          </w14:textFill>
        </w:rPr>
        <w:sectPr>
          <w:headerReference r:id="rId3" w:type="first"/>
          <w:footerReference r:id="rId6" w:type="first"/>
          <w:footerReference r:id="rId4" w:type="default"/>
          <w:footerReference r:id="rId5" w:type="even"/>
          <w:pgSz w:w="11906" w:h="16838"/>
          <w:pgMar w:top="1474" w:right="1814" w:bottom="1474" w:left="1814" w:header="851" w:footer="992" w:gutter="0"/>
          <w:pgNumType w:fmt="decimal"/>
          <w:cols w:space="720" w:num="1"/>
          <w:titlePg/>
          <w:docGrid w:linePitch="312" w:charSpace="0"/>
        </w:sectPr>
      </w:pPr>
    </w:p>
    <w:p w14:paraId="7AECD974">
      <w:pPr>
        <w:pStyle w:val="26"/>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000000" w:themeColor="text1"/>
          <w:highlight w:val="none"/>
          <w14:textFill>
            <w14:solidFill>
              <w14:schemeClr w14:val="tx1"/>
            </w14:solidFill>
          </w14:textFill>
        </w:rPr>
      </w:pPr>
    </w:p>
    <w:p w14:paraId="1F424BB1">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000000" w:themeColor="text1"/>
          <w:sz w:val="44"/>
          <w:szCs w:val="44"/>
          <w:highlight w:val="none"/>
          <w14:textFill>
            <w14:solidFill>
              <w14:schemeClr w14:val="tx1"/>
            </w14:solidFill>
          </w14:textFill>
        </w:rPr>
      </w:pPr>
      <w:bookmarkStart w:id="0" w:name="_Hlt91233176"/>
      <w:bookmarkEnd w:id="0"/>
      <w:bookmarkStart w:id="1" w:name="_Toc91899869"/>
      <w:r>
        <w:rPr>
          <w:rFonts w:hint="eastAsia" w:ascii="仿宋" w:hAnsi="仿宋" w:eastAsia="仿宋" w:cs="仿宋"/>
          <w:b/>
          <w:color w:val="000000" w:themeColor="text1"/>
          <w:sz w:val="44"/>
          <w:szCs w:val="44"/>
          <w:highlight w:val="none"/>
          <w14:textFill>
            <w14:solidFill>
              <w14:schemeClr w14:val="tx1"/>
            </w14:solidFill>
          </w14:textFill>
        </w:rPr>
        <w:t>目录</w:t>
      </w:r>
    </w:p>
    <w:p w14:paraId="496D9ED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6CC0DF8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000000" w:themeColor="text1"/>
          <w:highlight w:val="none"/>
          <w14:textFill>
            <w14:solidFill>
              <w14:schemeClr w14:val="tx1"/>
            </w14:solidFill>
          </w14:textFill>
        </w:rPr>
      </w:pPr>
    </w:p>
    <w:p w14:paraId="336D4CB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第一部分    招标公告</w:t>
      </w:r>
    </w:p>
    <w:p w14:paraId="3CE60EA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第二部分   </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投标须知</w:t>
      </w:r>
    </w:p>
    <w:p w14:paraId="57D927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p w14:paraId="7FFDD2A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合同的主要条款</w:t>
      </w:r>
    </w:p>
    <w:p w14:paraId="60DB1B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49E4EA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    投标文件及其附件格式</w:t>
      </w:r>
    </w:p>
    <w:p w14:paraId="066C904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D907477">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CB35F1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3A52802">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31E1F4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CB2B1F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434E94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F8D38A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321ED59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41D23B1A">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2DB1EF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251B29A">
      <w:pPr>
        <w:spacing w:line="360" w:lineRule="auto"/>
        <w:rPr>
          <w:rFonts w:hint="eastAsia" w:ascii="仿宋" w:hAnsi="仿宋" w:eastAsia="仿宋" w:cs="仿宋"/>
          <w:color w:val="000000" w:themeColor="text1"/>
          <w:sz w:val="24"/>
          <w:highlight w:val="none"/>
          <w14:textFill>
            <w14:solidFill>
              <w14:schemeClr w14:val="tx1"/>
            </w14:solidFill>
          </w14:textFill>
        </w:rPr>
      </w:pPr>
    </w:p>
    <w:bookmarkEnd w:id="1"/>
    <w:p w14:paraId="2FC252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2" w:name="第二部分"/>
      <w:bookmarkStart w:id="3" w:name="_Toc91899870"/>
      <w:bookmarkStart w:id="4" w:name="_Toc91899871"/>
    </w:p>
    <w:p w14:paraId="6C7C2D4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pPr>
    </w:p>
    <w:p w14:paraId="61F4798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sectPr>
          <w:footerReference r:id="rId7" w:type="default"/>
          <w:pgSz w:w="11906" w:h="16838"/>
          <w:pgMar w:top="1474" w:right="1814" w:bottom="1474" w:left="1814" w:header="851" w:footer="992" w:gutter="0"/>
          <w:pgNumType w:fmt="decimal" w:start="1"/>
          <w:cols w:space="720" w:num="1"/>
          <w:docGrid w:linePitch="312" w:charSpace="0"/>
        </w:sectPr>
      </w:pPr>
    </w:p>
    <w:p w14:paraId="68FE206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14:paraId="54AC728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lang w:eastAsia="zh-CN"/>
          <w14:textFill>
            <w14:solidFill>
              <w14:schemeClr w14:val="tx1"/>
            </w14:solidFill>
          </w14:textFill>
        </w:rPr>
        <w:t>：</w:t>
      </w:r>
    </w:p>
    <w:p w14:paraId="478664E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玉环市校舍</w:t>
      </w:r>
      <w:r>
        <w:rPr>
          <w:rFonts w:hint="eastAsia" w:ascii="仿宋" w:hAnsi="仿宋" w:eastAsia="仿宋" w:cs="仿宋"/>
          <w:color w:val="000000" w:themeColor="text1"/>
          <w:sz w:val="24"/>
          <w:highlight w:val="none"/>
          <w:lang w:val="en-US" w:eastAsia="zh-CN"/>
          <w14:textFill>
            <w14:solidFill>
              <w14:schemeClr w14:val="tx1"/>
            </w14:solidFill>
          </w14:textFill>
        </w:rPr>
        <w:t>房屋结构</w:t>
      </w:r>
      <w:r>
        <w:rPr>
          <w:rFonts w:hint="eastAsia" w:ascii="仿宋" w:hAnsi="仿宋" w:eastAsia="仿宋" w:cs="仿宋"/>
          <w:color w:val="000000" w:themeColor="text1"/>
          <w:sz w:val="24"/>
          <w:highlight w:val="none"/>
          <w:lang w:eastAsia="zh-CN"/>
          <w14:textFill>
            <w14:solidFill>
              <w14:schemeClr w14:val="tx1"/>
            </w14:solidFill>
          </w14:textFill>
        </w:rPr>
        <w:t>安全鉴定（</w:t>
      </w:r>
      <w:r>
        <w:rPr>
          <w:rFonts w:hint="eastAsia" w:ascii="仿宋" w:hAnsi="仿宋" w:eastAsia="仿宋" w:cs="仿宋"/>
          <w:color w:val="000000" w:themeColor="text1"/>
          <w:sz w:val="24"/>
          <w:highlight w:val="none"/>
          <w:lang w:val="en-US" w:eastAsia="zh-CN"/>
          <w14:textFill>
            <w14:solidFill>
              <w14:schemeClr w14:val="tx1"/>
            </w14:solidFill>
          </w14:textFill>
        </w:rPr>
        <w:t>校舍安全动态监测）</w:t>
      </w:r>
      <w:r>
        <w:rPr>
          <w:rFonts w:hint="eastAsia" w:ascii="仿宋" w:hAnsi="仿宋" w:eastAsia="仿宋" w:cs="仿宋"/>
          <w:color w:val="000000" w:themeColor="text1"/>
          <w:sz w:val="24"/>
          <w:highlight w:val="none"/>
          <w:u w:val="single"/>
          <w:lang w:eastAsia="zh-CN"/>
          <w14:textFill>
            <w14:solidFill>
              <w14:schemeClr w14:val="tx1"/>
            </w14:solidFill>
          </w14:textFill>
        </w:rPr>
        <w:t>采购项目</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3"/>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秒</w:t>
      </w:r>
      <w:r>
        <w:rPr>
          <w:rStyle w:val="23"/>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491BBAC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14:paraId="56A71B5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p w14:paraId="3C982C2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none"/>
          <w:lang w:eastAsia="zh-CN"/>
          <w14:textFill>
            <w14:solidFill>
              <w14:schemeClr w14:val="tx1"/>
            </w14:solidFill>
          </w14:textFill>
        </w:rPr>
        <w:t>玉环市校舍安全使用动态监测及房屋结构安全鉴定采购项目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p>
    <w:p w14:paraId="0F068BCA">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highlight w:val="none"/>
          <w:u w:val="none"/>
          <w:lang w:eastAsia="zh-CN"/>
          <w14:textFill>
            <w14:solidFill>
              <w14:schemeClr w14:val="tx1"/>
            </w14:solidFill>
          </w14:textFill>
        </w:rPr>
        <w:t>预算金额（元）：</w:t>
      </w:r>
      <w:r>
        <w:rPr>
          <w:rFonts w:hint="eastAsia" w:ascii="仿宋" w:hAnsi="仿宋" w:eastAsia="仿宋" w:cs="仿宋"/>
          <w:color w:val="000000" w:themeColor="text1"/>
          <w:sz w:val="24"/>
          <w:highlight w:val="none"/>
          <w:u w:val="none"/>
          <w:lang w:val="en-US" w:eastAsia="zh-CN"/>
          <w14:textFill>
            <w14:solidFill>
              <w14:schemeClr w14:val="tx1"/>
            </w14:solidFill>
          </w14:textFill>
        </w:rPr>
        <w:t xml:space="preserve">750000/年 </w:t>
      </w:r>
    </w:p>
    <w:p w14:paraId="1B03DFBD">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750000/年</w:t>
      </w:r>
    </w:p>
    <w:p w14:paraId="7C9BFB6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p>
    <w:p w14:paraId="108A480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主要内容：</w:t>
      </w:r>
      <w:r>
        <w:rPr>
          <w:rFonts w:hint="eastAsia" w:ascii="仿宋" w:hAnsi="仿宋" w:eastAsia="仿宋" w:cs="仿宋"/>
          <w:color w:val="000000" w:themeColor="text1"/>
          <w:sz w:val="24"/>
          <w:highlight w:val="none"/>
          <w:u w:val="none"/>
          <w:lang w:val="en-US" w:eastAsia="zh-CN"/>
          <w14:textFill>
            <w14:solidFill>
              <w14:schemeClr w14:val="tx1"/>
            </w14:solidFill>
          </w14:textFill>
        </w:rPr>
        <w:t>玉环市校舍房屋结构安全鉴定（校舍安全动态监测）采购项目，详见采购文件。</w:t>
      </w:r>
    </w:p>
    <w:p w14:paraId="7B8A8B2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highlight w:val="none"/>
          <w:u w:val="none"/>
          <w:lang w:val="en-US" w:eastAsia="zh-CN"/>
          <w14:textFill>
            <w14:solidFill>
              <w14:schemeClr w14:val="tx1"/>
            </w14:solidFill>
          </w14:textFill>
        </w:rPr>
        <w:t>合同履行期限：自签订合同之日起3年，款项为逐年续付。</w:t>
      </w:r>
    </w:p>
    <w:p w14:paraId="74BFE31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仿宋" w:hAnsi="仿宋"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14:paraId="6753827C">
      <w:pPr>
        <w:spacing w:line="360" w:lineRule="auto"/>
        <w:ind w:firstLine="480" w:firstLineChars="200"/>
        <w:rPr>
          <w:rFonts w:hint="eastAsia" w:ascii="仿宋" w:hAnsi="仿宋" w:eastAsia="仿宋" w:cs="仿宋"/>
          <w:sz w:val="24"/>
        </w:rPr>
      </w:pPr>
      <w:bookmarkStart w:id="5" w:name="_Toc28359090"/>
      <w:bookmarkStart w:id="6" w:name="_Toc35393630"/>
      <w:bookmarkStart w:id="7" w:name="_Toc28359013"/>
      <w:bookmarkStart w:id="8" w:name="_Toc35393799"/>
      <w:r>
        <w:rPr>
          <w:rFonts w:hint="eastAsia" w:ascii="仿宋" w:hAnsi="仿宋" w:eastAsia="仿宋" w:cs="仿宋"/>
          <w:sz w:val="24"/>
        </w:rPr>
        <w:t>二、申请人的资格要求：</w:t>
      </w:r>
      <w:bookmarkEnd w:id="5"/>
      <w:bookmarkEnd w:id="6"/>
      <w:bookmarkEnd w:id="7"/>
      <w:bookmarkEnd w:id="8"/>
    </w:p>
    <w:p w14:paraId="63F4AB25">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64E0CF0">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320CDA9A">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22C474B2">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7E29F64A">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14:paraId="31DFFF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sz w:val="24"/>
          <w:lang w:val="en-US" w:eastAsia="zh-CN"/>
        </w:rPr>
        <w:t>同时</w:t>
      </w:r>
      <w:r>
        <w:rPr>
          <w:rFonts w:hint="eastAsia" w:ascii="仿宋" w:hAnsi="仿宋" w:eastAsia="仿宋" w:cs="仿宋"/>
          <w:sz w:val="24"/>
        </w:rPr>
        <w:t>具备①②：</w:t>
      </w:r>
    </w:p>
    <w:p w14:paraId="059E0C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①</w:t>
      </w:r>
      <w:r>
        <w:rPr>
          <w:rFonts w:hint="eastAsia" w:ascii="仿宋" w:hAnsi="仿宋" w:eastAsia="仿宋" w:cs="仿宋"/>
          <w:sz w:val="24"/>
        </w:rPr>
        <w:t>具备省级及以上建设行政主管部门颁发的工程质量检测机构资质证书，资质类别</w:t>
      </w:r>
      <w:r>
        <w:rPr>
          <w:rFonts w:hint="eastAsia" w:ascii="仿宋" w:hAnsi="仿宋" w:eastAsia="仿宋" w:cs="仿宋"/>
          <w:sz w:val="24"/>
          <w:lang w:val="en-US" w:eastAsia="zh-CN"/>
        </w:rPr>
        <w:t>同时</w:t>
      </w:r>
      <w:r>
        <w:rPr>
          <w:rFonts w:hint="eastAsia" w:ascii="仿宋" w:hAnsi="仿宋" w:eastAsia="仿宋" w:cs="仿宋"/>
          <w:sz w:val="24"/>
        </w:rPr>
        <w:t>包括：地基基础工程检测</w:t>
      </w:r>
      <w:r>
        <w:rPr>
          <w:rFonts w:hint="eastAsia" w:ascii="仿宋" w:hAnsi="仿宋" w:eastAsia="仿宋" w:cs="仿宋"/>
          <w:sz w:val="24"/>
          <w:lang w:eastAsia="zh-CN"/>
        </w:rPr>
        <w:t>、</w:t>
      </w:r>
      <w:r>
        <w:rPr>
          <w:rFonts w:hint="eastAsia" w:ascii="仿宋" w:hAnsi="仿宋" w:eastAsia="仿宋" w:cs="仿宋"/>
          <w:sz w:val="24"/>
          <w:lang w:val="en-US" w:eastAsia="zh-CN"/>
        </w:rPr>
        <w:t>相应结构工程检测和</w:t>
      </w:r>
      <w:r>
        <w:rPr>
          <w:rFonts w:hint="eastAsia" w:ascii="仿宋" w:hAnsi="仿宋" w:eastAsia="仿宋" w:cs="仿宋"/>
          <w:sz w:val="24"/>
        </w:rPr>
        <w:t>见证取样检测、钢结构工程检测</w:t>
      </w:r>
      <w:r>
        <w:rPr>
          <w:rFonts w:hint="eastAsia" w:ascii="仿宋" w:hAnsi="仿宋" w:eastAsia="仿宋" w:cs="仿宋"/>
          <w:sz w:val="24"/>
          <w:lang w:val="en-US" w:eastAsia="zh-CN"/>
        </w:rPr>
        <w:t>的建设工程质量检测机构</w:t>
      </w:r>
      <w:r>
        <w:rPr>
          <w:rFonts w:hint="eastAsia" w:ascii="仿宋" w:hAnsi="仿宋" w:eastAsia="仿宋" w:cs="仿宋"/>
          <w:sz w:val="24"/>
        </w:rPr>
        <w:t>；</w:t>
      </w:r>
    </w:p>
    <w:p w14:paraId="0BEE99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②</w:t>
      </w:r>
      <w:r>
        <w:rPr>
          <w:rFonts w:hint="eastAsia" w:ascii="仿宋" w:hAnsi="仿宋" w:eastAsia="仿宋" w:cs="仿宋"/>
          <w:sz w:val="24"/>
        </w:rPr>
        <w:t>具备省级及以上市场主管部门颁发的检验检测机构资质认定证书。</w:t>
      </w:r>
    </w:p>
    <w:p w14:paraId="14235B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sz w:val="24"/>
          <w:lang w:eastAsia="zh-CN"/>
        </w:rPr>
        <w:t>；</w:t>
      </w:r>
      <w:r>
        <w:rPr>
          <w:rFonts w:hint="eastAsia" w:ascii="仿宋" w:hAnsi="仿宋" w:eastAsia="仿宋" w:cs="仿宋"/>
          <w:sz w:val="24"/>
          <w:lang w:val="en-US" w:eastAsia="zh-CN"/>
        </w:rPr>
        <w:t>供应商近三年有违法行为记录或行政处罚记录的</w:t>
      </w:r>
      <w:r>
        <w:rPr>
          <w:rFonts w:hint="eastAsia" w:ascii="仿宋" w:hAnsi="仿宋" w:eastAsia="仿宋" w:cs="仿宋"/>
          <w:sz w:val="24"/>
        </w:rPr>
        <w:t>不得参加</w:t>
      </w:r>
      <w:r>
        <w:rPr>
          <w:rFonts w:hint="eastAsia" w:ascii="仿宋" w:hAnsi="仿宋" w:eastAsia="仿宋" w:cs="仿宋"/>
          <w:sz w:val="24"/>
          <w:lang w:val="en-US" w:eastAsia="zh-CN"/>
        </w:rPr>
        <w:t>本项目的</w:t>
      </w:r>
      <w:r>
        <w:rPr>
          <w:rFonts w:hint="eastAsia" w:ascii="仿宋" w:hAnsi="仿宋" w:eastAsia="仿宋" w:cs="仿宋"/>
          <w:sz w:val="24"/>
        </w:rPr>
        <w:t>政府采购活动</w:t>
      </w:r>
      <w:r>
        <w:rPr>
          <w:rFonts w:hint="eastAsia" w:ascii="仿宋" w:hAnsi="仿宋" w:eastAsia="仿宋" w:cs="仿宋"/>
          <w:sz w:val="24"/>
          <w:lang w:val="en-US" w:eastAsia="zh-CN"/>
        </w:rPr>
        <w:t>。</w:t>
      </w:r>
    </w:p>
    <w:p w14:paraId="6212268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14:paraId="2ED551D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lang w:eastAsia="zh-CN"/>
          <w14:textFill>
            <w14:solidFill>
              <w14:schemeClr w14:val="tx1"/>
            </w14:solidFill>
          </w14:textFill>
        </w:rPr>
        <w:t>2024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23</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3DFCDA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590ECA1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848057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08D3A58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264887F0">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秒</w:t>
      </w:r>
      <w:r>
        <w:rPr>
          <w:rFonts w:hint="eastAsia" w:ascii="仿宋" w:hAnsi="仿宋" w:eastAsia="仿宋" w:cs="仿宋"/>
          <w:color w:val="000000" w:themeColor="text1"/>
          <w:sz w:val="24"/>
          <w:highlight w:val="none"/>
          <w14:textFill>
            <w14:solidFill>
              <w14:schemeClr w14:val="tx1"/>
            </w14:solidFill>
          </w14:textFill>
        </w:rPr>
        <w:t>（北京时间）</w:t>
      </w:r>
    </w:p>
    <w:p w14:paraId="0CF1D42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10EF159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lang w:eastAsia="zh-CN"/>
          <w14:textFill>
            <w14:solidFill>
              <w14:schemeClr w14:val="tx1"/>
            </w14:solidFill>
          </w14:textFill>
        </w:rPr>
        <w:t>2024</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秒</w:t>
      </w:r>
    </w:p>
    <w:p w14:paraId="0BDCE2C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5ED2C259">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14:paraId="20C433F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14:paraId="34ABD3D1">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66FFA634">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8FD2A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3488F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99D41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94CFFD">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14:paraId="3A59E2BC">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9" w:name="_Toc35393806"/>
      <w:bookmarkStart w:id="10" w:name="_Toc28359019"/>
      <w:bookmarkStart w:id="11" w:name="_Toc28359096"/>
      <w:bookmarkStart w:id="12" w:name="_Toc35393637"/>
      <w:r>
        <w:rPr>
          <w:rFonts w:hint="eastAsia" w:ascii="仿宋" w:hAnsi="仿宋" w:eastAsia="仿宋" w:cs="仿宋"/>
          <w:color w:val="000000" w:themeColor="text1"/>
          <w:sz w:val="24"/>
          <w:szCs w:val="24"/>
          <w:highlight w:val="none"/>
          <w14:textFill>
            <w14:solidFill>
              <w14:schemeClr w14:val="tx1"/>
            </w14:solidFill>
          </w14:textFill>
        </w:rPr>
        <w:t>1.采购人信息</w:t>
      </w:r>
      <w:bookmarkEnd w:id="9"/>
      <w:bookmarkEnd w:id="10"/>
      <w:bookmarkEnd w:id="11"/>
      <w:bookmarkEnd w:id="12"/>
      <w:r>
        <w:rPr>
          <w:rFonts w:hint="eastAsia" w:ascii="仿宋" w:hAnsi="仿宋" w:eastAsia="仿宋" w:cs="仿宋"/>
          <w:color w:val="000000" w:themeColor="text1"/>
          <w:sz w:val="24"/>
          <w:szCs w:val="24"/>
          <w:highlight w:val="none"/>
          <w14:textFill>
            <w14:solidFill>
              <w14:schemeClr w14:val="tx1"/>
            </w14:solidFill>
          </w14:textFill>
        </w:rPr>
        <w:t>：</w:t>
      </w:r>
    </w:p>
    <w:p w14:paraId="7931585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玉环市教育局 </w:t>
      </w:r>
    </w:p>
    <w:p w14:paraId="53C9BB6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玉环市双港路197号 </w:t>
      </w:r>
    </w:p>
    <w:p w14:paraId="30B1B6B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赵老师 </w:t>
      </w:r>
      <w:r>
        <w:rPr>
          <w:rFonts w:hint="eastAsia" w:ascii="仿宋" w:hAnsi="仿宋" w:eastAsia="仿宋" w:cs="仿宋"/>
          <w:color w:val="000000" w:themeColor="text1"/>
          <w:sz w:val="24"/>
          <w:highlight w:val="none"/>
          <w14:textFill>
            <w14:solidFill>
              <w14:schemeClr w14:val="tx1"/>
            </w14:solidFill>
          </w14:textFill>
        </w:rPr>
        <w:t xml:space="preserve"> </w:t>
      </w:r>
    </w:p>
    <w:p w14:paraId="6B7FBC0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赵老师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14:paraId="68A0F2DB">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0576-81717036</w:t>
      </w:r>
    </w:p>
    <w:p w14:paraId="5B39FA44">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bookmarkStart w:id="13" w:name="_Toc35393807"/>
      <w:bookmarkStart w:id="14" w:name="_Toc28359097"/>
      <w:bookmarkStart w:id="15" w:name="_Toc35393638"/>
      <w:bookmarkStart w:id="16" w:name="_Toc28359020"/>
      <w:r>
        <w:rPr>
          <w:rFonts w:hint="eastAsia" w:ascii="仿宋" w:hAnsi="仿宋" w:eastAsia="仿宋" w:cs="仿宋"/>
          <w:color w:val="000000" w:themeColor="text1"/>
          <w:sz w:val="24"/>
          <w:szCs w:val="24"/>
          <w:highlight w:val="none"/>
          <w14:textFill>
            <w14:solidFill>
              <w14:schemeClr w14:val="tx1"/>
            </w14:solidFill>
          </w14:textFill>
        </w:rPr>
        <w:t>2.采购代理机构信息</w:t>
      </w:r>
      <w:bookmarkEnd w:id="13"/>
      <w:bookmarkEnd w:id="14"/>
      <w:bookmarkEnd w:id="15"/>
      <w:bookmarkEnd w:id="16"/>
      <w:r>
        <w:rPr>
          <w:rFonts w:hint="eastAsia" w:ascii="仿宋" w:hAnsi="仿宋" w:eastAsia="仿宋" w:cs="仿宋"/>
          <w:color w:val="000000" w:themeColor="text1"/>
          <w:sz w:val="24"/>
          <w:szCs w:val="24"/>
          <w:highlight w:val="none"/>
          <w14:textFill>
            <w14:solidFill>
              <w14:schemeClr w14:val="tx1"/>
            </w14:solidFill>
          </w14:textFill>
        </w:rPr>
        <w:t>：</w:t>
      </w:r>
    </w:p>
    <w:p w14:paraId="7990CC41">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名    称：</w:t>
      </w:r>
      <w:r>
        <w:rPr>
          <w:rFonts w:hint="eastAsia" w:ascii="仿宋" w:eastAsia="仿宋" w:cs="仿宋"/>
          <w:color w:val="000000" w:themeColor="text1"/>
          <w:sz w:val="24"/>
          <w:szCs w:val="24"/>
          <w:highlight w:val="none"/>
          <w:lang w:val="en-US" w:eastAsia="zh-CN"/>
          <w14:textFill>
            <w14:solidFill>
              <w14:schemeClr w14:val="tx1"/>
            </w14:solidFill>
          </w14:textFill>
        </w:rPr>
        <w:t>浙江建通工程建设管理有限公司</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5C203C6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地    址：</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玉环市玉城街道玉兴西路91号三楼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0532952A">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bookmarkStart w:id="17" w:name="_Toc28359021"/>
      <w:bookmarkStart w:id="18" w:name="_Toc28359098"/>
      <w:bookmarkStart w:id="19" w:name="_Toc35393808"/>
      <w:bookmarkStart w:id="20" w:name="_Toc35393639"/>
      <w:r>
        <w:rPr>
          <w:rFonts w:ascii="Arial" w:hAnsi="Arial" w:cs="Arial"/>
          <w:color w:val="000000" w:themeColor="text1"/>
          <w:highlight w:val="none"/>
          <w:lang w:eastAsia="zh-CN"/>
          <w14:textFill>
            <w14:solidFill>
              <w14:schemeClr w14:val="tx1"/>
            </w14:solidFill>
          </w14:textFill>
        </w:rPr>
        <w:t> </w:t>
      </w:r>
      <w:r>
        <w:rPr>
          <w:rFonts w:hint="eastAsia" w:ascii="仿宋" w:hAnsi="仿宋" w:eastAsia="仿宋" w:cs="仿宋"/>
          <w:color w:val="000000" w:themeColor="text1"/>
          <w:sz w:val="24"/>
          <w:highlight w:val="none"/>
          <w:lang w:eastAsia="zh-CN"/>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任先生 </w:t>
      </w:r>
    </w:p>
    <w:p w14:paraId="46B90E7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任先生 </w:t>
      </w:r>
    </w:p>
    <w:p w14:paraId="149BF9A5">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任先生 </w:t>
      </w:r>
    </w:p>
    <w:p w14:paraId="2C39C55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0576-87239966，15888641744 </w:t>
      </w:r>
    </w:p>
    <w:p w14:paraId="07C8EBA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bookmarkEnd w:id="17"/>
    <w:bookmarkEnd w:id="18"/>
    <w:bookmarkEnd w:id="19"/>
    <w:bookmarkEnd w:id="20"/>
    <w:p w14:paraId="1B7224B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名    称：</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玉环市财政局 </w:t>
      </w:r>
    </w:p>
    <w:p w14:paraId="7F92199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地    址：</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玉环市广陵路130号财政大楼5楼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29CD98B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联系人：</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李女士  </w:t>
      </w:r>
    </w:p>
    <w:p w14:paraId="4D0C4DF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监督投诉电话：</w:t>
      </w:r>
      <w:r>
        <w:rPr>
          <w:rFonts w:hint="eastAsia" w:ascii="宋体" w:hAnsi="宋体" w:cs="宋体"/>
          <w:color w:val="000000"/>
          <w:sz w:val="24"/>
          <w:highlight w:val="none"/>
          <w:u w:val="none"/>
        </w:rPr>
        <w:t>0576-87250185　</w:t>
      </w:r>
      <w:r>
        <w:rPr>
          <w:rFonts w:hint="eastAsia" w:ascii="仿宋" w:hAnsi="仿宋" w:eastAsia="仿宋" w:cs="仿宋"/>
          <w:color w:val="000000" w:themeColor="text1"/>
          <w:sz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6C89F91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30EC4D5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61EAB3A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sectPr>
          <w:footerReference r:id="rId8" w:type="default"/>
          <w:pgSz w:w="11906" w:h="16838"/>
          <w:pgMar w:top="1474" w:right="1814" w:bottom="1474" w:left="1814" w:header="851" w:footer="992" w:gutter="0"/>
          <w:pgNumType w:fmt="decimal"/>
          <w:cols w:space="720" w:num="1"/>
          <w:docGrid w:linePitch="312" w:charSpace="0"/>
        </w:sectPr>
      </w:pPr>
    </w:p>
    <w:p w14:paraId="36CFFB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2"/>
      <w:r>
        <w:rPr>
          <w:rFonts w:hint="eastAsia" w:ascii="仿宋" w:hAnsi="仿宋" w:eastAsia="仿宋" w:cs="仿宋"/>
          <w:b/>
          <w:color w:val="000000" w:themeColor="text1"/>
          <w:sz w:val="36"/>
          <w:szCs w:val="20"/>
          <w:highlight w:val="none"/>
          <w14:textFill>
            <w14:solidFill>
              <w14:schemeClr w14:val="tx1"/>
            </w14:solidFill>
          </w14:textFill>
        </w:rPr>
        <w:t xml:space="preserve"> 投标须知</w:t>
      </w:r>
      <w:bookmarkEnd w:id="3"/>
    </w:p>
    <w:p w14:paraId="3645ABEA">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1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3619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D56003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8370" w:type="dxa"/>
            <w:gridSpan w:val="2"/>
            <w:vAlign w:val="center"/>
          </w:tcPr>
          <w:p w14:paraId="7FB358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　　　　容</w:t>
            </w:r>
          </w:p>
        </w:tc>
      </w:tr>
      <w:tr w14:paraId="7640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DEC5CB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370" w:type="dxa"/>
            <w:gridSpan w:val="2"/>
            <w:vAlign w:val="center"/>
          </w:tcPr>
          <w:p w14:paraId="02165D8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资格审查方式：</w:t>
            </w:r>
          </w:p>
          <w:p w14:paraId="6E8B19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1.资格后审。</w:t>
            </w:r>
          </w:p>
          <w:p w14:paraId="51DCFE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7F62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2A854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370" w:type="dxa"/>
            <w:gridSpan w:val="2"/>
            <w:vAlign w:val="center"/>
          </w:tcPr>
          <w:p w14:paraId="34D8841C">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r>
              <w:rPr>
                <w:rFonts w:hint="eastAsia" w:ascii="仿宋" w:hAnsi="仿宋" w:eastAsia="仿宋" w:cs="仿宋"/>
                <w:color w:val="000000" w:themeColor="text1"/>
                <w:sz w:val="24"/>
                <w:highlight w:val="none"/>
                <w14:textFill>
                  <w14:solidFill>
                    <w14:schemeClr w14:val="tx1"/>
                  </w14:solidFill>
                </w14:textFill>
              </w:rPr>
              <w:t>投标有效期为从提交投标文件的截止之日起90天。</w:t>
            </w:r>
            <w:r>
              <w:rPr>
                <w:rFonts w:hint="eastAsia" w:ascii="仿宋" w:hAnsi="仿宋" w:eastAsia="仿宋" w:cs="仿宋"/>
                <w:b/>
                <w:color w:val="000000" w:themeColor="text1"/>
                <w:sz w:val="24"/>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tc>
      </w:tr>
      <w:tr w14:paraId="09B2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91F9F3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370" w:type="dxa"/>
            <w:gridSpan w:val="2"/>
            <w:vAlign w:val="center"/>
          </w:tcPr>
          <w:p w14:paraId="789AEBB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转包：</w:t>
            </w:r>
            <w:r>
              <w:rPr>
                <w:rFonts w:hint="eastAsia" w:ascii="仿宋" w:hAnsi="仿宋" w:eastAsia="仿宋" w:cs="仿宋"/>
                <w:color w:val="000000" w:themeColor="text1"/>
                <w:sz w:val="24"/>
                <w:highlight w:val="none"/>
                <w14:textFill>
                  <w14:solidFill>
                    <w14:schemeClr w14:val="tx1"/>
                  </w14:solidFill>
                </w14:textFill>
              </w:rPr>
              <w:t>本项目不得转包。</w:t>
            </w:r>
          </w:p>
        </w:tc>
      </w:tr>
      <w:tr w14:paraId="78D2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81F2DA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370" w:type="dxa"/>
            <w:gridSpan w:val="2"/>
            <w:vAlign w:val="center"/>
          </w:tcPr>
          <w:p w14:paraId="27B2478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同意将非主体、非关键性的工作分包。</w:t>
            </w:r>
          </w:p>
          <w:p w14:paraId="534FC0FC">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14:paraId="2CD7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C5B407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370" w:type="dxa"/>
            <w:gridSpan w:val="2"/>
            <w:vAlign w:val="center"/>
          </w:tcPr>
          <w:p w14:paraId="0C5F7C5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投标文件份数：</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本项目实行网上投标，供应商于“政采云”上提供电子投标文件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（2）“备份投标文件”：密封包装后（EMS邮寄或顺丰邮寄形式）投标截止时间前递交、一份（邮寄地址：浙江省玉环市</w:t>
            </w:r>
            <w:r>
              <w:rPr>
                <w:rFonts w:hint="eastAsia" w:ascii="仿宋" w:hAnsi="仿宋" w:eastAsia="仿宋" w:cs="仿宋"/>
                <w:color w:val="000000" w:themeColor="text1"/>
                <w:sz w:val="24"/>
                <w:highlight w:val="none"/>
                <w:lang w:val="en-US" w:eastAsia="zh-CN"/>
                <w14:textFill>
                  <w14:solidFill>
                    <w14:schemeClr w14:val="tx1"/>
                  </w14:solidFill>
                </w14:textFill>
              </w:rPr>
              <w:t>玉城街道玉兴西路91号三楼</w:t>
            </w:r>
            <w:r>
              <w:rPr>
                <w:rFonts w:hint="eastAsia" w:ascii="仿宋" w:hAnsi="仿宋" w:eastAsia="仿宋" w:cs="仿宋"/>
                <w:color w:val="000000" w:themeColor="text1"/>
                <w:sz w:val="24"/>
                <w:highlight w:val="none"/>
                <w14:textFill>
                  <w14:solidFill>
                    <w14:schemeClr w14:val="tx1"/>
                  </w14:solidFill>
                </w14:textFill>
              </w:rPr>
              <w:t xml:space="preserve">  联系人：</w:t>
            </w:r>
            <w:r>
              <w:rPr>
                <w:rFonts w:hint="eastAsia" w:ascii="仿宋" w:hAnsi="仿宋" w:eastAsia="仿宋" w:cs="仿宋"/>
                <w:color w:val="000000" w:themeColor="text1"/>
                <w:sz w:val="24"/>
                <w:highlight w:val="none"/>
                <w:lang w:val="en-US" w:eastAsia="zh-CN"/>
                <w14:textFill>
                  <w14:solidFill>
                    <w14:schemeClr w14:val="tx1"/>
                  </w14:solidFill>
                </w14:textFill>
              </w:rPr>
              <w:t>任先生</w:t>
            </w:r>
            <w:r>
              <w:rPr>
                <w:rFonts w:hint="eastAsia" w:ascii="仿宋" w:hAnsi="仿宋" w:eastAsia="仿宋" w:cs="仿宋"/>
                <w:color w:val="000000" w:themeColor="text1"/>
                <w:sz w:val="24"/>
                <w:highlight w:val="none"/>
                <w14:textFill>
                  <w14:solidFill>
                    <w14:schemeClr w14:val="tx1"/>
                  </w14:solidFill>
                </w14:textFill>
              </w:rPr>
              <w:t xml:space="preserve"> 电话：0576-87</w:t>
            </w:r>
            <w:r>
              <w:rPr>
                <w:rFonts w:hint="eastAsia" w:ascii="仿宋" w:hAnsi="仿宋" w:eastAsia="仿宋" w:cs="仿宋"/>
                <w:color w:val="000000" w:themeColor="text1"/>
                <w:sz w:val="24"/>
                <w:highlight w:val="none"/>
                <w:lang w:val="en-US" w:eastAsia="zh-CN"/>
                <w14:textFill>
                  <w14:solidFill>
                    <w14:schemeClr w14:val="tx1"/>
                  </w14:solidFill>
                </w14:textFill>
              </w:rPr>
              <w:t>239966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15888641744</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w:t>
            </w:r>
          </w:p>
        </w:tc>
      </w:tr>
      <w:tr w14:paraId="3100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44544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370" w:type="dxa"/>
            <w:gridSpan w:val="2"/>
            <w:vAlign w:val="center"/>
          </w:tcPr>
          <w:p w14:paraId="0B9DE01B">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497A107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52EE0C1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tc>
      </w:tr>
      <w:tr w14:paraId="30BA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56CB5C1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370" w:type="dxa"/>
            <w:gridSpan w:val="2"/>
            <w:vAlign w:val="center"/>
          </w:tcPr>
          <w:p w14:paraId="57C225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p w14:paraId="4300B07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19F6B7D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B要求提供，</w:t>
            </w:r>
          </w:p>
          <w:p w14:paraId="4652879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8984F9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C17762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6A22551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否；□是，检测机构的要求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D9FC47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1D03CF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281AF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14:paraId="1AE8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7C9D25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370" w:type="dxa"/>
            <w:gridSpan w:val="2"/>
            <w:vAlign w:val="center"/>
          </w:tcPr>
          <w:p w14:paraId="416C3832">
            <w:pPr>
              <w:spacing w:beforeLines="0" w:afterLines="0" w:line="440" w:lineRule="exact"/>
              <w:rPr>
                <w:rFonts w:hint="eastAsia" w:ascii="仿宋_GB2312" w:hAnsi="宋体" w:eastAsia="仿宋_GB2312"/>
                <w:b/>
                <w:color w:val="000000" w:themeColor="text1"/>
                <w:sz w:val="24"/>
                <w:szCs w:val="24"/>
                <w:highlight w:val="none"/>
                <w14:textFill>
                  <w14:solidFill>
                    <w14:schemeClr w14:val="tx1"/>
                  </w14:solidFill>
                </w14:textFill>
              </w:rPr>
            </w:pPr>
            <w:r>
              <w:rPr>
                <w:rFonts w:hint="eastAsia" w:ascii="仿宋_GB2312" w:hAnsi="宋体" w:eastAsia="仿宋_GB2312"/>
                <w:b/>
                <w:color w:val="000000" w:themeColor="text1"/>
                <w:sz w:val="24"/>
                <w:szCs w:val="24"/>
                <w:highlight w:val="none"/>
                <w14:textFill>
                  <w14:solidFill>
                    <w14:schemeClr w14:val="tx1"/>
                  </w14:solidFill>
                </w14:textFill>
              </w:rPr>
              <w:t>方案讲解演示：</w:t>
            </w:r>
          </w:p>
          <w:p w14:paraId="6481AC45">
            <w:pPr>
              <w:spacing w:beforeLines="0" w:afterLines="0"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A无方案讲解演示。</w:t>
            </w:r>
          </w:p>
          <w:p w14:paraId="1125B53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B有方案讲解演示：</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详见评分办法</w:t>
            </w:r>
            <w:r>
              <w:rPr>
                <w:rFonts w:hint="eastAsia" w:ascii="仿宋" w:hAnsi="仿宋" w:eastAsia="仿宋" w:cs="仿宋"/>
                <w:color w:val="000000" w:themeColor="text1"/>
                <w:sz w:val="24"/>
                <w:szCs w:val="24"/>
                <w:highlight w:val="none"/>
                <w:lang w:val="zh-CN"/>
                <w14:textFill>
                  <w14:solidFill>
                    <w14:schemeClr w14:val="tx1"/>
                  </w14:solidFill>
                </w14:textFill>
              </w:rPr>
              <w:t>。</w:t>
            </w:r>
          </w:p>
        </w:tc>
      </w:tr>
      <w:tr w14:paraId="6D1D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6CDA1D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855" w:type="dxa"/>
            <w:vAlign w:val="center"/>
          </w:tcPr>
          <w:p w14:paraId="358B418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进口产品</w:t>
            </w:r>
          </w:p>
        </w:tc>
        <w:tc>
          <w:tcPr>
            <w:tcW w:w="7515" w:type="dxa"/>
            <w:vAlign w:val="center"/>
          </w:tcPr>
          <w:p w14:paraId="33A317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r>
              <w:rPr>
                <w:rFonts w:hint="eastAsia" w:ascii="仿宋" w:hAnsi="仿宋" w:eastAsia="仿宋" w:cs="仿宋"/>
                <w:color w:val="000000" w:themeColor="text1"/>
                <w:kern w:val="0"/>
                <w:sz w:val="24"/>
                <w:highlight w:val="none"/>
                <w:lang w:val="en-US" w:eastAsia="zh-CN"/>
                <w14:textFill>
                  <w14:solidFill>
                    <w14:schemeClr w14:val="tx1"/>
                  </w14:solidFill>
                </w14:textFill>
              </w:rPr>
              <w:t>/服务</w:t>
            </w:r>
            <w:r>
              <w:rPr>
                <w:rFonts w:hint="eastAsia" w:ascii="仿宋" w:hAnsi="仿宋" w:eastAsia="仿宋" w:cs="仿宋"/>
                <w:color w:val="000000" w:themeColor="text1"/>
                <w:kern w:val="0"/>
                <w:sz w:val="24"/>
                <w:highlight w:val="none"/>
                <w14:textFill>
                  <w14:solidFill>
                    <w14:schemeClr w14:val="tx1"/>
                  </w14:solidFill>
                </w14:textFill>
              </w:rPr>
              <w:t>。</w:t>
            </w:r>
          </w:p>
          <w:p w14:paraId="5CE105D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48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CA46D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p>
        </w:tc>
        <w:tc>
          <w:tcPr>
            <w:tcW w:w="855" w:type="dxa"/>
            <w:vAlign w:val="center"/>
          </w:tcPr>
          <w:p w14:paraId="3E732D5E">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项目属性与核心产品</w:t>
            </w:r>
          </w:p>
        </w:tc>
        <w:tc>
          <w:tcPr>
            <w:tcW w:w="7515" w:type="dxa"/>
            <w:vAlign w:val="center"/>
          </w:tcPr>
          <w:p w14:paraId="0C37DF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31746F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服务类。</w:t>
            </w:r>
          </w:p>
        </w:tc>
      </w:tr>
      <w:tr w14:paraId="393B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2C744E4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855" w:type="dxa"/>
            <w:vAlign w:val="center"/>
          </w:tcPr>
          <w:p w14:paraId="474DEEE5">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000000" w:themeColor="text1"/>
                <w:spacing w:val="-20"/>
                <w:sz w:val="24"/>
                <w:highlight w:val="none"/>
                <w14:textFill>
                  <w14:solidFill>
                    <w14:schemeClr w14:val="tx1"/>
                  </w14:solidFill>
                </w14:textFill>
              </w:rPr>
            </w:pPr>
            <w:r>
              <w:rPr>
                <w:rFonts w:hint="eastAsia" w:ascii="仿宋" w:hAnsi="仿宋" w:eastAsia="仿宋" w:cs="仿宋"/>
                <w:b/>
                <w:color w:val="000000" w:themeColor="text1"/>
                <w:spacing w:val="-20"/>
                <w:sz w:val="24"/>
                <w:highlight w:val="none"/>
                <w14:textFill>
                  <w14:solidFill>
                    <w14:schemeClr w14:val="tx1"/>
                  </w14:solidFill>
                </w14:textFill>
              </w:rPr>
              <w:t>采购标的对应的中小企业划分标准所属行业</w:t>
            </w:r>
          </w:p>
        </w:tc>
        <w:tc>
          <w:tcPr>
            <w:tcW w:w="7515" w:type="dxa"/>
            <w:vAlign w:val="center"/>
          </w:tcPr>
          <w:p w14:paraId="20461E6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（1）标的：</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玉环市校舍房屋结构安全鉴定（校舍安全动态监测）采购项目</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其他未列明行业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相关文件：工信部联企业〔2011〕300号。</w:t>
            </w:r>
          </w:p>
        </w:tc>
      </w:tr>
      <w:tr w14:paraId="41D4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6A7CE3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855" w:type="dxa"/>
            <w:vMerge w:val="restart"/>
            <w:vAlign w:val="center"/>
          </w:tcPr>
          <w:p w14:paraId="6E5C4B3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投标人信用信息事项</w:t>
            </w:r>
          </w:p>
        </w:tc>
        <w:tc>
          <w:tcPr>
            <w:tcW w:w="7515" w:type="dxa"/>
            <w:vAlign w:val="center"/>
          </w:tcPr>
          <w:p w14:paraId="5C91C27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信用信息查询渠道及截止时间：</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 w:hAnsi="仿宋" w:eastAsia="仿宋" w:cs="仿宋"/>
                <w:b/>
                <w:color w:val="000000" w:themeColor="text1"/>
                <w:sz w:val="24"/>
                <w:highlight w:val="none"/>
                <w14:textFill>
                  <w14:solidFill>
                    <w14:schemeClr w14:val="tx1"/>
                  </w14:solidFill>
                </w14:textFill>
              </w:rPr>
              <w:t>开标当天</w:t>
            </w:r>
            <w:r>
              <w:rPr>
                <w:rFonts w:hint="eastAsia" w:ascii="仿宋" w:hAnsi="仿宋" w:eastAsia="仿宋" w:cs="仿宋"/>
                <w:color w:val="000000" w:themeColor="text1"/>
                <w:sz w:val="24"/>
                <w:highlight w:val="none"/>
                <w14:textFill>
                  <w14:solidFill>
                    <w14:schemeClr w14:val="tx1"/>
                  </w14:solidFill>
                </w14:textFill>
              </w:rPr>
              <w:t>的信用记录。</w:t>
            </w:r>
          </w:p>
        </w:tc>
      </w:tr>
      <w:tr w14:paraId="6849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1DAC86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p>
        </w:tc>
        <w:tc>
          <w:tcPr>
            <w:tcW w:w="855" w:type="dxa"/>
            <w:vMerge w:val="continue"/>
            <w:vAlign w:val="center"/>
          </w:tcPr>
          <w:p w14:paraId="4F6BBAA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p>
        </w:tc>
        <w:tc>
          <w:tcPr>
            <w:tcW w:w="7515" w:type="dxa"/>
            <w:vAlign w:val="center"/>
          </w:tcPr>
          <w:p w14:paraId="58B9FB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信用信息查询记录和证据留存的具体方式：</w:t>
            </w:r>
            <w:r>
              <w:rPr>
                <w:rFonts w:hint="eastAsia" w:ascii="仿宋" w:hAnsi="仿宋" w:eastAsia="仿宋" w:cs="仿宋"/>
                <w:color w:val="000000" w:themeColor="text1"/>
                <w:sz w:val="24"/>
                <w:highlight w:val="none"/>
                <w14:textFill>
                  <w14:solidFill>
                    <w14:schemeClr w14:val="tx1"/>
                  </w14:solidFill>
                </w14:textFill>
              </w:rPr>
              <w:t>采购人或采购人委托的评审小组或采购代理机构现场查询投标人的信用记录。</w:t>
            </w:r>
          </w:p>
        </w:tc>
      </w:tr>
      <w:tr w14:paraId="4D79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8F4B2D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p>
        </w:tc>
        <w:tc>
          <w:tcPr>
            <w:tcW w:w="855" w:type="dxa"/>
            <w:vMerge w:val="continue"/>
            <w:vAlign w:val="center"/>
          </w:tcPr>
          <w:p w14:paraId="1A64863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p>
        </w:tc>
        <w:tc>
          <w:tcPr>
            <w:tcW w:w="7515" w:type="dxa"/>
            <w:vAlign w:val="center"/>
          </w:tcPr>
          <w:p w14:paraId="29B47E5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信用信息的使用规则：</w:t>
            </w:r>
            <w:r>
              <w:rPr>
                <w:rFonts w:hint="eastAsia" w:ascii="仿宋" w:hAnsi="仿宋" w:eastAsia="仿宋" w:cs="仿宋"/>
                <w:color w:val="000000" w:themeColor="text1"/>
                <w:sz w:val="24"/>
                <w:highlight w:val="none"/>
                <w14:textFill>
                  <w14:solidFill>
                    <w14:schemeClr w14:val="tx1"/>
                  </w14:solidFill>
                </w14:textFill>
              </w:rPr>
              <w:t>经查询列入失信被执行人名单、重大税收违法案件当事人名单、政府采购严重违法失信行为记录名单的投标人将被拒绝参与政府采购活动。</w:t>
            </w:r>
          </w:p>
          <w:p w14:paraId="1680975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F1A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0CB1CEA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8370" w:type="dxa"/>
            <w:gridSpan w:val="2"/>
            <w:vAlign w:val="center"/>
          </w:tcPr>
          <w:p w14:paraId="0612A57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需要落实的政府采购政策：包括保护环境、节约能源、促进中小企业发展等。详见招标文件第二部分总则。</w:t>
            </w:r>
          </w:p>
        </w:tc>
      </w:tr>
      <w:tr w14:paraId="60E1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0F4885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8370" w:type="dxa"/>
            <w:gridSpan w:val="2"/>
            <w:vAlign w:val="center"/>
          </w:tcPr>
          <w:p w14:paraId="1B07FAC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更正补充公告请自行登录浙江政府采购网查看下载。</w:t>
            </w:r>
          </w:p>
        </w:tc>
      </w:tr>
      <w:tr w14:paraId="1D3F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B8504C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w:t>
            </w:r>
          </w:p>
        </w:tc>
        <w:tc>
          <w:tcPr>
            <w:tcW w:w="8370" w:type="dxa"/>
            <w:gridSpan w:val="2"/>
            <w:vAlign w:val="center"/>
          </w:tcPr>
          <w:p w14:paraId="1B71D72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投标与开标注意事项：</w:t>
            </w:r>
          </w:p>
          <w:p w14:paraId="7502DE3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1.本项目实行网上投标，采用电子投标文件。若供应商参与投标，自行承担投标一切费用。</w:t>
            </w:r>
          </w:p>
          <w:p w14:paraId="0444076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039348D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注：供应商CA相关操作可参考政采云平台</w:t>
            </w:r>
            <w:r>
              <w:rPr>
                <w:rFonts w:hint="eastAsia" w:ascii="仿宋" w:hAnsi="仿宋" w:eastAsia="仿宋" w:cs="仿宋"/>
                <w:color w:val="000000" w:themeColor="text1"/>
                <w:highlight w:val="none"/>
                <w14:textFill>
                  <w14:solidFill>
                    <w14:schemeClr w14:val="tx1"/>
                  </w14:solidFill>
                </w14:textFill>
              </w:rPr>
              <w:t>https://www.zcygov.cn/</w:t>
            </w:r>
            <w:r>
              <w:rPr>
                <w:rFonts w:hint="eastAsia" w:ascii="仿宋" w:hAnsi="仿宋" w:eastAsia="仿宋" w:cs="仿宋"/>
                <w:color w:val="000000" w:themeColor="text1"/>
                <w:sz w:val="24"/>
                <w:highlight w:val="none"/>
                <w14:textFill>
                  <w14:solidFill>
                    <w14:schemeClr w14:val="tx1"/>
                  </w14:solidFill>
                </w14:textFill>
              </w:rPr>
              <w:t>《CA申领操作指南》和《CA管理操作指南》。完成CA数字证书办理在资料齐全的情况下预计7个工作日左右，建议供应商获取招标文件后立即办理。</w:t>
            </w:r>
          </w:p>
          <w:p w14:paraId="0844C30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3.投标文件制作、递交、解密：</w:t>
            </w:r>
          </w:p>
          <w:p w14:paraId="51450B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3.1应按照本项目招标文件和政采云平台的要求编制、加密传输投标文件。供应商在使用系统进行投标的过程中遇到涉及平台使用的任何问题，可致电政采云平台技术支持热线咨询，联系方式：95763。</w:t>
            </w:r>
          </w:p>
          <w:p w14:paraId="7CC3AE76">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3.2投标人通过“政采云”平台制作电子投标文件，投标文件制作详见“供应商-政府采购项目电子交易操作指南。</w:t>
            </w:r>
          </w:p>
          <w:p w14:paraId="45A6832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3.3开标时间后30分钟内供应商可以登录“政采云”平台，用“项目采购-开标评标”功能进行解密投标文件。若供应商</w:t>
            </w:r>
            <w:r>
              <w:rPr>
                <w:rFonts w:hint="eastAsia" w:ascii="仿宋" w:hAnsi="仿宋" w:eastAsia="仿宋" w:cs="仿宋"/>
                <w:b/>
                <w:color w:val="000000" w:themeColor="text1"/>
                <w:sz w:val="24"/>
                <w:highlight w:val="none"/>
                <w:u w:val="single"/>
                <w14:textFill>
                  <w14:solidFill>
                    <w14:schemeClr w14:val="tx1"/>
                  </w14:solidFill>
                </w14:textFill>
              </w:rPr>
              <w:t>未按时解密的</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u w:val="single"/>
                <w14:textFill>
                  <w14:solidFill>
                    <w14:schemeClr w14:val="tx1"/>
                  </w14:solidFill>
                </w14:textFill>
              </w:rPr>
              <w:t>视为投标文件撤回</w:t>
            </w:r>
            <w:r>
              <w:rPr>
                <w:rFonts w:hint="eastAsia" w:ascii="仿宋" w:hAnsi="仿宋" w:eastAsia="仿宋" w:cs="仿宋"/>
                <w:color w:val="000000" w:themeColor="text1"/>
                <w:sz w:val="24"/>
                <w:highlight w:val="none"/>
                <w14:textFill>
                  <w14:solidFill>
                    <w14:schemeClr w14:val="tx1"/>
                  </w14:solidFill>
                </w14:textFill>
              </w:rPr>
              <w:t>。</w:t>
            </w:r>
          </w:p>
        </w:tc>
      </w:tr>
      <w:tr w14:paraId="5B71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B0C759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8370" w:type="dxa"/>
            <w:gridSpan w:val="2"/>
            <w:vAlign w:val="center"/>
          </w:tcPr>
          <w:p w14:paraId="6AFAC60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p w14:paraId="01EA083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highlight w:val="none"/>
                <w14:textFill>
                  <w14:solidFill>
                    <w14:schemeClr w14:val="tx1"/>
                  </w14:solidFill>
                </w14:textFill>
              </w:rPr>
              <w:t>。</w:t>
            </w:r>
          </w:p>
        </w:tc>
      </w:tr>
      <w:tr w14:paraId="2CFF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41381E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p>
        </w:tc>
        <w:tc>
          <w:tcPr>
            <w:tcW w:w="8370" w:type="dxa"/>
            <w:gridSpan w:val="2"/>
            <w:vAlign w:val="center"/>
          </w:tcPr>
          <w:p w14:paraId="6C7E24B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联合体投标的，联合体中有一方或者联合体成员根据分工按招标文件第五部分评标标准要求提供资信证明文件的，视为符合了相关要求。</w:t>
            </w:r>
          </w:p>
        </w:tc>
      </w:tr>
      <w:tr w14:paraId="2461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C13F6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解释：凡涉及本招标文件的解释权属于采购人。</w:t>
            </w:r>
          </w:p>
        </w:tc>
      </w:tr>
      <w:tr w14:paraId="51C6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6859F6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000000" w:themeColor="text1"/>
                <w:sz w:val="24"/>
                <w:highlight w:val="none"/>
                <w14:textFill>
                  <w14:solidFill>
                    <w14:schemeClr w14:val="tx1"/>
                  </w14:solidFill>
                </w14:textFill>
              </w:rPr>
            </w:pPr>
            <w:r>
              <w:rPr>
                <w:rFonts w:hint="eastAsia" w:ascii="宋体" w:hAnsi="宋体" w:cs="宋体"/>
                <w:bCs/>
                <w:szCs w:val="21"/>
              </w:rPr>
              <w:t>中标供应商在领取中标通知书前向招标代理机构支付招标代理服务费。招标代理服务费（按中标价三年总额）包含在投标总价中。招标代理服务费按（计价格[2002]1980号）规定招标代理服务费计取标准。</w:t>
            </w:r>
          </w:p>
        </w:tc>
      </w:tr>
      <w:tr w14:paraId="2750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CC633E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注：中标人放弃中标资格或因质疑、投诉被取消中标资格或不能履行合同的，本项目重新组织采购。</w:t>
            </w:r>
          </w:p>
        </w:tc>
      </w:tr>
      <w:bookmarkEnd w:id="4"/>
    </w:tbl>
    <w:p w14:paraId="05A52C4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bookmarkStart w:id="21" w:name="第三部分"/>
      <w:bookmarkStart w:id="22" w:name="_Toc164416483"/>
    </w:p>
    <w:p w14:paraId="6560788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p>
    <w:p w14:paraId="26564ECD">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1026D0B6">
      <w:pPr>
        <w:outlineLvl w:val="9"/>
        <w:rPr>
          <w:rFonts w:hint="eastAsia" w:ascii="仿宋" w:hAnsi="仿宋" w:eastAsia="仿宋" w:cs="仿宋"/>
          <w:b/>
          <w:color w:val="000000" w:themeColor="text1"/>
          <w:sz w:val="32"/>
          <w:szCs w:val="32"/>
          <w:highlight w:val="none"/>
          <w14:textFill>
            <w14:solidFill>
              <w14:schemeClr w14:val="tx1"/>
            </w14:solidFill>
          </w14:textFill>
        </w:rPr>
      </w:pPr>
    </w:p>
    <w:p w14:paraId="4EECE037">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3A847530">
      <w:pPr>
        <w:outlineLvl w:val="9"/>
        <w:rPr>
          <w:rFonts w:hint="eastAsia" w:ascii="仿宋" w:hAnsi="仿宋" w:eastAsia="仿宋" w:cs="仿宋"/>
          <w:b/>
          <w:color w:val="000000" w:themeColor="text1"/>
          <w:sz w:val="32"/>
          <w:szCs w:val="32"/>
          <w:highlight w:val="none"/>
          <w14:textFill>
            <w14:solidFill>
              <w14:schemeClr w14:val="tx1"/>
            </w14:solidFill>
          </w14:textFill>
        </w:rPr>
      </w:pPr>
    </w:p>
    <w:p w14:paraId="2D108706">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2DB14FC3">
      <w:pPr>
        <w:outlineLvl w:val="9"/>
        <w:rPr>
          <w:rFonts w:hint="eastAsia" w:ascii="仿宋" w:hAnsi="仿宋" w:eastAsia="仿宋" w:cs="仿宋"/>
          <w:b/>
          <w:color w:val="000000" w:themeColor="text1"/>
          <w:sz w:val="32"/>
          <w:szCs w:val="32"/>
          <w:highlight w:val="none"/>
          <w14:textFill>
            <w14:solidFill>
              <w14:schemeClr w14:val="tx1"/>
            </w14:solidFill>
          </w14:textFill>
        </w:rPr>
      </w:pPr>
    </w:p>
    <w:p w14:paraId="3D350682">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00C1FC8C">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0DF655F2">
      <w:pPr>
        <w:pStyle w:val="16"/>
        <w:outlineLvl w:val="9"/>
        <w:rPr>
          <w:rFonts w:hint="eastAsia" w:ascii="仿宋" w:hAnsi="仿宋" w:eastAsia="仿宋" w:cs="仿宋"/>
          <w:b/>
          <w:color w:val="000000" w:themeColor="text1"/>
          <w:sz w:val="32"/>
          <w:szCs w:val="32"/>
          <w:highlight w:val="none"/>
          <w14:textFill>
            <w14:solidFill>
              <w14:schemeClr w14:val="tx1"/>
            </w14:solidFill>
          </w14:textFill>
        </w:rPr>
      </w:pPr>
    </w:p>
    <w:p w14:paraId="2BDCFD8D">
      <w:pPr>
        <w:pStyle w:val="16"/>
        <w:rPr>
          <w:rFonts w:hint="eastAsia" w:ascii="仿宋" w:hAnsi="仿宋" w:eastAsia="仿宋" w:cs="仿宋"/>
          <w:b/>
          <w:color w:val="000000" w:themeColor="text1"/>
          <w:sz w:val="32"/>
          <w:szCs w:val="32"/>
          <w:highlight w:val="none"/>
          <w14:textFill>
            <w14:solidFill>
              <w14:schemeClr w14:val="tx1"/>
            </w14:solidFill>
          </w14:textFill>
        </w:rPr>
      </w:pPr>
    </w:p>
    <w:p w14:paraId="179D5437">
      <w:pPr>
        <w:pStyle w:val="16"/>
        <w:rPr>
          <w:rFonts w:hint="eastAsia" w:ascii="仿宋" w:hAnsi="仿宋" w:eastAsia="仿宋" w:cs="仿宋"/>
          <w:b/>
          <w:color w:val="000000" w:themeColor="text1"/>
          <w:sz w:val="32"/>
          <w:szCs w:val="32"/>
          <w:highlight w:val="none"/>
          <w14:textFill>
            <w14:solidFill>
              <w14:schemeClr w14:val="tx1"/>
            </w14:solidFill>
          </w14:textFill>
        </w:rPr>
      </w:pPr>
    </w:p>
    <w:p w14:paraId="2BAEAD21">
      <w:pPr>
        <w:pStyle w:val="16"/>
        <w:rPr>
          <w:rFonts w:hint="eastAsia" w:ascii="仿宋" w:hAnsi="仿宋" w:eastAsia="仿宋" w:cs="仿宋"/>
          <w:b/>
          <w:color w:val="000000" w:themeColor="text1"/>
          <w:sz w:val="32"/>
          <w:szCs w:val="32"/>
          <w:highlight w:val="none"/>
          <w14:textFill>
            <w14:solidFill>
              <w14:schemeClr w14:val="tx1"/>
            </w14:solidFill>
          </w14:textFill>
        </w:rPr>
      </w:pPr>
    </w:p>
    <w:p w14:paraId="3AF649E5">
      <w:pPr>
        <w:rPr>
          <w:rFonts w:hint="eastAsia" w:ascii="仿宋" w:hAnsi="仿宋" w:eastAsia="仿宋" w:cs="仿宋"/>
          <w:b/>
          <w:color w:val="000000" w:themeColor="text1"/>
          <w:sz w:val="32"/>
          <w:szCs w:val="32"/>
          <w:highlight w:val="none"/>
          <w14:textFill>
            <w14:solidFill>
              <w14:schemeClr w14:val="tx1"/>
            </w14:solidFill>
          </w14:textFill>
        </w:rPr>
      </w:pPr>
    </w:p>
    <w:p w14:paraId="172A21C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sectPr>
          <w:pgSz w:w="11906" w:h="16838"/>
          <w:pgMar w:top="1474" w:right="1814" w:bottom="1474" w:left="1814" w:header="851" w:footer="992" w:gutter="0"/>
          <w:pgNumType w:fmt="decimal"/>
          <w:cols w:space="720" w:num="1"/>
          <w:docGrid w:linePitch="312" w:charSpace="0"/>
        </w:sectPr>
      </w:pPr>
    </w:p>
    <w:p w14:paraId="13740FE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一、总则</w:t>
      </w:r>
    </w:p>
    <w:p w14:paraId="00EE2D1E">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14:paraId="4C5B434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108C711">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1B56822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603E7C2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”系指招标公告中载明的本项目的</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w:t>
      </w:r>
    </w:p>
    <w:p w14:paraId="4B9738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“投标人”“供应商”系指是指响应招标、参加投标竞争的法人、其他组织或者自然人。</w:t>
      </w:r>
    </w:p>
    <w:p w14:paraId="7783DCD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2.4</w:t>
      </w:r>
      <w:r>
        <w:rPr>
          <w:rFonts w:hint="eastAsia" w:ascii="仿宋" w:hAnsi="仿宋" w:eastAsia="仿宋" w:cs="仿宋"/>
          <w:color w:val="000000" w:themeColor="text1"/>
          <w:sz w:val="24"/>
          <w:highlight w:val="none"/>
          <w14:textFill>
            <w14:solidFill>
              <w14:schemeClr w14:val="tx1"/>
            </w14:solidFill>
          </w14:textFill>
        </w:rPr>
        <w:t>“监督单位”系指政府采购法定义监督管理部门</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180C699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 “负责人”系指法人企业的法定负责人，或其他组织为法律、行政法规规定代表单位行使职权的主要负责人，或自然人本人。</w:t>
      </w:r>
    </w:p>
    <w:p w14:paraId="576358A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p>
    <w:p w14:paraId="52547F7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“电子交易平台”</w:t>
      </w:r>
      <w:r>
        <w:rPr>
          <w:rFonts w:hint="eastAsia" w:ascii="仿宋" w:hAnsi="仿宋" w:eastAsia="仿宋" w:cs="仿宋"/>
          <w:color w:val="000000" w:themeColor="text1"/>
          <w:sz w:val="24"/>
          <w:highlight w:val="none"/>
          <w:lang w:val="en-US" w:eastAsia="zh-CN"/>
          <w14:textFill>
            <w14:solidFill>
              <w14:schemeClr w14:val="tx1"/>
            </w14:solidFill>
          </w14:textFill>
        </w:rPr>
        <w:t>系</w:t>
      </w:r>
      <w:r>
        <w:rPr>
          <w:rFonts w:hint="eastAsia" w:ascii="仿宋" w:hAnsi="仿宋" w:eastAsia="仿宋" w:cs="仿宋"/>
          <w:color w:val="000000" w:themeColor="text1"/>
          <w:sz w:val="24"/>
          <w:highlight w:val="none"/>
          <w14:textFill>
            <w14:solidFill>
              <w14:schemeClr w14:val="tx1"/>
            </w14:solidFill>
          </w14:textFill>
        </w:rPr>
        <w:t>指本项目政府采购活动所依托的政府采购云平台（https://www.zcygov.cn/）。</w:t>
      </w:r>
    </w:p>
    <w:p w14:paraId="614C421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“▲”系指实质性指标要求条款，如任意一条打“▲”的指标出现负偏离视为实质性不响应招标文件要求，作无效投标处理。“</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”系指适用本项目的要求，“☐”系指不适用本项目的要求。</w:t>
      </w:r>
    </w:p>
    <w:p w14:paraId="7E7BF414">
      <w:pPr>
        <w:spacing w:line="440" w:lineRule="exact"/>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3.采购项目需要落实的政府采购政策</w:t>
      </w:r>
    </w:p>
    <w:p w14:paraId="5B5BB78A">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717E94C">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hint="eastAsia" w:ascii="仿宋_GB2312" w:hAnsi="仿宋" w:eastAsia="仿宋_GB2312"/>
          <w:color w:val="000000" w:themeColor="text1"/>
          <w:sz w:val="24"/>
          <w:highlight w:val="none"/>
          <w:lang w:val="en-US" w:eastAsia="zh-CN"/>
          <w14:textFill>
            <w14:solidFill>
              <w14:schemeClr w14:val="tx1"/>
            </w14:solidFill>
          </w14:textFill>
        </w:rPr>
        <w:t>2</w:t>
      </w:r>
      <w:r>
        <w:rPr>
          <w:rFonts w:hint="eastAsia" w:ascii="仿宋_GB2312" w:hAnsi="仿宋" w:eastAsia="仿宋_GB2312"/>
          <w:bCs/>
          <w:color w:val="000000" w:themeColor="text1"/>
          <w:sz w:val="24"/>
          <w:highlight w:val="none"/>
          <w14:textFill>
            <w14:solidFill>
              <w14:schemeClr w14:val="tx1"/>
            </w14:solidFill>
          </w14:textFill>
        </w:rPr>
        <w:t>小微</w:t>
      </w:r>
      <w:r>
        <w:rPr>
          <w:rFonts w:hint="eastAsia" w:ascii="仿宋_GB2312" w:hAnsi="仿宋" w:eastAsia="仿宋_GB2312"/>
          <w:color w:val="000000" w:themeColor="text1"/>
          <w:sz w:val="24"/>
          <w:highlight w:val="none"/>
          <w14:textFill>
            <w14:solidFill>
              <w14:schemeClr w14:val="tx1"/>
            </w14:solidFill>
          </w14:textFill>
        </w:rPr>
        <w:t>企业价格扣除</w:t>
      </w:r>
    </w:p>
    <w:p w14:paraId="4A2296FB">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.1小微企业是指</w:t>
      </w:r>
      <w:r>
        <w:rPr>
          <w:rFonts w:hint="eastAsia" w:ascii="仿宋_GB2312" w:hAnsi="仿宋" w:eastAsia="仿宋_GB2312"/>
          <w:bCs/>
          <w:color w:val="000000" w:themeColor="text1"/>
          <w:sz w:val="24"/>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w:t>
      </w:r>
    </w:p>
    <w:p w14:paraId="584A4A14">
      <w:pPr>
        <w:spacing w:line="440" w:lineRule="exact"/>
        <w:ind w:firstLine="480" w:firstLineChars="200"/>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符合中小企业划分标准的个体工商户，在政府采购活动中视同中小企业。</w:t>
      </w:r>
    </w:p>
    <w:p w14:paraId="7E3382CC">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3.2</w:t>
      </w:r>
      <w:r>
        <w:rPr>
          <w:rFonts w:hint="eastAsia" w:ascii="仿宋_GB2312" w:hAnsi="仿宋" w:eastAsia="仿宋_GB2312"/>
          <w:bCs/>
          <w:color w:val="000000" w:themeColor="text1"/>
          <w:sz w:val="24"/>
          <w:highlight w:val="none"/>
          <w14:textFill>
            <w14:solidFill>
              <w14:schemeClr w14:val="tx1"/>
            </w14:solidFill>
          </w14:textFill>
        </w:rPr>
        <w:t>.2在货物采购项目中，货物由小微企业制造，即货物由小微企业生产且使用该小微企业商号或者注册商标。</w:t>
      </w:r>
      <w:r>
        <w:rPr>
          <w:rFonts w:hint="eastAsia" w:ascii="仿宋_GB2312" w:hAnsi="仿宋" w:eastAsia="仿宋_GB2312"/>
          <w:b/>
          <w:bCs/>
          <w:color w:val="000000" w:themeColor="text1"/>
          <w:sz w:val="24"/>
          <w:highlight w:val="none"/>
          <w14:textFill>
            <w14:solidFill>
              <w14:schemeClr w14:val="tx1"/>
            </w14:solidFill>
          </w14:textFill>
        </w:rPr>
        <w:t>供应商提供的货物既有中小企业制造货物，也有大型企业制造货物的，不享受中小企业扶持政策。</w:t>
      </w:r>
    </w:p>
    <w:p w14:paraId="30BF73B5">
      <w:pPr>
        <w:spacing w:line="440" w:lineRule="exact"/>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3.2</w:t>
      </w:r>
      <w:r>
        <w:rPr>
          <w:rFonts w:hint="eastAsia" w:ascii="仿宋_GB2312" w:hAnsi="仿宋" w:eastAsia="仿宋_GB2312"/>
          <w:bCs/>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14:paraId="0092BF0F">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.4小微企业应按照招标文件格式要求提供《中小企业声明函》。</w:t>
      </w:r>
    </w:p>
    <w:p w14:paraId="5E26CC47">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000000" w:themeColor="text1"/>
          <w:sz w:val="24"/>
          <w:highlight w:val="none"/>
          <w:lang w:val="en-US" w:eastAsia="zh-CN"/>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的扣除，用扣除后的价格参加评审。</w:t>
      </w:r>
    </w:p>
    <w:p w14:paraId="537534FF">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000000" w:themeColor="text1"/>
          <w:sz w:val="24"/>
          <w:highlight w:val="none"/>
          <w:lang w:val="en-US" w:eastAsia="zh-CN"/>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410C535">
      <w:pPr>
        <w:spacing w:line="440" w:lineRule="exact"/>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5624573">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.7符合《关于促进残疾人就业政府采购政策的通知》（财库〔2017〕141号）规定的条件并提供《残疾人福利性单位声明函》的残疾人福利性单位视同小微企业；</w:t>
      </w:r>
    </w:p>
    <w:p w14:paraId="1CC83F61">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lang w:eastAsia="zh-CN"/>
          <w14:textFill>
            <w14:solidFill>
              <w14:schemeClr w14:val="tx1"/>
            </w14:solidFill>
          </w14:textFill>
        </w:rPr>
        <w:t>3.2</w:t>
      </w:r>
      <w:r>
        <w:rPr>
          <w:rFonts w:hint="eastAsia" w:ascii="仿宋_GB2312" w:hAnsi="仿宋" w:eastAsia="仿宋_GB2312"/>
          <w:color w:val="000000" w:themeColor="text1"/>
          <w:sz w:val="24"/>
          <w:highlight w:val="none"/>
          <w14:textFill>
            <w14:solidFill>
              <w14:schemeClr w14:val="tx1"/>
            </w14:solidFill>
          </w14:textFill>
        </w:rPr>
        <w:t>.8符合《关于政府采购支持监狱企业发展有关问题的通知》（财库[2014]68号）规定的监狱企业并提供由省级以上监狱管理局、戒毒管理局（含新疆生产建设兵团）出具的属于监狱企业证明文件的，视同为小微企业。</w:t>
      </w:r>
    </w:p>
    <w:p w14:paraId="42A4CC83">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4.特别说明：</w:t>
      </w:r>
    </w:p>
    <w:p w14:paraId="03445985">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4.1供应商投标所使用的资格、信誉、荣誉、业绩与企业认证必须为投标单位所拥有。供应商投标所使用的采购项目实施人员必须为投标单位正式员工。</w:t>
      </w:r>
    </w:p>
    <w:p w14:paraId="604A99F8">
      <w:pPr>
        <w:spacing w:line="44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4.2供应商应仔细阅读招标文件的所有内容，按照招标文件的要求提交投标文件，并对所提供的全部资料的真实性承担法律责任。</w:t>
      </w:r>
    </w:p>
    <w:p w14:paraId="30CA010A">
      <w:pPr>
        <w:spacing w:line="440" w:lineRule="exact"/>
        <w:rPr>
          <w:rFonts w:hint="eastAsia"/>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96DE83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二、招标文件</w:t>
      </w:r>
    </w:p>
    <w:p w14:paraId="4A6197A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1．招标方式</w:t>
      </w:r>
    </w:p>
    <w:p w14:paraId="69CEEB5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本次招标采用公开招标方式进行。</w:t>
      </w:r>
    </w:p>
    <w:p w14:paraId="41128F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如某一标项投标人或实质性响应招标文件的投标人不足三家时，由采购人重新组织招标或按有关规定实施。</w:t>
      </w:r>
    </w:p>
    <w:p w14:paraId="110DF61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本次招标设定限价，即招标公告中公布的各标项预算金额或最高限价（各标项之间的预算金额不能互相调整）。</w:t>
      </w:r>
    </w:p>
    <w:p w14:paraId="51663952">
      <w:pPr>
        <w:pStyle w:val="7"/>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2.授权委托</w:t>
      </w:r>
    </w:p>
    <w:p w14:paraId="46E7884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本项目为电子投标项目，投标人的法定代表人或其授权代表或个体工商户不需要参加现场投标和开标。</w:t>
      </w:r>
    </w:p>
    <w:p w14:paraId="7A244D66">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投标费用</w:t>
      </w:r>
    </w:p>
    <w:p w14:paraId="463FE11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投标人应自行承担编制投标文件及参加本次投标所涉及的一切费用。不管投标结果如何，招标人对上述费用不负任何责任。</w:t>
      </w:r>
    </w:p>
    <w:p w14:paraId="1FD5111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 招标文件的修改</w:t>
      </w:r>
    </w:p>
    <w:p w14:paraId="4B40B7A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4.1招标文件包括本招标文件及所有的招标答疑记录（澄清、修改）和发出的补充通知。</w:t>
      </w:r>
    </w:p>
    <w:p w14:paraId="5ABC85C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4.2招标文件的澄清 </w:t>
      </w:r>
    </w:p>
    <w:p w14:paraId="4BC6F4E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9AF97E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4.3招标文件的修改</w:t>
      </w:r>
    </w:p>
    <w:p w14:paraId="219BB9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B5878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031E2061">
      <w:pPr>
        <w:pStyle w:val="2"/>
        <w:keepNext w:val="0"/>
        <w:keepLines w:val="0"/>
        <w:pageBreakBefore w:val="0"/>
        <w:widowControl w:val="0"/>
        <w:kinsoku/>
        <w:wordWrap/>
        <w:overflowPunct/>
        <w:topLinePunct w:val="0"/>
        <w:bidi w:val="0"/>
        <w:snapToGrid/>
        <w:spacing w:beforeAutospacing="0" w:line="360" w:lineRule="auto"/>
        <w:ind w:left="0" w:leftChars="0"/>
        <w:jc w:val="center"/>
        <w:textAlignment w:val="auto"/>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三、投标</w:t>
      </w:r>
      <w:r>
        <w:rPr>
          <w:rFonts w:hint="eastAsia" w:ascii="仿宋" w:hAnsi="仿宋" w:eastAsia="仿宋" w:cs="仿宋"/>
          <w:b/>
          <w:color w:val="000000" w:themeColor="text1"/>
          <w:sz w:val="32"/>
          <w:szCs w:val="32"/>
          <w:highlight w:val="none"/>
          <w:lang w:eastAsia="zh-CN"/>
          <w14:textFill>
            <w14:solidFill>
              <w14:schemeClr w14:val="tx1"/>
            </w14:solidFill>
          </w14:textFill>
        </w:rPr>
        <w:t>文件</w:t>
      </w:r>
    </w:p>
    <w:p w14:paraId="2E0266FA">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highlight w:val="none"/>
          <w14:textFill>
            <w14:solidFill>
              <w14:schemeClr w14:val="tx1"/>
            </w14:solidFill>
          </w14:textFill>
        </w:rPr>
        <w:t>投标文件的语言、计量单位、形式及效力</w:t>
      </w:r>
    </w:p>
    <w:p w14:paraId="104A21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1.1投标人应仔细阅读招标文件中的所有内容，按照招标文件要求，详细编制投标文件，并保证投标文件的正确性和真实性。</w:t>
      </w:r>
    </w:p>
    <w:p w14:paraId="26DC930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投标文件以及投标方与招标方就有关投标事宜的所有来往函电，均应以中文书写（技术术语除外）。</w:t>
      </w:r>
    </w:p>
    <w:p w14:paraId="13C710A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投标计量单位，除招标文件中有特殊要求外，应采用中华人民共和国法定计量单位，货币单位：人民币元。</w:t>
      </w:r>
    </w:p>
    <w:p w14:paraId="7C7864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1.4不按招标文件的要求提供的投标文件可能导致被拒绝。</w:t>
      </w:r>
    </w:p>
    <w:p w14:paraId="13BA328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1.5投标文件的形式和效力</w:t>
      </w:r>
    </w:p>
    <w:p w14:paraId="0A92EB65">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1.5.1投标文件为电子投标文件，电子投标文件按“政采云供应商项目采购-电子招投标操作指南”及本招标文件要求制作、加密传输。</w:t>
      </w:r>
    </w:p>
    <w:p w14:paraId="3CDB979F">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1.5.2投标文件的效力：</w:t>
      </w:r>
    </w:p>
    <w:p w14:paraId="1C5DABE2">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投标文件未在投标截止时间前完成传输的，视为投标文件撤回；投标文件未按时解密，亦视为投标文件撤回。</w:t>
      </w:r>
    </w:p>
    <w:p w14:paraId="128D0762">
      <w:pPr>
        <w:pStyle w:val="8"/>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14:textFill>
            <w14:solidFill>
              <w14:schemeClr w14:val="tx1"/>
            </w14:solidFill>
          </w14:textFill>
        </w:rPr>
        <w:t>. 投标文件的组成</w:t>
      </w:r>
    </w:p>
    <w:p w14:paraId="5355C03A">
      <w:pPr>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投标文件由</w:t>
      </w:r>
      <w:r>
        <w:rPr>
          <w:rFonts w:hint="eastAsia" w:ascii="仿宋" w:hAnsi="仿宋" w:eastAsia="仿宋" w:cs="仿宋"/>
          <w:color w:val="000000" w:themeColor="text1"/>
          <w:sz w:val="24"/>
          <w:highlight w:val="none"/>
          <w:lang w:eastAsia="zh-CN"/>
          <w14:textFill>
            <w14:solidFill>
              <w14:schemeClr w14:val="tx1"/>
            </w14:solidFill>
          </w14:textFill>
        </w:rPr>
        <w:t>“资格文件”、“商务技术文件资料”、</w:t>
      </w:r>
      <w:r>
        <w:rPr>
          <w:rFonts w:hint="eastAsia" w:ascii="仿宋" w:hAnsi="仿宋" w:eastAsia="仿宋" w:cs="仿宋"/>
          <w:color w:val="000000" w:themeColor="text1"/>
          <w:sz w:val="24"/>
          <w:highlight w:val="none"/>
          <w14:textFill>
            <w14:solidFill>
              <w14:schemeClr w14:val="tx1"/>
            </w14:solidFill>
          </w14:textFill>
        </w:rPr>
        <w:t>“报价文件资料”</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部分组成，其中</w:t>
      </w:r>
      <w:r>
        <w:rPr>
          <w:rFonts w:hint="eastAsia" w:ascii="仿宋" w:hAnsi="仿宋" w:eastAsia="仿宋" w:cs="仿宋"/>
          <w:b/>
          <w:color w:val="000000" w:themeColor="text1"/>
          <w:sz w:val="24"/>
          <w:highlight w:val="none"/>
          <w14:textFill>
            <w14:solidFill>
              <w14:schemeClr w14:val="tx1"/>
            </w14:solidFill>
          </w14:textFill>
        </w:rPr>
        <w:t>电子投标文件中所须加盖公章部分均应采用电子签章。</w:t>
      </w:r>
    </w:p>
    <w:p w14:paraId="2EA55165">
      <w:pPr>
        <w:numPr>
          <w:ilvl w:val="0"/>
          <w:numId w:val="0"/>
        </w:numPr>
        <w:snapToGrid w:val="0"/>
        <w:spacing w:line="360" w:lineRule="auto"/>
        <w:ind w:left="397" w:leftChars="0"/>
        <w:rPr>
          <w:rFonts w:hint="eastAsia" w:ascii="仿宋" w:hAnsi="仿宋" w:eastAsia="仿宋" w:cs="仿宋"/>
          <w:b/>
          <w:sz w:val="24"/>
        </w:rPr>
      </w:pPr>
      <w:r>
        <w:rPr>
          <w:rFonts w:hint="eastAsia" w:ascii="仿宋" w:hAnsi="仿宋" w:eastAsia="仿宋" w:cs="仿宋"/>
          <w:b/>
          <w:sz w:val="24"/>
          <w:lang w:val="en-US" w:eastAsia="zh-CN"/>
        </w:rPr>
        <w:t>2.1</w:t>
      </w:r>
      <w:r>
        <w:rPr>
          <w:rFonts w:hint="eastAsia" w:ascii="仿宋" w:hAnsi="仿宋" w:eastAsia="仿宋" w:cs="仿宋"/>
          <w:b/>
          <w:sz w:val="24"/>
        </w:rPr>
        <w:t>资格文件：</w:t>
      </w:r>
    </w:p>
    <w:p w14:paraId="50CB1160">
      <w:pPr>
        <w:numPr>
          <w:ilvl w:val="0"/>
          <w:numId w:val="0"/>
        </w:numPr>
        <w:snapToGrid w:val="0"/>
        <w:spacing w:line="360" w:lineRule="auto"/>
        <w:ind w:left="800" w:leftChars="0"/>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2.1.1符合参加政府采购活动应当具备的一般条件的承诺函；</w:t>
      </w:r>
    </w:p>
    <w:p w14:paraId="654629E1">
      <w:pPr>
        <w:numPr>
          <w:ilvl w:val="0"/>
          <w:numId w:val="0"/>
        </w:numPr>
        <w:snapToGrid w:val="0"/>
        <w:spacing w:line="360" w:lineRule="auto"/>
        <w:ind w:left="800" w:leftChars="0"/>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2.1.2落实政府采购政策需满足的资格要求；中小企业声明函；</w:t>
      </w:r>
    </w:p>
    <w:p w14:paraId="0B719733">
      <w:pPr>
        <w:numPr>
          <w:ilvl w:val="0"/>
          <w:numId w:val="0"/>
        </w:numPr>
        <w:snapToGrid w:val="0"/>
        <w:spacing w:line="360" w:lineRule="auto"/>
        <w:ind w:left="800" w:leftChars="0"/>
        <w:rPr>
          <w:rFonts w:hint="eastAsia" w:ascii="仿宋" w:hAnsi="仿宋" w:eastAsia="仿宋" w:cs="仿宋"/>
          <w:kern w:val="2"/>
          <w:sz w:val="24"/>
          <w:szCs w:val="20"/>
          <w:lang w:val="en-US" w:eastAsia="zh-CN" w:bidi="ar-SA"/>
        </w:rPr>
      </w:pPr>
      <w:r>
        <w:rPr>
          <w:rFonts w:hint="eastAsia" w:ascii="仿宋" w:hAnsi="仿宋" w:eastAsia="仿宋" w:cs="仿宋"/>
          <w:kern w:val="2"/>
          <w:sz w:val="24"/>
          <w:szCs w:val="20"/>
          <w:lang w:val="en-US" w:eastAsia="zh-CN" w:bidi="ar-SA"/>
        </w:rPr>
        <w:t>2.1.3本项目的特定资格要求：根据“招标文件第一部分”中 “合格的供应商应具备的特定资格要求编制”</w:t>
      </w:r>
    </w:p>
    <w:p w14:paraId="5263D5EA">
      <w:pPr>
        <w:numPr>
          <w:ilvl w:val="0"/>
          <w:numId w:val="0"/>
        </w:numPr>
        <w:snapToGrid w:val="0"/>
        <w:spacing w:line="360" w:lineRule="auto"/>
        <w:ind w:left="397" w:leftChars="0"/>
        <w:rPr>
          <w:rFonts w:hint="eastAsia" w:ascii="仿宋" w:hAnsi="仿宋" w:eastAsia="仿宋" w:cs="仿宋"/>
          <w:b/>
          <w:sz w:val="24"/>
          <w:lang w:val="zh-CN"/>
        </w:rPr>
      </w:pPr>
      <w:r>
        <w:rPr>
          <w:rFonts w:hint="eastAsia" w:ascii="仿宋" w:hAnsi="仿宋" w:eastAsia="仿宋" w:cs="仿宋"/>
          <w:b/>
          <w:sz w:val="24"/>
          <w:lang w:val="en-US" w:eastAsia="zh-CN"/>
        </w:rPr>
        <w:t>2.1</w:t>
      </w:r>
      <w:r>
        <w:rPr>
          <w:rFonts w:hint="eastAsia" w:ascii="仿宋" w:hAnsi="仿宋" w:eastAsia="仿宋" w:cs="仿宋"/>
          <w:b/>
          <w:sz w:val="24"/>
        </w:rPr>
        <w:t>商务技术</w:t>
      </w:r>
      <w:r>
        <w:rPr>
          <w:rFonts w:hint="eastAsia" w:ascii="仿宋" w:hAnsi="仿宋" w:eastAsia="仿宋" w:cs="仿宋"/>
          <w:b/>
          <w:sz w:val="24"/>
          <w:lang w:val="zh-CN"/>
        </w:rPr>
        <w:t>文件：</w:t>
      </w:r>
    </w:p>
    <w:p w14:paraId="13140C7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7D9B27B7">
      <w:pPr>
        <w:snapToGrid w:val="0"/>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2.2.2法定代表人授权委托书；</w:t>
      </w:r>
    </w:p>
    <w:p w14:paraId="19F86BF2">
      <w:pPr>
        <w:snapToGrid w:val="0"/>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2.2.3授权代表社保证明；</w:t>
      </w:r>
    </w:p>
    <w:p w14:paraId="5EB10804">
      <w:pPr>
        <w:snapToGrid w:val="0"/>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2.2.4法定代表人身份证明书；</w:t>
      </w:r>
    </w:p>
    <w:p w14:paraId="3D4C9FA5">
      <w:pPr>
        <w:snapToGrid w:val="0"/>
        <w:spacing w:line="360" w:lineRule="auto"/>
        <w:ind w:firstLine="720" w:firstLineChars="3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2.2.5技术偏离说明表。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2009B1DB">
      <w:pPr>
        <w:snapToGrid w:val="0"/>
        <w:spacing w:line="360" w:lineRule="auto"/>
        <w:ind w:firstLine="720" w:firstLineChars="300"/>
        <w:rPr>
          <w:rFonts w:hint="eastAsia" w:ascii="仿宋" w:hAnsi="仿宋" w:eastAsia="仿宋" w:cs="仿宋"/>
          <w:color w:val="000000" w:themeColor="text1"/>
          <w:sz w:val="24"/>
          <w:highlight w:val="none"/>
          <w:u w:val="wav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2.2.6</w:t>
      </w:r>
      <w:r>
        <w:rPr>
          <w:rFonts w:hint="eastAsia" w:ascii="仿宋" w:hAnsi="仿宋" w:eastAsia="仿宋" w:cs="仿宋"/>
          <w:color w:val="000000" w:themeColor="text1"/>
          <w:sz w:val="24"/>
          <w:highlight w:val="none"/>
          <w:lang w:eastAsia="zh-CN"/>
          <w14:textFill>
            <w14:solidFill>
              <w14:schemeClr w14:val="tx1"/>
            </w14:solidFill>
          </w14:textFill>
        </w:rPr>
        <w:t>商务技术文件</w:t>
      </w:r>
      <w:r>
        <w:rPr>
          <w:rFonts w:hint="eastAsia" w:ascii="仿宋" w:hAnsi="仿宋" w:eastAsia="仿宋" w:cs="仿宋"/>
          <w:color w:val="000000" w:themeColor="text1"/>
          <w:sz w:val="24"/>
          <w:highlight w:val="none"/>
          <w:lang w:val="en-US" w:eastAsia="zh-CN"/>
          <w14:textFill>
            <w14:solidFill>
              <w14:schemeClr w14:val="tx1"/>
            </w14:solidFill>
          </w14:textFill>
        </w:rPr>
        <w:t>其他内容（</w:t>
      </w:r>
      <w:r>
        <w:rPr>
          <w:rFonts w:hint="eastAsia" w:ascii="仿宋" w:hAnsi="仿宋" w:eastAsia="仿宋" w:cs="仿宋"/>
          <w:color w:val="000000" w:themeColor="text1"/>
          <w:sz w:val="24"/>
          <w:highlight w:val="none"/>
          <w:u w:val="none"/>
          <w:lang w:val="en-US" w:eastAsia="zh-CN"/>
          <w14:textFill>
            <w14:solidFill>
              <w14:schemeClr w14:val="tx1"/>
            </w14:solidFill>
          </w14:textFill>
        </w:rPr>
        <w:t>根据</w:t>
      </w:r>
      <w:r>
        <w:rPr>
          <w:rFonts w:hint="eastAsia" w:ascii="仿宋" w:hAnsi="仿宋" w:eastAsia="仿宋" w:cs="仿宋"/>
          <w:color w:val="000000" w:themeColor="text1"/>
          <w:sz w:val="24"/>
          <w:highlight w:val="none"/>
          <w:u w:val="none"/>
          <w14:textFill>
            <w14:solidFill>
              <w14:schemeClr w14:val="tx1"/>
            </w14:solidFill>
          </w14:textFill>
        </w:rPr>
        <w:t>评分标准制作</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highlight w:val="none"/>
          <w:u w:val="none"/>
          <w14:textFill>
            <w14:solidFill>
              <w14:schemeClr w14:val="tx1"/>
            </w14:solidFill>
          </w14:textFill>
        </w:rPr>
        <w:t>；</w:t>
      </w:r>
    </w:p>
    <w:p w14:paraId="53F2DC29">
      <w:pPr>
        <w:snapToGrid w:val="0"/>
        <w:spacing w:line="360" w:lineRule="auto"/>
        <w:ind w:firstLine="720" w:firstLineChars="300"/>
        <w:rPr>
          <w:rFonts w:hint="default"/>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p>
    <w:p w14:paraId="776C9CA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 xml:space="preserve">2.3报价文件： </w:t>
      </w:r>
    </w:p>
    <w:p w14:paraId="1809DF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2.3.1开标一览表（报价表）；</w:t>
      </w:r>
    </w:p>
    <w:p w14:paraId="6D4AC3CB">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2.3.2</w:t>
      </w:r>
      <w:r>
        <w:rPr>
          <w:rFonts w:hint="eastAsia" w:ascii="仿宋" w:hAnsi="仿宋" w:eastAsia="仿宋" w:cs="仿宋"/>
          <w:color w:val="000000" w:themeColor="text1"/>
          <w:sz w:val="24"/>
          <w:highlight w:val="none"/>
          <w14:textFill>
            <w14:solidFill>
              <w14:schemeClr w14:val="tx1"/>
            </w14:solidFill>
          </w14:textFill>
        </w:rPr>
        <w:t>投标人需要说明的其他文件和说明（格式自拟）</w:t>
      </w:r>
      <w:r>
        <w:rPr>
          <w:rFonts w:hint="eastAsia" w:ascii="仿宋" w:hAnsi="仿宋" w:eastAsia="仿宋" w:cs="仿宋"/>
          <w:color w:val="000000" w:themeColor="text1"/>
          <w:sz w:val="24"/>
          <w:highlight w:val="none"/>
          <w:lang w:eastAsia="zh-CN"/>
          <w14:textFill>
            <w14:solidFill>
              <w14:schemeClr w14:val="tx1"/>
            </w14:solidFill>
          </w14:textFill>
        </w:rPr>
        <w:t>。</w:t>
      </w:r>
    </w:p>
    <w:p w14:paraId="6ABD1C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default" w:ascii="仿宋" w:hAnsi="仿宋" w:eastAsia="仿宋" w:cs="仿宋"/>
          <w:b/>
          <w:bCs/>
          <w:color w:val="000000" w:themeColor="text1"/>
          <w:sz w:val="24"/>
          <w:highlight w:val="none"/>
          <w:lang w:val="en-US"/>
          <w14:textFill>
            <w14:solidFill>
              <w14:schemeClr w14:val="tx1"/>
            </w14:solidFill>
          </w14:textFill>
        </w:rPr>
        <w:t>3.</w:t>
      </w:r>
      <w:r>
        <w:rPr>
          <w:rFonts w:hint="eastAsia" w:ascii="仿宋" w:hAnsi="仿宋" w:eastAsia="仿宋" w:cs="仿宋"/>
          <w:b/>
          <w:bCs/>
          <w:color w:val="000000" w:themeColor="text1"/>
          <w:sz w:val="24"/>
          <w:highlight w:val="none"/>
          <w:lang w:val="en-US" w:eastAsia="zh-CN"/>
          <w14:textFill>
            <w14:solidFill>
              <w14:schemeClr w14:val="tx1"/>
            </w14:solidFill>
          </w14:textFill>
        </w:rPr>
        <w:t>投标报价</w:t>
      </w:r>
    </w:p>
    <w:p w14:paraId="6BC89BAB">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3.1供应商应按招标文件中《开标一览表》等附表要求填写。</w:t>
      </w:r>
    </w:p>
    <w:p w14:paraId="2582EE4E">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3.2报价为</w:t>
      </w:r>
      <w:r>
        <w:rPr>
          <w:rFonts w:hint="eastAsia" w:ascii="仿宋" w:hAnsi="仿宋" w:eastAsia="仿宋" w:cs="仿宋"/>
          <w:color w:val="000000" w:themeColor="text1"/>
          <w:sz w:val="24"/>
          <w:highlight w:val="none"/>
          <w:lang w:val="en-US" w:eastAsia="zh-CN"/>
          <w14:textFill>
            <w14:solidFill>
              <w14:schemeClr w14:val="tx1"/>
            </w14:solidFill>
          </w14:textFill>
        </w:rPr>
        <w:t>完成本项目所需的</w:t>
      </w:r>
      <w:r>
        <w:rPr>
          <w:rFonts w:hint="default" w:ascii="仿宋" w:hAnsi="仿宋" w:eastAsia="仿宋" w:cs="仿宋"/>
          <w:color w:val="000000" w:themeColor="text1"/>
          <w:sz w:val="24"/>
          <w:highlight w:val="none"/>
          <w:lang w:val="en-US" w:eastAsia="zh-CN"/>
          <w14:textFill>
            <w14:solidFill>
              <w14:schemeClr w14:val="tx1"/>
            </w14:solidFill>
          </w14:textFill>
        </w:rPr>
        <w:t>一切费用。</w:t>
      </w:r>
    </w:p>
    <w:p w14:paraId="742F59A8">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default" w:ascii="仿宋" w:hAnsi="仿宋" w:eastAsia="仿宋" w:cs="仿宋"/>
          <w:color w:val="000000" w:themeColor="text1"/>
          <w:sz w:val="24"/>
          <w:highlight w:val="none"/>
          <w:lang w:val="en-US" w:eastAsia="zh-CN"/>
          <w14:textFill>
            <w14:solidFill>
              <w14:schemeClr w14:val="tx1"/>
            </w14:solidFill>
          </w14:textFill>
        </w:rPr>
        <w:t>3.3招标文件未列明，而供应商认为必需的费用也需列入报价。</w:t>
      </w:r>
    </w:p>
    <w:p w14:paraId="6D7677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000000" w:themeColor="text1"/>
          <w:szCs w:val="24"/>
          <w:highlight w:val="none"/>
          <w14:textFill>
            <w14:solidFill>
              <w14:schemeClr w14:val="tx1"/>
            </w14:solidFill>
          </w14:textFill>
        </w:rPr>
      </w:pPr>
      <w:r>
        <w:rPr>
          <w:rFonts w:hint="default" w:ascii="仿宋" w:hAnsi="仿宋" w:eastAsia="仿宋" w:cs="仿宋"/>
          <w:b/>
          <w:bCs/>
          <w:color w:val="000000" w:themeColor="text1"/>
          <w:sz w:val="24"/>
          <w:highlight w:val="none"/>
          <w:lang w:val="en-US" w:eastAsia="zh-CN"/>
          <w14:textFill>
            <w14:solidFill>
              <w14:schemeClr w14:val="tx1"/>
            </w14:solidFill>
          </w14:textFill>
        </w:rPr>
        <w:t>3.4投标报价只允许有一个报价，有选择的报价将不予接受（除指定外）</w:t>
      </w:r>
      <w:r>
        <w:rPr>
          <w:rFonts w:hint="default" w:ascii="仿宋" w:hAnsi="仿宋" w:eastAsia="仿宋" w:cs="仿宋"/>
          <w:b/>
          <w:bCs/>
          <w:color w:val="000000" w:themeColor="text1"/>
          <w:sz w:val="24"/>
          <w:highlight w:val="none"/>
          <w:lang w:val="en-US"/>
          <w14:textFill>
            <w14:solidFill>
              <w14:schemeClr w14:val="tx1"/>
            </w14:solidFill>
          </w14:textFill>
        </w:rPr>
        <w:t>。4.</w:t>
      </w:r>
      <w:r>
        <w:rPr>
          <w:rFonts w:hint="eastAsia" w:ascii="仿宋" w:hAnsi="仿宋" w:eastAsia="仿宋" w:cs="仿宋"/>
          <w:b/>
          <w:bCs/>
          <w:color w:val="000000" w:themeColor="text1"/>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highlight w:val="none"/>
          <w:lang w:val="en-US"/>
          <w14:textFill>
            <w14:solidFill>
              <w14:schemeClr w14:val="tx1"/>
            </w14:solidFill>
          </w14:textFill>
        </w:rPr>
        <w:t>投标文件的编制</w:t>
      </w:r>
      <w:r>
        <w:rPr>
          <w:rFonts w:hint="eastAsia" w:ascii="仿宋" w:hAnsi="仿宋" w:eastAsia="仿宋" w:cs="仿宋"/>
          <w:b/>
          <w:bCs/>
          <w:color w:val="000000" w:themeColor="text1"/>
          <w:sz w:val="24"/>
          <w:highlight w:val="none"/>
          <w:lang w:val="en-US" w:eastAsia="zh-CN"/>
          <w14:textFill>
            <w14:solidFill>
              <w14:schemeClr w14:val="tx1"/>
            </w14:solidFill>
          </w14:textFill>
        </w:rPr>
        <w:t>和</w:t>
      </w:r>
      <w:r>
        <w:rPr>
          <w:rFonts w:hint="eastAsia" w:ascii="仿宋" w:hAnsi="仿宋" w:eastAsia="仿宋" w:cs="仿宋"/>
          <w:b/>
          <w:bCs/>
          <w:color w:val="000000" w:themeColor="text1"/>
          <w:sz w:val="24"/>
          <w:highlight w:val="none"/>
          <w:lang w:val="en-US"/>
          <w14:textFill>
            <w14:solidFill>
              <w14:schemeClr w14:val="tx1"/>
            </w14:solidFill>
          </w14:textFill>
        </w:rPr>
        <w:t>签署</w:t>
      </w:r>
    </w:p>
    <w:p w14:paraId="5FB1F2CF">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55FBEE">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.2投标人进行电子投标应安装客户端软件—“政采云电子交易客户端”，并按照招标文件和电子交易平台的要求编制并加密投标文件。投标人未按规定加密的投标文件，电子交易平台将拒收并提示。</w:t>
      </w:r>
    </w:p>
    <w:p w14:paraId="164D7AEB">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4A477779">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4.4</w:t>
      </w:r>
      <w:r>
        <w:rPr>
          <w:rFonts w:hint="eastAsia" w:ascii="仿宋" w:hAnsi="仿宋" w:eastAsia="仿宋" w:cs="仿宋"/>
          <w:color w:val="000000" w:themeColor="text1"/>
          <w:sz w:val="24"/>
          <w:highlight w:val="none"/>
          <w:lang w:val="zh-CN"/>
          <w14:textFill>
            <w14:solidFill>
              <w14:schemeClr w14:val="tx1"/>
            </w14:solidFill>
          </w14:textFill>
        </w:rPr>
        <w:t>投标文件按照招标文件第六部分格式要求进行签署、盖章。投标人的投标文件未按照招标文件要求签署、盖章的，其投标无效。</w:t>
      </w:r>
    </w:p>
    <w:p w14:paraId="204FDB92">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4.5</w:t>
      </w:r>
      <w:r>
        <w:rPr>
          <w:rFonts w:hint="eastAsia" w:ascii="仿宋" w:hAnsi="仿宋" w:eastAsia="仿宋" w:cs="仿宋"/>
          <w:color w:val="000000" w:themeColor="text1"/>
          <w:sz w:val="24"/>
          <w:highlight w:val="none"/>
          <w:lang w:val="zh-CN"/>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6C665EE3">
      <w:pPr>
        <w:snapToGrid w:val="0"/>
        <w:spacing w:line="440" w:lineRule="exact"/>
        <w:ind w:firstLine="480" w:firstLineChars="20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lang w:val="zh-CN"/>
          <w14:textFill>
            <w14:solidFill>
              <w14:schemeClr w14:val="tx1"/>
            </w14:solidFill>
          </w14:textFill>
        </w:rPr>
        <w:t>招标文件对投标文件签署、盖章的要求适用于电子签名。</w:t>
      </w:r>
    </w:p>
    <w:p w14:paraId="23EAB619">
      <w:pPr>
        <w:pStyle w:val="27"/>
        <w:spacing w:before="0" w:line="440" w:lineRule="exact"/>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 xml:space="preserve"> 投标文件的提交、补充、修改、撤回</w:t>
      </w:r>
    </w:p>
    <w:p w14:paraId="4799C816">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6A094C">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14:paraId="53B48B00">
      <w:pPr>
        <w:snapToGrid w:val="0"/>
        <w:spacing w:line="44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14:paraId="1341BB43">
      <w:pPr>
        <w:adjustRightInd w:val="0"/>
        <w:spacing w:line="440" w:lineRule="exact"/>
        <w:ind w:left="0" w:leftChars="0" w:firstLine="0" w:firstLineChars="0"/>
        <w:jc w:val="both"/>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6</w:t>
      </w:r>
      <w:r>
        <w:rPr>
          <w:rFonts w:hint="default"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.投标有效期</w:t>
      </w:r>
    </w:p>
    <w:p w14:paraId="50C3B8B2">
      <w:pPr>
        <w:adjustRightInd w:val="0"/>
        <w:snapToGrid w:val="0"/>
        <w:spacing w:line="440" w:lineRule="exact"/>
        <w:ind w:firstLine="480" w:firstLineChars="200"/>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w:t>
      </w: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.1投标有效期为从提交投标文件的截止之日起90天。投标人的投标文件中承诺的投标有效期少于招标文件中载明的投标有效期的，投标无效。</w:t>
      </w:r>
    </w:p>
    <w:p w14:paraId="4F74E652">
      <w:pPr>
        <w:adjustRightInd w:val="0"/>
        <w:snapToGrid w:val="0"/>
        <w:spacing w:line="440" w:lineRule="exact"/>
        <w:ind w:firstLine="480" w:firstLineChars="200"/>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w:t>
      </w: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.2投标文件合格投递后，自投标截止日期起，在投标有效期内有效。</w:t>
      </w:r>
    </w:p>
    <w:p w14:paraId="4B3A903E">
      <w:pPr>
        <w:pStyle w:val="27"/>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6</w:t>
      </w: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.3在原定投标有效期满之前，如果出现特殊情况，采购代理机构可以以书面形式通知投标人延长投标有效期。投标人同意延长的，不得要求或被允许修改其投标文件，投标人拒绝延长的，其投标无效。</w:t>
      </w:r>
    </w:p>
    <w:p w14:paraId="4313BC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23" w:name="_Toc91899903"/>
      <w:r>
        <w:rPr>
          <w:rFonts w:hint="eastAsia" w:ascii="仿宋" w:hAnsi="仿宋" w:eastAsia="仿宋" w:cs="仿宋"/>
          <w:b/>
          <w:color w:val="000000" w:themeColor="text1"/>
          <w:sz w:val="32"/>
          <w:szCs w:val="32"/>
          <w:highlight w:val="none"/>
          <w14:textFill>
            <w14:solidFill>
              <w14:schemeClr w14:val="tx1"/>
            </w14:solidFill>
          </w14:textFill>
        </w:rPr>
        <w:t>四、开标和评标</w:t>
      </w:r>
    </w:p>
    <w:p w14:paraId="568A80D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1．电子招投标开标及评审程序</w:t>
      </w:r>
    </w:p>
    <w:p w14:paraId="53A55B4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1.1投标截止时间后，主持人宣布开标会开始。</w:t>
      </w:r>
    </w:p>
    <w:p w14:paraId="58150F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1.2投标人登录政采云平台，用“项目采购-开标评标”功能对电子投标文件进行在线解密。在线解密电子投标文件时间为开标时间起30分钟内。</w:t>
      </w:r>
    </w:p>
    <w:p w14:paraId="34179B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1.3评标委员会对资格和商务技术响应文件进行评审。</w:t>
      </w:r>
    </w:p>
    <w:p w14:paraId="046A9E8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1.4主持人宣布商务技术得分及无效（废）投标情形（如有），公布经商务技术评审符合招标文件要求的投标人名单及其商务技术得分。</w:t>
      </w:r>
    </w:p>
    <w:p w14:paraId="35EB19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1.5启封报价文件资料，主持人宣读投标人名称、投标价格和投标文件的其他内容。未宣读的投标报价和招标文件未允许提供的备选投标方案等实质性内容，评标时不予承认。</w:t>
      </w:r>
    </w:p>
    <w:p w14:paraId="42E386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1.6评标委员会对投标文件报价文件资料进行评审，核准投标报价及计算价格分，汇总商务技术分、价格分，根据得分排序确定中标候选人。</w:t>
      </w:r>
    </w:p>
    <w:p w14:paraId="0EF737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1.7主持人公布评标结果。</w:t>
      </w:r>
    </w:p>
    <w:p w14:paraId="19C8E17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特别说明：政采云公司如对电子化开标及评审程序有调整的，按调整后的程序操作。</w:t>
      </w:r>
    </w:p>
    <w:p w14:paraId="79AAE78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2.采购过程中出现以下情形，导致电子交易平台无法正常运行，或者无法保证电子交易的公平、公正和安全时，采购组织机构可中止电子交易活动：</w:t>
      </w:r>
    </w:p>
    <w:p w14:paraId="7AF985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2.1电子交易平台发生故障而无法登录访问的； </w:t>
      </w:r>
    </w:p>
    <w:p w14:paraId="6956343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2.2电子交易平台应用或数据库出现错误，不能进行正常操作的；</w:t>
      </w:r>
    </w:p>
    <w:p w14:paraId="2F5AF77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2.3电子交易平台发现严重安全漏洞，有潜在泄密危险的；</w:t>
      </w:r>
    </w:p>
    <w:p w14:paraId="7AB7E1D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2.4病毒发作导致不能进行正常操作的； </w:t>
      </w:r>
    </w:p>
    <w:p w14:paraId="1A81036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2.5其他无法保证电子交易的公平、公正和安全的情况。</w:t>
      </w:r>
    </w:p>
    <w:p w14:paraId="7D821F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3784D1A5">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3．评标</w:t>
      </w:r>
    </w:p>
    <w:p w14:paraId="33C179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3.1评标委员会由招标采购单位依法组建，负责评标活动。评标委员会遵循公开、公平、公正、科学合理、竞争择优的原则。</w:t>
      </w:r>
    </w:p>
    <w:p w14:paraId="173BF1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3.2评标委员会由采购人代表和有关方面的专家组成，成员人数为五人以上单数。</w:t>
      </w:r>
    </w:p>
    <w:p w14:paraId="1CB96C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3.3评标委员会负责对投标人资格的最终审定。</w:t>
      </w:r>
    </w:p>
    <w:p w14:paraId="7D54F6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3.4评标委员会可以要求投标人对其投标文件中含义不明确的内容作必要的澄清或者说明，但澄清或者说明不得超过投标文件的范围或者改变投标文件的实质性内容。</w:t>
      </w:r>
    </w:p>
    <w:p w14:paraId="7C40A84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A50793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供应商通过政采云平台交换的数据电文必须进行电子签章。</w:t>
      </w:r>
    </w:p>
    <w:p w14:paraId="406CCFA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3.6评标委员会对投标文件的判定，只依据投标文件和招标文件内容本身，不依据任何外来证明。</w:t>
      </w:r>
    </w:p>
    <w:p w14:paraId="4EBE974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3.6评标委员会不向落标方解释落标的原因。</w:t>
      </w:r>
    </w:p>
    <w:p w14:paraId="5D10C79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4．投标文件的初审鉴定</w:t>
      </w:r>
    </w:p>
    <w:p w14:paraId="344BE6D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4.1资格性审查</w:t>
      </w:r>
    </w:p>
    <w:p w14:paraId="7B4A9E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4.1.1依据法律、法规和招标文件规定，采购人或采购人代表对投标人进行资格审查，以确定投标人是否具备投标资格。</w:t>
      </w:r>
    </w:p>
    <w:p w14:paraId="07C3CE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4.2符合性审查</w:t>
      </w:r>
    </w:p>
    <w:p w14:paraId="45CAEE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36049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4.3如果投标文件实质不响应招标文件的各项要求，评标委员会将予以拒绝，并且不允许投标人通过修改或撤销其不符合要求的差异或保留，使之成为具有实质性响应的投标。</w:t>
      </w:r>
    </w:p>
    <w:p w14:paraId="20B3E93C">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 xml:space="preserve">5. </w:t>
      </w:r>
      <w:r>
        <w:rPr>
          <w:rFonts w:hint="eastAsia" w:ascii="仿宋" w:hAnsi="仿宋" w:eastAsia="仿宋" w:cs="仿宋"/>
          <w:b/>
          <w:color w:val="000000" w:themeColor="text1"/>
          <w:sz w:val="24"/>
          <w:highlight w:val="none"/>
          <w14:textFill>
            <w14:solidFill>
              <w14:schemeClr w14:val="tx1"/>
            </w14:solidFill>
          </w14:textFill>
        </w:rPr>
        <w:t>投标文件报价出现前后不一致的，按照下列规定修正：</w:t>
      </w:r>
    </w:p>
    <w:p w14:paraId="2CC27CC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5.1投标文件中开标一览表（报价表）内容与投标文件中相应内容不一致的，以开标一览表（报价表）为准；</w:t>
      </w:r>
    </w:p>
    <w:p w14:paraId="5C79FFC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5.2大写金额和小写金额不一致的，以大写金额为准；</w:t>
      </w:r>
    </w:p>
    <w:p w14:paraId="40574DF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5.3单价金额小数点或者百分比有明显错位的，以开标一览表的总价为准，并修改单价；</w:t>
      </w:r>
    </w:p>
    <w:p w14:paraId="16A8330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5.4总价金额与按单价汇总金额不一致的，以单价金额计算结果为准。</w:t>
      </w:r>
    </w:p>
    <w:p w14:paraId="41157C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020FA62">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6.投标文件的评审、比较和否决</w:t>
      </w:r>
    </w:p>
    <w:p w14:paraId="185C783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6.1评标委员会将对在实质上响应招标文件要求的投标文件进行评估和比较。</w:t>
      </w:r>
    </w:p>
    <w:p w14:paraId="57D6B92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3FE60B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6.3在评标过程中，如发现与招标文件要求相偏离的，评标委员会可对其偏离情形进行必要的核实。</w:t>
      </w:r>
    </w:p>
    <w:p w14:paraId="7C9976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6.4在评审过程中，如属于实质性偏离或符合无效响应条件的，应当询问相关投标人，并可对其通过政采云平台进行线上确认，但不允许对偏离条款进行补充、修正或撤回。</w:t>
      </w:r>
    </w:p>
    <w:p w14:paraId="1C1E91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6.5比较与评价。评标委员会应当按照评标标准，对符合性审查合格的投标文件进行商务和技术评估，综合比较与评价。</w:t>
      </w:r>
    </w:p>
    <w:p w14:paraId="62FB6A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6.6汇总（商务技术得分情况）。评标委员会各成员应当独立对每个投标人的商务技术文件进行评价，并汇总商务技术得分情况。</w:t>
      </w:r>
    </w:p>
    <w:p w14:paraId="3B336E2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6.7 报价审核。对符合采购需求且通过商务技术评审的投标人的报价的合理性、准确性等进行审查核实。</w:t>
      </w:r>
    </w:p>
    <w:p w14:paraId="0105C63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1A23BC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6.7.2根据财政部发布的《政府采购促进中小企业发展暂行办法》规定，对于非专门面向中小企业的项目，对小型和微型企业产品的价格给予一定的扣除，用扣除后的价格参与评审。</w:t>
      </w:r>
    </w:p>
    <w:p w14:paraId="135655E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6.7.3如需投标价格修正，按财政部87号令第五十九条的规定对投标价格进行修正。</w:t>
      </w:r>
    </w:p>
    <w:p w14:paraId="2E713ED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6.8评标委员会依据招标文件规定的评标标准和方法，对投标文件进行评审和比较后，向采购人或其委托的采购代理机构提供书面评标报告，并按得分高低排序推荐中标候选供应商。</w:t>
      </w:r>
    </w:p>
    <w:p w14:paraId="07E51F77">
      <w:pPr>
        <w:pStyle w:val="6"/>
        <w:keepNext w:val="0"/>
        <w:keepLines w:val="0"/>
        <w:pageBreakBefore w:val="0"/>
        <w:widowControl w:val="0"/>
        <w:numPr>
          <w:ilvl w:val="0"/>
          <w:numId w:val="0"/>
        </w:numPr>
        <w:kinsoku/>
        <w:wordWrap/>
        <w:overflowPunct/>
        <w:topLinePunct w:val="0"/>
        <w:autoSpaceDE/>
        <w:autoSpaceDN/>
        <w:bidi w:val="0"/>
        <w:spacing w:after="0" w:line="440" w:lineRule="exact"/>
        <w:ind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7.投标文件的澄清</w:t>
      </w:r>
    </w:p>
    <w:p w14:paraId="5D5914F5">
      <w:pPr>
        <w:pStyle w:val="6"/>
        <w:keepNext w:val="0"/>
        <w:keepLines w:val="0"/>
        <w:pageBreakBefore w:val="0"/>
        <w:widowControl w:val="0"/>
        <w:numPr>
          <w:ilvl w:val="0"/>
          <w:numId w:val="0"/>
        </w:numPr>
        <w:kinsoku/>
        <w:wordWrap/>
        <w:overflowPunct/>
        <w:topLinePunct w:val="0"/>
        <w:autoSpaceDE/>
        <w:autoSpaceDN/>
        <w:bidi w:val="0"/>
        <w:spacing w:after="0" w:line="440" w:lineRule="exact"/>
        <w:ind w:left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对投标文件中含义不明、表述不一致或有明显计算错误等内容，评标委员会将对投标人进行询标，并可要求投标人作澄清，作为投标文件的补充部分，但澄清的内容不得改变投标文件的实质性内容。</w:t>
      </w:r>
    </w:p>
    <w:p w14:paraId="6C8DF76A">
      <w:pPr>
        <w:pStyle w:val="8"/>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8.无效投标的情形</w:t>
      </w:r>
    </w:p>
    <w:p w14:paraId="35C955DB">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投标文件有下列情形之一的作无效投标处理：</w:t>
      </w:r>
    </w:p>
    <w:p w14:paraId="3D947F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8.1未按照招标文件规定要求电子签章、签字或盖章的；</w:t>
      </w:r>
    </w:p>
    <w:p w14:paraId="2544E07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8.2单位负责人为同一人或者存在直接控股、管理关系的不同供应商参加同一合同项下的政府采购活动的（均无效）；</w:t>
      </w:r>
    </w:p>
    <w:p w14:paraId="5EF64F4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投标人未提供招标文件中规定的基本资格条件书面承诺函的，或投标人未提供有效的特定资格证明文件的，视为投标人不具备招标文件中规定的资格要求；</w:t>
      </w:r>
    </w:p>
    <w:p w14:paraId="114B416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《法定代表人身份证明书》与提供的身份证复印件信息不符的；《法定代表人授权委托书》与提供的身份证复印件信息不符的；</w:t>
      </w:r>
    </w:p>
    <w:p w14:paraId="64E6DC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《法定代表人授权委托书》或《法定代表人身份证明书》填写不全、错误、未电子签章(《法定代表人授权委托书》要求“电子签章”和“签字或盖章”缺一不可）的；</w:t>
      </w:r>
    </w:p>
    <w:p w14:paraId="06CA2A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授权代表非投标单位正式职工的（以社保证明为准，如授权代表为离退休返聘人员的，需提供退休证明及单位聘用证明），法定代表人及个体工商户除外；</w:t>
      </w:r>
    </w:p>
    <w:p w14:paraId="189E9AC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投标文件中的投标函无投标人的电子签章或填写不全的；</w:t>
      </w:r>
    </w:p>
    <w:p w14:paraId="6FD9C7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报价一经涂改，未在涂改处加盖投标单位公章或者未经法定代表人或其授权代表签字或盖章的；</w:t>
      </w:r>
    </w:p>
    <w:p w14:paraId="58EA4A7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9</w:t>
      </w:r>
      <w:r>
        <w:rPr>
          <w:rFonts w:hint="eastAsia" w:ascii="仿宋" w:hAnsi="仿宋" w:eastAsia="仿宋" w:cs="仿宋"/>
          <w:b/>
          <w:color w:val="000000" w:themeColor="text1"/>
          <w:sz w:val="24"/>
          <w:highlight w:val="none"/>
          <w14:textFill>
            <w14:solidFill>
              <w14:schemeClr w14:val="tx1"/>
            </w14:solidFill>
          </w14:textFill>
        </w:rPr>
        <w:t>未按招标文件规定的格式填写，或对招标服务或技术或产品等要求未详细应答或应答内容不全、有缺失的,经评标委员会认定为无法评审的；</w:t>
      </w:r>
    </w:p>
    <w:p w14:paraId="4E764D1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出现同一标的物或本次招标产品(服务)内的主要产品(重要组成部分)出现</w:t>
      </w:r>
      <w:r>
        <w:rPr>
          <w:rFonts w:hint="eastAsia" w:ascii="仿宋" w:hAnsi="仿宋" w:eastAsia="仿宋" w:cs="仿宋"/>
          <w:b/>
          <w:color w:val="000000" w:themeColor="text1"/>
          <w:sz w:val="24"/>
          <w:highlight w:val="none"/>
          <w:lang w:eastAsia="zh-CN"/>
          <w14:textFill>
            <w14:solidFill>
              <w14:schemeClr w14:val="tx1"/>
            </w14:solidFill>
          </w14:textFill>
        </w:rPr>
        <w:t>商务技术</w:t>
      </w:r>
      <w:r>
        <w:rPr>
          <w:rFonts w:hint="eastAsia" w:ascii="仿宋" w:hAnsi="仿宋" w:eastAsia="仿宋" w:cs="仿宋"/>
          <w:b/>
          <w:color w:val="000000" w:themeColor="text1"/>
          <w:sz w:val="24"/>
          <w:highlight w:val="none"/>
          <w14:textFill>
            <w14:solidFill>
              <w14:schemeClr w14:val="tx1"/>
            </w14:solidFill>
          </w14:textFill>
        </w:rPr>
        <w:t>文件资料、报价文件资料描述不一致或前后描述不一致，经评标委员会认定后为无法评审的；</w:t>
      </w:r>
    </w:p>
    <w:p w14:paraId="35DE256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《技术偏离说明表》不真实填写或弄虚作假的；</w:t>
      </w:r>
    </w:p>
    <w:p w14:paraId="4C8A370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w:t>
      </w:r>
    </w:p>
    <w:p w14:paraId="11B641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评标委员会认为投标人的报价明显低于其他通过符合性审查投标人的报价，有可能影响产品质量或者不能诚信履约的，未能按要求提供书面说明或者提交相关证明材料证明其报价合理性的;</w:t>
      </w:r>
    </w:p>
    <w:p w14:paraId="0EDE872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报价超过招标文件中规定的预算金额或最高限价的；</w:t>
      </w:r>
    </w:p>
    <w:p w14:paraId="6F306D5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投标文件“</w:t>
      </w:r>
      <w:r>
        <w:rPr>
          <w:rFonts w:hint="eastAsia" w:ascii="仿宋" w:hAnsi="仿宋" w:eastAsia="仿宋" w:cs="仿宋"/>
          <w:b/>
          <w:color w:val="000000" w:themeColor="text1"/>
          <w:sz w:val="24"/>
          <w:highlight w:val="none"/>
          <w:lang w:eastAsia="zh-CN"/>
          <w14:textFill>
            <w14:solidFill>
              <w14:schemeClr w14:val="tx1"/>
            </w14:solidFill>
          </w14:textFill>
        </w:rPr>
        <w:t>商务技术</w:t>
      </w:r>
      <w:r>
        <w:rPr>
          <w:rFonts w:hint="eastAsia" w:ascii="仿宋" w:hAnsi="仿宋" w:eastAsia="仿宋" w:cs="仿宋"/>
          <w:b/>
          <w:color w:val="000000" w:themeColor="text1"/>
          <w:sz w:val="24"/>
          <w:highlight w:val="none"/>
          <w14:textFill>
            <w14:solidFill>
              <w14:schemeClr w14:val="tx1"/>
            </w14:solidFill>
          </w14:textFill>
        </w:rPr>
        <w:t>文件资料”部分中出现《开标一览表》相关内容的；</w:t>
      </w:r>
    </w:p>
    <w:p w14:paraId="2AB194B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14:paraId="6D301F7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《开标一览表》填写不完整或字迹不能辨认或有漏项的，经评标委员会认定属于重大偏差的；</w:t>
      </w:r>
    </w:p>
    <w:p w14:paraId="127731F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8.1</w:t>
      </w:r>
      <w:r>
        <w:rPr>
          <w:rFonts w:hint="eastAsia" w:ascii="仿宋" w:hAnsi="仿宋" w:eastAsia="仿宋" w:cs="仿宋"/>
          <w:b/>
          <w:color w:val="000000" w:themeColor="text1"/>
          <w:sz w:val="24"/>
          <w:highlight w:val="none"/>
          <w:lang w:val="en-US" w:eastAsia="zh-CN"/>
          <w14:textFill>
            <w14:solidFill>
              <w14:schemeClr w14:val="tx1"/>
            </w14:solidFill>
          </w14:textFill>
        </w:rPr>
        <w:t>8</w:t>
      </w:r>
      <w:r>
        <w:rPr>
          <w:rFonts w:hint="eastAsia" w:ascii="仿宋" w:hAnsi="仿宋" w:eastAsia="仿宋" w:cs="仿宋"/>
          <w:b/>
          <w:color w:val="000000" w:themeColor="text1"/>
          <w:sz w:val="24"/>
          <w:highlight w:val="none"/>
          <w14:textFill>
            <w14:solidFill>
              <w14:schemeClr w14:val="tx1"/>
            </w14:solidFill>
          </w14:textFill>
        </w:rPr>
        <w:t>投标人对根据修正原则修正后的报价不确认的；</w:t>
      </w:r>
    </w:p>
    <w:p w14:paraId="6C1A55D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w:t>
      </w:r>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投标人提供虚假材料投标的（包括但不限于以下情节）；</w:t>
      </w:r>
    </w:p>
    <w:p w14:paraId="771A2A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.1使用伪造、变造的许可证件；</w:t>
      </w:r>
    </w:p>
    <w:p w14:paraId="39AD66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.2提供虚假的财务状况或者业绩；</w:t>
      </w:r>
    </w:p>
    <w:p w14:paraId="795700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.3提供虚假的项目负责人或者主要技术人员简历、劳动关系证明；</w:t>
      </w:r>
    </w:p>
    <w:p w14:paraId="251B7CB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.4提供虚假的信用状况；</w:t>
      </w:r>
    </w:p>
    <w:p w14:paraId="0ABA67E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en-US" w:eastAsia="zh-CN"/>
          <w14:textFill>
            <w14:solidFill>
              <w14:schemeClr w14:val="tx1"/>
            </w14:solidFill>
          </w14:textFill>
        </w:rPr>
        <w:t>19</w:t>
      </w:r>
      <w:r>
        <w:rPr>
          <w:rFonts w:hint="eastAsia" w:ascii="仿宋" w:hAnsi="仿宋" w:eastAsia="仿宋" w:cs="仿宋"/>
          <w:color w:val="000000" w:themeColor="text1"/>
          <w:sz w:val="24"/>
          <w:highlight w:val="none"/>
          <w14:textFill>
            <w14:solidFill>
              <w14:schemeClr w14:val="tx1"/>
            </w14:solidFill>
          </w14:textFill>
        </w:rPr>
        <w:t>.5其他弄虚作假的行为。</w:t>
      </w:r>
    </w:p>
    <w:p w14:paraId="6B7AD4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下列情形之一的，视为投标人串通投标，其投标无效：</w:t>
      </w:r>
    </w:p>
    <w:p w14:paraId="6E3DD17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.1不同投标人的投标文件由同一单位或者个人编制；</w:t>
      </w:r>
    </w:p>
    <w:p w14:paraId="686CFB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.2不同投标人委托同一单位或者个人办理投标事宜；</w:t>
      </w:r>
    </w:p>
    <w:p w14:paraId="0CFC2D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.3不同投标人的投标文件载明的项目管理成员或者联系人员为同一人；</w:t>
      </w:r>
    </w:p>
    <w:p w14:paraId="69213A1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.4不同投标人的投标文件异常一致或者投标报价呈规律性差异；</w:t>
      </w:r>
    </w:p>
    <w:p w14:paraId="1E9C3C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.5不同投标人的投标文件相互混装；</w:t>
      </w:r>
    </w:p>
    <w:p w14:paraId="38747A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.6有二份及二份以上投标文件的相互之间有特别相同或相似之处，且经询标澄清投标人无令人信服的理由和可靠证据证明其合理性的，经评标委员会半数以上成员确认有串通投标嫌疑的；</w:t>
      </w:r>
    </w:p>
    <w:p w14:paraId="4C7DB47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有下列情形之一的，属于恶意串通，其投标无效：</w:t>
      </w:r>
    </w:p>
    <w:p w14:paraId="12BBFA3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.1供应商直接或者间接从采购人或者采购机构处获得其他供应商的相关情况并修改其投标文件或者响应文件；</w:t>
      </w:r>
    </w:p>
    <w:p w14:paraId="3944708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.2供应商按照采购人或者采购机构的授意撤换、修改投标文件或者响应文件；</w:t>
      </w:r>
    </w:p>
    <w:p w14:paraId="24EF96A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.3供应商之间协商报价、技术方案等投标文件或者响应文件的实质性内容；</w:t>
      </w:r>
    </w:p>
    <w:p w14:paraId="03A232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.4属于同一集团、协会、商会等组织成员的供应商按照该组织要求协同参加政府采购活动；</w:t>
      </w:r>
    </w:p>
    <w:p w14:paraId="6E48749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.5供应商之间事先约定由某一特定供应商中标、成交；</w:t>
      </w:r>
    </w:p>
    <w:p w14:paraId="0C68FF2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.6供应商之间商定部分供应商放弃参加政府采购活动或者放弃中标、成交；</w:t>
      </w:r>
    </w:p>
    <w:p w14:paraId="4588573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8.21</w:t>
      </w:r>
      <w:r>
        <w:rPr>
          <w:rFonts w:hint="eastAsia" w:ascii="仿宋" w:hAnsi="仿宋" w:eastAsia="仿宋" w:cs="仿宋"/>
          <w:color w:val="000000" w:themeColor="text1"/>
          <w:sz w:val="24"/>
          <w:highlight w:val="none"/>
          <w14:textFill>
            <w14:solidFill>
              <w14:schemeClr w14:val="tx1"/>
            </w14:solidFill>
          </w14:textFill>
        </w:rPr>
        <w:t>.7供应商与采购人或者采购机构之间、供应商相互之间，为谋求特定供应商中标、成交或者排斥其他供应商的其他串通行为。</w:t>
      </w:r>
    </w:p>
    <w:p w14:paraId="70F1827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评标委员会认定有重大偏差或实质性不响应招标文件要求的；</w:t>
      </w:r>
    </w:p>
    <w:p w14:paraId="1EAC23B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投标文件出现不是唯一的、有选择性投标报价的；</w:t>
      </w:r>
    </w:p>
    <w:p w14:paraId="4E08517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8.2</w:t>
      </w: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其他违反法律、法规的情形。</w:t>
      </w:r>
    </w:p>
    <w:p w14:paraId="6BDED599">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9. 评标过程保密</w:t>
      </w:r>
    </w:p>
    <w:p w14:paraId="00671A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0ACF2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 在评标期间，投标人企图影响招标人或</w:t>
      </w:r>
      <w:r>
        <w:rPr>
          <w:rFonts w:hint="eastAsia" w:ascii="仿宋" w:hAnsi="仿宋" w:eastAsia="仿宋" w:cs="仿宋"/>
          <w:color w:val="000000" w:themeColor="text1"/>
          <w:sz w:val="24"/>
          <w:highlight w:val="none"/>
          <w14:textFill>
            <w14:solidFill>
              <w14:schemeClr w14:val="tx1"/>
            </w14:solidFill>
          </w14:textFill>
        </w:rPr>
        <w:t>评标委员会</w:t>
      </w:r>
      <w:r>
        <w:rPr>
          <w:rFonts w:hint="eastAsia" w:ascii="仿宋" w:hAnsi="仿宋" w:eastAsia="仿宋" w:cs="仿宋"/>
          <w:color w:val="000000" w:themeColor="text1"/>
          <w:kern w:val="0"/>
          <w:sz w:val="24"/>
          <w:highlight w:val="none"/>
          <w14:textFill>
            <w14:solidFill>
              <w14:schemeClr w14:val="tx1"/>
            </w14:solidFill>
          </w14:textFill>
        </w:rPr>
        <w:t>的任何活动，都将导致投标被拒绝，并由其承担相应的法律责任。</w:t>
      </w:r>
    </w:p>
    <w:bookmarkEnd w:id="23"/>
    <w:p w14:paraId="1FD6DE9C">
      <w:pPr>
        <w:pStyle w:val="8"/>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24" w:name="_Hlt75236290"/>
      <w:bookmarkEnd w:id="24"/>
      <w:bookmarkStart w:id="25" w:name="_Hlt68072990"/>
      <w:bookmarkEnd w:id="25"/>
      <w:bookmarkStart w:id="26" w:name="_Hlt74707468"/>
      <w:bookmarkEnd w:id="26"/>
      <w:bookmarkStart w:id="27" w:name="_Hlt68057669"/>
      <w:bookmarkEnd w:id="27"/>
      <w:bookmarkStart w:id="28" w:name="_Hlt68403820"/>
      <w:bookmarkEnd w:id="28"/>
      <w:bookmarkStart w:id="29" w:name="_Hlt68073093"/>
      <w:bookmarkEnd w:id="29"/>
      <w:bookmarkStart w:id="30" w:name="_Hlt75236101"/>
      <w:bookmarkEnd w:id="30"/>
      <w:bookmarkStart w:id="31" w:name="_Hlt74729768"/>
      <w:bookmarkEnd w:id="31"/>
      <w:bookmarkStart w:id="32" w:name="_Hlt74714665"/>
      <w:bookmarkEnd w:id="32"/>
      <w:bookmarkStart w:id="33" w:name="_Hlt74730295"/>
      <w:bookmarkEnd w:id="33"/>
      <w:bookmarkStart w:id="34" w:name="_Hlt75236011"/>
      <w:bookmarkEnd w:id="34"/>
      <w:bookmarkStart w:id="35" w:name="_Hlt68072998"/>
      <w:bookmarkEnd w:id="35"/>
      <w:bookmarkStart w:id="36" w:name="_Toc84325929"/>
      <w:bookmarkStart w:id="37" w:name="_Toc81372776"/>
      <w:bookmarkStart w:id="38" w:name="_Toc81372953"/>
      <w:r>
        <w:rPr>
          <w:rFonts w:hint="eastAsia" w:ascii="仿宋" w:hAnsi="仿宋" w:eastAsia="仿宋" w:cs="仿宋"/>
          <w:b/>
          <w:color w:val="000000" w:themeColor="text1"/>
          <w:sz w:val="32"/>
          <w:szCs w:val="32"/>
          <w:highlight w:val="none"/>
          <w14:textFill>
            <w14:solidFill>
              <w14:schemeClr w14:val="tx1"/>
            </w14:solidFill>
          </w14:textFill>
        </w:rPr>
        <w:t>五、授予合同</w:t>
      </w:r>
    </w:p>
    <w:bookmarkEnd w:id="36"/>
    <w:bookmarkEnd w:id="37"/>
    <w:bookmarkEnd w:id="38"/>
    <w:p w14:paraId="17EDC18A">
      <w:pPr>
        <w:pStyle w:val="6"/>
        <w:keepNext w:val="0"/>
        <w:keepLines w:val="0"/>
        <w:pageBreakBefore w:val="0"/>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1.中标条件</w:t>
      </w:r>
    </w:p>
    <w:p w14:paraId="0D64641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1.1投标文件基本符合招标文件要求；</w:t>
      </w:r>
    </w:p>
    <w:p w14:paraId="563810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1.2投标人有很好的执行合同的能力；</w:t>
      </w:r>
    </w:p>
    <w:p w14:paraId="66EA31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1.3实施方案最合理并对招标人最为有利，最大限度满足招标文件的要求；</w:t>
      </w:r>
    </w:p>
    <w:p w14:paraId="2AEB1D5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1.4投标人能够提供质量技术、商务经济占综合优势的系统及服务。</w:t>
      </w:r>
    </w:p>
    <w:p w14:paraId="4AC341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1.5招标人将把中标通知书授予最佳投标者，但最低价不是中标的绝对保证。</w:t>
      </w:r>
    </w:p>
    <w:p w14:paraId="66F16EF1">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2.中标确认</w:t>
      </w:r>
    </w:p>
    <w:p w14:paraId="639834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2.1采购人应当自收到评标报告之日起５个工作日内，在评标报告确定的中标候选人名单中按顺序确定中标人。</w:t>
      </w:r>
    </w:p>
    <w:p w14:paraId="295174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2.2采购人在收到评标报告5个工作日内未按评标报告推荐的中标候选人顺序确定中标人，视同按评标报告推荐的顺序确定的中标候选人为中标人。</w:t>
      </w:r>
    </w:p>
    <w:p w14:paraId="024BDF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2.3采购人应在确认中标人前再次对资格条件和相关证件材料进一步查验核实。</w:t>
      </w:r>
    </w:p>
    <w:p w14:paraId="1C633422">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3．中标通知</w:t>
      </w:r>
    </w:p>
    <w:p w14:paraId="7E66852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3.1采购代理机构对中标结果在指定媒体（浙江政府采购网</w:t>
      </w: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HYPERLINK "http://www.zjzfcg.gov.cn"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http://zfcg.czt.zj.gov.cn/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，中标公告期限为1个工作日。</w:t>
      </w:r>
    </w:p>
    <w:p w14:paraId="2CFED0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000000" w:themeColor="text1"/>
          <w:sz w:val="24"/>
          <w:highlight w:val="none"/>
          <w:lang w:val="zh-CN"/>
          <w14:textFill>
            <w14:solidFill>
              <w14:schemeClr w14:val="tx1"/>
            </w14:solidFill>
          </w14:textFill>
        </w:rPr>
        <w:t>。</w:t>
      </w:r>
    </w:p>
    <w:p w14:paraId="798E13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3.3采购代理机构对中标结果不作任何说明和解释，也不回答任何提问。</w:t>
      </w:r>
    </w:p>
    <w:p w14:paraId="6C25F029">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．履约保证金</w:t>
      </w:r>
    </w:p>
    <w:p w14:paraId="06E19C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24108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4.2项目验收结束后，采购人应及时退还履约保证金。</w:t>
      </w:r>
    </w:p>
    <w:p w14:paraId="3186D5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4.3供应商以银行、保险公司出具保函形式提交履约保证金的，采购人不得拒收。</w:t>
      </w:r>
    </w:p>
    <w:p w14:paraId="114B502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4.4政府采购货物和服务项目不得收取质量保证金。</w:t>
      </w:r>
    </w:p>
    <w:p w14:paraId="0E018AC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．合同签订及备案</w:t>
      </w:r>
    </w:p>
    <w:p w14:paraId="3F039A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5.1中标人应当在中标通知书发出之日起30天内与采购人签订合同，自采购合同签订之日起</w:t>
      </w:r>
      <w:r>
        <w:rPr>
          <w:rFonts w:hint="eastAsia" w:ascii="仿宋" w:hAnsi="仿宋" w:eastAsia="仿宋" w:cs="仿宋"/>
          <w:b/>
          <w:bCs/>
          <w:color w:val="000000" w:themeColor="text1"/>
          <w:sz w:val="24"/>
          <w:highlight w:val="none"/>
          <w:lang w:val="en-US" w:eastAsia="zh-CN"/>
          <w14:textFill>
            <w14:solidFill>
              <w14:schemeClr w14:val="tx1"/>
            </w14:solidFill>
          </w14:textFill>
        </w:rPr>
        <w:t>15个日内</w:t>
      </w:r>
      <w:r>
        <w:rPr>
          <w:rFonts w:hint="eastAsia" w:ascii="仿宋" w:hAnsi="仿宋" w:eastAsia="仿宋" w:cs="仿宋"/>
          <w:color w:val="000000" w:themeColor="text1"/>
          <w:sz w:val="24"/>
          <w:highlight w:val="none"/>
          <w:lang w:val="en-US" w:eastAsia="zh-CN"/>
          <w14:textFill>
            <w14:solidFill>
              <w14:schemeClr w14:val="tx1"/>
            </w14:solidFill>
          </w14:textFill>
        </w:rPr>
        <w:t>，通过电子交易平台进行备案。</w:t>
      </w:r>
    </w:p>
    <w:p w14:paraId="5B9467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5.2如中标人为联合体的，由联合体成员各方法定代表人或其授权代表与采购人代表签订合同。</w:t>
      </w:r>
    </w:p>
    <w:p w14:paraId="0BC09D9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.验收</w:t>
      </w:r>
    </w:p>
    <w:p w14:paraId="4A007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8421D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6.2采购人可以邀请参加本项目的其他投标人或者第三方机构参与验收。参与验收的投标人或者第三方机构的意见作为验收书的参考资料一并存档。</w:t>
      </w:r>
    </w:p>
    <w:p w14:paraId="3AA932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6.3 采购人负责加强对中标人的履约管理，并按照采购合同约定，及时向中标人支付采购资金。对于中标人违反采购合同约定的行为，采购人应当及时处理，依法追究其违约责任。</w:t>
      </w:r>
    </w:p>
    <w:p w14:paraId="6E4939EE">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.售后服务考核</w:t>
      </w:r>
    </w:p>
    <w:p w14:paraId="281A7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000000" w:themeColor="text1"/>
          <w:sz w:val="24"/>
          <w:highlight w:val="none"/>
          <w:lang w:eastAsia="zh-CN"/>
          <w14:textFill>
            <w14:solidFill>
              <w14:schemeClr w14:val="tx1"/>
            </w14:solidFill>
          </w14:textFill>
        </w:rPr>
        <w:t>商务技术</w:t>
      </w:r>
      <w:r>
        <w:rPr>
          <w:rFonts w:hint="eastAsia" w:ascii="仿宋" w:hAnsi="仿宋" w:eastAsia="仿宋" w:cs="仿宋"/>
          <w:color w:val="000000" w:themeColor="text1"/>
          <w:sz w:val="24"/>
          <w:highlight w:val="none"/>
          <w14:textFill>
            <w14:solidFill>
              <w14:schemeClr w14:val="tx1"/>
            </w14:solidFill>
          </w14:textFill>
        </w:rPr>
        <w:t>文件规定的，一经查实，由政府采购监督管理部门给予相应处罚。</w:t>
      </w:r>
    </w:p>
    <w:p w14:paraId="69CE0216">
      <w:pPr>
        <w:adjustRightInd/>
        <w:spacing w:line="336"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六、</w:t>
      </w:r>
      <w:r>
        <w:rPr>
          <w:rFonts w:hint="default" w:ascii="仿宋" w:hAnsi="仿宋" w:eastAsia="仿宋" w:cs="仿宋"/>
          <w:b/>
          <w:bCs/>
          <w:i w:val="0"/>
          <w:iCs w:val="0"/>
          <w:color w:val="000000" w:themeColor="text1"/>
          <w:kern w:val="2"/>
          <w:sz w:val="32"/>
          <w:szCs w:val="20"/>
          <w:highlight w:val="none"/>
          <w:vertAlign w:val="baseline"/>
          <w:lang w:val="en-US" w:eastAsia="zh-CN" w:bidi="ar-SA"/>
          <w14:textFill>
            <w14:solidFill>
              <w14:schemeClr w14:val="tx1"/>
            </w14:solidFill>
          </w14:textFill>
        </w:rPr>
        <w:t>询问、质疑与投诉</w:t>
      </w:r>
    </w:p>
    <w:p w14:paraId="451A5896">
      <w:pPr>
        <w:adjustRightInd w:val="0"/>
        <w:spacing w:line="336" w:lineRule="auto"/>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0"/>
          <w:highlight w:val="none"/>
          <w:vertAlign w:val="baseline"/>
          <w:lang w:val="en-US" w:eastAsia="zh-CN" w:bidi="ar-SA"/>
          <w14:textFill>
            <w14:solidFill>
              <w14:schemeClr w14:val="tx1"/>
            </w14:solidFill>
          </w14:textFill>
        </w:rPr>
        <w:t>1.在线询问、质疑、投诉</w:t>
      </w:r>
    </w:p>
    <w:p w14:paraId="118505B9">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CC908E">
      <w:pPr>
        <w:adjustRightInd w:val="0"/>
        <w:spacing w:line="336" w:lineRule="auto"/>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2. 供应商询问</w:t>
      </w:r>
    </w:p>
    <w:p w14:paraId="32601BAD">
      <w:pPr>
        <w:autoSpaceDE w:val="0"/>
        <w:autoSpaceDN w:val="0"/>
        <w:adjustRightInd w:val="0"/>
        <w:spacing w:line="336" w:lineRule="auto"/>
        <w:ind w:firstLine="480" w:firstLineChars="2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0"/>
          <w:sz w:val="24"/>
          <w:szCs w:val="24"/>
          <w:highlight w:val="none"/>
          <w:vertAlign w:val="baseline"/>
          <w:lang w:val="zh-CN" w:eastAsia="zh-CN" w:bidi="ar-SA"/>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E7896E">
      <w:pPr>
        <w:adjustRightInd w:val="0"/>
        <w:spacing w:line="336" w:lineRule="auto"/>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3. 供应商质疑</w:t>
      </w:r>
    </w:p>
    <w:p w14:paraId="6BD6C10F">
      <w:pPr>
        <w:adjustRightInd w:val="0"/>
        <w:spacing w:line="336" w:lineRule="auto"/>
        <w:ind w:firstLine="482"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仿宋" w:hAnsi="仿宋" w:eastAsia="仿宋" w:cs="仿宋"/>
          <w:b/>
          <w:bCs/>
          <w:i w:val="0"/>
          <w:iCs w:val="0"/>
          <w:color w:val="000000" w:themeColor="text1"/>
          <w:kern w:val="2"/>
          <w:sz w:val="24"/>
          <w:szCs w:val="20"/>
          <w:highlight w:val="none"/>
          <w:vertAlign w:val="baseline"/>
          <w:lang w:val="en-US" w:eastAsia="zh-CN" w:bidi="ar-SA"/>
          <w14:textFill>
            <w14:solidFill>
              <w14:schemeClr w14:val="tx1"/>
            </w14:solidFill>
          </w14:textFill>
        </w:rPr>
        <w:t>.1质疑提出时效</w:t>
      </w:r>
    </w:p>
    <w:p w14:paraId="4296B3E0">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3.1.1提出质疑的供应商应当是参与所质疑项目采购活动的供应商。潜在供应商已依法获取其可质疑的采购文件的，可以对该文件提出质疑。</w:t>
      </w:r>
    </w:p>
    <w:p w14:paraId="5C74F07D">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5A47AE0">
      <w:pPr>
        <w:widowControl/>
        <w:adjustRightInd w:val="0"/>
        <w:snapToGrid w:val="0"/>
        <w:spacing w:line="336" w:lineRule="auto"/>
        <w:ind w:firstLine="434" w:firstLineChars="181"/>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snapToGrid/>
          <w:color w:val="000000" w:themeColor="text1"/>
          <w:kern w:val="2"/>
          <w:sz w:val="24"/>
          <w:szCs w:val="20"/>
          <w:highlight w:val="none"/>
          <w:vertAlign w:val="baseline"/>
          <w:lang w:val="en-US" w:eastAsia="zh-CN" w:bidi="ar-SA"/>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2EDDE033">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3.1.2.2对采购过程提出质疑的，质疑期限为各采购程序环节结束之日起计算。</w:t>
      </w:r>
    </w:p>
    <w:p w14:paraId="0A4FBB66">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3.1.2.3对采购结果提出质疑的，质疑期限自采购结果公告期限届满之日起计算。</w:t>
      </w:r>
    </w:p>
    <w:p w14:paraId="260312E4">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3.1.2.4对同一采购程序环节的质疑，供应商须一次性提出。</w:t>
      </w:r>
    </w:p>
    <w:p w14:paraId="0FD39AA3">
      <w:pPr>
        <w:adjustRightInd w:val="0"/>
        <w:spacing w:line="336" w:lineRule="auto"/>
        <w:ind w:firstLine="482"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0"/>
          <w:sz w:val="24"/>
          <w:szCs w:val="20"/>
          <w:highlight w:val="none"/>
          <w:vertAlign w:val="baseline"/>
          <w:lang w:val="zh-CN" w:eastAsia="zh-CN" w:bidi="ar-SA"/>
          <w14:textFill>
            <w14:solidFill>
              <w14:schemeClr w14:val="tx1"/>
            </w14:solidFill>
          </w14:textFill>
        </w:rPr>
        <w:t>3.</w:t>
      </w:r>
      <w:r>
        <w:rPr>
          <w:rFonts w:hint="default" w:ascii="仿宋" w:hAnsi="仿宋" w:eastAsia="仿宋" w:cs="仿宋"/>
          <w:b/>
          <w:bCs/>
          <w:i w:val="0"/>
          <w:iCs w:val="0"/>
          <w:color w:val="000000" w:themeColor="text1"/>
          <w:kern w:val="0"/>
          <w:sz w:val="24"/>
          <w:szCs w:val="20"/>
          <w:highlight w:val="none"/>
          <w:vertAlign w:val="baseline"/>
          <w:lang w:val="en-US" w:eastAsia="zh-CN" w:bidi="ar-SA"/>
          <w14:textFill>
            <w14:solidFill>
              <w14:schemeClr w14:val="tx1"/>
            </w14:solidFill>
          </w14:textFill>
        </w:rPr>
        <w:t>2</w:t>
      </w:r>
      <w:r>
        <w:rPr>
          <w:rFonts w:hint="default" w:ascii="仿宋" w:hAnsi="仿宋" w:eastAsia="仿宋" w:cs="仿宋"/>
          <w:b/>
          <w:bCs/>
          <w:i w:val="0"/>
          <w:iCs w:val="0"/>
          <w:color w:val="000000" w:themeColor="text1"/>
          <w:kern w:val="0"/>
          <w:sz w:val="24"/>
          <w:szCs w:val="20"/>
          <w:highlight w:val="none"/>
          <w:vertAlign w:val="baseline"/>
          <w:lang w:val="zh-CN" w:eastAsia="zh-CN" w:bidi="ar-SA"/>
          <w14:textFill>
            <w14:solidFill>
              <w14:schemeClr w14:val="tx1"/>
            </w14:solidFill>
          </w14:textFill>
        </w:rPr>
        <w:t>质疑函</w:t>
      </w:r>
    </w:p>
    <w:p w14:paraId="4472D5FA">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3.2.1供应商提出质疑应当提交质疑函和必要的证明材料。质疑函应当包括下列内容：</w:t>
      </w:r>
    </w:p>
    <w:p w14:paraId="2B24FE63">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供应商的姓名或者名称、地址、邮编、联系人及联系电话；</w:t>
      </w:r>
    </w:p>
    <w:p w14:paraId="677B89DA">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质疑项目的名称、编号；</w:t>
      </w:r>
    </w:p>
    <w:p w14:paraId="7BC47EC1">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具体、明确的质疑事项和与质疑事项相关的请求；</w:t>
      </w:r>
    </w:p>
    <w:p w14:paraId="19C12471">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事实依据；</w:t>
      </w:r>
    </w:p>
    <w:p w14:paraId="526090A2">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必要的法律依据；</w:t>
      </w:r>
    </w:p>
    <w:p w14:paraId="21B8E7FF">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vertAlign w:val="baseline"/>
          <w:lang w:val="en-US" w:eastAsia="zh-CN" w:bidi="ar-SA"/>
          <w14:textFill>
            <w14:solidFill>
              <w14:schemeClr w14:val="tx1"/>
            </w14:solidFill>
          </w14:textFill>
        </w:rPr>
        <w:t>提出质疑的日期。</w:t>
      </w:r>
    </w:p>
    <w:p w14:paraId="50AABB71">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D86EF5E">
      <w:pPr>
        <w:adjustRightInd w:val="0"/>
        <w:spacing w:line="336" w:lineRule="auto"/>
        <w:ind w:firstLine="482"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0"/>
          <w:highlight w:val="none"/>
          <w:vertAlign w:val="baseline"/>
          <w:lang w:val="en-US" w:eastAsia="zh-CN" w:bidi="ar-SA"/>
          <w14:textFill>
            <w14:solidFill>
              <w14:schemeClr w14:val="tx1"/>
            </w14:solidFill>
          </w14:textFill>
        </w:rPr>
        <w:t>质疑函范本及制作说明详见附件1。</w:t>
      </w:r>
    </w:p>
    <w:p w14:paraId="01644BCB">
      <w:pPr>
        <w:adjustRightInd w:val="0"/>
        <w:spacing w:line="336" w:lineRule="auto"/>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4"/>
          <w:highlight w:val="none"/>
          <w:vertAlign w:val="baseline"/>
          <w:lang w:val="en-US" w:eastAsia="zh-CN" w:bidi="ar-SA"/>
          <w14:textFill>
            <w14:solidFill>
              <w14:schemeClr w14:val="tx1"/>
            </w14:solidFill>
          </w14:textFill>
        </w:rPr>
        <w:t>4.供应商投诉</w:t>
      </w:r>
    </w:p>
    <w:p w14:paraId="039578A2">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4.1质疑供应商对采购人或采购代理机构的答复不满意或者采购人、采购代理机构未在规定的时间内作出答复的，可以在答复期满后十五个工作日内向同级政府采购监督管理部门提出投诉。</w:t>
      </w:r>
    </w:p>
    <w:p w14:paraId="0EFA1318">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4.2供应商投诉的事项不得超出已质疑事项的范围，基于质疑答复内容提出的投诉事项除外。</w:t>
      </w:r>
    </w:p>
    <w:p w14:paraId="50806BC8">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4.3供应商投诉应当有明确的请求和必要的证明材料。</w:t>
      </w:r>
    </w:p>
    <w:p w14:paraId="474A4BC1">
      <w:pPr>
        <w:adjustRightInd w:val="0"/>
        <w:spacing w:line="336" w:lineRule="auto"/>
        <w:ind w:firstLine="480" w:firstLineChars="200"/>
        <w:jc w:val="both"/>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val="0"/>
          <w:bCs w:val="0"/>
          <w:i w:val="0"/>
          <w:iCs w:val="0"/>
          <w:color w:val="000000" w:themeColor="text1"/>
          <w:kern w:val="2"/>
          <w:sz w:val="24"/>
          <w:szCs w:val="20"/>
          <w:highlight w:val="none"/>
          <w:vertAlign w:val="baseline"/>
          <w:lang w:val="en-US" w:eastAsia="zh-CN" w:bidi="ar-SA"/>
          <w14:textFill>
            <w14:solidFill>
              <w14:schemeClr w14:val="tx1"/>
            </w14:solidFill>
          </w14:textFill>
        </w:rPr>
        <w:t>4.4以联合体形式参加政府采购活动的，其投诉应当由组成联合体的所有供应商共同提出。</w:t>
      </w:r>
    </w:p>
    <w:p w14:paraId="5E2DE0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default" w:ascii="仿宋" w:hAnsi="仿宋" w:eastAsia="仿宋" w:cs="仿宋"/>
          <w:b/>
          <w:bCs/>
          <w:i w:val="0"/>
          <w:iCs w:val="0"/>
          <w:color w:val="000000" w:themeColor="text1"/>
          <w:kern w:val="2"/>
          <w:sz w:val="24"/>
          <w:szCs w:val="20"/>
          <w:highlight w:val="none"/>
          <w:vertAlign w:val="baseline"/>
          <w:lang w:val="en-US" w:eastAsia="zh-CN" w:bidi="ar-SA"/>
          <w14:textFill>
            <w14:solidFill>
              <w14:schemeClr w14:val="tx1"/>
            </w14:solidFill>
          </w14:textFill>
        </w:rPr>
        <w:t>投诉书范本及制作说明详见附件2。</w:t>
      </w:r>
    </w:p>
    <w:p w14:paraId="76BA9203">
      <w:pPr>
        <w:pStyle w:val="2"/>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sectPr>
          <w:pgSz w:w="11906" w:h="16838"/>
          <w:pgMar w:top="1474" w:right="1814" w:bottom="1474" w:left="1814" w:header="851" w:footer="992" w:gutter="0"/>
          <w:pgNumType w:fmt="decimal"/>
          <w:cols w:space="720" w:num="1"/>
          <w:docGrid w:linePitch="312" w:charSpace="0"/>
        </w:sectPr>
      </w:pPr>
    </w:p>
    <w:bookmarkEnd w:id="21"/>
    <w:bookmarkEnd w:id="22"/>
    <w:p w14:paraId="192267A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9" w:name="第四部分"/>
      <w:r>
        <w:rPr>
          <w:rFonts w:hint="eastAsia" w:ascii="仿宋" w:hAnsi="仿宋" w:eastAsia="仿宋" w:cs="仿宋"/>
          <w:b/>
          <w:color w:val="000000" w:themeColor="text1"/>
          <w:sz w:val="36"/>
          <w:szCs w:val="36"/>
          <w:highlight w:val="none"/>
          <w14:textFill>
            <w14:solidFill>
              <w14:schemeClr w14:val="tx1"/>
            </w14:solidFill>
          </w14:textFill>
        </w:rPr>
        <w:t>第三部分   招标项目范围及要求</w:t>
      </w:r>
    </w:p>
    <w:bookmarkEnd w:id="39"/>
    <w:p w14:paraId="0DEFC064">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40" w:name="_Toc158027929"/>
      <w:bookmarkStart w:id="41" w:name="_Toc126410403"/>
      <w:bookmarkStart w:id="42" w:name="_Toc355959986"/>
      <w:bookmarkStart w:id="43" w:name="第五部分"/>
      <w:bookmarkStart w:id="44" w:name="_Toc86217003"/>
      <w:r>
        <w:rPr>
          <w:rFonts w:hint="eastAsia" w:ascii="仿宋" w:hAnsi="仿宋" w:eastAsia="仿宋" w:cs="仿宋"/>
          <w:b/>
          <w:color w:val="000000" w:themeColor="text1"/>
          <w:sz w:val="32"/>
          <w:szCs w:val="32"/>
          <w:highlight w:val="none"/>
          <w:lang w:val="en-US" w:eastAsia="zh-CN"/>
          <w14:textFill>
            <w14:solidFill>
              <w14:schemeClr w14:val="tx1"/>
            </w14:solidFill>
          </w14:textFill>
        </w:rPr>
        <w:t>一、招标项目一览表</w:t>
      </w:r>
    </w:p>
    <w:p w14:paraId="0946425A">
      <w:pPr>
        <w:tabs>
          <w:tab w:val="left" w:pos="8280"/>
        </w:tabs>
        <w:autoSpaceDE w:val="0"/>
        <w:autoSpaceDN w:val="0"/>
        <w:adjustRightInd w:val="0"/>
        <w:spacing w:line="360" w:lineRule="auto"/>
        <w:ind w:right="25" w:firstLine="280"/>
        <w:rPr>
          <w:rFonts w:hint="eastAsia" w:ascii="仿宋" w:hAnsi="仿宋" w:eastAsia="仿宋" w:cs="仿宋"/>
          <w:sz w:val="24"/>
          <w:szCs w:val="24"/>
        </w:rPr>
      </w:pPr>
      <w:r>
        <w:rPr>
          <w:rFonts w:hint="eastAsia" w:ascii="仿宋" w:hAnsi="仿宋" w:eastAsia="仿宋" w:cs="仿宋"/>
          <w:sz w:val="24"/>
          <w:szCs w:val="24"/>
        </w:rPr>
        <w:t>本次招标共</w:t>
      </w:r>
      <w:r>
        <w:rPr>
          <w:rFonts w:hint="eastAsia" w:ascii="仿宋" w:hAnsi="仿宋" w:eastAsia="仿宋" w:cs="仿宋"/>
          <w:sz w:val="24"/>
          <w:szCs w:val="24"/>
          <w:u w:val="single"/>
        </w:rPr>
        <w:t xml:space="preserve"> 1 </w:t>
      </w:r>
      <w:r>
        <w:rPr>
          <w:rFonts w:hint="eastAsia" w:ascii="仿宋" w:hAnsi="仿宋" w:eastAsia="仿宋" w:cs="仿宋"/>
          <w:sz w:val="24"/>
          <w:szCs w:val="24"/>
        </w:rPr>
        <w:t>个标段，具体内容如下表：</w:t>
      </w:r>
    </w:p>
    <w:tbl>
      <w:tblPr>
        <w:tblStyle w:val="1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68"/>
        <w:gridCol w:w="1741"/>
        <w:gridCol w:w="843"/>
        <w:gridCol w:w="843"/>
        <w:gridCol w:w="1194"/>
        <w:gridCol w:w="1909"/>
      </w:tblGrid>
      <w:tr w14:paraId="5EA3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62" w:type="dxa"/>
            <w:noWrap w:val="0"/>
            <w:vAlign w:val="center"/>
          </w:tcPr>
          <w:p w14:paraId="407B121D">
            <w:pPr>
              <w:tabs>
                <w:tab w:val="left" w:pos="8280"/>
              </w:tabs>
              <w:autoSpaceDE w:val="0"/>
              <w:autoSpaceDN w:val="0"/>
              <w:adjustRightInd w:val="0"/>
              <w:spacing w:line="360" w:lineRule="auto"/>
              <w:ind w:right="25"/>
              <w:jc w:val="center"/>
              <w:rPr>
                <w:rFonts w:hint="eastAsia" w:ascii="仿宋" w:hAnsi="仿宋" w:eastAsia="仿宋" w:cs="仿宋"/>
                <w:b/>
                <w:sz w:val="24"/>
                <w:szCs w:val="24"/>
              </w:rPr>
            </w:pPr>
            <w:r>
              <w:rPr>
                <w:rFonts w:hint="eastAsia" w:ascii="仿宋" w:hAnsi="仿宋" w:eastAsia="仿宋" w:cs="仿宋"/>
                <w:b/>
                <w:sz w:val="24"/>
                <w:szCs w:val="24"/>
              </w:rPr>
              <w:t>标段号</w:t>
            </w:r>
          </w:p>
        </w:tc>
        <w:tc>
          <w:tcPr>
            <w:tcW w:w="2268" w:type="dxa"/>
            <w:noWrap w:val="0"/>
            <w:vAlign w:val="center"/>
          </w:tcPr>
          <w:p w14:paraId="2DAF3845">
            <w:pPr>
              <w:tabs>
                <w:tab w:val="left" w:pos="8280"/>
              </w:tabs>
              <w:autoSpaceDE w:val="0"/>
              <w:autoSpaceDN w:val="0"/>
              <w:adjustRightInd w:val="0"/>
              <w:spacing w:line="360" w:lineRule="auto"/>
              <w:ind w:right="25" w:firstLine="120" w:firstLineChars="50"/>
              <w:jc w:val="center"/>
              <w:rPr>
                <w:rFonts w:hint="eastAsia" w:ascii="仿宋" w:hAnsi="仿宋" w:eastAsia="仿宋" w:cs="仿宋"/>
                <w:b/>
                <w:sz w:val="24"/>
                <w:szCs w:val="24"/>
              </w:rPr>
            </w:pPr>
            <w:r>
              <w:rPr>
                <w:rFonts w:hint="eastAsia" w:ascii="仿宋" w:hAnsi="仿宋" w:eastAsia="仿宋" w:cs="仿宋"/>
                <w:b/>
                <w:sz w:val="24"/>
                <w:szCs w:val="24"/>
              </w:rPr>
              <w:t>采购内容</w:t>
            </w:r>
          </w:p>
        </w:tc>
        <w:tc>
          <w:tcPr>
            <w:tcW w:w="1741" w:type="dxa"/>
            <w:noWrap w:val="0"/>
            <w:vAlign w:val="center"/>
          </w:tcPr>
          <w:p w14:paraId="38979434">
            <w:pPr>
              <w:tabs>
                <w:tab w:val="left" w:pos="8280"/>
              </w:tabs>
              <w:autoSpaceDE w:val="0"/>
              <w:autoSpaceDN w:val="0"/>
              <w:adjustRightInd w:val="0"/>
              <w:spacing w:line="360" w:lineRule="auto"/>
              <w:ind w:right="25"/>
              <w:rPr>
                <w:rFonts w:hint="eastAsia" w:ascii="仿宋" w:hAnsi="仿宋" w:eastAsia="仿宋" w:cs="仿宋"/>
                <w:b/>
                <w:sz w:val="24"/>
                <w:szCs w:val="24"/>
              </w:rPr>
            </w:pPr>
            <w:r>
              <w:rPr>
                <w:rFonts w:hint="eastAsia" w:ascii="仿宋" w:hAnsi="仿宋" w:eastAsia="仿宋" w:cs="仿宋"/>
                <w:b/>
                <w:kern w:val="0"/>
                <w:sz w:val="24"/>
                <w:szCs w:val="24"/>
              </w:rPr>
              <w:t>简要技术要求</w:t>
            </w:r>
          </w:p>
        </w:tc>
        <w:tc>
          <w:tcPr>
            <w:tcW w:w="843" w:type="dxa"/>
            <w:noWrap w:val="0"/>
            <w:vAlign w:val="center"/>
          </w:tcPr>
          <w:p w14:paraId="315FBFCC">
            <w:pPr>
              <w:tabs>
                <w:tab w:val="left" w:pos="8280"/>
              </w:tabs>
              <w:autoSpaceDE w:val="0"/>
              <w:autoSpaceDN w:val="0"/>
              <w:adjustRightInd w:val="0"/>
              <w:spacing w:line="360" w:lineRule="auto"/>
              <w:ind w:right="25"/>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43" w:type="dxa"/>
            <w:noWrap w:val="0"/>
            <w:vAlign w:val="center"/>
          </w:tcPr>
          <w:p w14:paraId="7D3B7166">
            <w:pPr>
              <w:tabs>
                <w:tab w:val="left" w:pos="8280"/>
              </w:tabs>
              <w:autoSpaceDE w:val="0"/>
              <w:autoSpaceDN w:val="0"/>
              <w:adjustRightInd w:val="0"/>
              <w:spacing w:line="360" w:lineRule="auto"/>
              <w:ind w:right="25"/>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194" w:type="dxa"/>
            <w:noWrap w:val="0"/>
            <w:vAlign w:val="center"/>
          </w:tcPr>
          <w:p w14:paraId="5FA2139B">
            <w:pPr>
              <w:tabs>
                <w:tab w:val="left" w:pos="8280"/>
              </w:tabs>
              <w:autoSpaceDE w:val="0"/>
              <w:autoSpaceDN w:val="0"/>
              <w:adjustRightInd w:val="0"/>
              <w:spacing w:line="360" w:lineRule="auto"/>
              <w:ind w:right="25"/>
              <w:jc w:val="center"/>
              <w:rPr>
                <w:rFonts w:hint="eastAsia" w:ascii="仿宋" w:hAnsi="仿宋" w:eastAsia="仿宋" w:cs="仿宋"/>
                <w:b/>
                <w:sz w:val="24"/>
                <w:szCs w:val="24"/>
              </w:rPr>
            </w:pPr>
            <w:r>
              <w:rPr>
                <w:rFonts w:hint="eastAsia" w:ascii="仿宋" w:hAnsi="仿宋" w:eastAsia="仿宋" w:cs="仿宋"/>
                <w:b/>
                <w:sz w:val="24"/>
                <w:szCs w:val="24"/>
              </w:rPr>
              <w:t>预 算</w:t>
            </w:r>
          </w:p>
          <w:p w14:paraId="393C3B1B">
            <w:pPr>
              <w:tabs>
                <w:tab w:val="left" w:pos="8280"/>
              </w:tabs>
              <w:autoSpaceDE w:val="0"/>
              <w:autoSpaceDN w:val="0"/>
              <w:adjustRightInd w:val="0"/>
              <w:spacing w:line="360" w:lineRule="auto"/>
              <w:ind w:right="25"/>
              <w:jc w:val="center"/>
              <w:rPr>
                <w:rFonts w:hint="eastAsia" w:ascii="仿宋" w:hAnsi="仿宋" w:eastAsia="仿宋" w:cs="仿宋"/>
                <w:b/>
                <w:sz w:val="24"/>
                <w:szCs w:val="24"/>
              </w:rPr>
            </w:pPr>
            <w:r>
              <w:rPr>
                <w:rFonts w:hint="eastAsia" w:ascii="仿宋" w:hAnsi="仿宋" w:eastAsia="仿宋" w:cs="仿宋"/>
                <w:b/>
                <w:sz w:val="24"/>
                <w:szCs w:val="24"/>
              </w:rPr>
              <w:t>（万元</w:t>
            </w:r>
            <w:r>
              <w:rPr>
                <w:rFonts w:hint="eastAsia" w:ascii="仿宋" w:hAnsi="仿宋" w:eastAsia="仿宋" w:cs="仿宋"/>
                <w:b/>
                <w:sz w:val="24"/>
                <w:szCs w:val="24"/>
                <w:lang w:val="en-US" w:eastAsia="zh-CN"/>
              </w:rPr>
              <w:t>/年</w:t>
            </w:r>
            <w:r>
              <w:rPr>
                <w:rFonts w:hint="eastAsia" w:ascii="仿宋" w:hAnsi="仿宋" w:eastAsia="仿宋" w:cs="仿宋"/>
                <w:b/>
                <w:sz w:val="24"/>
                <w:szCs w:val="24"/>
              </w:rPr>
              <w:t>）</w:t>
            </w:r>
          </w:p>
        </w:tc>
        <w:tc>
          <w:tcPr>
            <w:tcW w:w="1909" w:type="dxa"/>
            <w:noWrap w:val="0"/>
            <w:vAlign w:val="center"/>
          </w:tcPr>
          <w:p w14:paraId="5ADC0F69">
            <w:pPr>
              <w:tabs>
                <w:tab w:val="left" w:pos="8280"/>
              </w:tabs>
              <w:autoSpaceDE w:val="0"/>
              <w:autoSpaceDN w:val="0"/>
              <w:adjustRightInd w:val="0"/>
              <w:spacing w:line="360" w:lineRule="auto"/>
              <w:ind w:right="25" w:firstLine="516" w:firstLineChars="214"/>
              <w:rPr>
                <w:rFonts w:hint="eastAsia" w:ascii="仿宋" w:hAnsi="仿宋" w:eastAsia="仿宋" w:cs="仿宋"/>
                <w:b/>
                <w:sz w:val="24"/>
                <w:szCs w:val="24"/>
              </w:rPr>
            </w:pPr>
            <w:r>
              <w:rPr>
                <w:rFonts w:hint="eastAsia" w:ascii="仿宋" w:hAnsi="仿宋" w:eastAsia="仿宋" w:cs="仿宋"/>
                <w:b/>
                <w:sz w:val="24"/>
                <w:szCs w:val="24"/>
              </w:rPr>
              <w:t>服务期</w:t>
            </w:r>
          </w:p>
        </w:tc>
      </w:tr>
      <w:tr w14:paraId="001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62" w:type="dxa"/>
            <w:noWrap w:val="0"/>
            <w:vAlign w:val="center"/>
          </w:tcPr>
          <w:p w14:paraId="75A05140">
            <w:pPr>
              <w:tabs>
                <w:tab w:val="left" w:pos="8280"/>
              </w:tabs>
              <w:autoSpaceDE w:val="0"/>
              <w:autoSpaceDN w:val="0"/>
              <w:adjustRightInd w:val="0"/>
              <w:spacing w:line="360" w:lineRule="auto"/>
              <w:ind w:right="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268" w:type="dxa"/>
            <w:noWrap w:val="0"/>
            <w:vAlign w:val="center"/>
          </w:tcPr>
          <w:p w14:paraId="6AA09108">
            <w:pPr>
              <w:widowControl/>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玉环市校舍</w:t>
            </w:r>
            <w:r>
              <w:rPr>
                <w:rFonts w:hint="eastAsia" w:ascii="仿宋" w:hAnsi="仿宋" w:eastAsia="仿宋" w:cs="仿宋"/>
                <w:sz w:val="24"/>
                <w:szCs w:val="24"/>
                <w:highlight w:val="none"/>
                <w:lang w:val="en-US" w:eastAsia="zh-CN"/>
              </w:rPr>
              <w:t>房屋结构</w:t>
            </w:r>
            <w:r>
              <w:rPr>
                <w:rFonts w:hint="eastAsia" w:ascii="仿宋" w:hAnsi="仿宋" w:eastAsia="仿宋" w:cs="仿宋"/>
                <w:sz w:val="24"/>
                <w:szCs w:val="24"/>
                <w:highlight w:val="none"/>
              </w:rPr>
              <w:t>安全鉴定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校舍安全动态监测）</w:t>
            </w:r>
            <w:r>
              <w:rPr>
                <w:rFonts w:hint="eastAsia" w:ascii="仿宋" w:hAnsi="仿宋" w:eastAsia="仿宋" w:cs="仿宋"/>
                <w:sz w:val="24"/>
                <w:szCs w:val="24"/>
                <w:highlight w:val="none"/>
              </w:rPr>
              <w:t>采购项目</w:t>
            </w:r>
          </w:p>
        </w:tc>
        <w:tc>
          <w:tcPr>
            <w:tcW w:w="1741" w:type="dxa"/>
            <w:noWrap w:val="0"/>
            <w:vAlign w:val="center"/>
          </w:tcPr>
          <w:p w14:paraId="1386AE72">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详见采购文件</w:t>
            </w:r>
          </w:p>
        </w:tc>
        <w:tc>
          <w:tcPr>
            <w:tcW w:w="843" w:type="dxa"/>
            <w:noWrap w:val="0"/>
            <w:vAlign w:val="center"/>
          </w:tcPr>
          <w:p w14:paraId="1DB65384">
            <w:pPr>
              <w:tabs>
                <w:tab w:val="left" w:pos="8280"/>
              </w:tabs>
              <w:autoSpaceDE w:val="0"/>
              <w:autoSpaceDN w:val="0"/>
              <w:adjustRightInd w:val="0"/>
              <w:spacing w:line="360" w:lineRule="auto"/>
              <w:ind w:right="2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43" w:type="dxa"/>
            <w:noWrap w:val="0"/>
            <w:vAlign w:val="center"/>
          </w:tcPr>
          <w:p w14:paraId="1422C6AC">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w:t>
            </w:r>
          </w:p>
        </w:tc>
        <w:tc>
          <w:tcPr>
            <w:tcW w:w="1194" w:type="dxa"/>
            <w:noWrap w:val="0"/>
            <w:vAlign w:val="center"/>
          </w:tcPr>
          <w:p w14:paraId="760EA470">
            <w:pPr>
              <w:tabs>
                <w:tab w:val="left" w:pos="8280"/>
              </w:tabs>
              <w:autoSpaceDE w:val="0"/>
              <w:autoSpaceDN w:val="0"/>
              <w:adjustRightInd w:val="0"/>
              <w:spacing w:line="360" w:lineRule="auto"/>
              <w:ind w:right="25"/>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w:t>
            </w:r>
          </w:p>
        </w:tc>
        <w:tc>
          <w:tcPr>
            <w:tcW w:w="1909" w:type="dxa"/>
            <w:noWrap w:val="0"/>
            <w:vAlign w:val="center"/>
          </w:tcPr>
          <w:p w14:paraId="1851F865">
            <w:pPr>
              <w:tabs>
                <w:tab w:val="left" w:pos="8280"/>
              </w:tabs>
              <w:autoSpaceDE w:val="0"/>
              <w:autoSpaceDN w:val="0"/>
              <w:adjustRightInd w:val="0"/>
              <w:spacing w:line="360" w:lineRule="auto"/>
              <w:ind w:right="25"/>
              <w:rPr>
                <w:rFonts w:hint="eastAsia" w:ascii="仿宋" w:hAnsi="仿宋" w:eastAsia="仿宋" w:cs="仿宋"/>
                <w:sz w:val="24"/>
                <w:szCs w:val="24"/>
                <w:highlight w:val="none"/>
              </w:rPr>
            </w:pPr>
            <w:r>
              <w:rPr>
                <w:rFonts w:hint="eastAsia" w:ascii="仿宋" w:hAnsi="仿宋" w:eastAsia="仿宋" w:cs="仿宋"/>
                <w:bCs/>
                <w:sz w:val="24"/>
                <w:szCs w:val="24"/>
                <w:highlight w:val="none"/>
              </w:rPr>
              <w:t>服务期3年(逐年续约）</w:t>
            </w:r>
          </w:p>
        </w:tc>
      </w:tr>
    </w:tbl>
    <w:p w14:paraId="41E204D3">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45" w:name="_Toc457330787"/>
      <w:r>
        <w:rPr>
          <w:rFonts w:hint="eastAsia" w:ascii="仿宋" w:hAnsi="仿宋" w:eastAsia="仿宋" w:cs="仿宋"/>
          <w:b/>
          <w:color w:val="000000" w:themeColor="text1"/>
          <w:sz w:val="32"/>
          <w:szCs w:val="32"/>
          <w:highlight w:val="none"/>
          <w:lang w:val="en-US" w:eastAsia="zh-CN"/>
          <w14:textFill>
            <w14:solidFill>
              <w14:schemeClr w14:val="tx1"/>
            </w14:solidFill>
          </w14:textFill>
        </w:rPr>
        <w:t>二、</w:t>
      </w:r>
      <w:bookmarkEnd w:id="45"/>
      <w:r>
        <w:rPr>
          <w:rFonts w:hint="eastAsia" w:ascii="仿宋" w:hAnsi="仿宋" w:eastAsia="仿宋" w:cs="仿宋"/>
          <w:b/>
          <w:color w:val="000000" w:themeColor="text1"/>
          <w:sz w:val="32"/>
          <w:szCs w:val="32"/>
          <w:highlight w:val="none"/>
          <w:lang w:val="en-US" w:eastAsia="zh-CN"/>
          <w14:textFill>
            <w14:solidFill>
              <w14:schemeClr w14:val="tx1"/>
            </w14:solidFill>
          </w14:textFill>
        </w:rPr>
        <w:t>项目简介</w:t>
      </w:r>
    </w:p>
    <w:p w14:paraId="17D99E83">
      <w:pPr>
        <w:pStyle w:val="13"/>
        <w:spacing w:before="0" w:after="0" w:line="360" w:lineRule="auto"/>
        <w:ind w:firstLine="475" w:firstLineChars="198"/>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1.项目实施的必要性：根据省教育厅等13个部门印发的《关于建立中小学校舍安全保障长效机制的实施意见》(浙教计〔2014〕110号)精神，和</w:t>
      </w:r>
      <w:r>
        <w:rPr>
          <w:rFonts w:hint="eastAsia" w:ascii="仿宋" w:hAnsi="仿宋" w:eastAsia="仿宋" w:cs="仿宋"/>
          <w:b w:val="0"/>
          <w:bCs w:val="0"/>
          <w:kern w:val="2"/>
          <w:sz w:val="24"/>
          <w:szCs w:val="24"/>
          <w:highlight w:val="none"/>
          <w:lang w:val="en-US" w:eastAsia="zh-CN" w:bidi="ar-SA"/>
        </w:rPr>
        <w:t>浙江省住房和城乡建设厅关于《浙江省房屋使用安全管理条例》（2017年7月28日文件）要求，为</w:t>
      </w: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切实维护师生安全和校舍安全，我局将组织开展年度公办学校校舍安全检测鉴定工作，采购“玉环市校舍安全使用动态检测及房屋结构安全鉴定服务”，以及玉环市教育局关于印发《玉环市学校校舍安全排查工作实施方案》的通知，建立校舍安全年检制度。</w:t>
      </w:r>
    </w:p>
    <w:p w14:paraId="1CCC206C">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2.房屋使用安全检测和结构安全鉴定要求：玉环辖区内中小学校幼儿园校舍进行检测并全面鉴定。</w:t>
      </w:r>
    </w:p>
    <w:p w14:paraId="5CF96AC0">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三、服务范围</w:t>
      </w:r>
    </w:p>
    <w:p w14:paraId="530EC0BF">
      <w:pPr>
        <w:snapToGrid w:val="0"/>
        <w:spacing w:line="360" w:lineRule="auto"/>
        <w:ind w:firstLine="480" w:firstLineChars="200"/>
        <w:rPr>
          <w:rFonts w:hint="eastAsia" w:ascii="仿宋" w:hAnsi="仿宋" w:eastAsia="仿宋" w:cs="仿宋"/>
          <w:b w:val="0"/>
          <w:bCs w:val="0"/>
          <w:kern w:val="2"/>
          <w:sz w:val="24"/>
          <w:szCs w:val="24"/>
          <w:highlight w:val="none"/>
          <w:lang w:val="en-US" w:eastAsia="zh-CN" w:bidi="ar-SA"/>
        </w:rPr>
      </w:pPr>
      <w:bookmarkStart w:id="46" w:name="_Toc12861"/>
      <w:bookmarkStart w:id="47" w:name="_Toc12337"/>
      <w:r>
        <w:rPr>
          <w:rFonts w:hint="eastAsia" w:ascii="仿宋" w:hAnsi="仿宋" w:eastAsia="仿宋" w:cs="仿宋"/>
          <w:b w:val="0"/>
          <w:bCs w:val="0"/>
          <w:kern w:val="2"/>
          <w:sz w:val="24"/>
          <w:szCs w:val="24"/>
          <w:highlight w:val="none"/>
          <w:lang w:val="en-US" w:eastAsia="zh-CN" w:bidi="ar-SA"/>
        </w:rPr>
        <w:t>玉环市校舍房屋鉴定（校舍安全动态监测）包括：1:公办幼儿园学校约20所，鉴定房屋约42幢，建筑面积约49000平方米。2:公办各级各类学校约65所，（不含近些年新建学校），鉴定房屋约315幢，建筑面积约64万平方米，以教育行政部门指定的公办学校（国有教育资产）校内地上的所有建筑物为鉴定范围，按照现有国家规定要全面开展校舍安全排查的鉴定工作，校舍幢数及校舍房屋面积以实际为准，本次招标费用为每年度一次性总价包干，每年开展2次，</w:t>
      </w:r>
      <w:bookmarkStart w:id="56" w:name="_GoBack"/>
      <w:bookmarkEnd w:id="56"/>
      <w:r>
        <w:rPr>
          <w:rFonts w:hint="eastAsia" w:ascii="仿宋" w:hAnsi="仿宋" w:eastAsia="仿宋" w:cs="仿宋"/>
          <w:b w:val="0"/>
          <w:bCs w:val="0"/>
          <w:kern w:val="2"/>
          <w:sz w:val="24"/>
          <w:szCs w:val="24"/>
          <w:highlight w:val="none"/>
          <w:lang w:val="en-US" w:eastAsia="zh-CN" w:bidi="ar-SA"/>
        </w:rPr>
        <w:t>不再追加房屋检测，鉴定及动态检测费用（含房屋动态监测相关仪器设备无偿提供使用）。</w:t>
      </w:r>
    </w:p>
    <w:p w14:paraId="700E7FBF">
      <w:pPr>
        <w:pStyle w:val="2"/>
        <w:rPr>
          <w:rFonts w:hint="default"/>
          <w:highlight w:val="yellow"/>
          <w:lang w:val="en-US" w:eastAsia="zh-CN"/>
        </w:rPr>
      </w:pPr>
      <w:r>
        <w:rPr>
          <w:rFonts w:hint="eastAsia" w:ascii="仿宋" w:hAnsi="仿宋" w:eastAsia="仿宋" w:cs="仿宋"/>
          <w:b w:val="0"/>
          <w:bCs w:val="0"/>
          <w:kern w:val="2"/>
          <w:sz w:val="24"/>
          <w:szCs w:val="24"/>
          <w:highlight w:val="none"/>
          <w:lang w:val="en-US" w:eastAsia="zh-CN" w:bidi="ar-SA"/>
        </w:rPr>
        <w:t xml:space="preserve">   注：本次校舍房屋鉴定（校舍安全动态监测）不包含民办幼儿园和民办中小学校舍。如需鉴定，费用由学校自负，同等价格参照执行。</w:t>
      </w:r>
    </w:p>
    <w:p w14:paraId="39F87AEA">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四、检测鉴定依据</w:t>
      </w:r>
      <w:bookmarkEnd w:id="46"/>
      <w:bookmarkEnd w:id="47"/>
    </w:p>
    <w:p w14:paraId="0863EE1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1"/>
        <w:rPr>
          <w:rFonts w:hint="eastAsia" w:ascii="仿宋" w:hAnsi="仿宋" w:eastAsia="仿宋" w:cs="仿宋"/>
          <w:bCs/>
          <w:color w:val="000000" w:themeColor="text1"/>
          <w:kern w:val="44"/>
          <w:sz w:val="24"/>
          <w:highlight w:val="none"/>
          <w14:textFill>
            <w14:solidFill>
              <w14:schemeClr w14:val="tx1"/>
            </w14:solidFill>
          </w14:textFill>
        </w:rPr>
      </w:pPr>
      <w:bookmarkStart w:id="48" w:name="_Toc31507"/>
      <w:bookmarkStart w:id="49" w:name="_Toc25709"/>
      <w:r>
        <w:rPr>
          <w:rFonts w:hint="eastAsia" w:ascii="仿宋" w:hAnsi="仿宋" w:eastAsia="仿宋" w:cs="仿宋"/>
          <w:bCs/>
          <w:color w:val="000000" w:themeColor="text1"/>
          <w:kern w:val="44"/>
          <w:sz w:val="24"/>
          <w:highlight w:val="none"/>
          <w14:textFill>
            <w14:solidFill>
              <w14:schemeClr w14:val="tx1"/>
            </w14:solidFill>
          </w14:textFill>
        </w:rPr>
        <w:t>包括并不仅限于下列相关标准和规范，如有新版本标准或规范，则按新标准或新规范：</w:t>
      </w:r>
    </w:p>
    <w:bookmarkEnd w:id="48"/>
    <w:bookmarkEnd w:id="49"/>
    <w:p w14:paraId="719BF81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bookmarkStart w:id="50" w:name="_Toc27628"/>
      <w:r>
        <w:rPr>
          <w:rFonts w:hint="eastAsia" w:ascii="仿宋" w:hAnsi="仿宋" w:eastAsia="仿宋" w:cs="仿宋"/>
          <w:bCs/>
          <w:color w:val="000000" w:themeColor="text1"/>
          <w:kern w:val="44"/>
          <w:sz w:val="24"/>
          <w:highlight w:val="none"/>
          <w14:textFill>
            <w14:solidFill>
              <w14:schemeClr w14:val="tx1"/>
            </w14:solidFill>
          </w14:textFill>
        </w:rPr>
        <w:t>GB 50068-2018              建筑结构可靠度设计统一标准</w:t>
      </w:r>
    </w:p>
    <w:p w14:paraId="48AD049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50009-2012              建筑结构荷载规范</w:t>
      </w:r>
    </w:p>
    <w:p w14:paraId="490A8B4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50010-2010（2015年版） 混凝土结构设计规范</w:t>
      </w:r>
    </w:p>
    <w:p w14:paraId="0EB9707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GB50204-2015               混凝土结构工程施工质量验收规范</w:t>
      </w:r>
    </w:p>
    <w:p w14:paraId="2840CA9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50003-2011              砌体结构设计规范</w:t>
      </w:r>
    </w:p>
    <w:p w14:paraId="6C02B7D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50203-2011              砌体结构工程施工质量验收规范</w:t>
      </w:r>
    </w:p>
    <w:p w14:paraId="5ABA18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50017-2017              钢结构设计标准</w:t>
      </w:r>
    </w:p>
    <w:p w14:paraId="09189A6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50205-2001              钢结构工程施工质量验收规范</w:t>
      </w:r>
    </w:p>
    <w:p w14:paraId="3238994B">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51022-2015              门式刚架轻型房屋钢结构技术规范</w:t>
      </w:r>
    </w:p>
    <w:p w14:paraId="44C91AD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50005-2017              木结构设计标准</w:t>
      </w:r>
    </w:p>
    <w:p w14:paraId="33957A7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50206-2012              木结构工程施工质量验收规范</w:t>
      </w:r>
    </w:p>
    <w:p w14:paraId="1580367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50007－2011             建筑地基基础设计规范</w:t>
      </w:r>
    </w:p>
    <w:p w14:paraId="0646481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50202-2002              建筑地基基础工程施工质量验收规范</w:t>
      </w:r>
    </w:p>
    <w:p w14:paraId="46201E6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50300-2013              建筑工程施工质量验收统一标准</w:t>
      </w:r>
    </w:p>
    <w:p w14:paraId="76B8CAAB">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GB/T 50344-2019            建筑结构检测技术标准</w:t>
      </w:r>
    </w:p>
    <w:p w14:paraId="1949D42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GB/T 50784-2013            混凝土结构现场检测技术标准</w:t>
      </w:r>
    </w:p>
    <w:p w14:paraId="7934FC1A">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GB/T50476-2008             混凝土结构耐久性设计规范</w:t>
      </w:r>
    </w:p>
    <w:p w14:paraId="4F02D8B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 145-2013               混凝土后锚固技术规程</w:t>
      </w:r>
    </w:p>
    <w:p w14:paraId="6CAFB21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GB/T 50315-2011            砌体结构现场检测技术标准</w:t>
      </w:r>
    </w:p>
    <w:p w14:paraId="024FC3CC">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CECS 02:2005               超声回弹综合法检测混凝土强度技术规程</w:t>
      </w:r>
    </w:p>
    <w:p w14:paraId="333D2FD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CECS 21:2000               超声法检测混凝土缺陷技术规程</w:t>
      </w:r>
    </w:p>
    <w:p w14:paraId="570761C3">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JGJ/T 23-2011              回弹法检测混凝土抗压强度技术规程</w:t>
      </w:r>
    </w:p>
    <w:p w14:paraId="2029ABD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DB33/T1049-2016            回弹法检测泵送混凝土抗压强度技术规程</w:t>
      </w:r>
    </w:p>
    <w:p w14:paraId="69E67F0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JGJ/T384-2016              钻芯法检测混凝土强度技术规程</w:t>
      </w:r>
    </w:p>
    <w:p w14:paraId="4E0321DE">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JGJ/T152-2008              混凝土中钢筋检测技术规程</w:t>
      </w:r>
    </w:p>
    <w:p w14:paraId="50DCA790">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 8-2016                 建筑变形测量规范</w:t>
      </w:r>
    </w:p>
    <w:p w14:paraId="1F1351A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50026-2007              工程测量规范</w:t>
      </w:r>
    </w:p>
    <w:p w14:paraId="5D2FF791">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GB/T 50152-2012            混凝土结构试验方法标准</w:t>
      </w:r>
    </w:p>
    <w:p w14:paraId="3A0241C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JGJ/T 136-2017             贯入法检测砌筑砂浆抗压强度技术规程</w:t>
      </w:r>
    </w:p>
    <w:p w14:paraId="0036268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 50292-2015              民用建筑可靠性鉴定标准</w:t>
      </w:r>
    </w:p>
    <w:p w14:paraId="79CD3317">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 125-2016               危险房屋鉴定标准</w:t>
      </w:r>
    </w:p>
    <w:p w14:paraId="304B7056">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GB50023-2009               建筑抗震鉴定标准</w:t>
      </w:r>
    </w:p>
    <w:p w14:paraId="4014055D">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outlineLvl w:val="9"/>
        <w:rPr>
          <w:rFonts w:hint="eastAsia" w:ascii="仿宋" w:hAnsi="仿宋" w:eastAsia="仿宋" w:cs="仿宋"/>
          <w:bCs/>
          <w:color w:val="000000" w:themeColor="text1"/>
          <w:kern w:val="44"/>
          <w:sz w:val="24"/>
          <w:highlight w:val="none"/>
          <w14:textFill>
            <w14:solidFill>
              <w14:schemeClr w14:val="tx1"/>
            </w14:solidFill>
          </w14:textFill>
        </w:rPr>
      </w:pPr>
      <w:r>
        <w:rPr>
          <w:rFonts w:hint="eastAsia" w:ascii="仿宋" w:hAnsi="仿宋" w:eastAsia="仿宋" w:cs="仿宋"/>
          <w:bCs/>
          <w:color w:val="000000" w:themeColor="text1"/>
          <w:kern w:val="44"/>
          <w:sz w:val="24"/>
          <w:highlight w:val="none"/>
          <w14:textFill>
            <w14:solidFill>
              <w14:schemeClr w14:val="tx1"/>
            </w14:solidFill>
          </w14:textFill>
        </w:rPr>
        <w:t>JGJ125-2016                危险房屋鉴定标准</w:t>
      </w:r>
    </w:p>
    <w:p w14:paraId="02920545">
      <w:pPr>
        <w:snapToGrid w:val="0"/>
        <w:spacing w:line="360" w:lineRule="auto"/>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7F6CAA31">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五、检测鉴定目的、内容</w:t>
      </w:r>
      <w:bookmarkEnd w:id="50"/>
    </w:p>
    <w:p w14:paraId="2A95660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1.目的</w:t>
      </w:r>
    </w:p>
    <w:p w14:paraId="5741A6A3">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为全面了解掌握校舍的安全性是否满足现行规范及设计要求，需对玉环市市域内学校校舍进行安全性的检测、鉴定。</w:t>
      </w:r>
    </w:p>
    <w:p w14:paraId="3F4FF22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2.内容</w:t>
      </w:r>
    </w:p>
    <w:p w14:paraId="4179BA3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依据国家相关规范、技术标准，并结合实际情况，本次检测、鉴定具体包含的内容如下：</w:t>
      </w:r>
    </w:p>
    <w:p w14:paraId="0F2D7D60">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2.1 房屋资料收集与现状调查，包括但不限于以下几个方面：</w:t>
      </w:r>
    </w:p>
    <w:p w14:paraId="46D31B26">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（1）房屋现状情况勘验：房屋建造年代，结构形式，平立面尺寸，层数（含改动情况）。</w:t>
      </w:r>
    </w:p>
    <w:p w14:paraId="2F29C4A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（2）房屋所处场地状况，查明房屋所处场地周边不利影响因素（含自然不利影响因素和生产活动等不利影响因素）。</w:t>
      </w:r>
    </w:p>
    <w:p w14:paraId="294B679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（3）房屋使用功能（包含历次使用功能更改的详细情况）详细调查。</w:t>
      </w:r>
    </w:p>
    <w:p w14:paraId="1314922B">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（4）房屋历次结构改造与加固情况详细调查（若存在改扩建需调查其与原有结构连接情况是否可靠）。</w:t>
      </w:r>
    </w:p>
    <w:p w14:paraId="78EA9345">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（5）房屋资料收集，楼面、屋面荷载分布情况详细调查。</w:t>
      </w:r>
    </w:p>
    <w:p w14:paraId="7444A6A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（6）使用条件调查：设计计算及所处环境调查。</w:t>
      </w:r>
    </w:p>
    <w:p w14:paraId="25BE813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2.2 房屋主体结构现场检测</w:t>
      </w:r>
    </w:p>
    <w:p w14:paraId="2C162062">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（1）主体承重结构是否存在拆改、错位等结构性缺陷或隐患。</w:t>
      </w:r>
    </w:p>
    <w:p w14:paraId="2F3DB9D1">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（2）房屋是否存在影响其使用性和安全性的问题。</w:t>
      </w:r>
    </w:p>
    <w:p w14:paraId="102C45C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（3）房屋是否设置圈梁、构造柱，并对其部位进行现场核查。</w:t>
      </w:r>
    </w:p>
    <w:p w14:paraId="1551B4F1">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1）砖混结构部位</w:t>
      </w:r>
    </w:p>
    <w:p w14:paraId="52713031">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主要核查：房屋高度及层数、结构体系（主要包含：抗震墙的间距和房屋高宽比、平立面布置及墙体布置的规则性等）、承重材料强度等级、整体性连接构造（主要包含：墙体平面内的闭合情况、构造柱设置、圈梁布置及构造、纵横墙咬槎及拉结筋设置情况、楼屋盖的连接情况等）、易局部倒塌的部件及其连接、楼梯间的设置等。</w:t>
      </w:r>
    </w:p>
    <w:p w14:paraId="7BECBCC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 混凝土结构部位</w:t>
      </w:r>
    </w:p>
    <w:p w14:paraId="55C6FDB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主要核查：房屋高度及层数、结构体系（主要包含：框架结构是否存在单跨、平立面规则性、梁柱中心线重合性、梁柱截面宽度及其高宽比、楼屋盖长宽比、抗侧力黏土砖填充墙等）、承重材料强度等级、混凝土梁柱配筋与构造（主要包含：配筋率、配筋量的比值、加密区长度、箍筋最大间距和最小直径、通长钢筋配置、箍筋肢距、最小体积配箍率等）、核心区箍筋配置、钢筋接头及锚固要求、填充墙的布置及连接等。</w:t>
      </w:r>
    </w:p>
    <w:p w14:paraId="08C2DF23">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（5）房屋主体结构平面轴网尺寸、层高检测、复核。</w:t>
      </w:r>
    </w:p>
    <w:p w14:paraId="4775CABB">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（6）房屋承重结构构件材料强度检测（主要包括砌体砖、砌筑砂浆抗压强度，混凝土梁柱抗压强度、碳化检测）。</w:t>
      </w:r>
    </w:p>
    <w:p w14:paraId="7613F7A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（7）房屋混凝土构件钢筋配置及截面尺寸检测。</w:t>
      </w:r>
    </w:p>
    <w:p w14:paraId="1031EC00">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（8）房屋基础检测（主要包括尺寸、混凝土抗压强度）。</w:t>
      </w:r>
    </w:p>
    <w:p w14:paraId="659AB8A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（9）房屋整体动态监测：倾斜和沉降观测（人工观测，不包含全自动化实时监测）。</w:t>
      </w:r>
    </w:p>
    <w:p w14:paraId="7B9CA93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t>2.3 楼.屋面预制板承载能力校核（采用荷载试验或计算进行校核）。</w:t>
      </w:r>
    </w:p>
    <w:p w14:paraId="47A952C5">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t>2.4 房屋整体承载力建模验算（包含不考虑地震作用、考虑地震作用）。</w:t>
      </w:r>
    </w:p>
    <w:p w14:paraId="21A3E0EF">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t>2.5 综合评定该房屋安全性，出具鉴定报告及处理意见。（每幢房子单独出具报告）</w:t>
      </w:r>
    </w:p>
    <w:p w14:paraId="1D97968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t>2.6 完成各项检测、鉴定工作，并根据相关部门要求，各单体建筑分别出具符合相关法律、法规的建筑物安全等级证明材料，直至通过项目验收。</w:t>
      </w:r>
    </w:p>
    <w:p w14:paraId="375BACC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44"/>
          <w:sz w:val="24"/>
          <w:szCs w:val="20"/>
          <w:highlight w:val="none"/>
          <w:lang w:val="en-US" w:eastAsia="zh-CN" w:bidi="ar-SA"/>
          <w14:textFill>
            <w14:solidFill>
              <w14:schemeClr w14:val="tx1"/>
            </w14:solidFill>
          </w14:textFill>
        </w:rPr>
        <w:t>2.7协助采购人完成与本项目有关的其他工作。</w:t>
      </w:r>
      <w:bookmarkStart w:id="51" w:name="_Toc19324"/>
    </w:p>
    <w:p w14:paraId="108C2EA8">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六、检测鉴定技术要求</w:t>
      </w:r>
      <w:bookmarkEnd w:id="51"/>
    </w:p>
    <w:p w14:paraId="6A6BA0E3">
      <w:pPr>
        <w:widowControl w:val="0"/>
        <w:adjustRightInd w:val="0"/>
        <w:snapToGrid w:val="0"/>
        <w:spacing w:line="360" w:lineRule="auto"/>
        <w:ind w:firstLine="482"/>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 现场检测要求详见下表</w:t>
      </w:r>
    </w:p>
    <w:tbl>
      <w:tblPr>
        <w:tblStyle w:val="18"/>
        <w:tblW w:w="8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1602"/>
        <w:gridCol w:w="5591"/>
      </w:tblGrid>
      <w:tr w14:paraId="33E1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noWrap/>
            <w:vAlign w:val="center"/>
          </w:tcPr>
          <w:p w14:paraId="02D4F811">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结构部位</w:t>
            </w:r>
          </w:p>
        </w:tc>
        <w:tc>
          <w:tcPr>
            <w:tcW w:w="1602" w:type="dxa"/>
            <w:noWrap/>
            <w:vAlign w:val="center"/>
          </w:tcPr>
          <w:p w14:paraId="54260D7C">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部位</w:t>
            </w:r>
          </w:p>
        </w:tc>
        <w:tc>
          <w:tcPr>
            <w:tcW w:w="5591" w:type="dxa"/>
            <w:noWrap/>
            <w:vAlign w:val="center"/>
          </w:tcPr>
          <w:p w14:paraId="1F9FE2DB">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检测项目</w:t>
            </w:r>
          </w:p>
        </w:tc>
      </w:tr>
      <w:tr w14:paraId="2FE1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16" w:type="dxa"/>
            <w:vMerge w:val="restart"/>
            <w:noWrap/>
            <w:vAlign w:val="center"/>
          </w:tcPr>
          <w:p w14:paraId="0C2B27FE">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砖混结构部位</w:t>
            </w:r>
          </w:p>
        </w:tc>
        <w:tc>
          <w:tcPr>
            <w:tcW w:w="1602" w:type="dxa"/>
            <w:noWrap/>
            <w:vAlign w:val="center"/>
          </w:tcPr>
          <w:p w14:paraId="5CCDDF8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外观质量</w:t>
            </w:r>
          </w:p>
        </w:tc>
        <w:tc>
          <w:tcPr>
            <w:tcW w:w="5591" w:type="dxa"/>
            <w:noWrap/>
            <w:vAlign w:val="center"/>
          </w:tcPr>
          <w:p w14:paraId="69BD329B">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外观质量检测，墙体风化、脱落、闪歪、裂缝、渗漏等病害检测。</w:t>
            </w:r>
          </w:p>
        </w:tc>
      </w:tr>
      <w:tr w14:paraId="10A2F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noWrap/>
            <w:vAlign w:val="center"/>
          </w:tcPr>
          <w:p w14:paraId="353B16DC">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22CFB2B9">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尺寸</w:t>
            </w:r>
          </w:p>
        </w:tc>
        <w:tc>
          <w:tcPr>
            <w:tcW w:w="5591" w:type="dxa"/>
            <w:noWrap/>
            <w:vAlign w:val="center"/>
          </w:tcPr>
          <w:p w14:paraId="4AFF392A">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墙体厚度、高度、宽度检测。</w:t>
            </w:r>
          </w:p>
        </w:tc>
      </w:tr>
      <w:tr w14:paraId="04EF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noWrap/>
            <w:vAlign w:val="center"/>
          </w:tcPr>
          <w:p w14:paraId="07837B35">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3A1A153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变形</w:t>
            </w:r>
          </w:p>
        </w:tc>
        <w:tc>
          <w:tcPr>
            <w:tcW w:w="5591" w:type="dxa"/>
            <w:noWrap/>
            <w:vAlign w:val="center"/>
          </w:tcPr>
          <w:p w14:paraId="568BB4D4">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墙体与柱垂直度检测。</w:t>
            </w:r>
          </w:p>
        </w:tc>
      </w:tr>
      <w:tr w14:paraId="12DA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noWrap/>
            <w:vAlign w:val="center"/>
          </w:tcPr>
          <w:p w14:paraId="58985188">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18F96445">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轴线错位</w:t>
            </w:r>
          </w:p>
        </w:tc>
        <w:tc>
          <w:tcPr>
            <w:tcW w:w="5591" w:type="dxa"/>
            <w:noWrap/>
            <w:vAlign w:val="center"/>
          </w:tcPr>
          <w:p w14:paraId="2248BC1D">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墙体轴线尺寸检测，上下墙体错位情况检测。</w:t>
            </w:r>
          </w:p>
        </w:tc>
      </w:tr>
      <w:tr w14:paraId="2677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noWrap/>
            <w:vAlign w:val="center"/>
          </w:tcPr>
          <w:p w14:paraId="2A0B1263">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42130F0C">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材料强度</w:t>
            </w:r>
          </w:p>
        </w:tc>
        <w:tc>
          <w:tcPr>
            <w:tcW w:w="5591" w:type="dxa"/>
            <w:noWrap/>
            <w:vAlign w:val="center"/>
          </w:tcPr>
          <w:p w14:paraId="0D153BFB">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承重墙体砖抗压强度检测，砌筑砂浆抗压强度检测。</w:t>
            </w:r>
          </w:p>
        </w:tc>
      </w:tr>
      <w:tr w14:paraId="08A8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9" w:hRule="atLeast"/>
          <w:jc w:val="center"/>
        </w:trPr>
        <w:tc>
          <w:tcPr>
            <w:tcW w:w="1616" w:type="dxa"/>
            <w:vMerge w:val="restart"/>
            <w:noWrap/>
            <w:vAlign w:val="center"/>
          </w:tcPr>
          <w:p w14:paraId="16429053">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混凝土结构部位</w:t>
            </w:r>
          </w:p>
        </w:tc>
        <w:tc>
          <w:tcPr>
            <w:tcW w:w="1602" w:type="dxa"/>
            <w:noWrap/>
            <w:vAlign w:val="center"/>
          </w:tcPr>
          <w:p w14:paraId="4E7F2002">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基础</w:t>
            </w:r>
          </w:p>
        </w:tc>
        <w:tc>
          <w:tcPr>
            <w:tcW w:w="5591" w:type="dxa"/>
            <w:noWrap/>
            <w:vAlign w:val="center"/>
          </w:tcPr>
          <w:p w14:paraId="103A4CF5">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基础病害情况：腐蚀、酥碱、松散和剥落情况检测。 基础埋深、高度、宽度等尺寸检测。</w:t>
            </w:r>
          </w:p>
          <w:p w14:paraId="35D5FB3F">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基础混凝土抗压强度检测。</w:t>
            </w:r>
          </w:p>
          <w:p w14:paraId="724DE746">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房屋倾斜情况检测。</w:t>
            </w:r>
          </w:p>
        </w:tc>
      </w:tr>
      <w:tr w14:paraId="6D5BE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9" w:hRule="atLeast"/>
          <w:jc w:val="center"/>
        </w:trPr>
        <w:tc>
          <w:tcPr>
            <w:tcW w:w="1616" w:type="dxa"/>
            <w:vMerge w:val="continue"/>
            <w:noWrap/>
            <w:vAlign w:val="center"/>
          </w:tcPr>
          <w:p w14:paraId="052D7ABA">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5E33C18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混凝土柱</w:t>
            </w:r>
          </w:p>
        </w:tc>
        <w:tc>
          <w:tcPr>
            <w:tcW w:w="5591" w:type="dxa"/>
            <w:noWrap/>
            <w:vAlign w:val="center"/>
          </w:tcPr>
          <w:p w14:paraId="63054240">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构件外观质量（剥落、裂缝、钢筋锈蚀等）检测。</w:t>
            </w:r>
          </w:p>
          <w:p w14:paraId="3547576E">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构件变形情况检测（垂直度）。构件尺寸检测。</w:t>
            </w:r>
          </w:p>
          <w:p w14:paraId="07D425D3">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混凝土抗压强度、混凝土碳化深度检测。</w:t>
            </w:r>
          </w:p>
          <w:p w14:paraId="61AEF0C2">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钢筋配置情况检测，包含主筋数量、箍筋间距、钢筋直径检测。</w:t>
            </w:r>
          </w:p>
        </w:tc>
      </w:tr>
      <w:tr w14:paraId="7277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1" w:hRule="atLeast"/>
          <w:jc w:val="center"/>
        </w:trPr>
        <w:tc>
          <w:tcPr>
            <w:tcW w:w="1616" w:type="dxa"/>
            <w:vMerge w:val="continue"/>
            <w:noWrap/>
            <w:vAlign w:val="center"/>
          </w:tcPr>
          <w:p w14:paraId="53176670">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6709AE06">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混凝土梁</w:t>
            </w:r>
          </w:p>
        </w:tc>
        <w:tc>
          <w:tcPr>
            <w:tcW w:w="5591" w:type="dxa"/>
            <w:noWrap/>
            <w:vAlign w:val="center"/>
          </w:tcPr>
          <w:p w14:paraId="74B2B19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构件外观质量（剥落、裂缝、钢筋锈蚀等）检测。 构件变形情况检测（挠度）。</w:t>
            </w:r>
          </w:p>
          <w:p w14:paraId="66BA1F98">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构件尺寸检测。</w:t>
            </w:r>
          </w:p>
          <w:p w14:paraId="4F7CC43F">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混凝土抗压强度、混凝土碳化深度检测。</w:t>
            </w:r>
          </w:p>
          <w:p w14:paraId="73B4E5E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钢筋配置情况检测，包含主筋数量、箍筋间距、钢筋直径检测。</w:t>
            </w:r>
          </w:p>
        </w:tc>
      </w:tr>
      <w:tr w14:paraId="1763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616" w:type="dxa"/>
            <w:vMerge w:val="continue"/>
            <w:noWrap/>
            <w:vAlign w:val="center"/>
          </w:tcPr>
          <w:p w14:paraId="091722AA">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3E2B564B">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梁柱节点</w:t>
            </w:r>
          </w:p>
        </w:tc>
        <w:tc>
          <w:tcPr>
            <w:tcW w:w="5591" w:type="dxa"/>
            <w:noWrap/>
            <w:vAlign w:val="center"/>
          </w:tcPr>
          <w:p w14:paraId="564B9024">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节点连接情况及外观质量（剥落、裂缝、钢筋锈蚀等）检测。</w:t>
            </w:r>
          </w:p>
        </w:tc>
      </w:tr>
      <w:tr w14:paraId="2599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7" w:hRule="atLeast"/>
          <w:jc w:val="center"/>
        </w:trPr>
        <w:tc>
          <w:tcPr>
            <w:tcW w:w="1616" w:type="dxa"/>
            <w:vMerge w:val="continue"/>
            <w:noWrap/>
            <w:vAlign w:val="center"/>
          </w:tcPr>
          <w:p w14:paraId="558449B3">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07A19C46">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楼、屋面板</w:t>
            </w:r>
          </w:p>
        </w:tc>
        <w:tc>
          <w:tcPr>
            <w:tcW w:w="5591" w:type="dxa"/>
            <w:noWrap/>
            <w:vAlign w:val="center"/>
          </w:tcPr>
          <w:p w14:paraId="320C5C96">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楼板结构形式检测。</w:t>
            </w:r>
          </w:p>
          <w:p w14:paraId="5E180069">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构件外观质量（剥落、裂缝、钢筋锈蚀等）检测。</w:t>
            </w:r>
          </w:p>
          <w:p w14:paraId="749BE604">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现浇板混凝土抗压强度、板厚、钢筋间距、钢筋直径检测。预制板荷载试验。</w:t>
            </w:r>
          </w:p>
        </w:tc>
      </w:tr>
      <w:tr w14:paraId="24F7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616" w:type="dxa"/>
            <w:noWrap/>
            <w:vAlign w:val="center"/>
          </w:tcPr>
          <w:p w14:paraId="1D8EB8ED">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木结构部位（若有）</w:t>
            </w:r>
          </w:p>
        </w:tc>
        <w:tc>
          <w:tcPr>
            <w:tcW w:w="1602" w:type="dxa"/>
            <w:noWrap/>
            <w:vAlign w:val="center"/>
          </w:tcPr>
          <w:p w14:paraId="4F74A885">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梁、柱、板</w:t>
            </w:r>
          </w:p>
        </w:tc>
        <w:tc>
          <w:tcPr>
            <w:tcW w:w="5591" w:type="dxa"/>
            <w:noWrap/>
            <w:vAlign w:val="center"/>
          </w:tcPr>
          <w:p w14:paraId="6FF51E62">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木结构连接情况检测及变形、腐蚀等病害情况检测。 木结构节点滑移情况检测。</w:t>
            </w:r>
          </w:p>
          <w:p w14:paraId="40B1E16C">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木结构截面尺寸检测。</w:t>
            </w:r>
          </w:p>
        </w:tc>
      </w:tr>
      <w:tr w14:paraId="5856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616" w:type="dxa"/>
            <w:noWrap/>
            <w:vAlign w:val="center"/>
          </w:tcPr>
          <w:p w14:paraId="42A6BA57">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围护结构</w:t>
            </w:r>
          </w:p>
        </w:tc>
        <w:tc>
          <w:tcPr>
            <w:tcW w:w="1602" w:type="dxa"/>
            <w:noWrap/>
            <w:vAlign w:val="center"/>
          </w:tcPr>
          <w:p w14:paraId="641CF87E">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门、窗、女儿墙、附属设施</w:t>
            </w:r>
          </w:p>
        </w:tc>
        <w:tc>
          <w:tcPr>
            <w:tcW w:w="5591" w:type="dxa"/>
            <w:noWrap/>
            <w:vAlign w:val="center"/>
          </w:tcPr>
          <w:p w14:paraId="45AAB778">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门、窗、女儿墙、附属设施变形、使用功能检测。</w:t>
            </w:r>
          </w:p>
          <w:p w14:paraId="434732B8">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屋面渗漏情况检测。</w:t>
            </w:r>
          </w:p>
        </w:tc>
      </w:tr>
      <w:tr w14:paraId="17DE5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616" w:type="dxa"/>
            <w:noWrap/>
            <w:vAlign w:val="center"/>
          </w:tcPr>
          <w:p w14:paraId="334D7B11">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钢结构</w:t>
            </w:r>
          </w:p>
        </w:tc>
        <w:tc>
          <w:tcPr>
            <w:tcW w:w="1602" w:type="dxa"/>
            <w:noWrap/>
            <w:vAlign w:val="center"/>
          </w:tcPr>
          <w:p w14:paraId="47CA04DA">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焊缝、连接节点、网架、构件现状</w:t>
            </w:r>
          </w:p>
        </w:tc>
        <w:tc>
          <w:tcPr>
            <w:tcW w:w="5591" w:type="dxa"/>
            <w:noWrap/>
            <w:vAlign w:val="center"/>
          </w:tcPr>
          <w:p w14:paraId="4FEF8164">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焊缝质量、连接节点情况、网架情况、构件是否存在锈蚀</w:t>
            </w:r>
          </w:p>
        </w:tc>
      </w:tr>
      <w:tr w14:paraId="08AF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616" w:type="dxa"/>
            <w:vMerge w:val="restart"/>
            <w:noWrap/>
            <w:vAlign w:val="center"/>
          </w:tcPr>
          <w:p w14:paraId="595E59FD">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其他</w:t>
            </w:r>
          </w:p>
        </w:tc>
        <w:tc>
          <w:tcPr>
            <w:tcW w:w="1602" w:type="dxa"/>
            <w:noWrap/>
            <w:vAlign w:val="center"/>
          </w:tcPr>
          <w:p w14:paraId="2964A774">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构造</w:t>
            </w:r>
          </w:p>
        </w:tc>
        <w:tc>
          <w:tcPr>
            <w:tcW w:w="5591" w:type="dxa"/>
            <w:noWrap/>
            <w:vAlign w:val="center"/>
          </w:tcPr>
          <w:p w14:paraId="5DA885FA">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构造柱、圈梁、地梁设置情况。</w:t>
            </w:r>
          </w:p>
        </w:tc>
      </w:tr>
      <w:tr w14:paraId="5EAE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616" w:type="dxa"/>
            <w:vMerge w:val="continue"/>
            <w:noWrap/>
            <w:vAlign w:val="center"/>
          </w:tcPr>
          <w:p w14:paraId="7A95D819">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p>
        </w:tc>
        <w:tc>
          <w:tcPr>
            <w:tcW w:w="1602" w:type="dxa"/>
            <w:noWrap/>
            <w:vAlign w:val="center"/>
          </w:tcPr>
          <w:p w14:paraId="3AA5925C">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整体</w:t>
            </w:r>
          </w:p>
        </w:tc>
        <w:tc>
          <w:tcPr>
            <w:tcW w:w="5591" w:type="dxa"/>
            <w:noWrap/>
            <w:vAlign w:val="center"/>
          </w:tcPr>
          <w:p w14:paraId="2CA11030">
            <w:pPr>
              <w:widowControl w:val="0"/>
              <w:adjustRightInd w:val="0"/>
              <w:snapToGrid w:val="0"/>
              <w:spacing w:line="360" w:lineRule="auto"/>
              <w:jc w:val="both"/>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建筑物全高、垂直度，沉降观测、裂缝及其他等有无异形情况</w:t>
            </w:r>
          </w:p>
        </w:tc>
      </w:tr>
    </w:tbl>
    <w:p w14:paraId="55FD86C9">
      <w:pPr>
        <w:snapToGrid w:val="0"/>
        <w:spacing w:line="360" w:lineRule="auto"/>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p>
    <w:p w14:paraId="6DB1B737">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七、报告主要内容（包括但不限于）</w:t>
      </w:r>
    </w:p>
    <w:p w14:paraId="1420865D">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1.工程概况：校舍建筑的基本信息（建筑面积，结构楼层，房屋性质，楼板性质，建造年限等）</w:t>
      </w:r>
    </w:p>
    <w:p w14:paraId="123D0F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2.有关依据</w:t>
      </w:r>
    </w:p>
    <w:p w14:paraId="1933136F">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1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①</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本项目的相关技术资料；</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2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②</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 xml:space="preserve">相关国家、地方及行业标准； </w:t>
      </w:r>
    </w:p>
    <w:p w14:paraId="07B2359D">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3.现场测绘、调查及检测</w:t>
      </w:r>
    </w:p>
    <w:p w14:paraId="7FFC5ED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①依据现行的国家或行业检测试验标准对房屋承重构件的组成材料进行检测：包含砌块强度、砂浆强度及混凝土强度进行检测；</w:t>
      </w:r>
    </w:p>
    <w:p w14:paraId="4535E638">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②对房屋的倾斜情况及沉降情况（若需要）进行测量并描述；</w:t>
      </w:r>
    </w:p>
    <w:p w14:paraId="30B8E49F">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③对未提供房屋原结构图纸的建筑（除砖木结构外），需对房屋原结构进行现场测绘，并结合检测结果建立PKPM模型进行计算分析。</w:t>
      </w:r>
    </w:p>
    <w:p w14:paraId="40B20033">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④根据验算结果，并依据《民用建筑可靠性鉴定标准》（GB50292-2015）、《危险房屋鉴定标准》（JGJ 125-2016）、《建筑抗震鉴定标准》（GB 50023-2009）房屋的整体安全进行评级，出具房屋鉴定报告。</w:t>
      </w:r>
    </w:p>
    <w:p w14:paraId="5169C9E9">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4.结构鉴定</w:t>
      </w:r>
    </w:p>
    <w:p w14:paraId="6566EE6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1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①</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鉴定方法简介；</w:t>
      </w:r>
    </w:p>
    <w:p w14:paraId="5C2358F8">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2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②</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鉴定结果（包括计算分析和措施评价）；</w:t>
      </w:r>
    </w:p>
    <w:p w14:paraId="18A58DF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3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③</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鉴定结论。</w:t>
      </w:r>
    </w:p>
    <w:p w14:paraId="24A98F0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5.结论及建议</w:t>
      </w:r>
    </w:p>
    <w:p w14:paraId="32691A1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1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①</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存在的主要问题；</w:t>
      </w:r>
    </w:p>
    <w:p w14:paraId="0E42E92B">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2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②</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处理意见；</w:t>
      </w:r>
    </w:p>
    <w:p w14:paraId="5A90D63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begin"/>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instrText xml:space="preserve"> = 3 \* GB3 </w:instrTex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separate"/>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③</w:t>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fldChar w:fldCharType="end"/>
      </w: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其它问题。</w:t>
      </w:r>
    </w:p>
    <w:p w14:paraId="1B38370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6.附件</w:t>
      </w:r>
    </w:p>
    <w:p w14:paraId="731626D9">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6.1工程照片；</w:t>
      </w:r>
    </w:p>
    <w:p w14:paraId="35FA28EE">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6.2附图；</w:t>
      </w:r>
    </w:p>
    <w:p w14:paraId="70EF28BD">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6.3原始记录。</w:t>
      </w:r>
    </w:p>
    <w:p w14:paraId="123A64E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jc w:val="both"/>
        <w:textAlignment w:val="auto"/>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pPr>
      <w:r>
        <w:rPr>
          <w:rFonts w:hint="eastAsia" w:ascii="仿宋" w:hAnsi="仿宋" w:eastAsia="仿宋" w:cs="仿宋"/>
          <w:bCs/>
          <w:color w:val="000000" w:themeColor="text1"/>
          <w:kern w:val="44"/>
          <w:sz w:val="24"/>
          <w:szCs w:val="20"/>
          <w:highlight w:val="none"/>
          <w:lang w:val="en-US" w:eastAsia="zh-CN" w:bidi="ar-SA"/>
          <w14:textFill>
            <w14:solidFill>
              <w14:schemeClr w14:val="tx1"/>
            </w14:solidFill>
          </w14:textFill>
        </w:rPr>
        <w:t>鉴定报告中需包含计算过程和计算模型图，如需重新设计，改造，需提供设计要求和参数。</w:t>
      </w:r>
    </w:p>
    <w:bookmarkEnd w:id="40"/>
    <w:bookmarkEnd w:id="41"/>
    <w:bookmarkEnd w:id="42"/>
    <w:p w14:paraId="0C4A23C4">
      <w:pPr>
        <w:snapToGrid w:val="0"/>
        <w:spacing w:line="360" w:lineRule="auto"/>
        <w:jc w:val="both"/>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八、服务期限及服务要求</w:t>
      </w:r>
    </w:p>
    <w:p w14:paraId="0CC46F6F">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1.自签订合同之日起3年，逐年续约；中标人在签订合同后，需在1个月内对所有房屋进行安全与不安全判断，并按时提供排查统计表。今年11月份出具鉴定报告；以后每年5-6月份出具排查报告，11月份前出具所有的鉴定报告（除特殊情况，中标人需无条件按招标人应急要求出具报告）。</w:t>
      </w:r>
    </w:p>
    <w:p w14:paraId="0064BA98">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2.服务响应时间：要求在接到采购人的指令后，需在48小时内到达采购人指定现场。</w:t>
      </w:r>
    </w:p>
    <w:p w14:paraId="6C7E5D3C">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3.招标人将对承包人出具的鉴定结果进行抽查，鉴定报告安全等级与抽查鉴定的安全等级不符的，则取消该报告的鉴定费用，如有三个及以上不符的，从合同价款中扣除3万元/个，并解除合同，不再支付鉴定费用。</w:t>
      </w:r>
    </w:p>
    <w:p w14:paraId="730543B0">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4.后期服务：项目完成后中标人须免费提供后期服务（咨询、解释、分析等）。</w:t>
      </w:r>
    </w:p>
    <w:p w14:paraId="623D095B">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▲5.房屋使用安全监测及房屋鉴定报告必须符合检测规范要求，并满足加固设计所需的技术数据要求（含进一步优化检测相关数据）。</w:t>
      </w:r>
    </w:p>
    <w:p w14:paraId="6BC5BE0A">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▲6.本次招标约490幢建筑，总建筑面积约90万平方米（以合同执行期间实际建筑面积为准，中标合同价实行一次性包干，合同期内无论建筑面积增加或减少，中标合同价均不予调整）。</w:t>
      </w:r>
    </w:p>
    <w:p w14:paraId="59685A91">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7.按国家、地方、行业及招标人要求作为质量标准，由招标人和相关单位有权组织抽检，抽检资料由中标人准备，抽检费用由中标人支付。由于中标人原因超过时间达不到要求的或抽检不能通过的，招标人有权终止合同，并退还已付货款（服务费），履约保证金不予退还，赔偿招标人损失，并报采购管理部门处理。</w:t>
      </w:r>
    </w:p>
    <w:p w14:paraId="14956DDE">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七、保密</w:t>
      </w:r>
    </w:p>
    <w:p w14:paraId="289E10F1">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招标及合同中凡涉及需方项目的有关信息，不得透露给第三方，否则招标人有权对中标人进行处罚，并追究法律责任。</w:t>
      </w:r>
    </w:p>
    <w:p w14:paraId="660E1E08">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八、其他</w:t>
      </w:r>
    </w:p>
    <w:p w14:paraId="32F33FE2">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1.项目方案具体在实施前须报经采购人同意后方可执行，采购人有权修改中标人的项目实施方案，费用不再调整。</w:t>
      </w:r>
    </w:p>
    <w:p w14:paraId="337B888C">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2.强化安全意识、抓好安全生产，明确安全责任，杜绝事故发生，项目实施中发生安全及人身事故均由投标人负责处理，并承担全部责任和费用。</w:t>
      </w:r>
    </w:p>
    <w:p w14:paraId="2D81F4E9">
      <w:pPr>
        <w:pStyle w:val="13"/>
        <w:spacing w:before="0" w:after="0" w:line="360" w:lineRule="auto"/>
        <w:ind w:firstLine="480" w:firstLineChars="200"/>
        <w:jc w:val="left"/>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44"/>
          <w:sz w:val="24"/>
          <w:szCs w:val="24"/>
          <w:highlight w:val="none"/>
          <w:lang w:val="en-US" w:eastAsia="zh-CN" w:bidi="ar-SA"/>
          <w14:textFill>
            <w14:solidFill>
              <w14:schemeClr w14:val="tx1"/>
            </w14:solidFill>
          </w14:textFill>
        </w:rPr>
        <w:t>3.投标人向招标人提供项目过程中形成的记录、档案资料、成果资料、技术文件资料、验收报告等原件文档汇集成册（按招标人要求提供，含电子文件一套，不另计费用），并按招标人的档案管理要求完成资料归档工作，报送招标单位留存。</w:t>
      </w:r>
    </w:p>
    <w:p w14:paraId="3256A52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eastAsia" w:ascii="仿宋" w:hAnsi="仿宋" w:eastAsia="仿宋" w:cs="仿宋"/>
          <w:b/>
          <w:color w:val="000000" w:themeColor="text1"/>
          <w:sz w:val="36"/>
          <w:szCs w:val="36"/>
          <w:highlight w:val="none"/>
          <w14:textFill>
            <w14:solidFill>
              <w14:schemeClr w14:val="tx1"/>
            </w14:solidFill>
          </w14:textFill>
        </w:rPr>
      </w:pPr>
    </w:p>
    <w:p w14:paraId="6583CD25">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1247" w:right="1418" w:bottom="1276" w:left="1418" w:header="851" w:footer="992" w:gutter="0"/>
          <w:pgNumType w:fmt="decimal"/>
          <w:cols w:space="720" w:num="1"/>
          <w:titlePg/>
          <w:docGrid w:linePitch="312" w:charSpace="0"/>
        </w:sectPr>
      </w:pPr>
    </w:p>
    <w:p w14:paraId="0145FC63">
      <w:pPr>
        <w:spacing w:line="360" w:lineRule="auto"/>
        <w:jc w:val="center"/>
        <w:rPr>
          <w:rFonts w:ascii="宋体"/>
          <w:b/>
          <w:sz w:val="30"/>
          <w:szCs w:val="30"/>
        </w:rPr>
      </w:pPr>
      <w:r>
        <w:rPr>
          <w:rFonts w:hint="eastAsia" w:ascii="仿宋" w:hAnsi="仿宋" w:eastAsia="仿宋" w:cs="仿宋"/>
          <w:b/>
          <w:color w:val="000000" w:themeColor="text1"/>
          <w:sz w:val="36"/>
          <w:szCs w:val="36"/>
          <w:highlight w:val="none"/>
          <w14:textFill>
            <w14:solidFill>
              <w14:schemeClr w14:val="tx1"/>
            </w14:solidFill>
          </w14:textFill>
        </w:rPr>
        <w:t>第</w:t>
      </w:r>
      <w:r>
        <w:rPr>
          <w:rFonts w:hint="eastAsia" w:ascii="仿宋" w:hAnsi="仿宋" w:eastAsia="仿宋" w:cs="仿宋"/>
          <w:b/>
          <w:color w:val="000000" w:themeColor="text1"/>
          <w:sz w:val="36"/>
          <w:szCs w:val="36"/>
          <w:highlight w:val="none"/>
          <w:lang w:eastAsia="zh-CN"/>
          <w14:textFill>
            <w14:solidFill>
              <w14:schemeClr w14:val="tx1"/>
            </w14:solidFill>
          </w14:textFill>
        </w:rPr>
        <w:t>四</w:t>
      </w:r>
      <w:r>
        <w:rPr>
          <w:rFonts w:hint="eastAsia" w:ascii="仿宋" w:hAnsi="仿宋" w:eastAsia="仿宋" w:cs="仿宋"/>
          <w:b/>
          <w:color w:val="000000" w:themeColor="text1"/>
          <w:sz w:val="36"/>
          <w:szCs w:val="36"/>
          <w:highlight w:val="none"/>
          <w14:textFill>
            <w14:solidFill>
              <w14:schemeClr w14:val="tx1"/>
            </w14:solidFill>
          </w14:textFill>
        </w:rPr>
        <w:t xml:space="preserve">部分 </w:t>
      </w:r>
      <w:r>
        <w:rPr>
          <w:rFonts w:hint="eastAsia" w:ascii="宋体" w:hAnsi="宋体"/>
          <w:b/>
          <w:sz w:val="30"/>
          <w:szCs w:val="30"/>
        </w:rPr>
        <w:t>政府采购合同主要条款指引</w:t>
      </w:r>
    </w:p>
    <w:p w14:paraId="378AFA99">
      <w:pPr>
        <w:snapToGrid w:val="0"/>
        <w:spacing w:before="156" w:beforeLines="50" w:after="156" w:afterLines="50"/>
        <w:jc w:val="center"/>
        <w:rPr>
          <w:rFonts w:ascii="宋体"/>
          <w:b/>
          <w:sz w:val="30"/>
          <w:szCs w:val="30"/>
        </w:rPr>
      </w:pPr>
      <w:r>
        <w:rPr>
          <w:rFonts w:hint="eastAsia" w:ascii="宋体" w:hAnsi="宋体"/>
          <w:b/>
          <w:sz w:val="30"/>
          <w:szCs w:val="30"/>
        </w:rPr>
        <w:t>服务类</w:t>
      </w:r>
    </w:p>
    <w:p w14:paraId="48C7CC64">
      <w:pPr>
        <w:widowControl/>
        <w:shd w:val="clear" w:color="auto" w:fill="FFFFFF"/>
        <w:spacing w:after="150" w:line="360" w:lineRule="auto"/>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14:paraId="3C0C0F14">
      <w:pPr>
        <w:pStyle w:val="8"/>
        <w:snapToGrid w:val="0"/>
        <w:spacing w:before="120" w:after="120" w:line="360" w:lineRule="auto"/>
        <w:rPr>
          <w:rFonts w:hAnsi="宋体"/>
          <w:szCs w:val="21"/>
        </w:rPr>
      </w:pPr>
      <w:r>
        <w:rPr>
          <w:rFonts w:hint="eastAsia" w:hAnsi="宋体"/>
          <w:szCs w:val="21"/>
        </w:rPr>
        <w:t>项目名称：</w:t>
      </w:r>
      <w:r>
        <w:rPr>
          <w:rFonts w:hAnsi="宋体"/>
          <w:szCs w:val="21"/>
        </w:rPr>
        <w:t xml:space="preserve">                                    </w:t>
      </w:r>
      <w:r>
        <w:rPr>
          <w:rFonts w:hint="eastAsia" w:hAnsi="宋体"/>
          <w:szCs w:val="21"/>
        </w:rPr>
        <w:t>项目编号：</w:t>
      </w:r>
    </w:p>
    <w:p w14:paraId="2D1C42F4">
      <w:pPr>
        <w:pStyle w:val="8"/>
        <w:snapToGrid w:val="0"/>
        <w:spacing w:before="120" w:after="120" w:line="360" w:lineRule="auto"/>
        <w:rPr>
          <w:rFonts w:hAnsi="宋体"/>
          <w:szCs w:val="21"/>
        </w:rPr>
      </w:pPr>
      <w:r>
        <w:rPr>
          <w:rFonts w:hint="eastAsia" w:hAnsi="宋体"/>
          <w:szCs w:val="21"/>
        </w:rPr>
        <w:t>甲方：（采购单位）</w:t>
      </w:r>
      <w:r>
        <w:rPr>
          <w:rFonts w:hAnsi="宋体"/>
          <w:szCs w:val="21"/>
        </w:rPr>
        <w:t xml:space="preserve">                            </w:t>
      </w:r>
      <w:r>
        <w:rPr>
          <w:rFonts w:hint="eastAsia" w:hAnsi="宋体"/>
          <w:szCs w:val="21"/>
        </w:rPr>
        <w:t>所在地：</w:t>
      </w:r>
      <w:r>
        <w:rPr>
          <w:rFonts w:hAnsi="宋体"/>
          <w:szCs w:val="21"/>
        </w:rPr>
        <w:t xml:space="preserve">                              </w:t>
      </w:r>
    </w:p>
    <w:p w14:paraId="687FA365">
      <w:pPr>
        <w:pStyle w:val="8"/>
        <w:snapToGrid w:val="0"/>
        <w:spacing w:before="120" w:after="120" w:line="360" w:lineRule="auto"/>
        <w:rPr>
          <w:rFonts w:hAnsi="宋体"/>
          <w:szCs w:val="21"/>
        </w:rPr>
      </w:pPr>
      <w:r>
        <w:rPr>
          <w:rFonts w:hint="eastAsia" w:hAnsi="宋体"/>
          <w:szCs w:val="21"/>
        </w:rPr>
        <w:t>乙方：（中标供应商）</w:t>
      </w:r>
      <w:r>
        <w:rPr>
          <w:rFonts w:hAnsi="宋体"/>
          <w:szCs w:val="21"/>
        </w:rPr>
        <w:t xml:space="preserve">                          </w:t>
      </w:r>
      <w:r>
        <w:rPr>
          <w:rFonts w:hint="eastAsia" w:hAnsi="宋体"/>
          <w:szCs w:val="21"/>
        </w:rPr>
        <w:t>所在地：</w:t>
      </w:r>
    </w:p>
    <w:p w14:paraId="5CE1EE74">
      <w:pPr>
        <w:pStyle w:val="8"/>
        <w:snapToGrid w:val="0"/>
        <w:spacing w:before="120" w:after="120" w:line="360" w:lineRule="auto"/>
        <w:rPr>
          <w:rFonts w:hAnsi="宋体"/>
          <w:b/>
          <w:szCs w:val="21"/>
        </w:rPr>
      </w:pPr>
      <w:r>
        <w:rPr>
          <w:rFonts w:hint="eastAsia" w:hAnsi="宋体"/>
          <w:szCs w:val="21"/>
        </w:rPr>
        <w:t>甲、乙双方根据</w:t>
      </w:r>
      <w:r>
        <w:rPr>
          <w:rFonts w:hint="eastAsia" w:hAnsi="宋体" w:cs="Arial"/>
          <w:szCs w:val="21"/>
        </w:rPr>
        <w:t>××</w:t>
      </w:r>
      <w:r>
        <w:rPr>
          <w:rFonts w:hAnsi="宋体"/>
          <w:szCs w:val="21"/>
        </w:rPr>
        <w:t>(</w:t>
      </w:r>
      <w:r>
        <w:rPr>
          <w:rFonts w:hint="eastAsia" w:hAnsi="宋体"/>
          <w:szCs w:val="21"/>
        </w:rPr>
        <w:t>采购组织机构名称）关于</w:t>
      </w:r>
      <w:r>
        <w:rPr>
          <w:rFonts w:hint="eastAsia" w:hAnsi="宋体" w:cs="Arial"/>
          <w:szCs w:val="21"/>
        </w:rPr>
        <w:t>××</w:t>
      </w:r>
      <w:r>
        <w:rPr>
          <w:rFonts w:hint="eastAsia" w:hAnsi="宋体"/>
          <w:szCs w:val="21"/>
        </w:rPr>
        <w:t>单位</w:t>
      </w:r>
      <w:r>
        <w:rPr>
          <w:rFonts w:hint="eastAsia" w:hAnsi="宋体" w:cs="Arial"/>
          <w:szCs w:val="21"/>
        </w:rPr>
        <w:t>××</w:t>
      </w:r>
      <w:r>
        <w:rPr>
          <w:rFonts w:hint="eastAsia" w:hAnsi="宋体"/>
          <w:szCs w:val="21"/>
        </w:rPr>
        <w:t>项目公开招标的结果，签署本合同。</w:t>
      </w:r>
    </w:p>
    <w:p w14:paraId="7707DA55">
      <w:pPr>
        <w:spacing w:line="360" w:lineRule="auto"/>
        <w:rPr>
          <w:rFonts w:ascii="宋体"/>
          <w:b/>
          <w:szCs w:val="21"/>
          <w:lang w:val="zh-CN"/>
        </w:rPr>
      </w:pPr>
      <w:r>
        <w:rPr>
          <w:rFonts w:hint="eastAsia" w:ascii="宋体"/>
          <w:b/>
          <w:szCs w:val="21"/>
          <w:lang w:val="zh-CN"/>
        </w:rPr>
        <w:t>一、合同文件</w:t>
      </w:r>
    </w:p>
    <w:p w14:paraId="41B040F4">
      <w:pPr>
        <w:spacing w:line="360" w:lineRule="auto"/>
        <w:ind w:firstLine="420" w:firstLineChars="200"/>
        <w:rPr>
          <w:rFonts w:ascii="宋体"/>
          <w:szCs w:val="21"/>
          <w:lang w:val="zh-CN"/>
        </w:rPr>
      </w:pPr>
      <w:r>
        <w:rPr>
          <w:rFonts w:ascii="宋体"/>
          <w:szCs w:val="21"/>
          <w:lang w:val="zh-CN"/>
        </w:rPr>
        <w:t>1.</w:t>
      </w:r>
      <w:r>
        <w:rPr>
          <w:rFonts w:hint="eastAsia" w:ascii="宋体"/>
          <w:szCs w:val="21"/>
          <w:lang w:val="zh-CN"/>
        </w:rPr>
        <w:t>合同条款。</w:t>
      </w:r>
    </w:p>
    <w:p w14:paraId="29F1B48A">
      <w:pPr>
        <w:spacing w:line="360" w:lineRule="auto"/>
        <w:ind w:firstLine="420" w:firstLineChars="200"/>
        <w:rPr>
          <w:rFonts w:ascii="宋体"/>
          <w:szCs w:val="21"/>
          <w:lang w:val="zh-CN"/>
        </w:rPr>
      </w:pPr>
      <w:r>
        <w:rPr>
          <w:rFonts w:ascii="宋体"/>
          <w:szCs w:val="21"/>
          <w:lang w:val="zh-CN"/>
        </w:rPr>
        <w:t>2.</w:t>
      </w:r>
      <w:r>
        <w:rPr>
          <w:rFonts w:hint="eastAsia" w:ascii="宋体"/>
          <w:szCs w:val="21"/>
          <w:lang w:val="zh-CN"/>
        </w:rPr>
        <w:t>中标通知书。</w:t>
      </w:r>
    </w:p>
    <w:p w14:paraId="68E4D659">
      <w:pPr>
        <w:spacing w:line="360" w:lineRule="auto"/>
        <w:ind w:firstLine="420" w:firstLineChars="200"/>
        <w:rPr>
          <w:rFonts w:ascii="宋体"/>
          <w:szCs w:val="21"/>
          <w:lang w:val="zh-CN"/>
        </w:rPr>
      </w:pPr>
      <w:r>
        <w:rPr>
          <w:rFonts w:ascii="宋体"/>
          <w:szCs w:val="21"/>
          <w:lang w:val="zh-CN"/>
        </w:rPr>
        <w:t>3.</w:t>
      </w:r>
      <w:r>
        <w:rPr>
          <w:rFonts w:hint="eastAsia" w:ascii="宋体"/>
          <w:szCs w:val="21"/>
          <w:lang w:val="zh-CN"/>
        </w:rPr>
        <w:t>更正补充文件。</w:t>
      </w:r>
    </w:p>
    <w:p w14:paraId="03FB3C0F">
      <w:pPr>
        <w:spacing w:line="360" w:lineRule="auto"/>
        <w:ind w:firstLine="420" w:firstLineChars="200"/>
        <w:rPr>
          <w:rFonts w:ascii="宋体"/>
          <w:szCs w:val="21"/>
          <w:lang w:val="zh-CN"/>
        </w:rPr>
      </w:pPr>
      <w:r>
        <w:rPr>
          <w:rFonts w:ascii="宋体"/>
          <w:szCs w:val="21"/>
          <w:lang w:val="zh-CN"/>
        </w:rPr>
        <w:t>4.</w:t>
      </w:r>
      <w:r>
        <w:rPr>
          <w:rFonts w:hint="eastAsia" w:ascii="宋体"/>
          <w:szCs w:val="21"/>
          <w:lang w:val="zh-CN"/>
        </w:rPr>
        <w:t>招标文件。</w:t>
      </w:r>
    </w:p>
    <w:p w14:paraId="5811AC1B">
      <w:pPr>
        <w:spacing w:line="360" w:lineRule="auto"/>
        <w:ind w:firstLine="420" w:firstLineChars="200"/>
        <w:rPr>
          <w:rFonts w:ascii="宋体"/>
          <w:szCs w:val="21"/>
          <w:lang w:val="zh-CN"/>
        </w:rPr>
      </w:pPr>
      <w:r>
        <w:rPr>
          <w:rFonts w:ascii="宋体"/>
          <w:szCs w:val="21"/>
          <w:lang w:val="zh-CN"/>
        </w:rPr>
        <w:t>5.</w:t>
      </w:r>
      <w:r>
        <w:rPr>
          <w:rFonts w:hint="eastAsia" w:ascii="宋体"/>
          <w:szCs w:val="21"/>
          <w:lang w:val="zh-CN"/>
        </w:rPr>
        <w:t>中标供应商投标文件。</w:t>
      </w:r>
    </w:p>
    <w:p w14:paraId="23FFA91E">
      <w:pPr>
        <w:spacing w:line="360" w:lineRule="auto"/>
        <w:ind w:firstLine="420" w:firstLineChars="200"/>
        <w:rPr>
          <w:rFonts w:ascii="宋体"/>
          <w:szCs w:val="21"/>
          <w:lang w:val="zh-CN"/>
        </w:rPr>
      </w:pPr>
      <w:r>
        <w:rPr>
          <w:rFonts w:ascii="宋体"/>
          <w:szCs w:val="21"/>
          <w:lang w:val="zh-CN"/>
        </w:rPr>
        <w:t>6.</w:t>
      </w:r>
      <w:r>
        <w:rPr>
          <w:rFonts w:hint="eastAsia" w:ascii="宋体"/>
          <w:szCs w:val="21"/>
          <w:lang w:val="zh-CN"/>
        </w:rPr>
        <w:t>其他。</w:t>
      </w:r>
    </w:p>
    <w:p w14:paraId="1F0DE419">
      <w:pPr>
        <w:pStyle w:val="8"/>
        <w:snapToGrid w:val="0"/>
        <w:spacing w:line="360" w:lineRule="auto"/>
        <w:ind w:firstLine="420" w:firstLineChars="200"/>
        <w:rPr>
          <w:rFonts w:hAnsi="Times New Roman"/>
          <w:szCs w:val="21"/>
          <w:lang w:val="zh-CN"/>
        </w:rPr>
      </w:pPr>
      <w:r>
        <w:rPr>
          <w:rFonts w:hint="eastAsia"/>
          <w:szCs w:val="21"/>
          <w:lang w:val="zh-CN"/>
        </w:rPr>
        <w:t>上述所指合同文件应认为是互相补充和解释的，但是有模棱两可或互相矛盾之处，以其所列内容顺序为准。</w:t>
      </w:r>
    </w:p>
    <w:p w14:paraId="53B853C9">
      <w:pPr>
        <w:spacing w:line="360" w:lineRule="auto"/>
        <w:rPr>
          <w:rFonts w:ascii="宋体"/>
          <w:b/>
          <w:szCs w:val="21"/>
          <w:lang w:val="zh-CN"/>
        </w:rPr>
      </w:pPr>
      <w:r>
        <w:rPr>
          <w:rFonts w:hint="eastAsia" w:ascii="宋体"/>
          <w:b/>
          <w:szCs w:val="21"/>
          <w:lang w:val="zh-CN"/>
        </w:rPr>
        <w:t>二、</w:t>
      </w:r>
      <w:r>
        <w:rPr>
          <w:rFonts w:ascii="宋体"/>
          <w:b/>
          <w:szCs w:val="21"/>
          <w:lang w:val="zh-CN"/>
        </w:rPr>
        <w:t>合同内容及服务标准</w:t>
      </w:r>
    </w:p>
    <w:p w14:paraId="4C153DD6">
      <w:pPr>
        <w:pStyle w:val="8"/>
        <w:snapToGrid w:val="0"/>
        <w:spacing w:before="120" w:after="120" w:line="360" w:lineRule="auto"/>
        <w:ind w:firstLine="420" w:firstLineChars="200"/>
        <w:rPr>
          <w:rFonts w:hAnsi="Times New Roman"/>
          <w:szCs w:val="21"/>
          <w:lang w:val="zh-CN"/>
        </w:rPr>
      </w:pPr>
      <w:r>
        <w:rPr>
          <w:rFonts w:hAnsi="Times New Roman"/>
          <w:szCs w:val="21"/>
          <w:lang w:val="zh-CN"/>
        </w:rPr>
        <w:t>（具体见项目需求）</w:t>
      </w:r>
    </w:p>
    <w:p w14:paraId="32C3834C">
      <w:pPr>
        <w:pStyle w:val="8"/>
        <w:snapToGrid w:val="0"/>
        <w:spacing w:before="120" w:after="120" w:line="360" w:lineRule="auto"/>
        <w:rPr>
          <w:rFonts w:hAnsi="宋体"/>
          <w:b/>
          <w:szCs w:val="21"/>
        </w:rPr>
      </w:pPr>
      <w:r>
        <w:rPr>
          <w:rFonts w:hint="eastAsia" w:hAnsi="宋体"/>
          <w:b/>
          <w:szCs w:val="21"/>
        </w:rPr>
        <w:t>三、合同金额</w:t>
      </w:r>
    </w:p>
    <w:p w14:paraId="0ADDEE11">
      <w:pPr>
        <w:pStyle w:val="2"/>
        <w:spacing w:line="360" w:lineRule="auto"/>
        <w:ind w:firstLine="480" w:firstLineChars="200"/>
        <w:rPr>
          <w:rFonts w:hint="eastAsia" w:ascii="宋体" w:hAnsi="宋体" w:cs="宋体"/>
          <w:sz w:val="21"/>
          <w:szCs w:val="21"/>
        </w:rPr>
      </w:pPr>
      <w:r>
        <w:rPr>
          <w:rFonts w:hAnsi="宋体"/>
          <w:szCs w:val="21"/>
        </w:rPr>
        <w:t xml:space="preserve"> </w:t>
      </w:r>
      <w:r>
        <w:rPr>
          <w:rFonts w:hint="eastAsia" w:ascii="宋体" w:hAnsi="宋体" w:cs="宋体"/>
          <w:sz w:val="21"/>
          <w:szCs w:val="21"/>
        </w:rPr>
        <w:t>本合同金额为（大写）：一年________________元（￥__________元）人民币。</w:t>
      </w:r>
      <w:r>
        <w:rPr>
          <w:rFonts w:hint="eastAsia" w:ascii="宋体" w:hAnsi="宋体" w:cs="宋体"/>
          <w:bCs/>
          <w:sz w:val="21"/>
          <w:szCs w:val="21"/>
        </w:rPr>
        <w:t>本次招标</w:t>
      </w:r>
      <w:r>
        <w:rPr>
          <w:rFonts w:hint="eastAsia" w:ascii="宋体"/>
          <w:bCs/>
          <w:sz w:val="21"/>
          <w:szCs w:val="21"/>
        </w:rPr>
        <w:t>约490幢建筑，总建筑面积约</w:t>
      </w:r>
      <w:r>
        <w:rPr>
          <w:rFonts w:hint="eastAsia" w:ascii="宋体"/>
          <w:bCs/>
          <w:sz w:val="21"/>
          <w:szCs w:val="21"/>
          <w:lang w:val="en-US" w:eastAsia="zh-CN"/>
        </w:rPr>
        <w:t>90</w:t>
      </w:r>
      <w:r>
        <w:rPr>
          <w:rFonts w:hint="eastAsia" w:ascii="宋体"/>
          <w:bCs/>
          <w:sz w:val="21"/>
          <w:szCs w:val="21"/>
        </w:rPr>
        <w:t>万平方米【以合同执行期间实际建筑面积为准，中标合同价</w:t>
      </w:r>
      <w:r>
        <w:rPr>
          <w:rFonts w:hint="eastAsia"/>
          <w:bCs/>
          <w:sz w:val="21"/>
          <w:szCs w:val="21"/>
          <w:lang w:val="en-US" w:eastAsia="zh-CN"/>
        </w:rPr>
        <w:t>每年度</w:t>
      </w:r>
      <w:r>
        <w:rPr>
          <w:rFonts w:hint="eastAsia" w:ascii="宋体"/>
          <w:bCs/>
          <w:sz w:val="21"/>
          <w:szCs w:val="21"/>
        </w:rPr>
        <w:t>实行一次性包干，合同期内无论建筑面积增加</w:t>
      </w:r>
      <w:r>
        <w:rPr>
          <w:rFonts w:hint="eastAsia" w:ascii="宋体"/>
          <w:sz w:val="21"/>
          <w:szCs w:val="21"/>
        </w:rPr>
        <w:t>（含新建增加的公办</w:t>
      </w:r>
      <w:r>
        <w:rPr>
          <w:rFonts w:hint="eastAsia" w:ascii="宋体" w:hAnsi="宋体" w:cs="宋体"/>
          <w:sz w:val="21"/>
          <w:szCs w:val="21"/>
        </w:rPr>
        <w:t>或国有资产</w:t>
      </w:r>
      <w:r>
        <w:rPr>
          <w:rFonts w:hint="eastAsia" w:ascii="宋体"/>
          <w:sz w:val="21"/>
          <w:szCs w:val="21"/>
        </w:rPr>
        <w:t>学校）</w:t>
      </w:r>
      <w:r>
        <w:rPr>
          <w:rFonts w:hint="eastAsia" w:ascii="宋体"/>
          <w:bCs/>
          <w:sz w:val="21"/>
          <w:szCs w:val="21"/>
        </w:rPr>
        <w:t>或减少，中标合同价均不予调整】。</w:t>
      </w:r>
      <w:r>
        <w:rPr>
          <w:rFonts w:hint="eastAsia"/>
          <w:bCs/>
          <w:sz w:val="21"/>
          <w:szCs w:val="21"/>
          <w:lang w:val="en-US" w:eastAsia="zh-CN"/>
        </w:rPr>
        <w:t>在全市所有办公学校围墙内地上建筑为鉴定范围，近些年新建学校根据实际由业主确定不作鉴定，其余出具玉环市校舍安全鉴定报告。</w:t>
      </w:r>
      <w:r>
        <w:rPr>
          <w:rFonts w:hint="eastAsia" w:ascii="宋体"/>
          <w:sz w:val="21"/>
          <w:szCs w:val="21"/>
        </w:rPr>
        <w:t>自签订合同之日起3年。</w:t>
      </w:r>
    </w:p>
    <w:p w14:paraId="74C1C6ED">
      <w:pPr>
        <w:widowControl/>
        <w:shd w:val="clear" w:color="auto" w:fill="FFFFFF"/>
        <w:spacing w:after="150" w:line="375" w:lineRule="atLeast"/>
        <w:jc w:val="left"/>
        <w:rPr>
          <w:rFonts w:ascii="宋体" w:hAnsi="宋体" w:cs="Arial"/>
          <w:b/>
          <w:kern w:val="0"/>
          <w:szCs w:val="21"/>
        </w:rPr>
      </w:pPr>
      <w:r>
        <w:rPr>
          <w:rFonts w:hint="eastAsia" w:ascii="宋体" w:hAnsi="宋体" w:cs="Arial"/>
          <w:b/>
          <w:kern w:val="0"/>
          <w:szCs w:val="21"/>
        </w:rPr>
        <w:t>四</w:t>
      </w:r>
      <w:r>
        <w:rPr>
          <w:rFonts w:ascii="宋体" w:hAnsi="宋体" w:cs="Arial"/>
          <w:b/>
          <w:kern w:val="0"/>
          <w:szCs w:val="21"/>
        </w:rPr>
        <w:t>、甲乙双方责任</w:t>
      </w:r>
    </w:p>
    <w:p w14:paraId="0D5D1DB6">
      <w:pPr>
        <w:pStyle w:val="14"/>
        <w:shd w:val="clear" w:color="auto" w:fill="FFFFFF"/>
        <w:spacing w:before="0" w:beforeAutospacing="0" w:after="0" w:afterAutospacing="0" w:line="360" w:lineRule="auto"/>
        <w:ind w:firstLine="480"/>
        <w:rPr>
          <w:rFonts w:cs="Arial"/>
          <w:sz w:val="21"/>
          <w:szCs w:val="21"/>
        </w:rPr>
      </w:pPr>
      <w:r>
        <w:rPr>
          <w:rFonts w:cs="Arial"/>
          <w:sz w:val="21"/>
          <w:szCs w:val="21"/>
        </w:rPr>
        <w:t>（一）甲方责任</w:t>
      </w:r>
    </w:p>
    <w:p w14:paraId="055FB309">
      <w:pPr>
        <w:pStyle w:val="14"/>
        <w:shd w:val="clear" w:color="auto" w:fill="FFFFFF"/>
        <w:spacing w:before="0" w:beforeAutospacing="0" w:after="0" w:afterAutospacing="0" w:line="360" w:lineRule="auto"/>
        <w:ind w:firstLine="482"/>
        <w:rPr>
          <w:rFonts w:hint="eastAsia" w:cs="Arial"/>
          <w:sz w:val="21"/>
          <w:szCs w:val="21"/>
        </w:rPr>
      </w:pPr>
      <w:r>
        <w:rPr>
          <w:rFonts w:hint="eastAsia" w:cs="Arial"/>
          <w:sz w:val="21"/>
          <w:szCs w:val="21"/>
        </w:rPr>
        <w:t>1. 合同签订生效后向乙方提交有关资料（按发包人要求）。</w:t>
      </w:r>
    </w:p>
    <w:p w14:paraId="381D64F6">
      <w:pPr>
        <w:pStyle w:val="14"/>
        <w:shd w:val="clear" w:color="auto" w:fill="FFFFFF"/>
        <w:spacing w:before="0" w:beforeAutospacing="0" w:after="0" w:afterAutospacing="0" w:line="360" w:lineRule="auto"/>
        <w:ind w:firstLine="482"/>
        <w:rPr>
          <w:rFonts w:hint="eastAsia" w:cs="Arial"/>
          <w:sz w:val="21"/>
          <w:szCs w:val="21"/>
        </w:rPr>
      </w:pPr>
      <w:r>
        <w:rPr>
          <w:rFonts w:hint="eastAsia" w:cs="Arial"/>
          <w:sz w:val="21"/>
          <w:szCs w:val="21"/>
        </w:rPr>
        <w:t>2. 甲方变更委托项目、条件，或对提交资料作较大修改，以致造成乙方需返工时，双方除需另行协商签订补充合同、重新明确有关条款外，甲方应按乙方所耗工作量向乙方支付返工费。</w:t>
      </w:r>
    </w:p>
    <w:p w14:paraId="5E279794">
      <w:pPr>
        <w:pStyle w:val="14"/>
        <w:shd w:val="clear" w:color="auto" w:fill="FFFFFF"/>
        <w:spacing w:before="0" w:beforeAutospacing="0" w:after="0" w:afterAutospacing="0" w:line="360" w:lineRule="auto"/>
        <w:ind w:firstLine="482"/>
        <w:rPr>
          <w:rFonts w:hint="eastAsia" w:cs="Arial"/>
          <w:sz w:val="21"/>
          <w:szCs w:val="21"/>
        </w:rPr>
      </w:pPr>
      <w:r>
        <w:rPr>
          <w:rFonts w:hint="eastAsia" w:cs="Arial"/>
          <w:sz w:val="21"/>
          <w:szCs w:val="21"/>
        </w:rPr>
        <w:t>3. 在合同履行期间，甲方单方提出解除合同的，乙方未开始检测工作，不支付任何费用；已开始检测工作的，甲方应根据乙方已完成的实际工作量，支付检测鉴定费用。</w:t>
      </w:r>
    </w:p>
    <w:p w14:paraId="3D8D2AC1">
      <w:pPr>
        <w:pStyle w:val="14"/>
        <w:shd w:val="clear" w:color="auto" w:fill="FFFFFF"/>
        <w:spacing w:before="0" w:beforeAutospacing="0" w:after="0" w:afterAutospacing="0" w:line="360" w:lineRule="auto"/>
        <w:ind w:firstLine="482"/>
        <w:rPr>
          <w:rFonts w:cs="Arial"/>
          <w:sz w:val="21"/>
          <w:szCs w:val="21"/>
        </w:rPr>
      </w:pPr>
      <w:r>
        <w:rPr>
          <w:rFonts w:hint="eastAsia" w:cs="Arial"/>
          <w:sz w:val="21"/>
          <w:szCs w:val="21"/>
        </w:rPr>
        <w:t>4. 甲方应按本合同第五条规定的金额和时间向乙方支付检测费用，每逾期支付一天，应承担应支付金额 0.01% 逾期违约金。</w:t>
      </w:r>
    </w:p>
    <w:p w14:paraId="3FD75072">
      <w:pPr>
        <w:pStyle w:val="14"/>
        <w:shd w:val="clear" w:color="auto" w:fill="FFFFFF"/>
        <w:spacing w:before="0" w:beforeAutospacing="0" w:after="0" w:afterAutospacing="0" w:line="360" w:lineRule="auto"/>
        <w:ind w:firstLine="480"/>
        <w:rPr>
          <w:rFonts w:hint="eastAsia" w:cs="Arial"/>
          <w:sz w:val="21"/>
          <w:szCs w:val="21"/>
        </w:rPr>
      </w:pPr>
      <w:r>
        <w:rPr>
          <w:rFonts w:cs="Arial"/>
          <w:sz w:val="21"/>
          <w:szCs w:val="21"/>
        </w:rPr>
        <w:t>（二）乙方责任</w:t>
      </w:r>
    </w:p>
    <w:p w14:paraId="775CCB92">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Arial"/>
          <w:sz w:val="21"/>
          <w:szCs w:val="21"/>
        </w:rPr>
        <w:t>1.</w:t>
      </w:r>
      <w:r>
        <w:rPr>
          <w:rFonts w:hint="eastAsia" w:cs="宋体"/>
          <w:sz w:val="21"/>
          <w:szCs w:val="21"/>
          <w:lang w:val="zh-CN"/>
        </w:rPr>
        <w:t xml:space="preserve"> 检测鉴定程序符合国家、地方相关规定及《危险房屋鉴定标准》等规定。</w:t>
      </w:r>
    </w:p>
    <w:p w14:paraId="5EDF9501">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宋体"/>
          <w:sz w:val="21"/>
          <w:szCs w:val="21"/>
          <w:lang w:val="zh-CN"/>
        </w:rPr>
        <w:t>2. 乙方按本合同规定的向甲方交付房屋安全鉴定报告。</w:t>
      </w:r>
    </w:p>
    <w:p w14:paraId="60C1998A">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宋体"/>
          <w:sz w:val="21"/>
          <w:szCs w:val="21"/>
          <w:lang w:val="zh-CN"/>
        </w:rPr>
        <w:t>3. 由于乙方自身原因，延误了按本合同规定的房屋安全鉴定报告交付时间，每延误一天，应减收整个项目应收检测费</w:t>
      </w:r>
      <w:r>
        <w:rPr>
          <w:rFonts w:hint="eastAsia" w:cs="宋体"/>
          <w:sz w:val="21"/>
          <w:szCs w:val="21"/>
        </w:rPr>
        <w:t>1%</w:t>
      </w:r>
      <w:r>
        <w:rPr>
          <w:rFonts w:hint="eastAsia" w:cs="宋体"/>
          <w:sz w:val="21"/>
          <w:szCs w:val="21"/>
          <w:lang w:val="zh-CN"/>
        </w:rPr>
        <w:t>，以此类推。</w:t>
      </w:r>
    </w:p>
    <w:p w14:paraId="42271BB5">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宋体"/>
          <w:sz w:val="21"/>
          <w:szCs w:val="21"/>
          <w:lang w:val="zh-CN"/>
        </w:rPr>
        <w:t>4. 合同生效后，乙方单方提出解除合同的，应当赔偿甲方相应损失。</w:t>
      </w:r>
    </w:p>
    <w:p w14:paraId="56E0724A">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Arial"/>
          <w:sz w:val="21"/>
          <w:szCs w:val="21"/>
        </w:rPr>
        <w:t>5.</w:t>
      </w:r>
      <w:r>
        <w:rPr>
          <w:rFonts w:hint="eastAsia" w:cs="宋体"/>
          <w:sz w:val="21"/>
          <w:szCs w:val="21"/>
          <w:lang w:val="zh-CN"/>
        </w:rPr>
        <w:t xml:space="preserve"> 乙方交付房屋安全鉴定报告后，应配合甲方做好有关后续工作。</w:t>
      </w:r>
    </w:p>
    <w:p w14:paraId="22F04379">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宋体"/>
          <w:sz w:val="21"/>
          <w:szCs w:val="21"/>
          <w:lang w:val="zh-CN"/>
        </w:rPr>
        <w:t>6. 乙方不得向第三方扩散、转让甲方提交的产品图纸等技术经济资料。如发生以上情况，甲方有权索赔。</w:t>
      </w:r>
    </w:p>
    <w:p w14:paraId="4D60AED0">
      <w:pPr>
        <w:spacing w:line="360" w:lineRule="auto"/>
        <w:ind w:firstLine="420" w:firstLineChars="200"/>
        <w:rPr>
          <w:rFonts w:ascii="宋体" w:hAnsi="宋体" w:cs="宋体"/>
          <w:szCs w:val="21"/>
          <w:lang w:val="zh-CN"/>
        </w:rPr>
      </w:pPr>
      <w:r>
        <w:rPr>
          <w:rFonts w:hint="eastAsia" w:ascii="宋体" w:hAnsi="宋体" w:cs="宋体"/>
          <w:szCs w:val="21"/>
          <w:lang w:val="zh-CN"/>
        </w:rPr>
        <w:t>6.乙方出具的房屋安全鉴定报告满足现行的国家及地方、行业相关监测，满足质监部门审查要求，如因乙方的原因，导致在检测过程中和房屋安全鉴定报告不符合相关要求的，造成的一切损失由乙方承担。</w:t>
      </w:r>
    </w:p>
    <w:p w14:paraId="1DF495E5">
      <w:pPr>
        <w:pStyle w:val="14"/>
        <w:shd w:val="clear" w:color="auto" w:fill="FFFFFF"/>
        <w:spacing w:before="0" w:beforeAutospacing="0" w:after="0" w:afterAutospacing="0" w:line="360" w:lineRule="auto"/>
        <w:ind w:firstLine="480"/>
        <w:rPr>
          <w:rFonts w:hint="eastAsia" w:cs="宋体"/>
          <w:sz w:val="21"/>
          <w:szCs w:val="21"/>
        </w:rPr>
      </w:pPr>
      <w:r>
        <w:rPr>
          <w:rFonts w:hint="eastAsia" w:cs="宋体"/>
          <w:sz w:val="21"/>
          <w:szCs w:val="21"/>
        </w:rPr>
        <w:t>7.甲方将对乙方出具的鉴定结果质量进行抽查，鉴定报告安全等级与抽查鉴定的安全等级不符的，则取消该报告的鉴定费用，如有三个及以上不符的，履约保证不予退还，并取消其中标资格，鉴定费用不支付。</w:t>
      </w:r>
    </w:p>
    <w:p w14:paraId="4F4CC695">
      <w:pPr>
        <w:pStyle w:val="14"/>
        <w:shd w:val="clear" w:color="auto" w:fill="FFFFFF"/>
        <w:spacing w:before="0" w:beforeAutospacing="0" w:after="0" w:afterAutospacing="0" w:line="360" w:lineRule="auto"/>
        <w:ind w:firstLine="480"/>
        <w:rPr>
          <w:rFonts w:hint="eastAsia" w:cs="宋体"/>
          <w:sz w:val="21"/>
          <w:szCs w:val="21"/>
        </w:rPr>
      </w:pPr>
      <w:r>
        <w:rPr>
          <w:rFonts w:hint="eastAsia"/>
          <w:szCs w:val="21"/>
        </w:rPr>
        <w:t>8.</w:t>
      </w:r>
      <w:r>
        <w:rPr>
          <w:rFonts w:hint="eastAsia" w:cs="宋体"/>
          <w:sz w:val="21"/>
          <w:szCs w:val="21"/>
        </w:rPr>
        <w:t>排查后需进一步鉴定的房屋【（根据《关于建立中小学校舍安全保障长效机制的实施意见》（浙教计〔2014〕110号）文件规定）】，出具的鉴定报告必须符合检测规范要求，并满足加固设计所需的要求。</w:t>
      </w:r>
    </w:p>
    <w:p w14:paraId="00A6229E">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Arial"/>
          <w:sz w:val="21"/>
          <w:szCs w:val="21"/>
        </w:rPr>
        <w:t>9.</w:t>
      </w:r>
      <w:r>
        <w:rPr>
          <w:rFonts w:hint="eastAsia" w:cs="宋体"/>
          <w:sz w:val="21"/>
          <w:szCs w:val="21"/>
          <w:lang w:val="zh-CN"/>
        </w:rPr>
        <w:t xml:space="preserve"> 甲方在履行本合同的过程中，如果需要乙方出具其他手续，乙方应无偿提供。</w:t>
      </w:r>
    </w:p>
    <w:p w14:paraId="549C079C">
      <w:pPr>
        <w:pStyle w:val="14"/>
        <w:shd w:val="clear" w:color="auto" w:fill="FFFFFF"/>
        <w:spacing w:before="0" w:beforeAutospacing="0" w:after="0" w:afterAutospacing="0" w:line="360" w:lineRule="auto"/>
        <w:ind w:firstLine="480"/>
        <w:rPr>
          <w:rFonts w:hint="eastAsia" w:cs="宋体"/>
          <w:sz w:val="21"/>
          <w:szCs w:val="21"/>
          <w:lang w:val="zh-CN"/>
        </w:rPr>
      </w:pPr>
      <w:r>
        <w:rPr>
          <w:rFonts w:hint="eastAsia" w:cs="宋体"/>
          <w:sz w:val="21"/>
          <w:szCs w:val="21"/>
          <w:lang w:val="zh-CN"/>
        </w:rPr>
        <w:t>10. 中标人在投标文件中承诺的项目负责人、项目部组成人员必须及时到位为本项目服务，人员不到位服务的，</w:t>
      </w:r>
      <w:r>
        <w:rPr>
          <w:rFonts w:hint="eastAsia" w:cs="宋体"/>
          <w:sz w:val="21"/>
          <w:szCs w:val="21"/>
        </w:rPr>
        <w:t>每发现一次甲方可从应付服务费中扣除2000元</w:t>
      </w:r>
      <w:r>
        <w:rPr>
          <w:rFonts w:hint="eastAsia" w:cs="宋体"/>
          <w:sz w:val="21"/>
          <w:szCs w:val="21"/>
          <w:lang w:val="zh-CN"/>
        </w:rPr>
        <w:t>。</w:t>
      </w:r>
    </w:p>
    <w:p w14:paraId="28799C17">
      <w:pPr>
        <w:pStyle w:val="14"/>
        <w:shd w:val="clear" w:color="auto" w:fill="FFFFFF"/>
        <w:spacing w:before="0" w:beforeAutospacing="0" w:after="0" w:afterAutospacing="0" w:line="360" w:lineRule="auto"/>
        <w:ind w:firstLine="480"/>
        <w:rPr>
          <w:rFonts w:hint="default" w:eastAsia="宋体" w:cs="Arial"/>
          <w:sz w:val="21"/>
          <w:szCs w:val="21"/>
          <w:lang w:val="en-US" w:eastAsia="zh-CN"/>
        </w:rPr>
      </w:pPr>
      <w:r>
        <w:rPr>
          <w:rFonts w:hint="eastAsia" w:cs="宋体"/>
          <w:sz w:val="21"/>
          <w:szCs w:val="21"/>
          <w:lang w:val="en-US" w:eastAsia="zh-CN"/>
        </w:rPr>
        <w:t>11、</w:t>
      </w:r>
      <w:r>
        <w:rPr>
          <w:rFonts w:hint="eastAsia" w:cs="宋体"/>
          <w:b/>
          <w:bCs/>
          <w:sz w:val="21"/>
          <w:szCs w:val="21"/>
          <w:lang w:val="en-US" w:eastAsia="zh-CN"/>
        </w:rPr>
        <w:t>中标供应商如出现浙江省房屋使用安全管理条例的第十五条的第一项内容，由中标单位委托具有鉴定资质的勘察设计单位资质进行房屋安全鉴定，并出具正式报告。</w:t>
      </w:r>
    </w:p>
    <w:p w14:paraId="19146ACD">
      <w:pPr>
        <w:pStyle w:val="8"/>
        <w:snapToGrid w:val="0"/>
        <w:spacing w:before="120" w:after="120" w:line="360" w:lineRule="auto"/>
        <w:rPr>
          <w:rFonts w:hAnsi="宋体"/>
          <w:b/>
          <w:szCs w:val="21"/>
        </w:rPr>
      </w:pPr>
      <w:r>
        <w:rPr>
          <w:rFonts w:hint="eastAsia" w:hAnsi="宋体"/>
          <w:b/>
          <w:szCs w:val="21"/>
        </w:rPr>
        <w:t>五、技术资料</w:t>
      </w:r>
    </w:p>
    <w:p w14:paraId="6DEC0A39">
      <w:pPr>
        <w:pStyle w:val="8"/>
        <w:snapToGrid w:val="0"/>
        <w:spacing w:before="120" w:after="120" w:line="360" w:lineRule="auto"/>
        <w:ind w:firstLine="420" w:firstLineChars="200"/>
        <w:rPr>
          <w:rFonts w:hAnsi="宋体"/>
          <w:szCs w:val="21"/>
        </w:rPr>
      </w:pPr>
      <w:r>
        <w:rPr>
          <w:rFonts w:hAnsi="宋体"/>
          <w:szCs w:val="21"/>
        </w:rPr>
        <w:t>1.</w:t>
      </w:r>
      <w:r>
        <w:rPr>
          <w:rFonts w:hint="eastAsia" w:hAnsi="宋体"/>
          <w:szCs w:val="21"/>
        </w:rPr>
        <w:t>乙方应按招标文件规定的时间向甲方提供使用货物的有关技术资料。</w:t>
      </w:r>
    </w:p>
    <w:p w14:paraId="4330753C">
      <w:pPr>
        <w:pStyle w:val="8"/>
        <w:snapToGrid w:val="0"/>
        <w:spacing w:before="120" w:after="120" w:line="360" w:lineRule="auto"/>
        <w:ind w:firstLine="420" w:firstLineChars="200"/>
        <w:rPr>
          <w:rFonts w:hAnsi="宋体"/>
          <w:szCs w:val="21"/>
        </w:rPr>
      </w:pPr>
      <w:r>
        <w:rPr>
          <w:rFonts w:hAnsi="宋体"/>
          <w:szCs w:val="21"/>
        </w:rPr>
        <w:t xml:space="preserve">2. </w:t>
      </w:r>
      <w:r>
        <w:rPr>
          <w:rFonts w:hint="eastAsia"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4122E0">
      <w:pPr>
        <w:pStyle w:val="8"/>
        <w:snapToGrid w:val="0"/>
        <w:spacing w:before="120" w:after="120" w:line="360" w:lineRule="auto"/>
        <w:ind w:left="360" w:hanging="361" w:hangingChars="171"/>
        <w:rPr>
          <w:rFonts w:hAnsi="宋体"/>
          <w:b/>
          <w:szCs w:val="21"/>
        </w:rPr>
      </w:pPr>
      <w:r>
        <w:rPr>
          <w:rFonts w:hint="eastAsia" w:hAnsi="宋体"/>
          <w:b/>
          <w:szCs w:val="21"/>
        </w:rPr>
        <w:t>六、知识产权</w:t>
      </w:r>
    </w:p>
    <w:p w14:paraId="5D080CB5">
      <w:pPr>
        <w:pStyle w:val="8"/>
        <w:snapToGrid w:val="0"/>
        <w:spacing w:before="120" w:after="120" w:line="360" w:lineRule="auto"/>
        <w:ind w:firstLine="420" w:firstLineChars="200"/>
        <w:rPr>
          <w:rFonts w:hAnsi="宋体"/>
          <w:szCs w:val="21"/>
        </w:rPr>
      </w:pPr>
      <w:r>
        <w:rPr>
          <w:rFonts w:hAnsi="宋体"/>
          <w:szCs w:val="21"/>
        </w:rPr>
        <w:t>1.</w:t>
      </w:r>
      <w:r>
        <w:rPr>
          <w:rFonts w:hint="eastAsia" w:hAnsi="宋体"/>
          <w:szCs w:val="21"/>
        </w:rPr>
        <w:t>乙方应保证所提供的货物或其任何一部分均不会侵犯任何第三方的知识产权。</w:t>
      </w:r>
    </w:p>
    <w:p w14:paraId="4375F931">
      <w:pPr>
        <w:pStyle w:val="8"/>
        <w:snapToGrid w:val="0"/>
        <w:spacing w:before="120" w:after="120" w:line="360" w:lineRule="auto"/>
        <w:ind w:firstLine="420" w:firstLineChars="200"/>
        <w:rPr>
          <w:rFonts w:hAnsi="宋体"/>
          <w:szCs w:val="21"/>
        </w:rPr>
      </w:pPr>
      <w:r>
        <w:rPr>
          <w:rFonts w:hAnsi="宋体"/>
          <w:szCs w:val="21"/>
        </w:rPr>
        <w:t>2.</w:t>
      </w:r>
      <w:r>
        <w:rPr>
          <w:rFonts w:hint="eastAsia" w:hAnsi="宋体"/>
          <w:szCs w:val="21"/>
        </w:rPr>
        <w:t>若侵犯</w:t>
      </w:r>
      <w:r>
        <w:rPr>
          <w:rFonts w:hAnsi="宋体"/>
          <w:szCs w:val="21"/>
        </w:rPr>
        <w:t>,</w:t>
      </w:r>
      <w:r>
        <w:rPr>
          <w:rFonts w:hint="eastAsia" w:hAnsi="宋体"/>
          <w:szCs w:val="21"/>
        </w:rPr>
        <w:t>由乙方赔偿甲方因此遭受的损失（包括但不限于应对及追偿过程中所支付的律师费、差旅费、诉讼费、保全费、鉴定费、评估费等）。</w:t>
      </w:r>
    </w:p>
    <w:p w14:paraId="42A5A461">
      <w:pPr>
        <w:pStyle w:val="8"/>
        <w:snapToGrid w:val="0"/>
        <w:spacing w:before="120" w:after="120" w:line="360" w:lineRule="auto"/>
        <w:rPr>
          <w:rFonts w:hAnsi="宋体"/>
          <w:szCs w:val="21"/>
          <w:u w:val="single"/>
        </w:rPr>
      </w:pPr>
      <w:r>
        <w:rPr>
          <w:rFonts w:hint="eastAsia" w:hAnsi="宋体"/>
          <w:b/>
          <w:szCs w:val="21"/>
        </w:rPr>
        <w:t>六、产权担保</w:t>
      </w:r>
    </w:p>
    <w:p w14:paraId="52DE74D6">
      <w:pPr>
        <w:pStyle w:val="8"/>
        <w:snapToGrid w:val="0"/>
        <w:spacing w:before="120" w:after="120" w:line="360" w:lineRule="auto"/>
        <w:ind w:firstLine="420" w:firstLineChars="200"/>
        <w:rPr>
          <w:rFonts w:hAnsi="宋体"/>
          <w:szCs w:val="21"/>
          <w:u w:val="single"/>
        </w:rPr>
      </w:pPr>
      <w:r>
        <w:rPr>
          <w:rFonts w:hint="eastAsia" w:hAnsi="宋体"/>
          <w:szCs w:val="21"/>
        </w:rPr>
        <w:t>乙方保证所交付的货物的所有权完全属于乙方且无任何抵押、查封等产权瑕疵。</w:t>
      </w:r>
    </w:p>
    <w:p w14:paraId="3066FF7A">
      <w:pPr>
        <w:pStyle w:val="8"/>
        <w:snapToGrid w:val="0"/>
        <w:spacing w:before="120" w:after="120" w:line="360" w:lineRule="auto"/>
        <w:ind w:left="358" w:hanging="358" w:hangingChars="170"/>
        <w:rPr>
          <w:rFonts w:hAnsi="宋体"/>
          <w:b/>
          <w:szCs w:val="21"/>
        </w:rPr>
      </w:pPr>
      <w:r>
        <w:rPr>
          <w:rFonts w:hint="eastAsia" w:hAnsi="宋体"/>
          <w:b/>
          <w:szCs w:val="21"/>
        </w:rPr>
        <w:t>七、履约保证金</w:t>
      </w:r>
    </w:p>
    <w:p w14:paraId="7567FB2D">
      <w:pPr>
        <w:tabs>
          <w:tab w:val="left" w:pos="1418"/>
        </w:tabs>
        <w:autoSpaceDE w:val="0"/>
        <w:autoSpaceDN w:val="0"/>
        <w:adjustRightInd w:val="0"/>
        <w:spacing w:line="360" w:lineRule="auto"/>
        <w:ind w:firstLine="420" w:firstLineChars="200"/>
        <w:rPr>
          <w:rFonts w:ascii="宋体" w:hAnsi="宋体"/>
          <w:szCs w:val="21"/>
        </w:rPr>
      </w:pPr>
      <w:r>
        <w:rPr>
          <w:rFonts w:hint="eastAsia" w:ascii="宋体" w:hAnsi="宋体"/>
          <w:szCs w:val="21"/>
          <w:lang w:val="en-US" w:eastAsia="zh-CN"/>
        </w:rPr>
        <w:t>无。</w:t>
      </w:r>
    </w:p>
    <w:p w14:paraId="4429ECA1">
      <w:pPr>
        <w:pStyle w:val="8"/>
        <w:snapToGrid w:val="0"/>
        <w:spacing w:before="120" w:after="120" w:line="360" w:lineRule="auto"/>
        <w:ind w:left="358" w:hanging="358" w:hangingChars="170"/>
        <w:rPr>
          <w:rFonts w:hAnsi="宋体"/>
          <w:b/>
          <w:szCs w:val="21"/>
        </w:rPr>
      </w:pPr>
      <w:r>
        <w:rPr>
          <w:rFonts w:hint="eastAsia" w:hAnsi="宋体"/>
          <w:b/>
          <w:szCs w:val="21"/>
        </w:rPr>
        <w:t>八、转包或分包</w:t>
      </w:r>
    </w:p>
    <w:p w14:paraId="57DA871D">
      <w:pPr>
        <w:snapToGrid w:val="0"/>
        <w:spacing w:before="156" w:beforeLines="50" w:after="156" w:afterLines="50" w:line="360" w:lineRule="auto"/>
        <w:ind w:firstLine="420" w:firstLineChars="200"/>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方直接供应，不得转让他人供应；</w:t>
      </w:r>
    </w:p>
    <w:p w14:paraId="2006ED5F">
      <w:pPr>
        <w:snapToGrid w:val="0"/>
        <w:spacing w:before="156" w:beforeLines="50" w:after="156" w:afterLines="50"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除非得到甲方的书面同意，</w:t>
      </w:r>
      <w:r>
        <w:rPr>
          <w:rFonts w:ascii="宋体" w:hAnsi="宋体"/>
          <w:szCs w:val="21"/>
        </w:rPr>
        <w:t>乙</w:t>
      </w:r>
      <w:r>
        <w:rPr>
          <w:rFonts w:hint="eastAsia" w:ascii="宋体" w:hAnsi="宋体"/>
          <w:szCs w:val="21"/>
        </w:rPr>
        <w:t>方不得将本合同范围的服务全部或部分分包给他人供应；</w:t>
      </w:r>
    </w:p>
    <w:p w14:paraId="12049743">
      <w:pPr>
        <w:snapToGrid w:val="0"/>
        <w:spacing w:before="156" w:beforeLines="50" w:after="156" w:afterLines="50" w:line="360" w:lineRule="auto"/>
        <w:ind w:firstLine="420" w:firstLineChars="200"/>
        <w:rPr>
          <w:rFonts w:ascii="宋体" w:hAnsi="宋体"/>
          <w:szCs w:val="21"/>
        </w:rPr>
      </w:pPr>
      <w:r>
        <w:rPr>
          <w:rFonts w:ascii="宋体" w:hAnsi="宋体"/>
          <w:szCs w:val="21"/>
        </w:rPr>
        <w:t>3</w:t>
      </w:r>
      <w:r>
        <w:rPr>
          <w:rFonts w:hint="eastAsia" w:ascii="宋体" w:hAnsi="宋体"/>
          <w:szCs w:val="21"/>
        </w:rPr>
        <w:t>.如有转让和未经甲方同意的分包行为，甲方有权解除合同，没收履约保证金并追究乙方的违约责任。</w:t>
      </w:r>
    </w:p>
    <w:p w14:paraId="1362661F">
      <w:pPr>
        <w:pStyle w:val="8"/>
        <w:snapToGrid w:val="0"/>
        <w:spacing w:before="120" w:after="120" w:line="360" w:lineRule="auto"/>
        <w:rPr>
          <w:rFonts w:hAnsi="宋体"/>
          <w:szCs w:val="21"/>
        </w:rPr>
      </w:pPr>
      <w:r>
        <w:rPr>
          <w:rFonts w:hint="eastAsia" w:hAnsi="宋体"/>
          <w:b/>
          <w:szCs w:val="21"/>
        </w:rPr>
        <w:t>九、</w:t>
      </w:r>
      <w:r>
        <w:rPr>
          <w:rFonts w:hAnsi="宋体"/>
          <w:b/>
          <w:szCs w:val="21"/>
        </w:rPr>
        <w:t>服务</w:t>
      </w:r>
      <w:r>
        <w:rPr>
          <w:rFonts w:hint="eastAsia" w:hAnsi="宋体"/>
          <w:b/>
          <w:szCs w:val="21"/>
        </w:rPr>
        <w:t>期限</w:t>
      </w:r>
    </w:p>
    <w:p w14:paraId="4B0B9E0B">
      <w:pPr>
        <w:pStyle w:val="8"/>
        <w:snapToGrid w:val="0"/>
        <w:spacing w:line="360" w:lineRule="auto"/>
        <w:ind w:left="357" w:leftChars="170" w:firstLine="210" w:firstLineChars="100"/>
        <w:rPr>
          <w:rFonts w:hAnsi="宋体"/>
          <w:szCs w:val="21"/>
        </w:rPr>
      </w:pPr>
      <w:r>
        <w:rPr>
          <w:rFonts w:hAnsi="宋体"/>
          <w:szCs w:val="21"/>
        </w:rPr>
        <w:t>1. 服务期限</w:t>
      </w:r>
      <w:r>
        <w:rPr>
          <w:rFonts w:hAnsi="宋体"/>
          <w:szCs w:val="21"/>
          <w:u w:val="single"/>
        </w:rPr>
        <w:t xml:space="preserve"> </w:t>
      </w:r>
      <w:r>
        <w:rPr>
          <w:rFonts w:hint="eastAsia" w:hAnsi="宋体"/>
          <w:szCs w:val="21"/>
          <w:u w:val="single"/>
        </w:rPr>
        <w:t>3</w:t>
      </w:r>
      <w:r>
        <w:rPr>
          <w:rFonts w:hAnsi="宋体"/>
          <w:szCs w:val="21"/>
          <w:u w:val="single"/>
        </w:rPr>
        <w:t xml:space="preserve"> </w:t>
      </w:r>
      <w:r>
        <w:rPr>
          <w:rFonts w:hAnsi="宋体"/>
          <w:szCs w:val="21"/>
        </w:rPr>
        <w:t>年</w:t>
      </w:r>
      <w:r>
        <w:rPr>
          <w:rFonts w:hint="eastAsia" w:hAnsi="宋体"/>
          <w:szCs w:val="21"/>
        </w:rPr>
        <w:t>（</w:t>
      </w:r>
      <w:r>
        <w:rPr>
          <w:rFonts w:hint="eastAsia"/>
          <w:szCs w:val="21"/>
        </w:rPr>
        <w:t>自签订合同之日起3年，</w:t>
      </w:r>
      <w:r>
        <w:rPr>
          <w:rFonts w:hint="eastAsia" w:hAnsi="宋体"/>
          <w:bCs/>
          <w:szCs w:val="21"/>
        </w:rPr>
        <w:t>逐年续约）</w:t>
      </w:r>
      <w:r>
        <w:rPr>
          <w:rFonts w:hint="eastAsia"/>
          <w:szCs w:val="21"/>
        </w:rPr>
        <w:t>。</w:t>
      </w:r>
    </w:p>
    <w:p w14:paraId="4B9A841C">
      <w:pPr>
        <w:pStyle w:val="8"/>
        <w:snapToGrid w:val="0"/>
        <w:spacing w:before="120" w:after="120" w:line="360" w:lineRule="auto"/>
        <w:rPr>
          <w:rFonts w:hAnsi="宋体"/>
          <w:b/>
          <w:szCs w:val="21"/>
        </w:rPr>
      </w:pPr>
      <w:r>
        <w:rPr>
          <w:rFonts w:hint="eastAsia" w:hAnsi="宋体"/>
          <w:b/>
          <w:szCs w:val="21"/>
        </w:rPr>
        <w:t>十、</w:t>
      </w:r>
      <w:r>
        <w:rPr>
          <w:rFonts w:hAnsi="宋体"/>
          <w:b/>
          <w:szCs w:val="21"/>
        </w:rPr>
        <w:t>合同履行时间、履行方式及履行地点</w:t>
      </w:r>
    </w:p>
    <w:p w14:paraId="27A0F8E0">
      <w:pPr>
        <w:pStyle w:val="8"/>
        <w:snapToGrid w:val="0"/>
        <w:spacing w:line="360" w:lineRule="auto"/>
        <w:ind w:firstLine="420" w:firstLineChars="200"/>
        <w:rPr>
          <w:rFonts w:hAnsi="宋体"/>
          <w:szCs w:val="21"/>
        </w:rPr>
      </w:pPr>
      <w:r>
        <w:rPr>
          <w:rFonts w:hAnsi="宋体"/>
          <w:szCs w:val="21"/>
        </w:rPr>
        <w:t>1</w:t>
      </w:r>
      <w:r>
        <w:rPr>
          <w:rFonts w:hint="eastAsia" w:hAnsi="宋体"/>
          <w:szCs w:val="21"/>
        </w:rPr>
        <w:t>.</w:t>
      </w:r>
      <w:r>
        <w:rPr>
          <w:rFonts w:hAnsi="宋体"/>
          <w:szCs w:val="21"/>
        </w:rPr>
        <w:t xml:space="preserve"> 履行时间：</w:t>
      </w:r>
    </w:p>
    <w:p w14:paraId="5148F1DC">
      <w:pPr>
        <w:pStyle w:val="8"/>
        <w:snapToGrid w:val="0"/>
        <w:spacing w:line="360" w:lineRule="auto"/>
        <w:ind w:firstLine="420" w:firstLineChars="200"/>
        <w:rPr>
          <w:rFonts w:hAnsi="宋体"/>
          <w:szCs w:val="21"/>
        </w:rPr>
      </w:pPr>
      <w:r>
        <w:rPr>
          <w:rFonts w:hAnsi="宋体"/>
          <w:szCs w:val="21"/>
        </w:rPr>
        <w:t>2</w:t>
      </w:r>
      <w:r>
        <w:rPr>
          <w:rFonts w:hint="eastAsia" w:hAnsi="宋体"/>
          <w:szCs w:val="21"/>
        </w:rPr>
        <w:t>.</w:t>
      </w:r>
      <w:r>
        <w:rPr>
          <w:rFonts w:hAnsi="宋体"/>
          <w:szCs w:val="21"/>
        </w:rPr>
        <w:t xml:space="preserve"> 履行方式：</w:t>
      </w:r>
    </w:p>
    <w:p w14:paraId="4E7FF6A4">
      <w:pPr>
        <w:pStyle w:val="8"/>
        <w:snapToGrid w:val="0"/>
        <w:spacing w:line="360" w:lineRule="auto"/>
        <w:ind w:firstLine="420" w:firstLineChars="200"/>
        <w:rPr>
          <w:rFonts w:hint="eastAsia" w:hAnsi="宋体"/>
          <w:szCs w:val="21"/>
        </w:rPr>
      </w:pPr>
      <w:r>
        <w:rPr>
          <w:rFonts w:hAnsi="宋体"/>
          <w:szCs w:val="21"/>
        </w:rPr>
        <w:t>3</w:t>
      </w:r>
      <w:r>
        <w:rPr>
          <w:rFonts w:hint="eastAsia" w:hAnsi="宋体"/>
          <w:szCs w:val="21"/>
        </w:rPr>
        <w:t>.</w:t>
      </w:r>
      <w:r>
        <w:rPr>
          <w:rFonts w:hAnsi="宋体"/>
          <w:szCs w:val="21"/>
        </w:rPr>
        <w:t xml:space="preserve"> 履行地点：</w:t>
      </w:r>
    </w:p>
    <w:p w14:paraId="7EAC7B87">
      <w:pPr>
        <w:pStyle w:val="8"/>
        <w:snapToGrid w:val="0"/>
        <w:spacing w:before="120" w:after="120" w:line="360" w:lineRule="auto"/>
        <w:rPr>
          <w:rFonts w:hAnsi="宋体"/>
          <w:b/>
          <w:szCs w:val="21"/>
        </w:rPr>
      </w:pPr>
      <w:r>
        <w:rPr>
          <w:rFonts w:hint="eastAsia" w:hAnsi="宋体"/>
          <w:b/>
          <w:szCs w:val="21"/>
        </w:rPr>
        <w:t>十一、</w:t>
      </w:r>
      <w:r>
        <w:rPr>
          <w:rFonts w:hAnsi="宋体"/>
          <w:b/>
          <w:szCs w:val="21"/>
        </w:rPr>
        <w:t>款项支付</w:t>
      </w:r>
    </w:p>
    <w:p w14:paraId="41EF2778">
      <w:pPr>
        <w:pStyle w:val="8"/>
        <w:snapToGrid w:val="0"/>
        <w:spacing w:before="120" w:after="120" w:line="360" w:lineRule="auto"/>
        <w:ind w:firstLine="420" w:firstLineChars="200"/>
        <w:rPr>
          <w:rFonts w:hAnsi="宋体"/>
          <w:bCs/>
          <w:szCs w:val="21"/>
          <w:highlight w:val="yellow"/>
        </w:rPr>
      </w:pPr>
      <w:r>
        <w:rPr>
          <w:rFonts w:hAnsi="宋体"/>
          <w:bCs/>
          <w:szCs w:val="21"/>
        </w:rPr>
        <w:t>1.</w:t>
      </w:r>
      <w:r>
        <w:rPr>
          <w:rFonts w:hint="eastAsia" w:hAnsi="宋体"/>
          <w:bCs/>
          <w:szCs w:val="21"/>
        </w:rPr>
        <w:t>付款方式：每年结算一次当年应付的款项。支付时间为：乙方在每年11月份向甲方提交全部鉴定报告，并</w:t>
      </w:r>
      <w:r>
        <w:rPr>
          <w:rFonts w:hint="eastAsia" w:hAnsi="宋体"/>
          <w:b/>
          <w:bCs w:val="0"/>
          <w:szCs w:val="21"/>
          <w:lang w:val="en-US" w:eastAsia="zh-CN"/>
        </w:rPr>
        <w:t>符合浙江省房屋使用安全管理条例规定后</w:t>
      </w:r>
      <w:r>
        <w:rPr>
          <w:rFonts w:hint="eastAsia" w:hAnsi="宋体"/>
          <w:b/>
          <w:bCs w:val="0"/>
          <w:szCs w:val="21"/>
        </w:rPr>
        <w:t>结算当年应付的款项</w:t>
      </w:r>
      <w:r>
        <w:rPr>
          <w:rFonts w:hint="eastAsia" w:hAnsi="宋体"/>
          <w:bCs/>
          <w:szCs w:val="21"/>
        </w:rPr>
        <w:t>；在乙方票证齐全，符合甲方付款流程的前提下，甲方在</w:t>
      </w:r>
      <w:r>
        <w:rPr>
          <w:rFonts w:hAnsi="宋体"/>
          <w:bCs/>
          <w:szCs w:val="21"/>
        </w:rPr>
        <w:t>10</w:t>
      </w:r>
      <w:r>
        <w:rPr>
          <w:rFonts w:hint="eastAsia" w:hAnsi="宋体"/>
          <w:bCs/>
          <w:szCs w:val="21"/>
        </w:rPr>
        <w:t>个工作日内一次性付清当年应付款。</w:t>
      </w:r>
    </w:p>
    <w:p w14:paraId="6AD2093E">
      <w:pPr>
        <w:snapToGrid w:val="0"/>
        <w:spacing w:before="156" w:beforeLines="50" w:after="156" w:afterLines="50" w:line="360" w:lineRule="auto"/>
        <w:rPr>
          <w:rFonts w:ascii="宋体"/>
          <w:b/>
          <w:szCs w:val="21"/>
        </w:rPr>
      </w:pPr>
      <w:r>
        <w:rPr>
          <w:rFonts w:hint="eastAsia" w:ascii="宋体" w:hAnsi="宋体"/>
          <w:b/>
          <w:szCs w:val="21"/>
        </w:rPr>
        <w:t>十二、税费</w:t>
      </w:r>
    </w:p>
    <w:p w14:paraId="5C006454">
      <w:pPr>
        <w:snapToGrid w:val="0"/>
        <w:spacing w:before="156" w:beforeLines="50" w:after="156" w:afterLines="50" w:line="360" w:lineRule="auto"/>
        <w:ind w:firstLine="420" w:firstLineChars="200"/>
        <w:rPr>
          <w:rFonts w:ascii="宋体"/>
          <w:szCs w:val="21"/>
        </w:rPr>
      </w:pPr>
      <w:r>
        <w:rPr>
          <w:rFonts w:hint="eastAsia" w:ascii="宋体" w:hAnsi="宋体"/>
          <w:szCs w:val="21"/>
        </w:rPr>
        <w:t>本合同执行中相关的一切税费均由乙方负担。</w:t>
      </w:r>
    </w:p>
    <w:p w14:paraId="4A7478F0">
      <w:pPr>
        <w:pStyle w:val="8"/>
        <w:snapToGrid w:val="0"/>
        <w:spacing w:before="120" w:after="120" w:line="360" w:lineRule="auto"/>
        <w:ind w:left="360" w:hanging="361" w:hangingChars="171"/>
        <w:rPr>
          <w:rFonts w:hAnsi="宋体"/>
          <w:szCs w:val="21"/>
        </w:rPr>
      </w:pPr>
      <w:r>
        <w:rPr>
          <w:rFonts w:hint="eastAsia" w:hAnsi="宋体"/>
          <w:b/>
          <w:szCs w:val="21"/>
        </w:rPr>
        <w:t>十三、质量保证及售后服务</w:t>
      </w:r>
    </w:p>
    <w:p w14:paraId="20319E51">
      <w:pPr>
        <w:pStyle w:val="8"/>
        <w:snapToGrid w:val="0"/>
        <w:spacing w:line="360" w:lineRule="auto"/>
        <w:ind w:firstLine="420" w:firstLineChars="200"/>
        <w:rPr>
          <w:rFonts w:hAnsi="宋体"/>
          <w:szCs w:val="21"/>
        </w:rPr>
      </w:pPr>
      <w:r>
        <w:rPr>
          <w:rFonts w:hAnsi="宋体"/>
          <w:szCs w:val="21"/>
        </w:rPr>
        <w:t>1</w:t>
      </w:r>
      <w:r>
        <w:rPr>
          <w:rFonts w:hint="eastAsia" w:hAnsi="宋体"/>
          <w:szCs w:val="21"/>
        </w:rPr>
        <w:t>．</w:t>
      </w:r>
      <w:r>
        <w:rPr>
          <w:rFonts w:hAnsi="宋体"/>
          <w:szCs w:val="21"/>
        </w:rPr>
        <w:t>乙方应按招标文件规定向甲方提供服务。</w:t>
      </w:r>
    </w:p>
    <w:p w14:paraId="5EBD35E1">
      <w:pPr>
        <w:pStyle w:val="8"/>
        <w:snapToGrid w:val="0"/>
        <w:spacing w:line="360" w:lineRule="auto"/>
        <w:ind w:firstLine="420" w:firstLineChars="200"/>
        <w:rPr>
          <w:rFonts w:hAnsi="宋体"/>
          <w:szCs w:val="21"/>
        </w:rPr>
      </w:pPr>
      <w:r>
        <w:rPr>
          <w:rFonts w:hAnsi="宋体"/>
          <w:szCs w:val="21"/>
        </w:rPr>
        <w:t>2</w:t>
      </w:r>
      <w:r>
        <w:rPr>
          <w:rFonts w:hint="eastAsia" w:hAnsi="宋体"/>
          <w:szCs w:val="21"/>
        </w:rPr>
        <w:t>．</w:t>
      </w:r>
      <w:r>
        <w:rPr>
          <w:rFonts w:hAnsi="宋体"/>
          <w:szCs w:val="21"/>
        </w:rPr>
        <w:t>乙方提供的服务成果在服务质量保证期内发生故障，乙方应负责免费提供后续服务。对达不到要求者，根据实际情况，经双方协商，可按以下办法处理：</w:t>
      </w:r>
    </w:p>
    <w:p w14:paraId="3A47E6CC">
      <w:pPr>
        <w:pStyle w:val="8"/>
        <w:snapToGrid w:val="0"/>
        <w:spacing w:line="360" w:lineRule="auto"/>
        <w:ind w:firstLine="420"/>
        <w:rPr>
          <w:rFonts w:hAnsi="宋体"/>
          <w:szCs w:val="21"/>
        </w:rPr>
      </w:pPr>
      <w:r>
        <w:rPr>
          <w:rFonts w:hAnsi="宋体"/>
          <w:szCs w:val="21"/>
        </w:rPr>
        <w:t>⑴重做：由乙方承担所发生的全部费用。</w:t>
      </w:r>
    </w:p>
    <w:p w14:paraId="7A45BADF">
      <w:pPr>
        <w:pStyle w:val="8"/>
        <w:snapToGrid w:val="0"/>
        <w:spacing w:line="360" w:lineRule="auto"/>
        <w:ind w:firstLine="420"/>
        <w:rPr>
          <w:rFonts w:hAnsi="宋体"/>
          <w:szCs w:val="21"/>
        </w:rPr>
      </w:pPr>
      <w:r>
        <w:rPr>
          <w:rFonts w:hAnsi="宋体"/>
          <w:szCs w:val="21"/>
        </w:rPr>
        <w:t>⑵贬值处理：由甲乙双方合议定价。</w:t>
      </w:r>
    </w:p>
    <w:p w14:paraId="22492BD0">
      <w:pPr>
        <w:pStyle w:val="8"/>
        <w:snapToGrid w:val="0"/>
        <w:spacing w:line="360" w:lineRule="auto"/>
        <w:ind w:left="420" w:leftChars="200"/>
        <w:rPr>
          <w:rFonts w:hAnsi="宋体"/>
          <w:szCs w:val="21"/>
        </w:rPr>
      </w:pPr>
      <w:r>
        <w:rPr>
          <w:rFonts w:hAnsi="宋体"/>
          <w:szCs w:val="21"/>
        </w:rPr>
        <w:t>⑶解除合同。</w:t>
      </w:r>
    </w:p>
    <w:p w14:paraId="0DAD8936">
      <w:pPr>
        <w:pStyle w:val="8"/>
        <w:snapToGrid w:val="0"/>
        <w:spacing w:line="360" w:lineRule="auto"/>
        <w:ind w:firstLine="420" w:firstLineChars="200"/>
        <w:rPr>
          <w:rFonts w:hAnsi="宋体"/>
          <w:szCs w:val="21"/>
        </w:rPr>
      </w:pPr>
      <w:r>
        <w:rPr>
          <w:rFonts w:hAnsi="宋体"/>
          <w:szCs w:val="21"/>
        </w:rPr>
        <w:t>3</w:t>
      </w:r>
      <w:r>
        <w:rPr>
          <w:rFonts w:hint="eastAsia" w:hAnsi="宋体"/>
          <w:szCs w:val="21"/>
        </w:rPr>
        <w:t>．</w:t>
      </w:r>
      <w:r>
        <w:rPr>
          <w:rFonts w:hAnsi="宋体"/>
          <w:szCs w:val="21"/>
        </w:rPr>
        <w:t>如在使用过程中发生问题，乙方在接到甲方通知后在</w:t>
      </w:r>
      <w:r>
        <w:rPr>
          <w:rFonts w:hint="eastAsia" w:hAnsi="宋体"/>
          <w:szCs w:val="21"/>
          <w:u w:val="single"/>
        </w:rPr>
        <w:t xml:space="preserve">   </w:t>
      </w:r>
      <w:r>
        <w:rPr>
          <w:rFonts w:hAnsi="宋体"/>
          <w:szCs w:val="21"/>
        </w:rPr>
        <w:t>小时内到达甲方现场。</w:t>
      </w:r>
    </w:p>
    <w:p w14:paraId="2F3EF7CB">
      <w:pPr>
        <w:pStyle w:val="8"/>
        <w:snapToGrid w:val="0"/>
        <w:spacing w:line="360" w:lineRule="auto"/>
        <w:ind w:firstLine="420" w:firstLineChars="200"/>
        <w:rPr>
          <w:rFonts w:hAnsi="宋体"/>
          <w:szCs w:val="21"/>
        </w:rPr>
      </w:pPr>
      <w:r>
        <w:rPr>
          <w:rFonts w:hAnsi="宋体"/>
          <w:szCs w:val="21"/>
        </w:rPr>
        <w:t>4</w:t>
      </w:r>
      <w:r>
        <w:rPr>
          <w:rFonts w:hint="eastAsia" w:hAnsi="宋体"/>
          <w:szCs w:val="21"/>
        </w:rPr>
        <w:t>．</w:t>
      </w:r>
      <w:r>
        <w:rPr>
          <w:rFonts w:hAnsi="宋体"/>
          <w:szCs w:val="21"/>
        </w:rPr>
        <w:t>在</w:t>
      </w:r>
      <w:r>
        <w:rPr>
          <w:rFonts w:hAnsi="宋体"/>
          <w:b/>
          <w:szCs w:val="21"/>
        </w:rPr>
        <w:t>服务</w:t>
      </w:r>
      <w:r>
        <w:rPr>
          <w:rFonts w:hint="eastAsia" w:hAnsi="宋体"/>
          <w:b/>
          <w:szCs w:val="21"/>
        </w:rPr>
        <w:t>期限</w:t>
      </w:r>
      <w:r>
        <w:rPr>
          <w:rFonts w:hAnsi="宋体"/>
          <w:szCs w:val="21"/>
        </w:rPr>
        <w:t>内，乙方应对出现的质量及安全问题负责处理解决并承担一切费用。</w:t>
      </w:r>
    </w:p>
    <w:p w14:paraId="6067754C">
      <w:pPr>
        <w:pStyle w:val="8"/>
        <w:snapToGrid w:val="0"/>
        <w:spacing w:before="120" w:after="120" w:line="360" w:lineRule="auto"/>
        <w:rPr>
          <w:rFonts w:hAnsi="宋体"/>
          <w:b/>
          <w:szCs w:val="21"/>
        </w:rPr>
      </w:pPr>
      <w:r>
        <w:rPr>
          <w:rFonts w:hint="eastAsia" w:hAnsi="宋体"/>
          <w:b/>
          <w:szCs w:val="21"/>
        </w:rPr>
        <w:t>十四、违约责任</w:t>
      </w:r>
    </w:p>
    <w:p w14:paraId="3E329099">
      <w:pPr>
        <w:pStyle w:val="8"/>
        <w:snapToGrid w:val="0"/>
        <w:spacing w:before="120" w:after="120" w:line="360" w:lineRule="auto"/>
        <w:ind w:left="418" w:leftChars="199" w:firstLine="60" w:firstLineChars="29"/>
        <w:rPr>
          <w:rFonts w:hint="eastAsia" w:hAnsi="宋体"/>
          <w:szCs w:val="21"/>
        </w:rPr>
      </w:pPr>
      <w:r>
        <w:rPr>
          <w:rFonts w:hAnsi="宋体"/>
          <w:szCs w:val="21"/>
        </w:rPr>
        <w:t>1. 甲方无正当理由拒收接受服务的，甲方向乙方偿付合同款项</w:t>
      </w:r>
      <w:r>
        <w:rPr>
          <w:rFonts w:hAnsi="宋体"/>
          <w:szCs w:val="21"/>
          <w:u w:val="single"/>
        </w:rPr>
        <w:t>百分之五</w:t>
      </w:r>
      <w:r>
        <w:rPr>
          <w:rFonts w:hAnsi="宋体"/>
          <w:szCs w:val="21"/>
        </w:rPr>
        <w:t>作为违约金。</w:t>
      </w:r>
    </w:p>
    <w:p w14:paraId="45E0B5CB">
      <w:pPr>
        <w:pStyle w:val="8"/>
        <w:snapToGrid w:val="0"/>
        <w:spacing w:before="120" w:after="120" w:line="360" w:lineRule="auto"/>
        <w:ind w:firstLine="420" w:firstLineChars="200"/>
        <w:rPr>
          <w:rFonts w:hAnsi="宋体"/>
          <w:szCs w:val="21"/>
        </w:rPr>
      </w:pPr>
      <w:r>
        <w:rPr>
          <w:rFonts w:hAnsi="宋体"/>
          <w:szCs w:val="21"/>
        </w:rPr>
        <w:t>2.甲方无故逾期验收和办理款项支付手续的,甲方应按逾期付款总额</w:t>
      </w:r>
      <w:r>
        <w:rPr>
          <w:rFonts w:hAnsi="宋体"/>
          <w:szCs w:val="21"/>
          <w:u w:val="single"/>
        </w:rPr>
        <w:t>每日万分之五</w:t>
      </w:r>
      <w:r>
        <w:rPr>
          <w:rFonts w:hAnsi="宋体"/>
          <w:szCs w:val="21"/>
        </w:rPr>
        <w:t>向乙方支付违约金。</w:t>
      </w:r>
    </w:p>
    <w:p w14:paraId="17D92C96">
      <w:pPr>
        <w:pStyle w:val="8"/>
        <w:snapToGrid w:val="0"/>
        <w:spacing w:before="120" w:after="120" w:line="360" w:lineRule="auto"/>
        <w:ind w:firstLine="420" w:firstLineChars="200"/>
        <w:rPr>
          <w:rFonts w:hAnsi="宋体"/>
          <w:szCs w:val="21"/>
        </w:rPr>
      </w:pPr>
      <w:r>
        <w:rPr>
          <w:rFonts w:hAnsi="宋体"/>
          <w:szCs w:val="21"/>
        </w:rPr>
        <w:t>3</w:t>
      </w:r>
      <w:r>
        <w:rPr>
          <w:rFonts w:hint="eastAsia" w:hAnsi="宋体"/>
          <w:szCs w:val="21"/>
        </w:rPr>
        <w:t>．</w:t>
      </w:r>
      <w:r>
        <w:rPr>
          <w:rFonts w:hAnsi="宋体"/>
          <w:szCs w:val="21"/>
        </w:rPr>
        <w:t>乙方</w:t>
      </w:r>
      <w:r>
        <w:rPr>
          <w:rFonts w:hint="eastAsia" w:hAnsi="宋体"/>
          <w:szCs w:val="21"/>
        </w:rPr>
        <w:t>未能如</w:t>
      </w:r>
      <w:r>
        <w:rPr>
          <w:rFonts w:hAnsi="宋体"/>
          <w:szCs w:val="21"/>
        </w:rPr>
        <w:t>期提供服务的，每日向甲方支付</w:t>
      </w:r>
      <w:r>
        <w:rPr>
          <w:rFonts w:hint="eastAsia" w:hAnsi="宋体"/>
          <w:szCs w:val="21"/>
        </w:rPr>
        <w:t>合同款项的</w:t>
      </w:r>
      <w:r>
        <w:rPr>
          <w:rFonts w:hAnsi="宋体"/>
          <w:szCs w:val="21"/>
        </w:rPr>
        <w:t>千分之六</w:t>
      </w:r>
      <w:r>
        <w:rPr>
          <w:rFonts w:hint="eastAsia" w:hAnsi="宋体"/>
          <w:szCs w:val="21"/>
        </w:rPr>
        <w:t>作为</w:t>
      </w:r>
      <w:r>
        <w:rPr>
          <w:rFonts w:hAnsi="宋体"/>
          <w:szCs w:val="21"/>
        </w:rPr>
        <w:t>违约金。乙方超过约定日期10个工作日</w:t>
      </w:r>
      <w:r>
        <w:rPr>
          <w:rFonts w:hint="eastAsia" w:hAnsi="宋体"/>
          <w:szCs w:val="21"/>
        </w:rPr>
        <w:t>仍</w:t>
      </w:r>
      <w:r>
        <w:rPr>
          <w:rFonts w:hAnsi="宋体"/>
          <w:szCs w:val="21"/>
        </w:rPr>
        <w:t>不能</w:t>
      </w:r>
      <w:r>
        <w:rPr>
          <w:rFonts w:hint="eastAsia" w:hAnsi="宋体"/>
          <w:szCs w:val="21"/>
        </w:rPr>
        <w:t>提供服务</w:t>
      </w:r>
      <w:r>
        <w:rPr>
          <w:rFonts w:hAnsi="宋体"/>
          <w:szCs w:val="21"/>
        </w:rPr>
        <w:t>的，甲方可解除本合同。乙方因</w:t>
      </w:r>
      <w:r>
        <w:rPr>
          <w:rFonts w:hint="eastAsia" w:hAnsi="宋体"/>
          <w:szCs w:val="21"/>
        </w:rPr>
        <w:t>未能如</w:t>
      </w:r>
      <w:r>
        <w:rPr>
          <w:rFonts w:hAnsi="宋体"/>
          <w:szCs w:val="21"/>
        </w:rPr>
        <w:t xml:space="preserve">期提供服务或因其他违约行为导致甲方解除合同的，乙方应向甲方支付合同总值5%的违约金，如造成甲方损失超过违约金的，超出部分由乙方继续承担赔偿责任。 </w:t>
      </w:r>
    </w:p>
    <w:p w14:paraId="1AF515CE">
      <w:pPr>
        <w:pStyle w:val="8"/>
        <w:snapToGrid w:val="0"/>
        <w:spacing w:before="120" w:after="120" w:line="360" w:lineRule="auto"/>
        <w:rPr>
          <w:rFonts w:hAnsi="宋体"/>
          <w:b/>
          <w:szCs w:val="21"/>
        </w:rPr>
      </w:pPr>
      <w:r>
        <w:rPr>
          <w:rFonts w:hint="eastAsia" w:hAnsi="宋体"/>
          <w:b/>
          <w:szCs w:val="21"/>
        </w:rPr>
        <w:t>十五、不可抗力事件处理</w:t>
      </w:r>
    </w:p>
    <w:p w14:paraId="06A68066">
      <w:pPr>
        <w:pStyle w:val="8"/>
        <w:snapToGrid w:val="0"/>
        <w:spacing w:before="120" w:after="120" w:line="360" w:lineRule="auto"/>
        <w:ind w:firstLine="420" w:firstLineChars="200"/>
        <w:rPr>
          <w:rFonts w:hAnsi="宋体"/>
          <w:szCs w:val="21"/>
        </w:rPr>
      </w:pPr>
      <w:r>
        <w:rPr>
          <w:rFonts w:hint="eastAsia" w:hAnsi="宋体"/>
          <w:szCs w:val="21"/>
        </w:rPr>
        <w:t>1</w:t>
      </w:r>
      <w:r>
        <w:rPr>
          <w:rFonts w:hAnsi="宋体"/>
          <w:szCs w:val="21"/>
        </w:rPr>
        <w:t>. 在合同有效期内，任何一方因不可抗力事件导致不能履行合同，则合同履行期可延长，其延长期与不可抗力影响期相同。</w:t>
      </w:r>
    </w:p>
    <w:p w14:paraId="6DD7C35E">
      <w:pPr>
        <w:pStyle w:val="8"/>
        <w:snapToGrid w:val="0"/>
        <w:spacing w:before="120" w:after="120" w:line="360" w:lineRule="auto"/>
        <w:ind w:firstLine="420" w:firstLineChars="200"/>
        <w:rPr>
          <w:rFonts w:hAnsi="宋体"/>
          <w:szCs w:val="21"/>
        </w:rPr>
      </w:pPr>
      <w:r>
        <w:rPr>
          <w:rFonts w:hAnsi="宋体"/>
          <w:szCs w:val="21"/>
        </w:rPr>
        <w:t>2. 不可抗力事件发生后，应立即通知对方，并寄送有关权威机构出具的证明。</w:t>
      </w:r>
    </w:p>
    <w:p w14:paraId="6BC17F63">
      <w:pPr>
        <w:pStyle w:val="8"/>
        <w:snapToGrid w:val="0"/>
        <w:spacing w:before="120" w:after="120" w:line="360" w:lineRule="auto"/>
        <w:ind w:firstLine="420" w:firstLineChars="200"/>
        <w:rPr>
          <w:rFonts w:hAnsi="宋体"/>
          <w:szCs w:val="21"/>
        </w:rPr>
      </w:pPr>
      <w:r>
        <w:rPr>
          <w:rFonts w:hAnsi="宋体"/>
          <w:szCs w:val="21"/>
        </w:rPr>
        <w:t>3.</w:t>
      </w:r>
      <w:r>
        <w:rPr>
          <w:rFonts w:hAnsi="宋体"/>
          <w:sz w:val="24"/>
        </w:rPr>
        <w:t xml:space="preserve"> </w:t>
      </w:r>
      <w:r>
        <w:rPr>
          <w:rFonts w:hAnsi="宋体"/>
          <w:szCs w:val="21"/>
        </w:rPr>
        <w:t>不可抗力事件延续120天以上，双方应通过友好协商，确定是否继续履行合同。</w:t>
      </w:r>
    </w:p>
    <w:p w14:paraId="58CDBC71">
      <w:pPr>
        <w:pStyle w:val="8"/>
        <w:snapToGrid w:val="0"/>
        <w:spacing w:before="120" w:after="120" w:line="360" w:lineRule="auto"/>
        <w:rPr>
          <w:rFonts w:hAnsi="宋体"/>
          <w:b/>
          <w:szCs w:val="21"/>
        </w:rPr>
      </w:pPr>
      <w:r>
        <w:rPr>
          <w:rFonts w:hint="eastAsia" w:hAnsi="宋体"/>
          <w:b/>
          <w:szCs w:val="21"/>
        </w:rPr>
        <w:t>十六、解决争议的方法</w:t>
      </w:r>
    </w:p>
    <w:p w14:paraId="1C5321C7">
      <w:pPr>
        <w:widowControl/>
        <w:spacing w:line="360" w:lineRule="auto"/>
        <w:ind w:firstLine="420" w:firstLineChars="200"/>
        <w:jc w:val="left"/>
        <w:rPr>
          <w:szCs w:val="21"/>
        </w:rPr>
      </w:pPr>
      <w:r>
        <w:rPr>
          <w:rFonts w:ascii="宋体" w:hAnsi="宋体" w:cs="宋体"/>
          <w:kern w:val="0"/>
          <w:szCs w:val="21"/>
        </w:rPr>
        <w:t>1.</w:t>
      </w:r>
      <w:r>
        <w:rPr>
          <w:rFonts w:hint="eastAsia" w:ascii="宋体" w:hAnsi="宋体" w:cs="宋体"/>
          <w:kern w:val="0"/>
          <w:szCs w:val="21"/>
        </w:rPr>
        <w:t>如双方在履行合同时发生纠纷，应协商解决；协商不成时，可提请政府采购管理部门调解；调解不成的通过以下方式解决：提交</w:t>
      </w:r>
      <w:r>
        <w:rPr>
          <w:rFonts w:hint="eastAsia" w:hAnsi="宋体"/>
          <w:szCs w:val="21"/>
          <w:u w:val="single"/>
        </w:rPr>
        <w:t>台州</w:t>
      </w:r>
      <w:r>
        <w:rPr>
          <w:rFonts w:hint="eastAsia" w:ascii="宋体" w:hAnsi="宋体" w:cs="宋体"/>
          <w:kern w:val="0"/>
          <w:szCs w:val="21"/>
        </w:rPr>
        <w:t>仲裁委员会仲裁。</w:t>
      </w:r>
    </w:p>
    <w:p w14:paraId="1069B402">
      <w:pPr>
        <w:pStyle w:val="8"/>
        <w:tabs>
          <w:tab w:val="left" w:pos="5790"/>
        </w:tabs>
        <w:snapToGrid w:val="0"/>
        <w:spacing w:before="120" w:after="120" w:line="360" w:lineRule="auto"/>
        <w:rPr>
          <w:rFonts w:hAnsi="宋体"/>
          <w:b/>
          <w:szCs w:val="21"/>
        </w:rPr>
      </w:pPr>
      <w:r>
        <w:rPr>
          <w:rFonts w:hint="eastAsia" w:hAnsi="宋体"/>
          <w:b/>
          <w:szCs w:val="21"/>
        </w:rPr>
        <w:t>十七、合同生效及其它</w:t>
      </w:r>
      <w:r>
        <w:rPr>
          <w:rFonts w:hAnsi="宋体"/>
          <w:b/>
          <w:szCs w:val="21"/>
        </w:rPr>
        <w:tab/>
      </w:r>
    </w:p>
    <w:p w14:paraId="4E8629F1">
      <w:pPr>
        <w:pStyle w:val="2"/>
        <w:widowControl/>
        <w:spacing w:line="360" w:lineRule="auto"/>
        <w:ind w:right="-88" w:firstLine="420" w:firstLineChars="200"/>
        <w:rPr>
          <w:rFonts w:ascii="宋体"/>
          <w:sz w:val="21"/>
          <w:szCs w:val="21"/>
        </w:rPr>
      </w:pPr>
      <w:r>
        <w:rPr>
          <w:rFonts w:ascii="宋体" w:hAnsi="宋体"/>
          <w:sz w:val="21"/>
          <w:szCs w:val="21"/>
        </w:rPr>
        <w:t>1.</w:t>
      </w:r>
      <w:r>
        <w:rPr>
          <w:rFonts w:hint="eastAsia" w:ascii="宋体" w:hAnsi="宋体"/>
          <w:sz w:val="21"/>
          <w:szCs w:val="21"/>
        </w:rPr>
        <w:t>合同经双方法定代表人或授权代表签字并加盖单位公章后生效。</w:t>
      </w:r>
    </w:p>
    <w:p w14:paraId="0292F875">
      <w:pPr>
        <w:pStyle w:val="2"/>
        <w:widowControl/>
        <w:spacing w:line="360" w:lineRule="auto"/>
        <w:ind w:right="-88" w:firstLine="420" w:firstLineChars="200"/>
        <w:rPr>
          <w:rFonts w:ascii="宋体"/>
          <w:sz w:val="21"/>
          <w:szCs w:val="21"/>
        </w:rPr>
      </w:pPr>
      <w:r>
        <w:rPr>
          <w:rFonts w:ascii="宋体" w:hAnsi="宋体"/>
          <w:sz w:val="21"/>
          <w:szCs w:val="21"/>
        </w:rPr>
        <w:t>2.</w:t>
      </w:r>
      <w:r>
        <w:rPr>
          <w:rFonts w:hint="eastAsia" w:ascii="宋体" w:hAnsi="宋体"/>
          <w:sz w:val="21"/>
          <w:szCs w:val="21"/>
        </w:rPr>
        <w:t>本合同未尽事宜，遵照《合同法》有关条文执行。</w:t>
      </w:r>
    </w:p>
    <w:p w14:paraId="1524223E">
      <w:pPr>
        <w:pStyle w:val="2"/>
        <w:widowControl/>
        <w:spacing w:line="360" w:lineRule="auto"/>
        <w:ind w:right="-88" w:firstLine="420" w:firstLineChars="200"/>
        <w:rPr>
          <w:rFonts w:ascii="宋体"/>
          <w:sz w:val="21"/>
          <w:szCs w:val="21"/>
        </w:rPr>
      </w:pPr>
      <w:r>
        <w:rPr>
          <w:rFonts w:hint="eastAsia" w:ascii="宋体" w:hAnsi="宋体" w:cs="宋体"/>
          <w:sz w:val="21"/>
          <w:szCs w:val="21"/>
        </w:rPr>
        <w:t>3.</w:t>
      </w:r>
      <w:r>
        <w:rPr>
          <w:rFonts w:hint="eastAsia"/>
          <w:sz w:val="21"/>
          <w:szCs w:val="21"/>
        </w:rPr>
        <w:t>本合同一式四份。甲、乙双方各执一份，采购组织机构及同级人民政府财政部门各执一份。本项目未尽事宜以招标文件、投标文件及澄清文件等为准。</w:t>
      </w:r>
    </w:p>
    <w:p w14:paraId="0EC977A6">
      <w:pPr>
        <w:spacing w:line="360" w:lineRule="auto"/>
        <w:rPr>
          <w:rFonts w:hint="eastAsia" w:ascii="宋体" w:hAnsi="宋体"/>
          <w:szCs w:val="21"/>
        </w:rPr>
      </w:pPr>
    </w:p>
    <w:p w14:paraId="6A979231">
      <w:pPr>
        <w:spacing w:line="360" w:lineRule="auto"/>
        <w:rPr>
          <w:rFonts w:hint="eastAsia" w:ascii="宋体" w:hAnsi="宋体"/>
          <w:szCs w:val="21"/>
        </w:rPr>
      </w:pPr>
    </w:p>
    <w:p w14:paraId="08408E9C">
      <w:pPr>
        <w:spacing w:line="600" w:lineRule="auto"/>
        <w:rPr>
          <w:rFonts w:ascii="宋体"/>
          <w:szCs w:val="21"/>
        </w:rPr>
      </w:pPr>
      <w:r>
        <w:rPr>
          <w:rFonts w:hint="eastAsia" w:ascii="宋体" w:hAnsi="宋体"/>
          <w:szCs w:val="21"/>
        </w:rPr>
        <w:t>甲方（公章）</w:t>
      </w:r>
      <w:r>
        <w:rPr>
          <w:rFonts w:ascii="宋体" w:hAnsi="宋体"/>
          <w:szCs w:val="21"/>
        </w:rPr>
        <w:t xml:space="preserve">                                     </w:t>
      </w:r>
      <w:r>
        <w:rPr>
          <w:rFonts w:hint="eastAsia" w:ascii="宋体" w:hAnsi="宋体"/>
          <w:szCs w:val="21"/>
        </w:rPr>
        <w:t>乙方（公章）</w:t>
      </w:r>
    </w:p>
    <w:p w14:paraId="2EB46117">
      <w:pPr>
        <w:spacing w:line="600" w:lineRule="auto"/>
        <w:rPr>
          <w:rFonts w:asci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43943469">
      <w:pPr>
        <w:spacing w:line="600" w:lineRule="auto"/>
        <w:rPr>
          <w:rFonts w:asci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0F69F434">
      <w:pPr>
        <w:spacing w:line="600" w:lineRule="auto"/>
        <w:rPr>
          <w:rFonts w:ascii="宋体"/>
          <w:szCs w:val="21"/>
        </w:rPr>
      </w:pPr>
      <w:r>
        <w:rPr>
          <w:rFonts w:hint="eastAsia" w:ascii="宋体" w:hAnsi="宋体"/>
          <w:szCs w:val="21"/>
        </w:rPr>
        <w:t>联系电话：</w:t>
      </w:r>
      <w:r>
        <w:rPr>
          <w:rFonts w:ascii="宋体" w:hAnsi="宋体"/>
          <w:szCs w:val="21"/>
        </w:rPr>
        <w:t xml:space="preserve">                                       </w:t>
      </w:r>
      <w:r>
        <w:rPr>
          <w:rFonts w:hint="eastAsia" w:ascii="宋体" w:hAnsi="宋体"/>
          <w:szCs w:val="21"/>
        </w:rPr>
        <w:t>联系电话：</w:t>
      </w:r>
    </w:p>
    <w:p w14:paraId="19F018EE">
      <w:pPr>
        <w:spacing w:line="600" w:lineRule="auto"/>
        <w:rPr>
          <w:rFonts w:ascii="宋体"/>
          <w:szCs w:val="21"/>
        </w:rPr>
      </w:pPr>
      <w:r>
        <w:rPr>
          <w:rFonts w:hint="eastAsia" w:ascii="宋体" w:hAnsi="宋体"/>
          <w:szCs w:val="21"/>
        </w:rPr>
        <w:t>开户银行：</w:t>
      </w:r>
      <w:r>
        <w:rPr>
          <w:rFonts w:ascii="宋体" w:hAnsi="宋体"/>
          <w:szCs w:val="21"/>
        </w:rPr>
        <w:t xml:space="preserve">                                       </w:t>
      </w:r>
      <w:r>
        <w:rPr>
          <w:rFonts w:hint="eastAsia" w:ascii="宋体" w:hAnsi="宋体"/>
          <w:szCs w:val="21"/>
        </w:rPr>
        <w:t>开户银行：</w:t>
      </w:r>
    </w:p>
    <w:p w14:paraId="0A2898F3">
      <w:pPr>
        <w:spacing w:line="600" w:lineRule="auto"/>
        <w:rPr>
          <w:rFonts w:ascii="宋体"/>
          <w:szCs w:val="21"/>
        </w:rPr>
      </w:pPr>
      <w:r>
        <w:rPr>
          <w:rFonts w:hint="eastAsia" w:ascii="宋体" w:hAnsi="宋体"/>
          <w:szCs w:val="21"/>
        </w:rPr>
        <w:t>帐号：</w:t>
      </w:r>
      <w:r>
        <w:rPr>
          <w:rFonts w:ascii="宋体" w:hAnsi="宋体"/>
          <w:szCs w:val="21"/>
        </w:rPr>
        <w:t xml:space="preserve">                                           </w:t>
      </w:r>
      <w:r>
        <w:rPr>
          <w:rFonts w:hint="eastAsia" w:ascii="宋体" w:hAnsi="宋体"/>
          <w:szCs w:val="21"/>
        </w:rPr>
        <w:t>帐号：</w:t>
      </w:r>
    </w:p>
    <w:p w14:paraId="5BE6A99C">
      <w:pPr>
        <w:spacing w:line="600" w:lineRule="auto"/>
        <w:rPr>
          <w:rFonts w:ascii="宋体"/>
          <w:szCs w:val="21"/>
        </w:rPr>
      </w:pPr>
      <w:r>
        <w:rPr>
          <w:rFonts w:hint="eastAsia" w:ascii="宋体" w:hAnsi="宋体"/>
          <w:szCs w:val="21"/>
        </w:rPr>
        <w:t>地址及邮编：</w:t>
      </w:r>
      <w:r>
        <w:rPr>
          <w:rFonts w:ascii="宋体" w:hAnsi="宋体"/>
          <w:szCs w:val="21"/>
        </w:rPr>
        <w:t xml:space="preserve">                                     </w:t>
      </w:r>
      <w:r>
        <w:rPr>
          <w:rFonts w:hint="eastAsia" w:ascii="宋体" w:hAnsi="宋体"/>
          <w:szCs w:val="21"/>
        </w:rPr>
        <w:t>地址及邮编：</w:t>
      </w:r>
    </w:p>
    <w:p w14:paraId="55F4B85D">
      <w:pPr>
        <w:spacing w:line="360" w:lineRule="auto"/>
        <w:rPr>
          <w:rFonts w:ascii="宋体"/>
          <w:szCs w:val="21"/>
        </w:rPr>
      </w:pPr>
    </w:p>
    <w:p w14:paraId="0C48334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宋体" w:hAnsi="宋体"/>
          <w:szCs w:val="21"/>
        </w:rPr>
        <w:t>签订时间：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8D2A17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064654C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0B0BF65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342336A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71D284A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48A1662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3282A7B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455BF40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4362A9A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2A2F30F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36CAF00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4A8DA7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7365A7B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5440AA6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226C871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00867B5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仿宋_GB2312"/>
          <w:color w:val="000000" w:themeColor="text1"/>
          <w:sz w:val="24"/>
          <w:szCs w:val="24"/>
          <w:highlight w:val="none"/>
          <w:lang w:eastAsia="zh-CN"/>
          <w14:textFill>
            <w14:solidFill>
              <w14:schemeClr w14:val="tx1"/>
            </w14:solidFill>
          </w14:textFill>
        </w:rPr>
      </w:pPr>
    </w:p>
    <w:p w14:paraId="45E8CBE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评标方法及标准</w:t>
      </w:r>
    </w:p>
    <w:p w14:paraId="586B84AF">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1、评标方法：</w:t>
      </w:r>
    </w:p>
    <w:p w14:paraId="42EFA21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本次评标采用综合评分法，</w:t>
      </w:r>
    </w:p>
    <w:p w14:paraId="4EF5869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一、采购组织机构将组织评标委员会，对投标人提供的投标文件进行综合评审。</w:t>
      </w:r>
    </w:p>
    <w:p w14:paraId="3E7339C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二、本次招标项目的评标方法为综合评分法，总计100分。评标标准按以下内容及分值进行评审。</w:t>
      </w:r>
    </w:p>
    <w:p w14:paraId="7332218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1B61A13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（二）各投标人商务与技术文件得分按照评标委员会成员的独立评分结果汇总后的算术平均分计算，计算公式为：</w:t>
      </w:r>
      <w:r>
        <w:rPr>
          <w:rFonts w:hint="eastAsia" w:ascii="仿宋" w:hAnsi="仿宋" w:eastAsia="仿宋" w:cs="仿宋"/>
          <w:color w:val="000000" w:themeColor="text1"/>
          <w:sz w:val="24"/>
          <w:highlight w:val="none"/>
          <w14:textFill>
            <w14:solidFill>
              <w14:schemeClr w14:val="tx1"/>
            </w14:solidFill>
          </w14:textFill>
        </w:rPr>
        <w:t>商务与技术文件得分</w:t>
      </w:r>
      <w:r>
        <w:rPr>
          <w:rFonts w:hint="eastAsia" w:ascii="仿宋" w:hAnsi="仿宋" w:eastAsia="仿宋" w:cs="仿宋"/>
          <w:color w:val="000000" w:themeColor="text1"/>
          <w:sz w:val="24"/>
          <w:highlight w:val="none"/>
          <w:lang w:val="zh-CN"/>
          <w14:textFill>
            <w14:solidFill>
              <w14:schemeClr w14:val="tx1"/>
            </w14:solidFill>
          </w14:textFill>
        </w:rPr>
        <w:t>=评标委员会所有成员评分合计数/评标委员会组成人员数。</w:t>
      </w:r>
    </w:p>
    <w:p w14:paraId="171AD5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r>
        <w:rPr>
          <w:rFonts w:hint="eastAsia" w:ascii="仿宋" w:hAnsi="仿宋" w:eastAsia="仿宋" w:cs="仿宋"/>
          <w:color w:val="000000" w:themeColor="text1"/>
          <w:sz w:val="24"/>
          <w:highlight w:val="none"/>
          <w14:textFill>
            <w14:solidFill>
              <w14:schemeClr w14:val="tx1"/>
            </w14:solidFill>
          </w14:textFill>
        </w:rPr>
        <w:t>投标报价得分=(评标基准价／投标报价)×30%×100 。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7E971F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2.评分标准：</w:t>
      </w:r>
    </w:p>
    <w:p w14:paraId="1CC0EA9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共100分，其中商务技术分</w:t>
      </w:r>
      <w:r>
        <w:rPr>
          <w:rFonts w:hint="eastAsia" w:ascii="仿宋" w:hAnsi="仿宋" w:eastAsia="仿宋" w:cs="仿宋"/>
          <w:color w:val="000000" w:themeColor="text1"/>
          <w:sz w:val="24"/>
          <w:highlight w:val="none"/>
          <w:u w:val="single"/>
          <w:lang w:val="en-US" w:eastAsia="zh-CN"/>
          <w14:textFill>
            <w14:solidFill>
              <w14:schemeClr w14:val="tx1"/>
            </w14:solidFill>
          </w14:textFill>
        </w:rPr>
        <w:t>70</w:t>
      </w:r>
      <w:r>
        <w:rPr>
          <w:rFonts w:hint="eastAsia" w:ascii="仿宋" w:hAnsi="仿宋" w:eastAsia="仿宋" w:cs="仿宋"/>
          <w:color w:val="000000" w:themeColor="text1"/>
          <w:sz w:val="24"/>
          <w:highlight w:val="none"/>
          <w14:textFill>
            <w14:solidFill>
              <w14:schemeClr w14:val="tx1"/>
            </w14:solidFill>
          </w14:textFill>
        </w:rPr>
        <w:t>分，价格</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分。评分依下述所列为评标打分依据，分值如下（计算分值时，按其算术平均值保留小数2位）。</w:t>
      </w:r>
    </w:p>
    <w:p w14:paraId="5B26161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2.1商务技术分（</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70</w:t>
      </w:r>
      <w:r>
        <w:rPr>
          <w:rFonts w:hint="eastAsia" w:ascii="仿宋" w:hAnsi="仿宋" w:eastAsia="仿宋" w:cs="仿宋"/>
          <w:b/>
          <w:bCs/>
          <w:iCs/>
          <w:color w:val="000000" w:themeColor="text1"/>
          <w:sz w:val="24"/>
          <w:highlight w:val="none"/>
          <w14:textFill>
            <w14:solidFill>
              <w14:schemeClr w14:val="tx1"/>
            </w14:solidFill>
          </w14:textFill>
        </w:rPr>
        <w:t>分）</w:t>
      </w:r>
    </w:p>
    <w:tbl>
      <w:tblPr>
        <w:tblStyle w:val="1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4607"/>
        <w:gridCol w:w="776"/>
        <w:gridCol w:w="1463"/>
        <w:gridCol w:w="1884"/>
      </w:tblGrid>
      <w:tr w14:paraId="49B9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F85300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4607" w:type="dxa"/>
            <w:vAlign w:val="center"/>
          </w:tcPr>
          <w:p w14:paraId="3DDB0C7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评审标准</w:t>
            </w:r>
          </w:p>
        </w:tc>
        <w:tc>
          <w:tcPr>
            <w:tcW w:w="776" w:type="dxa"/>
            <w:vAlign w:val="center"/>
          </w:tcPr>
          <w:p w14:paraId="485231D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权重</w:t>
            </w:r>
          </w:p>
        </w:tc>
        <w:tc>
          <w:tcPr>
            <w:tcW w:w="1463" w:type="dxa"/>
            <w:vAlign w:val="center"/>
          </w:tcPr>
          <w:p w14:paraId="4F87589F">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bCs/>
                <w:sz w:val="21"/>
                <w:szCs w:val="21"/>
              </w:rPr>
            </w:pPr>
            <w:r>
              <w:rPr>
                <w:rFonts w:hint="eastAsia" w:ascii="仿宋" w:hAnsi="仿宋" w:eastAsia="仿宋" w:cs="仿宋"/>
                <w:bCs/>
                <w:sz w:val="21"/>
                <w:szCs w:val="21"/>
              </w:rPr>
              <w:t>主观分/客观分属性</w:t>
            </w:r>
          </w:p>
        </w:tc>
        <w:tc>
          <w:tcPr>
            <w:tcW w:w="1884" w:type="dxa"/>
            <w:vAlign w:val="center"/>
          </w:tcPr>
          <w:p w14:paraId="685C11DC">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bCs/>
                <w:sz w:val="21"/>
                <w:szCs w:val="21"/>
                <w:lang w:eastAsia="zh-CN"/>
              </w:rPr>
              <w:t>招标文件</w:t>
            </w:r>
            <w:r>
              <w:rPr>
                <w:rFonts w:hint="eastAsia" w:ascii="仿宋" w:hAnsi="仿宋" w:eastAsia="仿宋" w:cs="仿宋"/>
                <w:bCs/>
                <w:sz w:val="21"/>
                <w:szCs w:val="21"/>
              </w:rPr>
              <w:t>中评审标准相应的商务技术资料目录</w:t>
            </w:r>
            <w:r>
              <w:rPr>
                <w:rFonts w:hint="eastAsia" w:ascii="仿宋" w:hAnsi="仿宋" w:eastAsia="仿宋" w:cs="仿宋"/>
                <w:sz w:val="21"/>
                <w:szCs w:val="21"/>
                <w:shd w:val="clear" w:color="auto" w:fill="FFFFFF"/>
              </w:rPr>
              <w:t> *</w:t>
            </w:r>
          </w:p>
        </w:tc>
      </w:tr>
      <w:tr w14:paraId="4F13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4F7D143">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607" w:type="dxa"/>
            <w:vAlign w:val="center"/>
          </w:tcPr>
          <w:p w14:paraId="62F58E80">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企业管理体系</w:t>
            </w:r>
            <w:r>
              <w:rPr>
                <w:rFonts w:hint="eastAsia" w:ascii="仿宋" w:hAnsi="仿宋" w:eastAsia="仿宋" w:cs="仿宋"/>
                <w:sz w:val="21"/>
                <w:szCs w:val="21"/>
                <w:lang w:eastAsia="zh-CN"/>
              </w:rPr>
              <w:t>：</w:t>
            </w:r>
            <w:r>
              <w:rPr>
                <w:rFonts w:hint="eastAsia" w:ascii="仿宋" w:hAnsi="仿宋" w:eastAsia="仿宋" w:cs="仿宋"/>
                <w:sz w:val="21"/>
                <w:szCs w:val="21"/>
              </w:rPr>
              <w:t>供应商具备有效的质量管理体系认证证书、职业健康管安全理体系认证证书，环境管理体系认证证书，信息安全管理体系证书的每项得1分，共4分。</w:t>
            </w:r>
          </w:p>
          <w:p w14:paraId="1A607044">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b/>
                <w:bCs/>
                <w:sz w:val="21"/>
                <w:szCs w:val="21"/>
                <w:lang w:eastAsia="zh-CN"/>
              </w:rPr>
              <w:t>注：</w:t>
            </w:r>
            <w:r>
              <w:rPr>
                <w:rFonts w:hint="eastAsia" w:ascii="仿宋" w:hAnsi="仿宋" w:eastAsia="仿宋" w:cs="仿宋"/>
                <w:b/>
                <w:bCs/>
                <w:sz w:val="21"/>
                <w:szCs w:val="21"/>
              </w:rPr>
              <w:t>提供相关</w:t>
            </w:r>
            <w:r>
              <w:rPr>
                <w:rFonts w:hint="eastAsia" w:ascii="仿宋" w:hAnsi="仿宋" w:eastAsia="仿宋" w:cs="仿宋"/>
                <w:b/>
                <w:bCs/>
                <w:sz w:val="21"/>
                <w:szCs w:val="21"/>
                <w:lang w:eastAsia="zh-CN"/>
              </w:rPr>
              <w:t>有效期内的</w:t>
            </w:r>
            <w:r>
              <w:rPr>
                <w:rFonts w:hint="eastAsia" w:ascii="仿宋" w:hAnsi="仿宋" w:eastAsia="仿宋" w:cs="仿宋"/>
                <w:b/>
                <w:bCs/>
                <w:sz w:val="21"/>
                <w:szCs w:val="21"/>
              </w:rPr>
              <w:t>证书</w:t>
            </w:r>
            <w:r>
              <w:rPr>
                <w:rFonts w:hint="eastAsia" w:ascii="仿宋" w:hAnsi="仿宋" w:eastAsia="仿宋" w:cs="仿宋"/>
                <w:b/>
                <w:bCs/>
                <w:sz w:val="21"/>
                <w:szCs w:val="21"/>
                <w:lang w:eastAsia="zh-CN"/>
              </w:rPr>
              <w:t>扫描件</w:t>
            </w:r>
            <w:r>
              <w:rPr>
                <w:rFonts w:hint="eastAsia" w:ascii="仿宋" w:hAnsi="仿宋" w:eastAsia="仿宋" w:cs="仿宋"/>
                <w:b/>
                <w:bCs/>
                <w:kern w:val="2"/>
                <w:sz w:val="21"/>
                <w:szCs w:val="21"/>
                <w:lang w:val="en-US" w:eastAsia="zh-CN" w:bidi="ar-SA"/>
              </w:rPr>
              <w:t>编入商务技术文件，否则不得分。</w:t>
            </w:r>
          </w:p>
        </w:tc>
        <w:tc>
          <w:tcPr>
            <w:tcW w:w="776" w:type="dxa"/>
            <w:vAlign w:val="center"/>
          </w:tcPr>
          <w:p w14:paraId="6F5C5F6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135CD330">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客观分</w:t>
            </w:r>
          </w:p>
        </w:tc>
        <w:tc>
          <w:tcPr>
            <w:tcW w:w="1884" w:type="dxa"/>
            <w:vAlign w:val="center"/>
          </w:tcPr>
          <w:p w14:paraId="53BD9CF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4C0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7E6F3E4B">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607" w:type="dxa"/>
            <w:vAlign w:val="center"/>
          </w:tcPr>
          <w:p w14:paraId="09985EEA">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供应商具有中国合格评定国家认可委员会出具的实验室认可证书的得3分，具有中国合格评定国家认可委员会出具的检验机构认可证书的得3分且附表中包含结构安全性和可靠性评价、结构抗震性能评价</w:t>
            </w:r>
            <w:r>
              <w:rPr>
                <w:rFonts w:hint="eastAsia" w:ascii="仿宋" w:hAnsi="仿宋" w:eastAsia="仿宋" w:cs="仿宋"/>
                <w:sz w:val="21"/>
                <w:szCs w:val="21"/>
              </w:rPr>
              <w:t>，共</w:t>
            </w:r>
            <w:r>
              <w:rPr>
                <w:rFonts w:hint="eastAsia" w:ascii="仿宋" w:hAnsi="仿宋" w:eastAsia="仿宋" w:cs="仿宋"/>
                <w:sz w:val="21"/>
                <w:szCs w:val="21"/>
                <w:lang w:val="en-US" w:eastAsia="zh-CN"/>
              </w:rPr>
              <w:t>6</w:t>
            </w:r>
            <w:r>
              <w:rPr>
                <w:rFonts w:hint="eastAsia" w:ascii="仿宋" w:hAnsi="仿宋" w:eastAsia="仿宋" w:cs="仿宋"/>
                <w:sz w:val="21"/>
                <w:szCs w:val="21"/>
              </w:rPr>
              <w:t>分。</w:t>
            </w:r>
          </w:p>
          <w:p w14:paraId="685451B4">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注：有效期内的证书原件扫描件编入商务技术文件，否则不得分。</w:t>
            </w:r>
          </w:p>
        </w:tc>
        <w:tc>
          <w:tcPr>
            <w:tcW w:w="776" w:type="dxa"/>
            <w:vAlign w:val="center"/>
          </w:tcPr>
          <w:p w14:paraId="39F0C71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463" w:type="dxa"/>
            <w:vAlign w:val="center"/>
          </w:tcPr>
          <w:p w14:paraId="7259329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c>
          <w:tcPr>
            <w:tcW w:w="1884" w:type="dxa"/>
            <w:vAlign w:val="center"/>
          </w:tcPr>
          <w:p w14:paraId="7947F0F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p>
        </w:tc>
      </w:tr>
      <w:tr w14:paraId="27D5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7CBE8D2">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607" w:type="dxa"/>
            <w:vAlign w:val="center"/>
          </w:tcPr>
          <w:p w14:paraId="4F1FC13D">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1.具有省级及以上高新技术企业研究开发中心的得3分；</w:t>
            </w:r>
          </w:p>
          <w:p w14:paraId="6EB36B87">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2.具有省级及以上中小企业荣誉证书的得3分。</w:t>
            </w:r>
          </w:p>
        </w:tc>
        <w:tc>
          <w:tcPr>
            <w:tcW w:w="776" w:type="dxa"/>
            <w:vAlign w:val="center"/>
          </w:tcPr>
          <w:p w14:paraId="3B47E33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463" w:type="dxa"/>
            <w:vAlign w:val="center"/>
          </w:tcPr>
          <w:p w14:paraId="21FE41FC">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c>
          <w:tcPr>
            <w:tcW w:w="1884" w:type="dxa"/>
            <w:vAlign w:val="center"/>
          </w:tcPr>
          <w:p w14:paraId="61D5FC0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p>
        </w:tc>
      </w:tr>
      <w:tr w14:paraId="6D05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FD27272">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607" w:type="dxa"/>
            <w:vAlign w:val="center"/>
          </w:tcPr>
          <w:p w14:paraId="6C110E8F">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供应商自2020年1月1日以来具有同类项目业绩的，每提供一份合同得1分，最高得2分。</w:t>
            </w:r>
          </w:p>
          <w:p w14:paraId="4A60F9F8">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注：提供相关合同复印件加盖公章，否则不得分（开标结束，该中标供应商业绩公布在中标结果公告上）。</w:t>
            </w:r>
          </w:p>
        </w:tc>
        <w:tc>
          <w:tcPr>
            <w:tcW w:w="776" w:type="dxa"/>
            <w:vAlign w:val="center"/>
          </w:tcPr>
          <w:p w14:paraId="08716F6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463" w:type="dxa"/>
            <w:vAlign w:val="center"/>
          </w:tcPr>
          <w:p w14:paraId="5A29A07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客观分</w:t>
            </w:r>
          </w:p>
        </w:tc>
        <w:tc>
          <w:tcPr>
            <w:tcW w:w="1884" w:type="dxa"/>
            <w:vAlign w:val="center"/>
          </w:tcPr>
          <w:p w14:paraId="0B5A5EC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52AC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E8511F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607" w:type="dxa"/>
            <w:vAlign w:val="center"/>
          </w:tcPr>
          <w:p w14:paraId="55740109">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项目组成员：</w:t>
            </w:r>
          </w:p>
          <w:p w14:paraId="711FEAD0">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1.项目负责人（6分）：</w:t>
            </w:r>
          </w:p>
          <w:p w14:paraId="4143CFA5">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具备一级注册结构工程师执业资格得4分，具备结构工程或建筑结构专业高级工程师及以上职称的得2分，本项最高得6分。</w:t>
            </w:r>
          </w:p>
          <w:p w14:paraId="7813C186">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2.技术负责人（6分）：</w:t>
            </w:r>
          </w:p>
          <w:p w14:paraId="1470AD51">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具备一级注册结构工程师执业资格得4分，具备结构工程或建筑结构专业高级工程师及以上职称的得2分，本项最高得6分。</w:t>
            </w:r>
          </w:p>
        </w:tc>
        <w:tc>
          <w:tcPr>
            <w:tcW w:w="776" w:type="dxa"/>
            <w:vAlign w:val="center"/>
          </w:tcPr>
          <w:p w14:paraId="467714A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463" w:type="dxa"/>
            <w:vAlign w:val="center"/>
          </w:tcPr>
          <w:p w14:paraId="16251A5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c>
          <w:tcPr>
            <w:tcW w:w="1884" w:type="dxa"/>
            <w:vAlign w:val="center"/>
          </w:tcPr>
          <w:p w14:paraId="7480768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70A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08958C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607" w:type="dxa"/>
            <w:vAlign w:val="center"/>
          </w:tcPr>
          <w:p w14:paraId="39E988CC">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仪器设备配备情况</w:t>
            </w:r>
            <w:r>
              <w:rPr>
                <w:rFonts w:hint="eastAsia" w:ascii="仿宋" w:hAnsi="仿宋" w:eastAsia="仿宋" w:cs="仿宋"/>
                <w:sz w:val="21"/>
                <w:szCs w:val="21"/>
                <w:lang w:eastAsia="zh-CN"/>
              </w:rPr>
              <w:t>：</w:t>
            </w:r>
          </w:p>
          <w:p w14:paraId="56968E75">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rPr>
              <w:t>根据供应商为本项目拟投入检测仪器和鉴定设备的完备性以及先进性，并提供法定计量部门出具的有效检定（校准）证书盖章复印件：</w:t>
            </w:r>
            <w:r>
              <w:rPr>
                <w:rFonts w:hint="eastAsia" w:ascii="仿宋" w:hAnsi="仿宋" w:eastAsia="仿宋" w:cs="仿宋"/>
                <w:sz w:val="21"/>
                <w:szCs w:val="21"/>
                <w:lang w:val="en-US" w:eastAsia="zh-CN"/>
              </w:rPr>
              <w:t>①混凝土强度回弹仪得1分、②一体式钢筋检测仪得1分、③高精度全站仪（精度</w:t>
            </w:r>
            <w:r>
              <w:rPr>
                <w:rFonts w:hint="eastAsia" w:ascii="仿宋" w:hAnsi="仿宋" w:eastAsia="仿宋" w:cs="仿宋"/>
                <w:sz w:val="21"/>
                <w:szCs w:val="21"/>
              </w:rPr>
              <w:t>0.5</w:t>
            </w:r>
            <w:r>
              <w:rPr>
                <w:rFonts w:hint="eastAsia" w:ascii="仿宋" w:hAnsi="仿宋" w:eastAsia="仿宋" w:cs="仿宋"/>
                <w:sz w:val="21"/>
                <w:szCs w:val="21"/>
                <w:lang w:val="en-US" w:eastAsia="zh-CN"/>
              </w:rPr>
              <w:t>秒）得1分，④投标供应商具有相应其它仪器的得一分，共4分。</w:t>
            </w:r>
          </w:p>
          <w:p w14:paraId="55F41AA6">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注：</w:t>
            </w:r>
            <w:r>
              <w:rPr>
                <w:rFonts w:hint="eastAsia" w:ascii="仿宋" w:hAnsi="仿宋" w:eastAsia="仿宋" w:cs="仿宋"/>
                <w:sz w:val="21"/>
                <w:szCs w:val="21"/>
              </w:rPr>
              <w:t>法定计量部门出具的有效检定（校准）证书</w:t>
            </w:r>
            <w:r>
              <w:rPr>
                <w:rFonts w:hint="eastAsia" w:ascii="仿宋" w:hAnsi="仿宋" w:eastAsia="仿宋" w:cs="仿宋"/>
                <w:sz w:val="21"/>
                <w:szCs w:val="21"/>
                <w:lang w:val="en-US" w:eastAsia="zh-CN"/>
              </w:rPr>
              <w:t>和设备的购买发票</w:t>
            </w:r>
            <w:r>
              <w:rPr>
                <w:rFonts w:hint="eastAsia" w:ascii="仿宋" w:hAnsi="仿宋" w:eastAsia="仿宋" w:cs="仿宋"/>
                <w:sz w:val="21"/>
                <w:szCs w:val="21"/>
              </w:rPr>
              <w:t>原件扫描件编入商务技术文件，否则不得分。</w:t>
            </w:r>
          </w:p>
        </w:tc>
        <w:tc>
          <w:tcPr>
            <w:tcW w:w="776" w:type="dxa"/>
            <w:vAlign w:val="center"/>
          </w:tcPr>
          <w:p w14:paraId="42D9630C">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05FD69D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客</w:t>
            </w:r>
            <w:r>
              <w:rPr>
                <w:rFonts w:hint="eastAsia" w:ascii="仿宋" w:hAnsi="仿宋" w:eastAsia="仿宋" w:cs="仿宋"/>
                <w:sz w:val="21"/>
                <w:szCs w:val="21"/>
                <w:lang w:eastAsia="zh-CN"/>
              </w:rPr>
              <w:t>观分</w:t>
            </w:r>
          </w:p>
        </w:tc>
        <w:tc>
          <w:tcPr>
            <w:tcW w:w="1884" w:type="dxa"/>
            <w:vAlign w:val="center"/>
          </w:tcPr>
          <w:p w14:paraId="5B5E450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7BBB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BC2627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4607" w:type="dxa"/>
            <w:vAlign w:val="center"/>
          </w:tcPr>
          <w:p w14:paraId="0DE30194">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根据供应商针对本项目了解程度进行评分：</w:t>
            </w:r>
          </w:p>
          <w:p w14:paraId="3D48D6E8">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r>
              <w:rPr>
                <w:rFonts w:hint="eastAsia" w:ascii="仿宋" w:hAnsi="仿宋" w:eastAsia="仿宋" w:cs="仿宋"/>
                <w:kern w:val="2"/>
                <w:sz w:val="21"/>
                <w:szCs w:val="21"/>
                <w:lang w:val="zh-CN" w:eastAsia="zh-CN" w:bidi="ar-SA"/>
              </w:rPr>
              <w:t>对项目现状调研充分、对存在的问题和矛盾分析到位、对项目需求的理解等</w:t>
            </w:r>
            <w:r>
              <w:rPr>
                <w:rFonts w:hint="eastAsia" w:ascii="仿宋" w:hAnsi="仿宋" w:eastAsia="仿宋" w:cs="仿宋"/>
                <w:kern w:val="2"/>
                <w:sz w:val="21"/>
                <w:szCs w:val="21"/>
                <w:lang w:val="en-US" w:eastAsia="zh-CN" w:bidi="ar-SA"/>
              </w:rPr>
              <w:t>内容符合的得2.1-3分；</w:t>
            </w:r>
          </w:p>
          <w:p w14:paraId="329D2A6C">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r>
              <w:rPr>
                <w:rFonts w:hint="eastAsia" w:ascii="仿宋" w:hAnsi="仿宋" w:eastAsia="仿宋" w:cs="仿宋"/>
                <w:kern w:val="2"/>
                <w:sz w:val="21"/>
                <w:szCs w:val="21"/>
                <w:lang w:val="zh-CN" w:eastAsia="zh-CN" w:bidi="ar-SA"/>
              </w:rPr>
              <w:t>对项目现状调研</w:t>
            </w:r>
            <w:r>
              <w:rPr>
                <w:rFonts w:hint="eastAsia" w:ascii="仿宋" w:hAnsi="仿宋" w:eastAsia="仿宋" w:cs="仿宋"/>
                <w:kern w:val="2"/>
                <w:sz w:val="21"/>
                <w:szCs w:val="21"/>
                <w:lang w:val="en-US" w:eastAsia="zh-CN" w:bidi="ar-SA"/>
              </w:rPr>
              <w:t>基本</w:t>
            </w:r>
            <w:r>
              <w:rPr>
                <w:rFonts w:hint="eastAsia" w:ascii="仿宋" w:hAnsi="仿宋" w:eastAsia="仿宋" w:cs="仿宋"/>
                <w:kern w:val="2"/>
                <w:sz w:val="21"/>
                <w:szCs w:val="21"/>
                <w:lang w:val="zh-CN" w:eastAsia="zh-CN" w:bidi="ar-SA"/>
              </w:rPr>
              <w:t>充分、对存在的问题和矛盾分析</w:t>
            </w:r>
            <w:r>
              <w:rPr>
                <w:rFonts w:hint="eastAsia" w:ascii="仿宋" w:hAnsi="仿宋" w:eastAsia="仿宋" w:cs="仿宋"/>
                <w:kern w:val="2"/>
                <w:sz w:val="21"/>
                <w:szCs w:val="21"/>
                <w:lang w:val="en-US" w:eastAsia="zh-CN" w:bidi="ar-SA"/>
              </w:rPr>
              <w:t>基本</w:t>
            </w:r>
            <w:r>
              <w:rPr>
                <w:rFonts w:hint="eastAsia" w:ascii="仿宋" w:hAnsi="仿宋" w:eastAsia="仿宋" w:cs="仿宋"/>
                <w:kern w:val="2"/>
                <w:sz w:val="21"/>
                <w:szCs w:val="21"/>
                <w:lang w:val="zh-CN" w:eastAsia="zh-CN" w:bidi="ar-SA"/>
              </w:rPr>
              <w:t>到位、对项目需求的理解等</w:t>
            </w:r>
            <w:r>
              <w:rPr>
                <w:rFonts w:hint="eastAsia" w:ascii="仿宋" w:hAnsi="仿宋" w:eastAsia="仿宋" w:cs="仿宋"/>
                <w:kern w:val="2"/>
                <w:sz w:val="21"/>
                <w:szCs w:val="21"/>
                <w:lang w:val="en-US" w:eastAsia="zh-CN" w:bidi="ar-SA"/>
              </w:rPr>
              <w:t>内容基本符合的得1-2分；</w:t>
            </w:r>
          </w:p>
          <w:p w14:paraId="0C3A0F12">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3.未提供相关内容或内容欠缺、笼统，了解较差的得0分。</w:t>
            </w:r>
          </w:p>
        </w:tc>
        <w:tc>
          <w:tcPr>
            <w:tcW w:w="776" w:type="dxa"/>
            <w:vAlign w:val="center"/>
          </w:tcPr>
          <w:p w14:paraId="225A99B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63" w:type="dxa"/>
            <w:vAlign w:val="center"/>
          </w:tcPr>
          <w:p w14:paraId="528B9B90">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主观分</w:t>
            </w:r>
          </w:p>
        </w:tc>
        <w:tc>
          <w:tcPr>
            <w:tcW w:w="1884" w:type="dxa"/>
            <w:vAlign w:val="center"/>
          </w:tcPr>
          <w:p w14:paraId="59922B92">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1E61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669DB4C">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4607" w:type="dxa"/>
            <w:vAlign w:val="center"/>
          </w:tcPr>
          <w:p w14:paraId="68EA4422">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根据供应商针对本项目制定详细的实施方案进行评分：</w:t>
            </w:r>
          </w:p>
          <w:p w14:paraId="1B6435AE">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1.方案科学、合理、可行的得2.1-3分；</w:t>
            </w:r>
          </w:p>
          <w:p w14:paraId="2469D75D">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2.方案基本科学、基本合理、基本可行的得1-2分；</w:t>
            </w:r>
          </w:p>
          <w:p w14:paraId="74CE81F8">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3.未提供相关内容或内容欠缺、笼统，可行性较差的得0分。</w:t>
            </w:r>
          </w:p>
        </w:tc>
        <w:tc>
          <w:tcPr>
            <w:tcW w:w="776" w:type="dxa"/>
            <w:vAlign w:val="center"/>
          </w:tcPr>
          <w:p w14:paraId="65BC4E5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63" w:type="dxa"/>
            <w:vAlign w:val="center"/>
          </w:tcPr>
          <w:p w14:paraId="52F5306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101953D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4959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F14E8EF">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4607" w:type="dxa"/>
            <w:vAlign w:val="center"/>
          </w:tcPr>
          <w:p w14:paraId="266796DB">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根据供应商对质量控制措施方案进行评分：</w:t>
            </w:r>
          </w:p>
          <w:p w14:paraId="26A2ED7F">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1.质量控制措施方案合理的、严密、全面的，得</w:t>
            </w:r>
            <w:r>
              <w:rPr>
                <w:rFonts w:hint="eastAsia" w:ascii="仿宋" w:hAnsi="仿宋" w:eastAsia="仿宋" w:cs="仿宋"/>
                <w:sz w:val="21"/>
                <w:szCs w:val="21"/>
                <w:lang w:val="en-US" w:eastAsia="zh-CN"/>
              </w:rPr>
              <w:t>3.1-4</w:t>
            </w:r>
            <w:r>
              <w:rPr>
                <w:rFonts w:hint="eastAsia" w:ascii="仿宋" w:hAnsi="仿宋" w:eastAsia="仿宋" w:cs="仿宋"/>
                <w:sz w:val="21"/>
                <w:szCs w:val="21"/>
              </w:rPr>
              <w:t>分。</w:t>
            </w:r>
          </w:p>
          <w:p w14:paraId="431701E2">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2.质量控制措施方案基本合理的、全面的，得</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58E14D93">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3.未提供相关内容或质量控制措施方案内容不完善的，得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34A8E053">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6435F5A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64F238A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51F7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7FF31A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4607" w:type="dxa"/>
            <w:vAlign w:val="center"/>
          </w:tcPr>
          <w:p w14:paraId="74523110">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根据供应商对工期进度的实施计划及保障措施进行评分：</w:t>
            </w:r>
          </w:p>
          <w:p w14:paraId="23750EBA">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1.工期进度计划及保证措施完善、可行，可完全确保服务质量满足采购需求的得</w:t>
            </w:r>
            <w:r>
              <w:rPr>
                <w:rFonts w:hint="eastAsia" w:ascii="仿宋" w:hAnsi="仿宋" w:eastAsia="仿宋" w:cs="仿宋"/>
                <w:sz w:val="21"/>
                <w:szCs w:val="21"/>
                <w:lang w:val="en-US" w:eastAsia="zh-CN"/>
              </w:rPr>
              <w:t>3.1-4</w:t>
            </w:r>
            <w:r>
              <w:rPr>
                <w:rFonts w:hint="eastAsia" w:ascii="仿宋" w:hAnsi="仿宋" w:eastAsia="仿宋" w:cs="仿宋"/>
                <w:sz w:val="21"/>
                <w:szCs w:val="21"/>
              </w:rPr>
              <w:t>分。</w:t>
            </w:r>
          </w:p>
          <w:p w14:paraId="5DC54D0C">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2.工期进度计划及保证措施较完善、可行，基本能确保项目服务进度及质量要求的得</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0BCA27A2">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3.未提及或工期进度计划及保证措施较笼统，无法保证服务质量的得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3BFDCAC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662CD22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1DE815B5">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13C5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552B246">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4607" w:type="dxa"/>
            <w:vAlign w:val="center"/>
          </w:tcPr>
          <w:p w14:paraId="0FA273C3">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根据供应商的安全保障措施进行评分：</w:t>
            </w:r>
          </w:p>
          <w:p w14:paraId="5FDB20E4">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zh-CN"/>
              </w:rPr>
              <w:t>1.安全文明施工措施充分，安全生产管理制度健全的，</w:t>
            </w:r>
            <w:r>
              <w:rPr>
                <w:rFonts w:hint="eastAsia" w:ascii="仿宋" w:hAnsi="仿宋" w:eastAsia="仿宋" w:cs="仿宋"/>
                <w:sz w:val="21"/>
                <w:szCs w:val="21"/>
              </w:rPr>
              <w:t>可完全确保鉴定服务安全、顺利实施的得</w:t>
            </w:r>
            <w:r>
              <w:rPr>
                <w:rFonts w:hint="eastAsia" w:ascii="仿宋" w:hAnsi="仿宋" w:eastAsia="仿宋" w:cs="仿宋"/>
                <w:sz w:val="21"/>
                <w:szCs w:val="21"/>
                <w:lang w:val="en-US" w:eastAsia="zh-CN"/>
              </w:rPr>
              <w:t>2.1-3</w:t>
            </w:r>
            <w:r>
              <w:rPr>
                <w:rFonts w:hint="eastAsia" w:ascii="仿宋" w:hAnsi="仿宋" w:eastAsia="仿宋" w:cs="仿宋"/>
                <w:sz w:val="21"/>
                <w:szCs w:val="21"/>
              </w:rPr>
              <w:t>分。</w:t>
            </w:r>
          </w:p>
          <w:p w14:paraId="322E1632">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2.具有较完善的</w:t>
            </w:r>
            <w:r>
              <w:rPr>
                <w:rFonts w:hint="eastAsia" w:ascii="仿宋" w:hAnsi="仿宋" w:eastAsia="仿宋" w:cs="仿宋"/>
                <w:sz w:val="21"/>
                <w:szCs w:val="21"/>
                <w:lang w:val="zh-CN"/>
              </w:rPr>
              <w:t>安全文明施工措施和安全生产管理制度，</w:t>
            </w:r>
            <w:r>
              <w:rPr>
                <w:rFonts w:hint="eastAsia" w:ascii="仿宋" w:hAnsi="仿宋" w:eastAsia="仿宋" w:cs="仿宋"/>
                <w:sz w:val="21"/>
                <w:szCs w:val="21"/>
              </w:rPr>
              <w:t>基本能保证鉴定服务安全、顺利实施的得</w:t>
            </w:r>
            <w:r>
              <w:rPr>
                <w:rFonts w:hint="eastAsia" w:ascii="仿宋" w:hAnsi="仿宋" w:eastAsia="仿宋" w:cs="仿宋"/>
                <w:sz w:val="21"/>
                <w:szCs w:val="21"/>
                <w:lang w:eastAsia="zh-CN"/>
              </w:rPr>
              <w:t>1-2</w:t>
            </w:r>
            <w:r>
              <w:rPr>
                <w:rFonts w:hint="eastAsia" w:ascii="仿宋" w:hAnsi="仿宋" w:eastAsia="仿宋" w:cs="仿宋"/>
                <w:sz w:val="21"/>
                <w:szCs w:val="21"/>
              </w:rPr>
              <w:t>分。</w:t>
            </w:r>
          </w:p>
          <w:p w14:paraId="3F2EA011">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3.未提及或保障措施较笼统的得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3A781B65">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63" w:type="dxa"/>
            <w:vAlign w:val="center"/>
          </w:tcPr>
          <w:p w14:paraId="672D2FCB">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1B737C1F">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648E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0E31F05">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4607" w:type="dxa"/>
            <w:vAlign w:val="center"/>
          </w:tcPr>
          <w:p w14:paraId="5B2500EE">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根据供应商对本项目项目重点、难点的分析及应对措施方案进行评分：</w:t>
            </w:r>
          </w:p>
          <w:p w14:paraId="6FE8C3F1">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zh-CN"/>
              </w:rPr>
              <w:t>1.</w:t>
            </w:r>
            <w:r>
              <w:rPr>
                <w:rFonts w:hint="eastAsia" w:ascii="仿宋" w:hAnsi="仿宋" w:eastAsia="仿宋" w:cs="仿宋"/>
                <w:sz w:val="21"/>
                <w:szCs w:val="21"/>
              </w:rPr>
              <w:t>重点、难点分析到位</w:t>
            </w:r>
            <w:r>
              <w:rPr>
                <w:rFonts w:hint="eastAsia" w:ascii="仿宋" w:hAnsi="仿宋" w:eastAsia="仿宋" w:cs="仿宋"/>
                <w:sz w:val="21"/>
                <w:szCs w:val="21"/>
                <w:lang w:val="zh-CN"/>
              </w:rPr>
              <w:t>，</w:t>
            </w:r>
            <w:r>
              <w:rPr>
                <w:rFonts w:hint="eastAsia" w:ascii="仿宋" w:hAnsi="仿宋" w:eastAsia="仿宋" w:cs="仿宋"/>
                <w:sz w:val="21"/>
                <w:szCs w:val="21"/>
              </w:rPr>
              <w:t>应对措施方案合理、有效的得</w:t>
            </w:r>
            <w:r>
              <w:rPr>
                <w:rFonts w:hint="eastAsia" w:ascii="仿宋" w:hAnsi="仿宋" w:eastAsia="仿宋" w:cs="仿宋"/>
                <w:sz w:val="21"/>
                <w:szCs w:val="21"/>
                <w:lang w:val="en-US" w:eastAsia="zh-CN"/>
              </w:rPr>
              <w:t>2.1-3</w:t>
            </w:r>
            <w:r>
              <w:rPr>
                <w:rFonts w:hint="eastAsia" w:ascii="仿宋" w:hAnsi="仿宋" w:eastAsia="仿宋" w:cs="仿宋"/>
                <w:sz w:val="21"/>
                <w:szCs w:val="21"/>
              </w:rPr>
              <w:t>分。</w:t>
            </w:r>
          </w:p>
          <w:p w14:paraId="0178FB17">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2.重点、难点分析基本到位</w:t>
            </w:r>
            <w:r>
              <w:rPr>
                <w:rFonts w:hint="eastAsia" w:ascii="仿宋" w:hAnsi="仿宋" w:eastAsia="仿宋" w:cs="仿宋"/>
                <w:sz w:val="21"/>
                <w:szCs w:val="21"/>
                <w:lang w:val="zh-CN"/>
              </w:rPr>
              <w:t>，</w:t>
            </w:r>
            <w:r>
              <w:rPr>
                <w:rFonts w:hint="eastAsia" w:ascii="仿宋" w:hAnsi="仿宋" w:eastAsia="仿宋" w:cs="仿宋"/>
                <w:sz w:val="21"/>
                <w:szCs w:val="21"/>
              </w:rPr>
              <w:t>应对措施方案基本合理、有效的得</w:t>
            </w:r>
            <w:r>
              <w:rPr>
                <w:rFonts w:hint="eastAsia" w:ascii="仿宋" w:hAnsi="仿宋" w:eastAsia="仿宋" w:cs="仿宋"/>
                <w:sz w:val="21"/>
                <w:szCs w:val="21"/>
                <w:lang w:eastAsia="zh-CN"/>
              </w:rPr>
              <w:t>1-2</w:t>
            </w:r>
            <w:r>
              <w:rPr>
                <w:rFonts w:hint="eastAsia" w:ascii="仿宋" w:hAnsi="仿宋" w:eastAsia="仿宋" w:cs="仿宋"/>
                <w:sz w:val="21"/>
                <w:szCs w:val="21"/>
              </w:rPr>
              <w:t>分。</w:t>
            </w:r>
          </w:p>
          <w:p w14:paraId="747F2D8D">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3.未提及或较笼统的得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4E40B5A8">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63" w:type="dxa"/>
            <w:vAlign w:val="center"/>
          </w:tcPr>
          <w:p w14:paraId="4E49BA4F">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0B64711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5879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4E881DD">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4607" w:type="dxa"/>
            <w:vAlign w:val="center"/>
          </w:tcPr>
          <w:p w14:paraId="65C7580B">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根据供应商提供的可能出现问题的分析及应急处理预案进行评分：</w:t>
            </w:r>
          </w:p>
          <w:p w14:paraId="65BA1778">
            <w:pPr>
              <w:keepNext w:val="0"/>
              <w:keepLines w:val="0"/>
              <w:pageBreakBefore w:val="0"/>
              <w:widowControl/>
              <w:numPr>
                <w:ilvl w:val="0"/>
                <w:numId w:val="4"/>
              </w:numPr>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预案分析的全面程度，应急措施的合理、可行性的得</w:t>
            </w:r>
            <w:r>
              <w:rPr>
                <w:rFonts w:hint="eastAsia" w:ascii="仿宋" w:hAnsi="仿宋" w:eastAsia="仿宋" w:cs="仿宋"/>
                <w:sz w:val="21"/>
                <w:szCs w:val="21"/>
                <w:lang w:val="en-US" w:eastAsia="zh-CN"/>
              </w:rPr>
              <w:t>3.1-4</w:t>
            </w:r>
            <w:r>
              <w:rPr>
                <w:rFonts w:hint="eastAsia" w:ascii="仿宋" w:hAnsi="仿宋" w:eastAsia="仿宋" w:cs="仿宋"/>
                <w:sz w:val="21"/>
                <w:szCs w:val="21"/>
              </w:rPr>
              <w:t>分。</w:t>
            </w:r>
          </w:p>
          <w:p w14:paraId="640C4C01">
            <w:pPr>
              <w:keepNext w:val="0"/>
              <w:keepLines w:val="0"/>
              <w:pageBreakBefore w:val="0"/>
              <w:kinsoku/>
              <w:wordWrap/>
              <w:overflowPunct/>
              <w:topLinePunct w:val="0"/>
              <w:autoSpaceDE/>
              <w:autoSpaceDN/>
              <w:bidi w:val="0"/>
              <w:adjustRightInd w:val="0"/>
              <w:snapToGrid w:val="0"/>
              <w:spacing w:line="264" w:lineRule="auto"/>
              <w:jc w:val="left"/>
              <w:textAlignment w:val="auto"/>
              <w:rPr>
                <w:rFonts w:hint="eastAsia" w:ascii="仿宋" w:hAnsi="仿宋" w:eastAsia="仿宋" w:cs="仿宋"/>
                <w:sz w:val="21"/>
                <w:szCs w:val="21"/>
              </w:rPr>
            </w:pPr>
            <w:r>
              <w:rPr>
                <w:rFonts w:hint="eastAsia" w:ascii="仿宋" w:hAnsi="仿宋" w:eastAsia="仿宋" w:cs="仿宋"/>
                <w:sz w:val="21"/>
                <w:szCs w:val="21"/>
              </w:rPr>
              <w:t>2.预案分析基本到位</w:t>
            </w:r>
            <w:r>
              <w:rPr>
                <w:rFonts w:hint="eastAsia" w:ascii="仿宋" w:hAnsi="仿宋" w:eastAsia="仿宋" w:cs="仿宋"/>
                <w:sz w:val="21"/>
                <w:szCs w:val="21"/>
                <w:lang w:val="zh-CN"/>
              </w:rPr>
              <w:t>，</w:t>
            </w:r>
            <w:r>
              <w:rPr>
                <w:rFonts w:hint="eastAsia" w:ascii="仿宋" w:hAnsi="仿宋" w:eastAsia="仿宋" w:cs="仿宋"/>
                <w:sz w:val="21"/>
                <w:szCs w:val="21"/>
              </w:rPr>
              <w:t>应对措施方案基本合理、基本有效的得</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69DF5C87">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3.未提及或较笼统的得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33816F97">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0CB4C9F4">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31114809">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3579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8C7BE1A">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4607" w:type="dxa"/>
            <w:vAlign w:val="center"/>
          </w:tcPr>
          <w:p w14:paraId="382B86F6">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根据供应商针对本项目的售后服务承诺进行打分：</w:t>
            </w:r>
          </w:p>
          <w:p w14:paraId="2363C111">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lang w:val="zh-CN"/>
              </w:rPr>
              <w:t>1</w:t>
            </w:r>
            <w:r>
              <w:rPr>
                <w:rFonts w:hint="eastAsia" w:ascii="仿宋" w:hAnsi="仿宋" w:eastAsia="仿宋" w:cs="仿宋"/>
                <w:sz w:val="21"/>
                <w:szCs w:val="21"/>
              </w:rPr>
              <w:t>售后服务承诺切实有效、可操作性强、售后服务保障全面、到位的得</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14:paraId="5D57001E">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rPr>
              <w:t>2.售后服务承诺基本有效、可操作、售后服务保障基本全面、基本到位的得</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4862A200">
            <w:pPr>
              <w:pStyle w:val="27"/>
              <w:keepNext w:val="0"/>
              <w:keepLines w:val="0"/>
              <w:pageBreakBefore w:val="0"/>
              <w:kinsoku/>
              <w:wordWrap/>
              <w:overflowPunct/>
              <w:topLinePunct w:val="0"/>
              <w:autoSpaceDE/>
              <w:autoSpaceDN/>
              <w:bidi w:val="0"/>
              <w:adjustRightInd w:val="0"/>
              <w:spacing w:before="0" w:line="264" w:lineRule="auto"/>
              <w:ind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3.未提及或较笼统的得</w:t>
            </w:r>
            <w:r>
              <w:rPr>
                <w:rFonts w:hint="eastAsia" w:ascii="仿宋" w:hAnsi="仿宋" w:eastAsia="仿宋" w:cs="仿宋"/>
                <w:sz w:val="21"/>
                <w:szCs w:val="21"/>
                <w:lang w:eastAsia="zh-CN"/>
              </w:rPr>
              <w:t>0</w:t>
            </w:r>
            <w:r>
              <w:rPr>
                <w:rFonts w:hint="eastAsia" w:ascii="仿宋" w:hAnsi="仿宋" w:eastAsia="仿宋" w:cs="仿宋"/>
                <w:sz w:val="21"/>
                <w:szCs w:val="21"/>
              </w:rPr>
              <w:t>分。</w:t>
            </w:r>
          </w:p>
        </w:tc>
        <w:tc>
          <w:tcPr>
            <w:tcW w:w="776" w:type="dxa"/>
            <w:vAlign w:val="center"/>
          </w:tcPr>
          <w:p w14:paraId="274FFE77">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63" w:type="dxa"/>
            <w:vAlign w:val="center"/>
          </w:tcPr>
          <w:p w14:paraId="6444377B">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eastAsia="zh-CN"/>
              </w:rPr>
              <w:t>主观分</w:t>
            </w:r>
          </w:p>
        </w:tc>
        <w:tc>
          <w:tcPr>
            <w:tcW w:w="1884" w:type="dxa"/>
            <w:vAlign w:val="center"/>
          </w:tcPr>
          <w:p w14:paraId="6C02DBA0">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3E3E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F1225A8">
            <w:pPr>
              <w:keepNext w:val="0"/>
              <w:keepLines w:val="0"/>
              <w:pageBreakBefore w:val="0"/>
              <w:kinsoku/>
              <w:wordWrap/>
              <w:overflowPunct/>
              <w:topLinePunct w:val="0"/>
              <w:autoSpaceDE/>
              <w:autoSpaceDN/>
              <w:bidi w:val="0"/>
              <w:adjustRightInd w:val="0"/>
              <w:snapToGrid w:val="0"/>
              <w:spacing w:line="264"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4607" w:type="dxa"/>
            <w:vAlign w:val="center"/>
          </w:tcPr>
          <w:p w14:paraId="17D340EE">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样本：</w:t>
            </w:r>
          </w:p>
          <w:p w14:paraId="59AF3C7D">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提供鉴定样本报告书，具体数据可以XXX来代替。优秀得 7分，良好得5分，普通得3分。</w:t>
            </w:r>
          </w:p>
        </w:tc>
        <w:tc>
          <w:tcPr>
            <w:tcW w:w="776" w:type="dxa"/>
            <w:vAlign w:val="center"/>
          </w:tcPr>
          <w:p w14:paraId="522B905E">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463" w:type="dxa"/>
            <w:vAlign w:val="center"/>
          </w:tcPr>
          <w:p w14:paraId="2E8A7A80">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主观分</w:t>
            </w:r>
          </w:p>
        </w:tc>
        <w:tc>
          <w:tcPr>
            <w:tcW w:w="1884" w:type="dxa"/>
            <w:vAlign w:val="center"/>
          </w:tcPr>
          <w:p w14:paraId="6D558C5F">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rPr>
            </w:pPr>
          </w:p>
        </w:tc>
      </w:tr>
      <w:tr w14:paraId="5EB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6360F58">
            <w:pPr>
              <w:keepNext w:val="0"/>
              <w:keepLines w:val="0"/>
              <w:pageBreakBefore w:val="0"/>
              <w:kinsoku/>
              <w:wordWrap/>
              <w:overflowPunct/>
              <w:topLinePunct w:val="0"/>
              <w:autoSpaceDE/>
              <w:autoSpaceDN/>
              <w:bidi w:val="0"/>
              <w:adjustRightInd w:val="0"/>
              <w:snapToGrid w:val="0"/>
              <w:spacing w:line="264"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4607" w:type="dxa"/>
            <w:vAlign w:val="center"/>
          </w:tcPr>
          <w:p w14:paraId="237DE523">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根据供应商的本地化服务进行打分：</w:t>
            </w:r>
          </w:p>
          <w:p w14:paraId="042E9F0E">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1.供应商总公司或分公司注册地在台州的得1分。</w:t>
            </w:r>
          </w:p>
          <w:p w14:paraId="25A32CF2">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注：证明材料须提供营业执照原件扫描件编入商务技术文件，否则不得分。</w:t>
            </w:r>
          </w:p>
        </w:tc>
        <w:tc>
          <w:tcPr>
            <w:tcW w:w="776" w:type="dxa"/>
            <w:vAlign w:val="center"/>
          </w:tcPr>
          <w:p w14:paraId="5FE3A282">
            <w:pPr>
              <w:keepNext w:val="0"/>
              <w:keepLines w:val="0"/>
              <w:pageBreakBefore w:val="0"/>
              <w:kinsoku/>
              <w:wordWrap/>
              <w:overflowPunct/>
              <w:topLinePunct w:val="0"/>
              <w:autoSpaceDE/>
              <w:autoSpaceDN/>
              <w:bidi w:val="0"/>
              <w:adjustRightInd w:val="0"/>
              <w:snapToGrid w:val="0"/>
              <w:spacing w:line="264"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63" w:type="dxa"/>
            <w:vAlign w:val="center"/>
          </w:tcPr>
          <w:p w14:paraId="77924760">
            <w:pPr>
              <w:keepNext w:val="0"/>
              <w:keepLines w:val="0"/>
              <w:pageBreakBefore w:val="0"/>
              <w:kinsoku/>
              <w:wordWrap/>
              <w:overflowPunct/>
              <w:topLinePunct w:val="0"/>
              <w:autoSpaceDE/>
              <w:autoSpaceDN/>
              <w:bidi w:val="0"/>
              <w:adjustRightInd w:val="0"/>
              <w:snapToGrid w:val="0"/>
              <w:spacing w:line="264" w:lineRule="auto"/>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客</w:t>
            </w:r>
            <w:r>
              <w:rPr>
                <w:rFonts w:hint="eastAsia" w:ascii="仿宋" w:hAnsi="仿宋" w:eastAsia="仿宋" w:cs="仿宋"/>
                <w:sz w:val="21"/>
                <w:szCs w:val="21"/>
                <w:lang w:eastAsia="zh-CN"/>
              </w:rPr>
              <w:t>观分</w:t>
            </w:r>
          </w:p>
        </w:tc>
        <w:tc>
          <w:tcPr>
            <w:tcW w:w="1884" w:type="dxa"/>
            <w:vAlign w:val="center"/>
          </w:tcPr>
          <w:p w14:paraId="2976077E">
            <w:pPr>
              <w:pStyle w:val="27"/>
              <w:keepNext w:val="0"/>
              <w:keepLines w:val="0"/>
              <w:pageBreakBefore w:val="0"/>
              <w:kinsoku/>
              <w:wordWrap/>
              <w:overflowPunct/>
              <w:topLinePunct w:val="0"/>
              <w:autoSpaceDE/>
              <w:autoSpaceDN/>
              <w:bidi w:val="0"/>
              <w:adjustRightInd w:val="0"/>
              <w:spacing w:before="0" w:line="264" w:lineRule="auto"/>
              <w:ind w:firstLine="0" w:firstLineChars="0"/>
              <w:jc w:val="center"/>
              <w:textAlignment w:val="auto"/>
              <w:rPr>
                <w:rFonts w:hint="eastAsia" w:ascii="仿宋" w:hAnsi="仿宋" w:eastAsia="仿宋" w:cs="仿宋"/>
                <w:sz w:val="21"/>
                <w:szCs w:val="21"/>
                <w:highlight w:val="green"/>
              </w:rPr>
            </w:pPr>
          </w:p>
        </w:tc>
      </w:tr>
    </w:tbl>
    <w:p w14:paraId="3218B127">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1F894B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000000" w:themeColor="text1"/>
          <w:sz w:val="24"/>
          <w:highlight w:val="none"/>
          <w14:textFill>
            <w14:solidFill>
              <w14:schemeClr w14:val="tx1"/>
            </w14:solidFill>
          </w14:textFill>
        </w:rPr>
      </w:pPr>
      <w:r>
        <w:rPr>
          <w:rFonts w:hint="eastAsia" w:ascii="仿宋" w:hAnsi="仿宋" w:eastAsia="仿宋" w:cs="仿宋"/>
          <w:b/>
          <w:bCs/>
          <w:iCs/>
          <w:color w:val="000000" w:themeColor="text1"/>
          <w:sz w:val="24"/>
          <w:highlight w:val="none"/>
          <w14:textFill>
            <w14:solidFill>
              <w14:schemeClr w14:val="tx1"/>
            </w14:solidFill>
          </w14:textFill>
        </w:rPr>
        <w:t>2.2价格分（</w:t>
      </w:r>
      <w:r>
        <w:rPr>
          <w:rFonts w:hint="eastAsia" w:ascii="仿宋" w:hAnsi="仿宋" w:eastAsia="仿宋" w:cs="仿宋"/>
          <w:b/>
          <w:bCs/>
          <w:iCs/>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b/>
          <w:bCs/>
          <w:iCs/>
          <w:color w:val="000000" w:themeColor="text1"/>
          <w:sz w:val="24"/>
          <w:highlight w:val="none"/>
          <w14:textFill>
            <w14:solidFill>
              <w14:schemeClr w14:val="tx1"/>
            </w14:solidFill>
          </w14:textFill>
        </w:rPr>
        <w:t>分）</w:t>
      </w:r>
    </w:p>
    <w:p w14:paraId="62203F02">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2.2.1评标基准价：即满足招标文件要求且投标价格最低的投标报价为评标基准价，其价格分为满分。</w:t>
      </w:r>
    </w:p>
    <w:p w14:paraId="27CCF0C1">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2.2.2其他投标人的价格分统一按照下列公式计算：</w:t>
      </w:r>
    </w:p>
    <w:p w14:paraId="2C8AFB6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000000" w:themeColor="text1"/>
          <w:sz w:val="24"/>
          <w:highlight w:val="none"/>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投标报价得分=(评标基准价／投标报价)×价格权值×100</w:t>
      </w:r>
    </w:p>
    <w:p w14:paraId="54B28F3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Cs/>
          <w:iCs/>
          <w:color w:val="000000" w:themeColor="text1"/>
          <w:sz w:val="24"/>
          <w:highlight w:val="none"/>
          <w14:textFill>
            <w14:solidFill>
              <w14:schemeClr w14:val="tx1"/>
            </w14:solidFill>
          </w14:textFill>
        </w:rPr>
        <w:t>即：投标报价得分=(评标基准价／投标报价)×</w:t>
      </w:r>
      <w:r>
        <w:rPr>
          <w:rFonts w:hint="eastAsia" w:ascii="仿宋" w:hAnsi="仿宋" w:eastAsia="仿宋" w:cs="仿宋"/>
          <w:bCs/>
          <w:iCs/>
          <w:color w:val="000000" w:themeColor="text1"/>
          <w:sz w:val="24"/>
          <w:highlight w:val="none"/>
          <w:lang w:val="en-US" w:eastAsia="zh-CN"/>
          <w14:textFill>
            <w14:solidFill>
              <w14:schemeClr w14:val="tx1"/>
            </w14:solidFill>
          </w14:textFill>
        </w:rPr>
        <w:t>30</w:t>
      </w:r>
    </w:p>
    <w:p w14:paraId="4086689C">
      <w:pPr>
        <w:widowControl/>
        <w:adjustRightInd/>
        <w:jc w:val="both"/>
        <w:rPr>
          <w:rFonts w:hint="eastAsia" w:ascii="仿宋" w:hAnsi="仿宋" w:eastAsia="仿宋" w:cs="仿宋"/>
          <w:b/>
          <w:color w:val="000000" w:themeColor="text1"/>
          <w:sz w:val="36"/>
          <w:szCs w:val="20"/>
          <w:highlight w:val="none"/>
          <w14:textFill>
            <w14:solidFill>
              <w14:schemeClr w14:val="tx1"/>
            </w14:solidFill>
          </w14:textFill>
        </w:rPr>
      </w:pPr>
    </w:p>
    <w:p w14:paraId="4856FB50">
      <w:pPr>
        <w:pStyle w:val="16"/>
        <w:rPr>
          <w:rFonts w:hint="eastAsia" w:ascii="仿宋" w:hAnsi="仿宋" w:eastAsia="仿宋" w:cs="仿宋"/>
          <w:b/>
          <w:color w:val="000000" w:themeColor="text1"/>
          <w:sz w:val="36"/>
          <w:szCs w:val="20"/>
          <w:highlight w:val="none"/>
          <w14:textFill>
            <w14:solidFill>
              <w14:schemeClr w14:val="tx1"/>
            </w14:solidFill>
          </w14:textFill>
        </w:rPr>
      </w:pPr>
    </w:p>
    <w:p w14:paraId="7912290F">
      <w:pPr>
        <w:rPr>
          <w:rFonts w:hint="eastAsia" w:ascii="仿宋" w:hAnsi="仿宋" w:eastAsia="仿宋" w:cs="仿宋"/>
          <w:b/>
          <w:color w:val="000000" w:themeColor="text1"/>
          <w:sz w:val="36"/>
          <w:szCs w:val="20"/>
          <w:highlight w:val="none"/>
          <w14:textFill>
            <w14:solidFill>
              <w14:schemeClr w14:val="tx1"/>
            </w14:solidFill>
          </w14:textFill>
        </w:rPr>
      </w:pPr>
    </w:p>
    <w:p w14:paraId="1F9E60C5">
      <w:pPr>
        <w:pStyle w:val="16"/>
        <w:rPr>
          <w:rFonts w:hint="eastAsia" w:ascii="仿宋" w:hAnsi="仿宋" w:eastAsia="仿宋" w:cs="仿宋"/>
          <w:b/>
          <w:color w:val="000000" w:themeColor="text1"/>
          <w:sz w:val="36"/>
          <w:szCs w:val="20"/>
          <w:highlight w:val="none"/>
          <w14:textFill>
            <w14:solidFill>
              <w14:schemeClr w14:val="tx1"/>
            </w14:solidFill>
          </w14:textFill>
        </w:rPr>
      </w:pPr>
    </w:p>
    <w:p w14:paraId="49A44D9C">
      <w:pPr>
        <w:rPr>
          <w:rFonts w:hint="eastAsia" w:ascii="仿宋" w:hAnsi="仿宋" w:eastAsia="仿宋" w:cs="仿宋"/>
          <w:b/>
          <w:color w:val="000000" w:themeColor="text1"/>
          <w:sz w:val="36"/>
          <w:szCs w:val="20"/>
          <w:highlight w:val="none"/>
          <w14:textFill>
            <w14:solidFill>
              <w14:schemeClr w14:val="tx1"/>
            </w14:solidFill>
          </w14:textFill>
        </w:rPr>
      </w:pPr>
    </w:p>
    <w:p w14:paraId="68BD6524">
      <w:pPr>
        <w:pStyle w:val="16"/>
        <w:rPr>
          <w:rFonts w:hint="eastAsia" w:ascii="仿宋" w:hAnsi="仿宋" w:eastAsia="仿宋" w:cs="仿宋"/>
          <w:b/>
          <w:color w:val="000000" w:themeColor="text1"/>
          <w:sz w:val="36"/>
          <w:szCs w:val="20"/>
          <w:highlight w:val="none"/>
          <w14:textFill>
            <w14:solidFill>
              <w14:schemeClr w14:val="tx1"/>
            </w14:solidFill>
          </w14:textFill>
        </w:rPr>
      </w:pPr>
    </w:p>
    <w:p w14:paraId="37939047">
      <w:pPr>
        <w:rPr>
          <w:rFonts w:hint="eastAsia" w:ascii="仿宋" w:hAnsi="仿宋" w:eastAsia="仿宋" w:cs="仿宋"/>
          <w:b/>
          <w:color w:val="000000" w:themeColor="text1"/>
          <w:sz w:val="36"/>
          <w:szCs w:val="20"/>
          <w:highlight w:val="none"/>
          <w14:textFill>
            <w14:solidFill>
              <w14:schemeClr w14:val="tx1"/>
            </w14:solidFill>
          </w14:textFill>
        </w:rPr>
      </w:pPr>
    </w:p>
    <w:p w14:paraId="6C1848A0">
      <w:pPr>
        <w:pStyle w:val="16"/>
        <w:rPr>
          <w:rFonts w:hint="eastAsia" w:ascii="仿宋" w:hAnsi="仿宋" w:eastAsia="仿宋" w:cs="仿宋"/>
          <w:b/>
          <w:color w:val="000000" w:themeColor="text1"/>
          <w:sz w:val="36"/>
          <w:szCs w:val="20"/>
          <w:highlight w:val="none"/>
          <w14:textFill>
            <w14:solidFill>
              <w14:schemeClr w14:val="tx1"/>
            </w14:solidFill>
          </w14:textFill>
        </w:rPr>
      </w:pPr>
    </w:p>
    <w:p w14:paraId="3D9378E3">
      <w:pPr>
        <w:rPr>
          <w:rFonts w:hint="eastAsia" w:ascii="仿宋" w:hAnsi="仿宋" w:eastAsia="仿宋" w:cs="仿宋"/>
          <w:b/>
          <w:color w:val="000000" w:themeColor="text1"/>
          <w:sz w:val="36"/>
          <w:szCs w:val="20"/>
          <w:highlight w:val="none"/>
          <w14:textFill>
            <w14:solidFill>
              <w14:schemeClr w14:val="tx1"/>
            </w14:solidFill>
          </w14:textFill>
        </w:rPr>
      </w:pPr>
    </w:p>
    <w:p w14:paraId="0B05ED9F">
      <w:pPr>
        <w:pStyle w:val="16"/>
        <w:rPr>
          <w:rFonts w:hint="eastAsia" w:ascii="仿宋" w:hAnsi="仿宋" w:eastAsia="仿宋" w:cs="仿宋"/>
          <w:b/>
          <w:color w:val="000000" w:themeColor="text1"/>
          <w:sz w:val="36"/>
          <w:szCs w:val="20"/>
          <w:highlight w:val="none"/>
          <w14:textFill>
            <w14:solidFill>
              <w14:schemeClr w14:val="tx1"/>
            </w14:solidFill>
          </w14:textFill>
        </w:rPr>
      </w:pPr>
    </w:p>
    <w:p w14:paraId="4D65A8F6">
      <w:pPr>
        <w:widowControl/>
        <w:adjustRightInd/>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43"/>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44"/>
      <w:r>
        <w:rPr>
          <w:rFonts w:hint="eastAsia" w:ascii="仿宋" w:hAnsi="仿宋" w:eastAsia="仿宋" w:cs="仿宋"/>
          <w:b/>
          <w:color w:val="000000" w:themeColor="text1"/>
          <w:sz w:val="36"/>
          <w:szCs w:val="20"/>
          <w:highlight w:val="none"/>
          <w14:textFill>
            <w14:solidFill>
              <w14:schemeClr w14:val="tx1"/>
            </w14:solidFill>
          </w14:textFill>
        </w:rPr>
        <w:t>投标文件及其附件格式</w:t>
      </w:r>
    </w:p>
    <w:p w14:paraId="57A96617">
      <w:pPr>
        <w:spacing w:line="360" w:lineRule="auto"/>
        <w:jc w:val="center"/>
        <w:outlineLvl w:val="9"/>
        <w:rPr>
          <w:rFonts w:hint="eastAsia" w:ascii="仿宋" w:hAnsi="仿宋" w:eastAsia="仿宋" w:cs="仿宋"/>
          <w:b/>
          <w:color w:val="000000" w:themeColor="text1"/>
          <w:kern w:val="0"/>
          <w:sz w:val="36"/>
          <w:szCs w:val="36"/>
          <w:highlight w:val="none"/>
          <w14:textFill>
            <w14:solidFill>
              <w14:schemeClr w14:val="tx1"/>
            </w14:solidFill>
          </w14:textFill>
        </w:rPr>
      </w:pPr>
    </w:p>
    <w:p w14:paraId="32200035">
      <w:pPr>
        <w:spacing w:line="360" w:lineRule="auto"/>
        <w:jc w:val="center"/>
        <w:outlineLvl w:val="1"/>
        <w:rPr>
          <w:rFonts w:hint="eastAsia" w:ascii="仿宋" w:hAnsi="仿宋" w:eastAsia="仿宋" w:cs="仿宋"/>
          <w:b/>
          <w:kern w:val="0"/>
          <w:sz w:val="36"/>
          <w:szCs w:val="36"/>
        </w:rPr>
      </w:pPr>
      <w:bookmarkStart w:id="52" w:name="_Toc1216"/>
      <w:r>
        <w:rPr>
          <w:rFonts w:hint="eastAsia" w:ascii="仿宋" w:hAnsi="仿宋" w:eastAsia="仿宋" w:cs="仿宋"/>
          <w:b/>
          <w:kern w:val="0"/>
          <w:sz w:val="36"/>
          <w:szCs w:val="36"/>
        </w:rPr>
        <w:t>资格文件部分</w:t>
      </w:r>
      <w:bookmarkEnd w:id="52"/>
    </w:p>
    <w:p w14:paraId="1174E450">
      <w:pPr>
        <w:jc w:val="center"/>
        <w:rPr>
          <w:rFonts w:hint="eastAsia" w:ascii="仿宋" w:hAnsi="仿宋" w:eastAsia="仿宋" w:cs="仿宋"/>
          <w:sz w:val="32"/>
          <w:szCs w:val="32"/>
        </w:rPr>
      </w:pPr>
      <w:r>
        <w:rPr>
          <w:rFonts w:hint="eastAsia" w:ascii="仿宋" w:hAnsi="仿宋" w:eastAsia="仿宋" w:cs="仿宋"/>
          <w:sz w:val="32"/>
          <w:szCs w:val="32"/>
        </w:rPr>
        <w:t>目录</w:t>
      </w:r>
    </w:p>
    <w:p w14:paraId="5B694F24">
      <w:pPr>
        <w:rPr>
          <w:rFonts w:hint="eastAsia" w:ascii="仿宋" w:hAnsi="仿宋" w:eastAsia="仿宋" w:cs="仿宋"/>
        </w:rPr>
      </w:pPr>
    </w:p>
    <w:p w14:paraId="08A4D9B6">
      <w:pPr>
        <w:pStyle w:val="7"/>
        <w:rPr>
          <w:rFonts w:hint="eastAsia" w:ascii="仿宋" w:hAnsi="仿宋" w:eastAsia="仿宋" w:cs="仿宋"/>
        </w:rPr>
      </w:pPr>
    </w:p>
    <w:p w14:paraId="7D26AF18">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3321ED0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）落实政府采购政策需满足的资格要求………………………………（页码）</w:t>
      </w:r>
    </w:p>
    <w:p w14:paraId="6AF2DD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）本项目的特定资格要求………………………………………………（页码）</w:t>
      </w:r>
    </w:p>
    <w:p w14:paraId="7C31FCB4">
      <w:pPr>
        <w:snapToGrid w:val="0"/>
        <w:spacing w:line="360" w:lineRule="auto"/>
        <w:ind w:right="480"/>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b/>
          <w:kern w:val="0"/>
          <w:sz w:val="32"/>
          <w:szCs w:val="32"/>
        </w:rPr>
        <w:t>一、 符合参加政府采购活动应当具备的一般条件的承诺函</w:t>
      </w:r>
    </w:p>
    <w:p w14:paraId="7CC0F817">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330ABE3B">
      <w:pPr>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6041B2BD">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D1AA9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2F8799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CAFA2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24D3E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CD710E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AFEED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314434C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C89BB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2F81C6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5FFA4BE">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rPr>
        <w:t>2、为采购项目提供整体设计、规范编制或者项目管理、监理、检测等服务后再参</w:t>
      </w:r>
      <w:r>
        <w:rPr>
          <w:rFonts w:hint="eastAsia" w:ascii="仿宋" w:hAnsi="仿宋" w:eastAsia="仿宋" w:cs="仿宋"/>
          <w:sz w:val="24"/>
          <w:highlight w:val="none"/>
        </w:rPr>
        <w:t>加该采购项目的其他采购活动的</w:t>
      </w:r>
      <w:r>
        <w:rPr>
          <w:rFonts w:hint="eastAsia" w:ascii="仿宋" w:hAnsi="仿宋" w:eastAsia="仿宋" w:cs="仿宋"/>
          <w:sz w:val="24"/>
          <w:highlight w:val="none"/>
          <w:lang w:eastAsia="zh-CN"/>
        </w:rPr>
        <w:t>；</w:t>
      </w:r>
    </w:p>
    <w:p w14:paraId="1A835553">
      <w:pPr>
        <w:pStyle w:val="25"/>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color w:val="auto"/>
          <w:kern w:val="2"/>
          <w:sz w:val="24"/>
          <w:szCs w:val="24"/>
          <w:lang w:val="en-US" w:eastAsia="zh-CN" w:bidi="ar-SA"/>
        </w:rPr>
        <w:t xml:space="preserve">  3、供应商近三年有违法行为记录或行政处罚记录的。</w:t>
      </w:r>
    </w:p>
    <w:p w14:paraId="420CF910">
      <w:pPr>
        <w:snapToGrid w:val="0"/>
        <w:spacing w:line="360" w:lineRule="auto"/>
        <w:ind w:firstLine="5520" w:firstLineChars="2300"/>
        <w:rPr>
          <w:rFonts w:hint="eastAsia" w:ascii="仿宋" w:hAnsi="仿宋" w:eastAsia="仿宋" w:cs="仿宋"/>
          <w:kern w:val="0"/>
          <w:sz w:val="24"/>
          <w:lang w:val="zh-CN"/>
        </w:rPr>
      </w:pPr>
    </w:p>
    <w:p w14:paraId="635EB22D">
      <w:pPr>
        <w:snapToGrid w:val="0"/>
        <w:spacing w:line="360" w:lineRule="auto"/>
        <w:ind w:firstLine="5520" w:firstLineChars="2300"/>
        <w:rPr>
          <w:rFonts w:hint="eastAsia" w:ascii="仿宋" w:hAnsi="仿宋" w:eastAsia="仿宋" w:cs="仿宋"/>
          <w:kern w:val="0"/>
          <w:sz w:val="24"/>
          <w:lang w:val="zh-CN"/>
        </w:rPr>
      </w:pPr>
    </w:p>
    <w:p w14:paraId="6215095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729C5C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258B69F">
      <w:pPr>
        <w:snapToGrid w:val="0"/>
        <w:spacing w:line="360" w:lineRule="auto"/>
        <w:ind w:right="480"/>
        <w:jc w:val="center"/>
        <w:rPr>
          <w:rFonts w:hint="eastAsia" w:ascii="仿宋" w:hAnsi="仿宋" w:eastAsia="仿宋" w:cs="仿宋"/>
          <w:b/>
          <w:kern w:val="0"/>
          <w:sz w:val="32"/>
          <w:szCs w:val="32"/>
        </w:rPr>
      </w:pPr>
    </w:p>
    <w:p w14:paraId="59CB2184">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54D7FE1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落实政府采购政策需满足的资格要求</w:t>
      </w:r>
    </w:p>
    <w:p w14:paraId="358B4799">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lang w:eastAsia="zh-CN"/>
        </w:rPr>
        <w:t>招标文件</w:t>
      </w:r>
      <w:r>
        <w:rPr>
          <w:rFonts w:hint="eastAsia" w:ascii="仿宋" w:hAnsi="仿宋" w:eastAsia="仿宋" w:cs="仿宋"/>
          <w:b/>
          <w:bCs/>
          <w:sz w:val="24"/>
        </w:rPr>
        <w:t>第一部分</w:t>
      </w:r>
      <w:r>
        <w:rPr>
          <w:rFonts w:hint="eastAsia" w:ascii="仿宋" w:hAnsi="仿宋" w:eastAsia="仿宋" w:cs="仿宋"/>
          <w:b/>
          <w:bCs/>
          <w:sz w:val="24"/>
          <w:lang w:val="en-US" w:eastAsia="zh-CN"/>
        </w:rPr>
        <w:t>采购</w:t>
      </w:r>
      <w:r>
        <w:rPr>
          <w:rFonts w:hint="eastAsia" w:ascii="仿宋" w:hAnsi="仿宋" w:eastAsia="仿宋" w:cs="仿宋"/>
          <w:b/>
          <w:bCs/>
          <w:sz w:val="24"/>
        </w:rPr>
        <w:t>公告中</w:t>
      </w:r>
      <w:r>
        <w:rPr>
          <w:rFonts w:hint="eastAsia" w:ascii="仿宋" w:hAnsi="仿宋" w:eastAsia="仿宋" w:cs="仿宋"/>
          <w:sz w:val="24"/>
        </w:rPr>
        <w:t>落实政府采购政策需满足的资格要求选择提供相应的材料；未要求的，无需提供）</w:t>
      </w:r>
    </w:p>
    <w:p w14:paraId="149D033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 </w:t>
      </w:r>
    </w:p>
    <w:p w14:paraId="5BA2F911">
      <w:pPr>
        <w:widowControl/>
        <w:spacing w:line="360" w:lineRule="auto"/>
        <w:ind w:firstLine="480"/>
        <w:jc w:val="left"/>
        <w:rPr>
          <w:rFonts w:hint="eastAsia" w:ascii="仿宋" w:hAnsi="仿宋" w:eastAsia="仿宋" w:cs="仿宋"/>
          <w:sz w:val="24"/>
        </w:rPr>
      </w:pPr>
    </w:p>
    <w:p w14:paraId="4B368389">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0CB8E136">
      <w:pPr>
        <w:spacing w:line="360" w:lineRule="auto"/>
        <w:jc w:val="center"/>
        <w:rPr>
          <w:rFonts w:hint="eastAsia" w:ascii="仿宋" w:hAnsi="仿宋" w:eastAsia="仿宋" w:cs="仿宋"/>
          <w:b/>
          <w:sz w:val="32"/>
          <w:szCs w:val="32"/>
        </w:rPr>
      </w:pPr>
    </w:p>
    <w:p w14:paraId="0F2C8B39">
      <w:pPr>
        <w:pStyle w:val="17"/>
        <w:rPr>
          <w:rFonts w:hint="eastAsia" w:ascii="仿宋" w:hAnsi="仿宋" w:eastAsia="仿宋" w:cs="仿宋"/>
          <w:b/>
          <w:sz w:val="32"/>
          <w:szCs w:val="32"/>
        </w:rPr>
      </w:pPr>
    </w:p>
    <w:p w14:paraId="07751C5D">
      <w:pPr>
        <w:pStyle w:val="17"/>
        <w:rPr>
          <w:rFonts w:hint="eastAsia" w:ascii="仿宋" w:hAnsi="仿宋" w:eastAsia="仿宋" w:cs="仿宋"/>
          <w:b/>
          <w:sz w:val="32"/>
          <w:szCs w:val="32"/>
        </w:rPr>
      </w:pPr>
    </w:p>
    <w:p w14:paraId="4E22BAD4">
      <w:pPr>
        <w:pStyle w:val="17"/>
        <w:rPr>
          <w:rFonts w:hint="eastAsia" w:ascii="仿宋" w:hAnsi="仿宋" w:eastAsia="仿宋" w:cs="仿宋"/>
          <w:b/>
          <w:sz w:val="32"/>
          <w:szCs w:val="32"/>
        </w:rPr>
      </w:pPr>
    </w:p>
    <w:p w14:paraId="1BED5B93">
      <w:pPr>
        <w:pStyle w:val="17"/>
        <w:rPr>
          <w:rFonts w:hint="eastAsia" w:ascii="仿宋" w:hAnsi="仿宋" w:eastAsia="仿宋" w:cs="仿宋"/>
          <w:b/>
          <w:sz w:val="32"/>
          <w:szCs w:val="32"/>
        </w:rPr>
      </w:pPr>
    </w:p>
    <w:p w14:paraId="3C739531">
      <w:pPr>
        <w:pStyle w:val="17"/>
        <w:rPr>
          <w:rFonts w:hint="eastAsia" w:ascii="仿宋" w:hAnsi="仿宋" w:eastAsia="仿宋" w:cs="仿宋"/>
          <w:b/>
          <w:sz w:val="32"/>
          <w:szCs w:val="32"/>
        </w:rPr>
      </w:pPr>
    </w:p>
    <w:p w14:paraId="5FC99FE7">
      <w:pPr>
        <w:pStyle w:val="17"/>
        <w:rPr>
          <w:rFonts w:hint="eastAsia" w:ascii="仿宋" w:hAnsi="仿宋" w:eastAsia="仿宋" w:cs="仿宋"/>
          <w:b/>
          <w:sz w:val="32"/>
          <w:szCs w:val="32"/>
        </w:rPr>
      </w:pPr>
    </w:p>
    <w:p w14:paraId="6064128F">
      <w:pPr>
        <w:pStyle w:val="17"/>
        <w:rPr>
          <w:rFonts w:hint="eastAsia" w:ascii="仿宋" w:hAnsi="仿宋" w:eastAsia="仿宋" w:cs="仿宋"/>
          <w:b/>
          <w:sz w:val="32"/>
          <w:szCs w:val="32"/>
        </w:rPr>
      </w:pPr>
    </w:p>
    <w:p w14:paraId="177D9CFE">
      <w:pPr>
        <w:pStyle w:val="17"/>
        <w:rPr>
          <w:rFonts w:hint="eastAsia" w:ascii="仿宋" w:hAnsi="仿宋" w:eastAsia="仿宋" w:cs="仿宋"/>
          <w:b/>
          <w:sz w:val="32"/>
          <w:szCs w:val="32"/>
        </w:rPr>
      </w:pPr>
    </w:p>
    <w:p w14:paraId="66082B8B">
      <w:pPr>
        <w:pStyle w:val="17"/>
        <w:rPr>
          <w:rFonts w:hint="eastAsia" w:ascii="仿宋" w:hAnsi="仿宋" w:eastAsia="仿宋" w:cs="仿宋"/>
          <w:b/>
          <w:sz w:val="32"/>
          <w:szCs w:val="32"/>
        </w:rPr>
      </w:pPr>
    </w:p>
    <w:p w14:paraId="5D20DB56">
      <w:pPr>
        <w:pStyle w:val="17"/>
        <w:rPr>
          <w:rFonts w:hint="eastAsia" w:ascii="仿宋" w:hAnsi="仿宋" w:eastAsia="仿宋" w:cs="仿宋"/>
          <w:b/>
          <w:sz w:val="32"/>
          <w:szCs w:val="32"/>
        </w:rPr>
      </w:pPr>
    </w:p>
    <w:p w14:paraId="5E971CED">
      <w:pPr>
        <w:pStyle w:val="17"/>
        <w:rPr>
          <w:rFonts w:hint="eastAsia" w:ascii="仿宋" w:hAnsi="仿宋" w:eastAsia="仿宋" w:cs="仿宋"/>
          <w:b/>
          <w:sz w:val="32"/>
          <w:szCs w:val="32"/>
        </w:rPr>
      </w:pPr>
    </w:p>
    <w:p w14:paraId="42D66BBD">
      <w:pPr>
        <w:pStyle w:val="17"/>
        <w:rPr>
          <w:rFonts w:hint="eastAsia" w:ascii="仿宋" w:hAnsi="仿宋" w:eastAsia="仿宋" w:cs="仿宋"/>
          <w:b/>
          <w:sz w:val="32"/>
          <w:szCs w:val="32"/>
        </w:rPr>
      </w:pPr>
    </w:p>
    <w:p w14:paraId="647F0342">
      <w:pPr>
        <w:pStyle w:val="17"/>
        <w:rPr>
          <w:rFonts w:hint="eastAsia" w:ascii="仿宋" w:hAnsi="仿宋" w:eastAsia="仿宋" w:cs="仿宋"/>
          <w:b/>
          <w:sz w:val="32"/>
          <w:szCs w:val="32"/>
        </w:rPr>
      </w:pPr>
    </w:p>
    <w:p w14:paraId="63AD68DB">
      <w:pPr>
        <w:pStyle w:val="17"/>
        <w:rPr>
          <w:rFonts w:hint="eastAsia" w:ascii="仿宋" w:hAnsi="仿宋" w:eastAsia="仿宋" w:cs="仿宋"/>
          <w:b/>
          <w:sz w:val="32"/>
          <w:szCs w:val="32"/>
        </w:rPr>
      </w:pPr>
    </w:p>
    <w:p w14:paraId="43F4F096">
      <w:pPr>
        <w:pStyle w:val="17"/>
        <w:rPr>
          <w:rFonts w:hint="eastAsia" w:ascii="仿宋" w:hAnsi="仿宋" w:eastAsia="仿宋" w:cs="仿宋"/>
          <w:b/>
          <w:sz w:val="32"/>
          <w:szCs w:val="32"/>
        </w:rPr>
      </w:pPr>
    </w:p>
    <w:p w14:paraId="2A384734">
      <w:pPr>
        <w:pStyle w:val="17"/>
        <w:rPr>
          <w:rFonts w:hint="eastAsia" w:ascii="仿宋" w:hAnsi="仿宋" w:eastAsia="仿宋" w:cs="仿宋"/>
          <w:b/>
          <w:sz w:val="32"/>
          <w:szCs w:val="32"/>
        </w:rPr>
      </w:pPr>
    </w:p>
    <w:p w14:paraId="495C42DB">
      <w:pPr>
        <w:pStyle w:val="17"/>
        <w:rPr>
          <w:rFonts w:hint="eastAsia" w:ascii="仿宋" w:hAnsi="仿宋" w:eastAsia="仿宋" w:cs="仿宋"/>
          <w:b/>
          <w:sz w:val="32"/>
          <w:szCs w:val="32"/>
        </w:rPr>
      </w:pPr>
    </w:p>
    <w:p w14:paraId="742354EF">
      <w:pPr>
        <w:pStyle w:val="17"/>
        <w:rPr>
          <w:rFonts w:hint="eastAsia" w:ascii="仿宋" w:hAnsi="仿宋" w:eastAsia="仿宋" w:cs="仿宋"/>
          <w:b/>
          <w:sz w:val="32"/>
          <w:szCs w:val="32"/>
        </w:rPr>
      </w:pPr>
    </w:p>
    <w:p w14:paraId="3B6F965A">
      <w:pPr>
        <w:pStyle w:val="17"/>
        <w:rPr>
          <w:rFonts w:hint="eastAsia" w:ascii="仿宋" w:hAnsi="仿宋" w:eastAsia="仿宋" w:cs="仿宋"/>
          <w:b/>
          <w:sz w:val="32"/>
          <w:szCs w:val="32"/>
        </w:rPr>
      </w:pPr>
    </w:p>
    <w:p w14:paraId="4E3D5C1E">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三、</w:t>
      </w:r>
      <w:r>
        <w:rPr>
          <w:rFonts w:hint="eastAsia" w:ascii="仿宋" w:hAnsi="仿宋" w:eastAsia="仿宋" w:cs="仿宋"/>
          <w:b/>
          <w:sz w:val="32"/>
          <w:szCs w:val="32"/>
        </w:rPr>
        <w:t>符合特定资格条件要求的资质文件</w:t>
      </w:r>
      <w:r>
        <w:rPr>
          <w:rFonts w:hint="eastAsia" w:ascii="仿宋" w:hAnsi="仿宋" w:eastAsia="仿宋" w:cs="仿宋"/>
          <w:b/>
          <w:sz w:val="32"/>
          <w:szCs w:val="32"/>
          <w:lang w:eastAsia="zh-CN"/>
        </w:rPr>
        <w:t>及营业执照（</w:t>
      </w:r>
      <w:r>
        <w:rPr>
          <w:rFonts w:hint="eastAsia" w:ascii="仿宋" w:hAnsi="仿宋" w:eastAsia="仿宋" w:cs="仿宋"/>
          <w:b/>
          <w:sz w:val="32"/>
          <w:szCs w:val="32"/>
        </w:rPr>
        <w:t>复印件）</w:t>
      </w:r>
    </w:p>
    <w:p w14:paraId="2D2E7CD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w:t>
      </w:r>
      <w:r>
        <w:rPr>
          <w:rFonts w:hint="eastAsia" w:ascii="仿宋" w:hAnsi="仿宋" w:eastAsia="仿宋" w:cs="仿宋"/>
          <w:sz w:val="24"/>
          <w:lang w:eastAsia="zh-CN"/>
        </w:rPr>
        <w:t>招标文件</w:t>
      </w:r>
      <w:r>
        <w:rPr>
          <w:rFonts w:hint="eastAsia" w:ascii="仿宋" w:hAnsi="仿宋" w:eastAsia="仿宋" w:cs="仿宋"/>
          <w:sz w:val="24"/>
        </w:rPr>
        <w:t>第一部分”中“合格的供应商应具备的特定资格要求”编制；如果本项目没有设置特定资格条件，则不需要提供）</w:t>
      </w:r>
    </w:p>
    <w:p w14:paraId="62F45B21">
      <w:pPr>
        <w:widowControl/>
        <w:spacing w:line="360" w:lineRule="auto"/>
        <w:ind w:firstLine="480" w:firstLineChars="200"/>
        <w:jc w:val="left"/>
        <w:rPr>
          <w:rFonts w:hint="eastAsia" w:ascii="仿宋" w:hAnsi="仿宋" w:eastAsia="仿宋" w:cs="仿宋"/>
          <w:sz w:val="24"/>
        </w:rPr>
      </w:pPr>
    </w:p>
    <w:p w14:paraId="61AC5EC9">
      <w:pPr>
        <w:snapToGrid w:val="0"/>
        <w:spacing w:line="360" w:lineRule="auto"/>
        <w:ind w:firstLine="5880" w:firstLineChars="2450"/>
        <w:rPr>
          <w:rFonts w:hint="eastAsia" w:ascii="仿宋" w:hAnsi="仿宋" w:eastAsia="仿宋" w:cs="仿宋"/>
          <w:kern w:val="0"/>
          <w:sz w:val="24"/>
          <w:lang w:val="zh-CN"/>
        </w:rPr>
      </w:pPr>
    </w:p>
    <w:p w14:paraId="62794FDD">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773A0EC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ADD1D3A">
      <w:pPr>
        <w:snapToGrid w:val="0"/>
        <w:spacing w:line="360" w:lineRule="auto"/>
        <w:rPr>
          <w:rFonts w:cs="仿宋_GB2312" w:asciiTheme="minorEastAsia" w:hAnsiTheme="minorEastAsia" w:eastAsiaTheme="minorEastAsia"/>
          <w:kern w:val="0"/>
          <w:sz w:val="24"/>
          <w:lang w:val="zh-CN"/>
        </w:rPr>
      </w:pPr>
    </w:p>
    <w:p w14:paraId="43EB6710">
      <w:pPr>
        <w:snapToGrid w:val="0"/>
        <w:spacing w:line="360" w:lineRule="auto"/>
        <w:ind w:right="480"/>
        <w:jc w:val="center"/>
        <w:rPr>
          <w:rFonts w:cs="仿宋_GB2312" w:asciiTheme="minorEastAsia" w:hAnsiTheme="minorEastAsia" w:eastAsiaTheme="minorEastAsia"/>
          <w:b/>
          <w:kern w:val="0"/>
          <w:sz w:val="32"/>
          <w:szCs w:val="32"/>
          <w:lang w:val="zh-CN"/>
        </w:rPr>
        <w:sectPr>
          <w:footerReference r:id="rId15" w:type="first"/>
          <w:footerReference r:id="rId14" w:type="default"/>
          <w:pgSz w:w="11906" w:h="16838"/>
          <w:pgMar w:top="1247" w:right="1418" w:bottom="1276" w:left="1418" w:header="851" w:footer="992" w:gutter="0"/>
          <w:pgNumType w:fmt="decimal"/>
          <w:cols w:space="720" w:num="1"/>
          <w:titlePg/>
          <w:docGrid w:linePitch="312" w:charSpace="0"/>
        </w:sectPr>
      </w:pPr>
    </w:p>
    <w:p w14:paraId="24C9AE09">
      <w:pPr>
        <w:bidi w:val="0"/>
        <w:rPr>
          <w:rFonts w:hint="eastAsia"/>
        </w:rPr>
      </w:pPr>
      <w:bookmarkStart w:id="53" w:name="_Toc17056"/>
    </w:p>
    <w:bookmarkEnd w:id="53"/>
    <w:p w14:paraId="6B387B21">
      <w:pPr>
        <w:spacing w:line="336" w:lineRule="auto"/>
        <w:jc w:val="cente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9C0E022">
      <w:pPr>
        <w:spacing w:line="336" w:lineRule="auto"/>
        <w:jc w:val="center"/>
        <w:outlineLvl w:val="9"/>
        <w:rPr>
          <w:rFonts w:ascii="仿宋" w:hAnsi="仿宋" w:eastAsia="仿宋" w:cs="仿宋"/>
          <w:b/>
          <w:color w:val="000000" w:themeColor="text1"/>
          <w:kern w:val="0"/>
          <w:sz w:val="24"/>
          <w:highlight w:val="none"/>
          <w14:textFill>
            <w14:solidFill>
              <w14:schemeClr w14:val="tx1"/>
            </w14:solidFill>
          </w14:textFill>
        </w:rPr>
      </w:pPr>
    </w:p>
    <w:p w14:paraId="07B1793E">
      <w:pPr>
        <w:spacing w:line="336"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326125C3">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eastAsia="zh-CN"/>
          <w14:textFill>
            <w14:solidFill>
              <w14:schemeClr w14:val="tx1"/>
            </w14:solidFill>
          </w14:textFill>
        </w:rPr>
        <w:t>投标函</w:t>
      </w:r>
      <w:r>
        <w:rPr>
          <w:rFonts w:hint="eastAsia" w:ascii="仿宋" w:eastAsia="仿宋" w:cs="仿宋"/>
          <w:color w:val="000000" w:themeColor="text1"/>
          <w:highlight w:val="none"/>
          <w14:textFill>
            <w14:solidFill>
              <w14:schemeClr w14:val="tx1"/>
            </w14:solidFill>
          </w14:textFill>
        </w:rPr>
        <w:t>…………………………………………………………………………（页码）</w:t>
      </w:r>
    </w:p>
    <w:p w14:paraId="56E938DF">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法定代表人授权书 ………………………………………………………… （页码）</w:t>
      </w:r>
    </w:p>
    <w:p w14:paraId="67F47817">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法定代表人及其授权代表身份证复印件（复印件）………………………（页码）</w:t>
      </w:r>
    </w:p>
    <w:p w14:paraId="72496505">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法定代表人身份证明书………………………………………………………（页码）</w:t>
      </w:r>
    </w:p>
    <w:p w14:paraId="3F3A1955">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商务技术</w:t>
      </w:r>
      <w:r>
        <w:rPr>
          <w:rFonts w:hint="eastAsia" w:ascii="仿宋" w:eastAsia="仿宋" w:cs="仿宋"/>
          <w:color w:val="000000" w:themeColor="text1"/>
          <w:highlight w:val="none"/>
          <w:lang w:eastAsia="zh-CN"/>
          <w14:textFill>
            <w14:solidFill>
              <w14:schemeClr w14:val="tx1"/>
            </w14:solidFill>
          </w14:textFill>
        </w:rPr>
        <w:t>偏离表</w:t>
      </w:r>
      <w:r>
        <w:rPr>
          <w:rFonts w:hint="eastAsia" w:ascii="仿宋" w:eastAsia="仿宋" w:cs="仿宋"/>
          <w:color w:val="000000" w:themeColor="text1"/>
          <w:highlight w:val="none"/>
          <w14:textFill>
            <w14:solidFill>
              <w14:schemeClr w14:val="tx1"/>
            </w14:solidFill>
          </w14:textFill>
        </w:rPr>
        <w:t>………………………………………………………………（页码）</w:t>
      </w:r>
    </w:p>
    <w:p w14:paraId="4F92A554">
      <w:pPr>
        <w:pStyle w:val="28"/>
        <w:numPr>
          <w:ilvl w:val="0"/>
          <w:numId w:val="5"/>
        </w:numPr>
        <w:spacing w:line="336" w:lineRule="auto"/>
        <w:ind w:left="0" w:firstLine="0" w:firstLineChars="0"/>
        <w:jc w:val="both"/>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en-US" w:eastAsia="zh-CN"/>
          <w14:textFill>
            <w14:solidFill>
              <w14:schemeClr w14:val="tx1"/>
            </w14:solidFill>
          </w14:textFill>
        </w:rPr>
        <w:t>其他内容</w:t>
      </w:r>
      <w:r>
        <w:rPr>
          <w:rFonts w:hint="eastAsia" w:ascii="仿宋" w:eastAsia="仿宋" w:cs="仿宋"/>
          <w:color w:val="000000" w:themeColor="text1"/>
          <w:highlight w:val="none"/>
          <w14:textFill>
            <w14:solidFill>
              <w14:schemeClr w14:val="tx1"/>
            </w14:solidFill>
          </w14:textFill>
        </w:rPr>
        <w:t>………………………………………………………………………（页码）</w:t>
      </w:r>
    </w:p>
    <w:p w14:paraId="67C69EE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A19546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368157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6719B9">
      <w:pPr>
        <w:snapToGrid w:val="0"/>
        <w:spacing w:line="360" w:lineRule="auto"/>
        <w:jc w:val="both"/>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95B0FD">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5D9615E">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2630F91B">
      <w:pPr>
        <w:pStyle w:val="2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A84A343">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根据贵方招标文件（</w:t>
      </w:r>
      <w:r>
        <w:rPr>
          <w:rFonts w:hint="eastAsia" w:ascii="仿宋" w:hAnsi="仿宋" w:eastAsia="仿宋" w:cs="仿宋"/>
          <w:b/>
          <w:color w:val="000000" w:themeColor="text1"/>
          <w:sz w:val="24"/>
          <w:szCs w:val="24"/>
          <w:highlight w:val="none"/>
          <w:u w:val="single"/>
          <w14:textFill>
            <w14:solidFill>
              <w14:schemeClr w14:val="tx1"/>
            </w14:solidFill>
          </w14:textFill>
        </w:rPr>
        <w:t>填写</w:t>
      </w:r>
      <w:r>
        <w:rPr>
          <w:rFonts w:hint="eastAsia" w:ascii="仿宋" w:hAnsi="仿宋" w:eastAsia="仿宋" w:cs="仿宋"/>
          <w:b/>
          <w:color w:val="000000" w:themeColor="text1"/>
          <w:sz w:val="24"/>
          <w:szCs w:val="24"/>
          <w:highlight w:val="none"/>
          <w:u w:val="single"/>
          <w:lang w:eastAsia="zh-CN"/>
          <w14:textFill>
            <w14:solidFill>
              <w14:schemeClr w14:val="tx1"/>
            </w14:solidFill>
          </w14:textFill>
        </w:rPr>
        <w:t>项目编号</w:t>
      </w: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）的要求，正式授权</w:t>
      </w:r>
      <w:r>
        <w:rPr>
          <w:rFonts w:hint="eastAsia" w:ascii="仿宋" w:hAnsi="仿宋" w:eastAsia="仿宋" w:cs="仿宋"/>
          <w:b/>
          <w:color w:val="000000" w:themeColor="text1"/>
          <w:sz w:val="24"/>
          <w:szCs w:val="24"/>
          <w:highlight w:val="none"/>
          <w:u w:val="single"/>
          <w14:textFill>
            <w14:solidFill>
              <w14:schemeClr w14:val="tx1"/>
            </w14:solidFill>
          </w14:textFill>
        </w:rPr>
        <w:t>（全权代表姓名    、单位    、职务   ）</w:t>
      </w:r>
      <w:r>
        <w:rPr>
          <w:rFonts w:hint="eastAsia" w:ascii="仿宋" w:hAnsi="仿宋" w:eastAsia="仿宋" w:cs="仿宋"/>
          <w:color w:val="000000" w:themeColor="text1"/>
          <w:sz w:val="24"/>
          <w:szCs w:val="24"/>
          <w:highlight w:val="none"/>
          <w14:textFill>
            <w14:solidFill>
              <w14:schemeClr w14:val="tx1"/>
            </w14:solidFill>
          </w14:textFill>
        </w:rPr>
        <w:t>代表投标人</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填写单位    、地址   </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提交投标文件。</w:t>
      </w:r>
    </w:p>
    <w:p w14:paraId="19E681A4">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我方已完全明白招标文件的所有条款要求，兹声明同意如下：</w:t>
      </w:r>
    </w:p>
    <w:p w14:paraId="2BA61AAC">
      <w:pPr>
        <w:pStyle w:val="5"/>
        <w:keepNext w:val="0"/>
        <w:keepLines w:val="0"/>
        <w:pageBreakBefore w:val="0"/>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1.我方同意在投标人</w:t>
      </w:r>
      <w:r>
        <w:rPr>
          <w:rFonts w:hint="eastAsia" w:ascii="仿宋" w:hAnsi="仿宋" w:eastAsia="仿宋" w:cs="仿宋"/>
          <w:color w:val="000000" w:themeColor="text1"/>
          <w:kern w:val="44"/>
          <w:sz w:val="24"/>
          <w:szCs w:val="24"/>
          <w:highlight w:val="none"/>
          <w14:textFill>
            <w14:solidFill>
              <w14:schemeClr w14:val="tx1"/>
            </w14:solidFill>
          </w14:textFill>
        </w:rPr>
        <w:t>须知</w:t>
      </w:r>
      <w:r>
        <w:rPr>
          <w:rFonts w:hint="eastAsia" w:ascii="仿宋" w:hAnsi="仿宋" w:eastAsia="仿宋" w:cs="仿宋"/>
          <w:color w:val="000000" w:themeColor="text1"/>
          <w:sz w:val="24"/>
          <w:szCs w:val="24"/>
          <w:highlight w:val="none"/>
          <w14:textFill>
            <w14:solidFill>
              <w14:schemeClr w14:val="tx1"/>
            </w14:solidFill>
          </w14:textFill>
        </w:rPr>
        <w:t>规定的开标日期起遵守本投标文件中的承诺且在投标有效期满之前均具有约束力。</w:t>
      </w:r>
    </w:p>
    <w:p w14:paraId="27852D61">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2.我方承诺已经具备《中华人民共和国政府采购法》中规定的参加政府采购活动的供应商应当具备的条件。</w:t>
      </w:r>
    </w:p>
    <w:p w14:paraId="5EF17F0F">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3.本公司投标文件中填列的技术参数、配置、服务、数量等相关内容都是真实、准确的。保证在本次项目中所提供的资料全部真实和合法。同意向</w:t>
      </w:r>
      <w:r>
        <w:rPr>
          <w:rFonts w:hint="eastAsia" w:ascii="仿宋" w:hAnsi="仿宋" w:eastAsia="仿宋" w:cs="仿宋"/>
          <w:color w:val="000000" w:themeColor="text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szCs w:val="24"/>
          <w:highlight w:val="none"/>
          <w14:textFill>
            <w14:solidFill>
              <w14:schemeClr w14:val="tx1"/>
            </w14:solidFill>
          </w14:textFill>
        </w:rPr>
        <w:t>提供可能另外要求的与投标有关的任何数据或资料。</w:t>
      </w:r>
    </w:p>
    <w:p w14:paraId="3E755D11">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4.我方理解贵方将不受你们所收到的最低报价的约束。</w:t>
      </w:r>
    </w:p>
    <w:p w14:paraId="264F13E2">
      <w:pPr>
        <w:pStyle w:val="5"/>
        <w:keepNext w:val="0"/>
        <w:keepLines w:val="0"/>
        <w:pageBreakBefore w:val="0"/>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5.本投标自开标之日（投标截止之日）起90天内有效。</w:t>
      </w:r>
    </w:p>
    <w:p w14:paraId="6C3125CF">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5043756">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a)提供虚假材料谋取中标、成交的；</w:t>
      </w:r>
    </w:p>
    <w:p w14:paraId="2ED13FE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b)采取不正当手段诋毁、排挤其他供应商的；</w:t>
      </w:r>
    </w:p>
    <w:p w14:paraId="40E52B3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c)与采购人、其它供应商或者采购代理机构恶意串通的；</w:t>
      </w:r>
    </w:p>
    <w:p w14:paraId="3DEDD46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d)向采购人、采购代理机构行贿或者提供其他不正当利益的；</w:t>
      </w:r>
    </w:p>
    <w:p w14:paraId="4BDD326D">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e)在招标采购过程中与采购人进行协商谈判的；</w:t>
      </w:r>
    </w:p>
    <w:p w14:paraId="407570D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f)拒绝有关部门监督检查或提供虚假情况的。</w:t>
      </w:r>
    </w:p>
    <w:p w14:paraId="4E92ED2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供应商有前款第a)至e)项情形之一的，中标、成交无效。</w:t>
      </w:r>
    </w:p>
    <w:p w14:paraId="44A8B357">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　　　　　　　　　　　　　　　邮政编码：</w:t>
      </w:r>
    </w:p>
    <w:p w14:paraId="200098FE">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传真：</w:t>
      </w:r>
    </w:p>
    <w:p w14:paraId="6C8C18EF">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                          帐号：</w:t>
      </w:r>
    </w:p>
    <w:p w14:paraId="01CE81D2">
      <w:pPr>
        <w:pStyle w:val="29"/>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w:t>
      </w:r>
    </w:p>
    <w:p w14:paraId="48690C30">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7465D53B">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投标人(电子签章)：　　　　　　　　　日期：  </w:t>
      </w:r>
    </w:p>
    <w:p w14:paraId="4F0F2263">
      <w:pPr>
        <w:pageBreakBefore/>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二</w:t>
      </w:r>
      <w:r>
        <w:rPr>
          <w:rFonts w:hint="eastAsia" w:ascii="仿宋" w:hAnsi="仿宋" w:eastAsia="仿宋" w:cs="仿宋"/>
          <w:b/>
          <w:color w:val="000000" w:themeColor="text1"/>
          <w:sz w:val="30"/>
          <w:szCs w:val="30"/>
          <w:highlight w:val="none"/>
          <w14:textFill>
            <w14:solidFill>
              <w14:schemeClr w14:val="tx1"/>
            </w14:solidFill>
          </w14:textFill>
        </w:rPr>
        <w:t xml:space="preserve">、法定代表人授权委托书（格式） </w:t>
      </w:r>
    </w:p>
    <w:p w14:paraId="21F213D8">
      <w:pPr>
        <w:jc w:val="center"/>
        <w:rPr>
          <w:rFonts w:hint="eastAsia" w:ascii="仿宋" w:hAnsi="仿宋" w:eastAsia="仿宋" w:cs="仿宋"/>
          <w:b/>
          <w:color w:val="000000" w:themeColor="text1"/>
          <w:sz w:val="24"/>
          <w:highlight w:val="none"/>
          <w14:textFill>
            <w14:solidFill>
              <w14:schemeClr w14:val="tx1"/>
            </w14:solidFill>
          </w14:textFill>
        </w:rPr>
      </w:pPr>
    </w:p>
    <w:p w14:paraId="61318A86">
      <w:pPr>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(填写姓名)</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（填写投标人单位全称）</w:t>
      </w:r>
      <w:r>
        <w:rPr>
          <w:rFonts w:hint="eastAsia" w:ascii="仿宋" w:hAnsi="仿宋" w:eastAsia="仿宋" w:cs="仿宋"/>
          <w:color w:val="000000" w:themeColor="text1"/>
          <w:sz w:val="24"/>
          <w:highlight w:val="none"/>
          <w14:textFill>
            <w14:solidFill>
              <w14:schemeClr w14:val="tx1"/>
            </w14:solidFill>
          </w14:textFill>
        </w:rPr>
        <w:t>的法定代表人，现授权委托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（填写单位全称）</w:t>
      </w:r>
      <w:r>
        <w:rPr>
          <w:rFonts w:hint="eastAsia" w:ascii="仿宋" w:hAnsi="仿宋" w:eastAsia="仿宋" w:cs="仿宋"/>
          <w:color w:val="000000" w:themeColor="text1"/>
          <w:sz w:val="24"/>
          <w:highlight w:val="none"/>
          <w14:textFill>
            <w14:solidFill>
              <w14:schemeClr w14:val="tx1"/>
            </w14:solidFill>
          </w14:textFill>
        </w:rPr>
        <w:t>的（填写姓名）为我公司授权代表，</w:t>
      </w:r>
      <w:r>
        <w:rPr>
          <w:rFonts w:hint="eastAsia" w:ascii="仿宋" w:hAnsi="仿宋" w:eastAsia="仿宋" w:cs="仿宋"/>
          <w:color w:val="000000" w:themeColor="text1"/>
          <w:sz w:val="24"/>
          <w:highlight w:val="none"/>
          <w:u w:val="single"/>
          <w14:textFill>
            <w14:solidFill>
              <w14:schemeClr w14:val="tx1"/>
            </w14:solidFill>
          </w14:textFill>
        </w:rPr>
        <w:t>（填写身份证号码：                       ）</w:t>
      </w:r>
      <w:r>
        <w:rPr>
          <w:rFonts w:hint="eastAsia" w:ascii="仿宋" w:hAnsi="仿宋" w:eastAsia="仿宋" w:cs="仿宋"/>
          <w:color w:val="000000" w:themeColor="text1"/>
          <w:sz w:val="24"/>
          <w:highlight w:val="none"/>
          <w14:textFill>
            <w14:solidFill>
              <w14:schemeClr w14:val="tx1"/>
            </w14:solidFill>
          </w14:textFill>
        </w:rPr>
        <w:t>。以本公司的名义参加</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组织的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投标活动。授权代表在开标、评标、合同谈判过程中所签署的一切文件和处理与之有关的一切事务，我均予以承认。</w:t>
      </w:r>
    </w:p>
    <w:p w14:paraId="34E637A1">
      <w:pPr>
        <w:snapToGrid w:val="0"/>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在撤销授权的书面通知以前，本授权书一直有效。全权代表在授权书有效期内签署的所有文件不因授权的撤销而失效。</w:t>
      </w:r>
    </w:p>
    <w:p w14:paraId="67F1A1D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授权代表无转委托权。特此委托。</w:t>
      </w:r>
    </w:p>
    <w:p w14:paraId="755B5D30">
      <w:pPr>
        <w:snapToGrid w:val="0"/>
        <w:spacing w:line="600" w:lineRule="exact"/>
        <w:jc w:val="left"/>
        <w:rPr>
          <w:rFonts w:hint="eastAsia" w:ascii="仿宋" w:hAnsi="仿宋" w:eastAsia="仿宋" w:cs="仿宋"/>
          <w:color w:val="000000" w:themeColor="text1"/>
          <w:sz w:val="24"/>
          <w:highlight w:val="none"/>
          <w14:textFill>
            <w14:solidFill>
              <w14:schemeClr w14:val="tx1"/>
            </w14:solidFill>
          </w14:textFill>
        </w:rPr>
      </w:pPr>
    </w:p>
    <w:p w14:paraId="66612E4E">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授权代表姓名：              性别：               年龄：</w:t>
      </w:r>
    </w:p>
    <w:p w14:paraId="73895366">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2C76AC5E">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                      部门：               职务：</w:t>
      </w:r>
    </w:p>
    <w:p w14:paraId="741FE30B">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4E21953F">
      <w:pPr>
        <w:widowControl/>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办公地址：                  联系电话：           传真：</w:t>
      </w:r>
    </w:p>
    <w:p w14:paraId="4F431E8C">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584274BA">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5DBE5D21">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投标人（电子签章）：</w:t>
      </w:r>
    </w:p>
    <w:p w14:paraId="76F7CC5A">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510F7862">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01AA915B">
      <w:pPr>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法定代表人（签字或盖章）：</w:t>
      </w:r>
    </w:p>
    <w:p w14:paraId="6A7564D2">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68D37FC6">
      <w:pPr>
        <w:spacing w:line="360" w:lineRule="exact"/>
        <w:rPr>
          <w:rFonts w:hint="eastAsia" w:ascii="仿宋" w:hAnsi="仿宋" w:eastAsia="仿宋" w:cs="仿宋"/>
          <w:color w:val="000000" w:themeColor="text1"/>
          <w:sz w:val="24"/>
          <w:highlight w:val="none"/>
          <w14:textFill>
            <w14:solidFill>
              <w14:schemeClr w14:val="tx1"/>
            </w14:solidFill>
          </w14:textFill>
        </w:rPr>
      </w:pPr>
    </w:p>
    <w:p w14:paraId="4E5E9E87">
      <w:pPr>
        <w:ind w:firstLine="5280" w:firstLineChars="2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00EAA51C">
      <w:pPr>
        <w:ind w:firstLine="4920" w:firstLineChars="2050"/>
        <w:jc w:val="left"/>
        <w:rPr>
          <w:rFonts w:hint="eastAsia" w:ascii="仿宋" w:hAnsi="仿宋" w:eastAsia="仿宋" w:cs="仿宋"/>
          <w:color w:val="000000" w:themeColor="text1"/>
          <w:sz w:val="24"/>
          <w:highlight w:val="none"/>
          <w14:textFill>
            <w14:solidFill>
              <w14:schemeClr w14:val="tx1"/>
            </w14:solidFill>
          </w14:textFill>
        </w:rPr>
      </w:pPr>
    </w:p>
    <w:p w14:paraId="7D27F705">
      <w:pPr>
        <w:spacing w:line="800" w:lineRule="exact"/>
        <w:rPr>
          <w:rFonts w:hint="eastAsia" w:ascii="仿宋" w:hAnsi="仿宋" w:eastAsia="仿宋" w:cs="仿宋"/>
          <w:b/>
          <w:color w:val="000000" w:themeColor="text1"/>
          <w:sz w:val="24"/>
          <w:highlight w:val="none"/>
          <w14:textFill>
            <w14:solidFill>
              <w14:schemeClr w14:val="tx1"/>
            </w14:solidFill>
          </w14:textFill>
        </w:rPr>
      </w:pPr>
    </w:p>
    <w:p w14:paraId="6F9FBD88">
      <w:pPr>
        <w:spacing w:line="800" w:lineRule="exact"/>
        <w:rPr>
          <w:rFonts w:hint="eastAsia" w:ascii="仿宋" w:hAnsi="仿宋" w:eastAsia="仿宋" w:cs="仿宋"/>
          <w:b/>
          <w:color w:val="000000" w:themeColor="text1"/>
          <w:sz w:val="24"/>
          <w:highlight w:val="none"/>
          <w14:textFill>
            <w14:solidFill>
              <w14:schemeClr w14:val="tx1"/>
            </w14:solidFill>
          </w14:textFill>
        </w:rPr>
      </w:pPr>
    </w:p>
    <w:p w14:paraId="00163BA0">
      <w:pPr>
        <w:pStyle w:val="25"/>
        <w:rPr>
          <w:rFonts w:hint="eastAsia"/>
        </w:rPr>
      </w:pPr>
    </w:p>
    <w:p w14:paraId="23A85C2B">
      <w:p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三</w:t>
      </w:r>
      <w:r>
        <w:rPr>
          <w:rFonts w:hint="eastAsia" w:ascii="仿宋" w:hAnsi="仿宋" w:eastAsia="仿宋" w:cs="仿宋"/>
          <w:b/>
          <w:color w:val="000000" w:themeColor="text1"/>
          <w:sz w:val="30"/>
          <w:szCs w:val="30"/>
          <w:highlight w:val="none"/>
          <w14:textFill>
            <w14:solidFill>
              <w14:schemeClr w14:val="tx1"/>
            </w14:solidFill>
          </w14:textFill>
        </w:rPr>
        <w:t>、法定代表人及其授权代表身份证复印件（正反面）</w:t>
      </w:r>
    </w:p>
    <w:p w14:paraId="285E464C">
      <w:pPr>
        <w:spacing w:line="800" w:lineRule="exact"/>
        <w:rPr>
          <w:rFonts w:hint="eastAsia" w:ascii="仿宋" w:hAnsi="仿宋" w:eastAsia="仿宋" w:cs="仿宋"/>
          <w:b/>
          <w:color w:val="000000" w:themeColor="text1"/>
          <w:sz w:val="24"/>
          <w:highlight w:val="none"/>
          <w14:textFill>
            <w14:solidFill>
              <w14:schemeClr w14:val="tx1"/>
            </w14:solidFill>
          </w14:textFill>
        </w:rPr>
      </w:pPr>
    </w:p>
    <w:p w14:paraId="253EA289">
      <w:pPr>
        <w:spacing w:line="800" w:lineRule="exact"/>
        <w:rPr>
          <w:rFonts w:hint="eastAsia" w:ascii="仿宋" w:hAnsi="仿宋" w:eastAsia="仿宋" w:cs="仿宋"/>
          <w:b/>
          <w:color w:val="000000" w:themeColor="text1"/>
          <w:sz w:val="24"/>
          <w:highlight w:val="none"/>
          <w14:textFill>
            <w14:solidFill>
              <w14:schemeClr w14:val="tx1"/>
            </w14:solidFill>
          </w14:textFill>
        </w:rPr>
      </w:pPr>
    </w:p>
    <w:p w14:paraId="57FBC474">
      <w:pPr>
        <w:spacing w:line="800" w:lineRule="exact"/>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四</w:t>
      </w:r>
      <w:r>
        <w:rPr>
          <w:rFonts w:hint="eastAsia" w:ascii="仿宋" w:hAnsi="仿宋" w:eastAsia="仿宋" w:cs="仿宋"/>
          <w:b/>
          <w:color w:val="000000" w:themeColor="text1"/>
          <w:sz w:val="30"/>
          <w:szCs w:val="30"/>
          <w:highlight w:val="none"/>
          <w14:textFill>
            <w14:solidFill>
              <w14:schemeClr w14:val="tx1"/>
            </w14:solidFill>
          </w14:textFill>
        </w:rPr>
        <w:t>、法定代表人身份证明书(格式)</w:t>
      </w:r>
    </w:p>
    <w:p w14:paraId="094F570E">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 标 人：</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CF2143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6D5A4B3">
      <w:pPr>
        <w:spacing w:line="440" w:lineRule="exact"/>
        <w:ind w:right="281" w:rightChars="134"/>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FE971A6">
      <w:pPr>
        <w:spacing w:line="440" w:lineRule="exact"/>
        <w:ind w:right="281" w:rightChars="134"/>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20CAA9E">
      <w:pPr>
        <w:spacing w:line="440" w:lineRule="exact"/>
        <w:ind w:right="281" w:rightChars="13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职   务：</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62AFEA5">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14:textFill>
            <w14:solidFill>
              <w14:schemeClr w14:val="tx1"/>
            </w14:solidFill>
          </w14:textFill>
        </w:rPr>
        <w:t xml:space="preserve">                           （填写投标人名称）</w:t>
      </w:r>
      <w:r>
        <w:rPr>
          <w:rFonts w:hint="eastAsia" w:ascii="仿宋" w:hAnsi="仿宋" w:eastAsia="仿宋" w:cs="仿宋"/>
          <w:color w:val="000000" w:themeColor="text1"/>
          <w:sz w:val="24"/>
          <w:highlight w:val="none"/>
          <w14:textFill>
            <w14:solidFill>
              <w14:schemeClr w14:val="tx1"/>
            </w14:solidFill>
          </w14:textFill>
        </w:rPr>
        <w:t>的法定代表人。</w:t>
      </w:r>
    </w:p>
    <w:p w14:paraId="4A1A4ED5">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37FB416C">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6A54399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color w:val="000000" w:themeColor="text1"/>
          <w:sz w:val="24"/>
          <w:highlight w:val="none"/>
          <w:lang w:eastAsia="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                             （电子签章）</w:t>
      </w:r>
    </w:p>
    <w:p w14:paraId="5BCD83FE">
      <w:pPr>
        <w:spacing w:line="440" w:lineRule="exact"/>
        <w:ind w:right="480"/>
        <w:rPr>
          <w:rFonts w:hint="eastAsia" w:ascii="仿宋" w:hAnsi="仿宋" w:eastAsia="仿宋" w:cs="仿宋"/>
          <w:color w:val="000000" w:themeColor="text1"/>
          <w:sz w:val="24"/>
          <w:highlight w:val="none"/>
          <w14:textFill>
            <w14:solidFill>
              <w14:schemeClr w14:val="tx1"/>
            </w14:solidFill>
          </w14:textFill>
        </w:rPr>
      </w:pPr>
    </w:p>
    <w:p w14:paraId="53C8733C">
      <w:pPr>
        <w:spacing w:line="440" w:lineRule="exact"/>
        <w:ind w:right="72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p w14:paraId="0814016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297777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13E5BD">
      <w:pPr>
        <w:pStyle w:val="16"/>
        <w:rPr>
          <w:rFonts w:hint="eastAsia"/>
          <w:color w:val="000000" w:themeColor="text1"/>
          <w:highlight w:val="none"/>
          <w14:textFill>
            <w14:solidFill>
              <w14:schemeClr w14:val="tx1"/>
            </w14:solidFill>
          </w14:textFill>
        </w:rPr>
      </w:pPr>
    </w:p>
    <w:p w14:paraId="113F1D47">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630586D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208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E30C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4E87BD8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14:paraId="5EBEF0D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14:paraId="67BDFB2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4CB7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17398">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1DC7D09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1A513A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810050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028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C8828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4F115A5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A760B8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58FA22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A6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CD0D2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54E7E27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3ACF25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F4390B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4B9021B4">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4D8D25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BCC88E">
      <w:pPr>
        <w:spacing w:line="360" w:lineRule="auto"/>
        <w:ind w:right="42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D871816">
      <w:pPr>
        <w:spacing w:line="360" w:lineRule="auto"/>
        <w:jc w:val="center"/>
        <w:outlineLvl w:val="9"/>
        <w:rPr>
          <w:rFonts w:hint="eastAsia" w:ascii="仿宋" w:hAnsi="仿宋" w:eastAsia="仿宋" w:cs="仿宋"/>
          <w:b/>
          <w:color w:val="000000" w:themeColor="text1"/>
          <w:kern w:val="0"/>
          <w:sz w:val="36"/>
          <w:szCs w:val="36"/>
          <w:highlight w:val="none"/>
          <w14:textFill>
            <w14:solidFill>
              <w14:schemeClr w14:val="tx1"/>
            </w14:solidFill>
          </w14:textFill>
        </w:rPr>
      </w:pPr>
    </w:p>
    <w:p w14:paraId="095CA127">
      <w:pPr>
        <w:spacing w:line="360" w:lineRule="auto"/>
        <w:jc w:val="center"/>
        <w:outlineLvl w:val="1"/>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4E7D131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6EF6A01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A8A0F3D">
      <w:pPr>
        <w:pStyle w:val="16"/>
        <w:numPr>
          <w:ilvl w:val="0"/>
          <w:numId w:val="0"/>
        </w:numPr>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开标一览表（报价表）………………………………………………………（页码）</w:t>
      </w:r>
    </w:p>
    <w:p w14:paraId="1BBDDF5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9287D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C6AE0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9A997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363E5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52797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AF852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6B66E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535D0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96E6A3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87880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1B47B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72E6A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D3B272">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3D731101">
      <w:pPr>
        <w:pStyle w:val="3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648" w:bottom="1247" w:left="1238" w:header="851" w:footer="992" w:gutter="0"/>
          <w:pgNumType w:fmt="decimal"/>
          <w:cols w:space="720" w:num="1"/>
          <w:titlePg/>
          <w:docGrid w:linePitch="312" w:charSpace="0"/>
        </w:sectPr>
      </w:pPr>
    </w:p>
    <w:p w14:paraId="47E276DF">
      <w:pPr>
        <w:pStyle w:val="3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14:paraId="70EC414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3061CA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lang w:eastAsia="zh-CN"/>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【项目编号：</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D8A8D69">
      <w:pPr>
        <w:spacing w:line="360" w:lineRule="auto"/>
        <w:jc w:val="righ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19"/>
        <w:tblpPr w:leftFromText="180" w:rightFromText="180" w:vertAnchor="text" w:horzAnchor="page" w:tblpX="1551"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691"/>
        <w:gridCol w:w="3985"/>
        <w:gridCol w:w="1419"/>
        <w:gridCol w:w="1419"/>
        <w:gridCol w:w="1419"/>
        <w:gridCol w:w="1421"/>
        <w:gridCol w:w="1421"/>
      </w:tblGrid>
      <w:tr w14:paraId="315F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19" w:type="dxa"/>
            <w:vAlign w:val="center"/>
          </w:tcPr>
          <w:p w14:paraId="24669EBB">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序号</w:t>
            </w:r>
          </w:p>
        </w:tc>
        <w:tc>
          <w:tcPr>
            <w:tcW w:w="1691" w:type="dxa"/>
            <w:vAlign w:val="center"/>
          </w:tcPr>
          <w:p w14:paraId="761BAF57">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名称</w:t>
            </w:r>
          </w:p>
        </w:tc>
        <w:tc>
          <w:tcPr>
            <w:tcW w:w="3985" w:type="dxa"/>
            <w:vAlign w:val="center"/>
          </w:tcPr>
          <w:p w14:paraId="401654A2">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服务内容</w:t>
            </w:r>
          </w:p>
        </w:tc>
        <w:tc>
          <w:tcPr>
            <w:tcW w:w="1419" w:type="dxa"/>
            <w:vAlign w:val="center"/>
          </w:tcPr>
          <w:p w14:paraId="3EADFB2F">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数量</w:t>
            </w:r>
          </w:p>
        </w:tc>
        <w:tc>
          <w:tcPr>
            <w:tcW w:w="1419" w:type="dxa"/>
            <w:vAlign w:val="center"/>
          </w:tcPr>
          <w:p w14:paraId="0FD5CBCA">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单价</w:t>
            </w:r>
          </w:p>
        </w:tc>
        <w:tc>
          <w:tcPr>
            <w:tcW w:w="1419" w:type="dxa"/>
            <w:vAlign w:val="center"/>
          </w:tcPr>
          <w:p w14:paraId="50E6BAC1">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服务期限</w:t>
            </w:r>
          </w:p>
        </w:tc>
        <w:tc>
          <w:tcPr>
            <w:tcW w:w="1421" w:type="dxa"/>
            <w:vAlign w:val="center"/>
          </w:tcPr>
          <w:p w14:paraId="6912C5E3">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小计（元）</w:t>
            </w:r>
          </w:p>
        </w:tc>
        <w:tc>
          <w:tcPr>
            <w:tcW w:w="1421" w:type="dxa"/>
            <w:vAlign w:val="center"/>
          </w:tcPr>
          <w:p w14:paraId="3C5C656C">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备注</w:t>
            </w:r>
          </w:p>
        </w:tc>
      </w:tr>
      <w:tr w14:paraId="447F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14:paraId="1EAEAA9E">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1</w:t>
            </w:r>
          </w:p>
        </w:tc>
        <w:tc>
          <w:tcPr>
            <w:tcW w:w="1691" w:type="dxa"/>
          </w:tcPr>
          <w:p w14:paraId="7EAFB9B5">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XX</w:t>
            </w:r>
          </w:p>
        </w:tc>
        <w:tc>
          <w:tcPr>
            <w:tcW w:w="3985" w:type="dxa"/>
          </w:tcPr>
          <w:p w14:paraId="1605AF35">
            <w:pPr>
              <w:jc w:val="center"/>
              <w:rPr>
                <w:color w:val="000000" w:themeColor="text1"/>
                <w:highlight w:val="none"/>
                <w:vertAlign w:val="baseline"/>
                <w14:textFill>
                  <w14:solidFill>
                    <w14:schemeClr w14:val="tx1"/>
                  </w14:solidFill>
                </w14:textFill>
              </w:rPr>
            </w:pPr>
          </w:p>
        </w:tc>
        <w:tc>
          <w:tcPr>
            <w:tcW w:w="1419" w:type="dxa"/>
          </w:tcPr>
          <w:p w14:paraId="07E95751">
            <w:pPr>
              <w:jc w:val="center"/>
              <w:rPr>
                <w:color w:val="000000" w:themeColor="text1"/>
                <w:highlight w:val="none"/>
                <w:vertAlign w:val="baseline"/>
                <w14:textFill>
                  <w14:solidFill>
                    <w14:schemeClr w14:val="tx1"/>
                  </w14:solidFill>
                </w14:textFill>
              </w:rPr>
            </w:pPr>
          </w:p>
        </w:tc>
        <w:tc>
          <w:tcPr>
            <w:tcW w:w="1419" w:type="dxa"/>
          </w:tcPr>
          <w:p w14:paraId="2D77C0BE">
            <w:pPr>
              <w:jc w:val="center"/>
              <w:rPr>
                <w:color w:val="000000" w:themeColor="text1"/>
                <w:highlight w:val="none"/>
                <w:vertAlign w:val="baseline"/>
                <w14:textFill>
                  <w14:solidFill>
                    <w14:schemeClr w14:val="tx1"/>
                  </w14:solidFill>
                </w14:textFill>
              </w:rPr>
            </w:pPr>
          </w:p>
        </w:tc>
        <w:tc>
          <w:tcPr>
            <w:tcW w:w="1419" w:type="dxa"/>
          </w:tcPr>
          <w:p w14:paraId="27EF975F">
            <w:pPr>
              <w:jc w:val="center"/>
              <w:rPr>
                <w:color w:val="000000" w:themeColor="text1"/>
                <w:highlight w:val="none"/>
                <w:vertAlign w:val="baseline"/>
                <w14:textFill>
                  <w14:solidFill>
                    <w14:schemeClr w14:val="tx1"/>
                  </w14:solidFill>
                </w14:textFill>
              </w:rPr>
            </w:pPr>
          </w:p>
        </w:tc>
        <w:tc>
          <w:tcPr>
            <w:tcW w:w="1421" w:type="dxa"/>
          </w:tcPr>
          <w:p w14:paraId="4CD0D2FD">
            <w:pPr>
              <w:jc w:val="center"/>
              <w:rPr>
                <w:color w:val="000000" w:themeColor="text1"/>
                <w:highlight w:val="none"/>
                <w:vertAlign w:val="baseline"/>
                <w14:textFill>
                  <w14:solidFill>
                    <w14:schemeClr w14:val="tx1"/>
                  </w14:solidFill>
                </w14:textFill>
              </w:rPr>
            </w:pPr>
          </w:p>
        </w:tc>
        <w:tc>
          <w:tcPr>
            <w:tcW w:w="1421" w:type="dxa"/>
          </w:tcPr>
          <w:p w14:paraId="6FFBC2EB">
            <w:pPr>
              <w:jc w:val="center"/>
              <w:rPr>
                <w:color w:val="000000" w:themeColor="text1"/>
                <w:highlight w:val="none"/>
                <w:vertAlign w:val="baseline"/>
                <w14:textFill>
                  <w14:solidFill>
                    <w14:schemeClr w14:val="tx1"/>
                  </w14:solidFill>
                </w14:textFill>
              </w:rPr>
            </w:pPr>
          </w:p>
        </w:tc>
      </w:tr>
      <w:tr w14:paraId="7942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14:paraId="3EAA50E4">
            <w:pPr>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2</w:t>
            </w:r>
          </w:p>
        </w:tc>
        <w:tc>
          <w:tcPr>
            <w:tcW w:w="1691" w:type="dxa"/>
          </w:tcPr>
          <w:p w14:paraId="49AEE8DB">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XX</w:t>
            </w:r>
          </w:p>
        </w:tc>
        <w:tc>
          <w:tcPr>
            <w:tcW w:w="3985" w:type="dxa"/>
          </w:tcPr>
          <w:p w14:paraId="1DB15F65">
            <w:pPr>
              <w:jc w:val="center"/>
              <w:rPr>
                <w:color w:val="000000" w:themeColor="text1"/>
                <w:highlight w:val="none"/>
                <w:vertAlign w:val="baseline"/>
                <w14:textFill>
                  <w14:solidFill>
                    <w14:schemeClr w14:val="tx1"/>
                  </w14:solidFill>
                </w14:textFill>
              </w:rPr>
            </w:pPr>
          </w:p>
        </w:tc>
        <w:tc>
          <w:tcPr>
            <w:tcW w:w="1419" w:type="dxa"/>
          </w:tcPr>
          <w:p w14:paraId="628855C0">
            <w:pPr>
              <w:jc w:val="center"/>
              <w:rPr>
                <w:color w:val="000000" w:themeColor="text1"/>
                <w:highlight w:val="none"/>
                <w:vertAlign w:val="baseline"/>
                <w14:textFill>
                  <w14:solidFill>
                    <w14:schemeClr w14:val="tx1"/>
                  </w14:solidFill>
                </w14:textFill>
              </w:rPr>
            </w:pPr>
          </w:p>
        </w:tc>
        <w:tc>
          <w:tcPr>
            <w:tcW w:w="1419" w:type="dxa"/>
          </w:tcPr>
          <w:p w14:paraId="1D7C9634">
            <w:pPr>
              <w:jc w:val="center"/>
              <w:rPr>
                <w:color w:val="000000" w:themeColor="text1"/>
                <w:highlight w:val="none"/>
                <w:vertAlign w:val="baseline"/>
                <w14:textFill>
                  <w14:solidFill>
                    <w14:schemeClr w14:val="tx1"/>
                  </w14:solidFill>
                </w14:textFill>
              </w:rPr>
            </w:pPr>
          </w:p>
        </w:tc>
        <w:tc>
          <w:tcPr>
            <w:tcW w:w="1419" w:type="dxa"/>
          </w:tcPr>
          <w:p w14:paraId="270A3B5B">
            <w:pPr>
              <w:jc w:val="center"/>
              <w:rPr>
                <w:color w:val="000000" w:themeColor="text1"/>
                <w:highlight w:val="none"/>
                <w:vertAlign w:val="baseline"/>
                <w14:textFill>
                  <w14:solidFill>
                    <w14:schemeClr w14:val="tx1"/>
                  </w14:solidFill>
                </w14:textFill>
              </w:rPr>
            </w:pPr>
          </w:p>
        </w:tc>
        <w:tc>
          <w:tcPr>
            <w:tcW w:w="1421" w:type="dxa"/>
          </w:tcPr>
          <w:p w14:paraId="55CB8B9E">
            <w:pPr>
              <w:jc w:val="center"/>
              <w:rPr>
                <w:color w:val="000000" w:themeColor="text1"/>
                <w:highlight w:val="none"/>
                <w:vertAlign w:val="baseline"/>
                <w14:textFill>
                  <w14:solidFill>
                    <w14:schemeClr w14:val="tx1"/>
                  </w14:solidFill>
                </w14:textFill>
              </w:rPr>
            </w:pPr>
          </w:p>
        </w:tc>
        <w:tc>
          <w:tcPr>
            <w:tcW w:w="1421" w:type="dxa"/>
          </w:tcPr>
          <w:p w14:paraId="3B125EA1">
            <w:pPr>
              <w:jc w:val="center"/>
              <w:rPr>
                <w:color w:val="000000" w:themeColor="text1"/>
                <w:highlight w:val="none"/>
                <w:vertAlign w:val="baseline"/>
                <w14:textFill>
                  <w14:solidFill>
                    <w14:schemeClr w14:val="tx1"/>
                  </w14:solidFill>
                </w14:textFill>
              </w:rPr>
            </w:pPr>
          </w:p>
        </w:tc>
      </w:tr>
      <w:tr w14:paraId="246F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14:paraId="5811B9F4">
            <w:pPr>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691" w:type="dxa"/>
          </w:tcPr>
          <w:p w14:paraId="21AB9A0A">
            <w:pPr>
              <w:jc w:val="center"/>
              <w:rPr>
                <w:color w:val="000000" w:themeColor="text1"/>
                <w:highlight w:val="none"/>
                <w:vertAlign w:val="baseline"/>
                <w14:textFill>
                  <w14:solidFill>
                    <w14:schemeClr w14:val="tx1"/>
                  </w14:solidFill>
                </w14:textFill>
              </w:rPr>
            </w:pPr>
          </w:p>
        </w:tc>
        <w:tc>
          <w:tcPr>
            <w:tcW w:w="3985" w:type="dxa"/>
          </w:tcPr>
          <w:p w14:paraId="3DB1E41B">
            <w:pPr>
              <w:jc w:val="center"/>
              <w:rPr>
                <w:color w:val="000000" w:themeColor="text1"/>
                <w:highlight w:val="none"/>
                <w:vertAlign w:val="baseline"/>
                <w14:textFill>
                  <w14:solidFill>
                    <w14:schemeClr w14:val="tx1"/>
                  </w14:solidFill>
                </w14:textFill>
              </w:rPr>
            </w:pPr>
          </w:p>
        </w:tc>
        <w:tc>
          <w:tcPr>
            <w:tcW w:w="1419" w:type="dxa"/>
          </w:tcPr>
          <w:p w14:paraId="69F38845">
            <w:pPr>
              <w:jc w:val="center"/>
              <w:rPr>
                <w:color w:val="000000" w:themeColor="text1"/>
                <w:highlight w:val="none"/>
                <w:vertAlign w:val="baseline"/>
                <w14:textFill>
                  <w14:solidFill>
                    <w14:schemeClr w14:val="tx1"/>
                  </w14:solidFill>
                </w14:textFill>
              </w:rPr>
            </w:pPr>
          </w:p>
        </w:tc>
        <w:tc>
          <w:tcPr>
            <w:tcW w:w="1419" w:type="dxa"/>
          </w:tcPr>
          <w:p w14:paraId="46208C2C">
            <w:pPr>
              <w:jc w:val="center"/>
              <w:rPr>
                <w:color w:val="000000" w:themeColor="text1"/>
                <w:highlight w:val="none"/>
                <w:vertAlign w:val="baseline"/>
                <w14:textFill>
                  <w14:solidFill>
                    <w14:schemeClr w14:val="tx1"/>
                  </w14:solidFill>
                </w14:textFill>
              </w:rPr>
            </w:pPr>
          </w:p>
        </w:tc>
        <w:tc>
          <w:tcPr>
            <w:tcW w:w="1419" w:type="dxa"/>
          </w:tcPr>
          <w:p w14:paraId="1A501E3E">
            <w:pPr>
              <w:jc w:val="center"/>
              <w:rPr>
                <w:color w:val="000000" w:themeColor="text1"/>
                <w:highlight w:val="none"/>
                <w:vertAlign w:val="baseline"/>
                <w14:textFill>
                  <w14:solidFill>
                    <w14:schemeClr w14:val="tx1"/>
                  </w14:solidFill>
                </w14:textFill>
              </w:rPr>
            </w:pPr>
          </w:p>
        </w:tc>
        <w:tc>
          <w:tcPr>
            <w:tcW w:w="1421" w:type="dxa"/>
          </w:tcPr>
          <w:p w14:paraId="37F0A64A">
            <w:pPr>
              <w:jc w:val="center"/>
              <w:rPr>
                <w:color w:val="000000" w:themeColor="text1"/>
                <w:highlight w:val="none"/>
                <w:vertAlign w:val="baseline"/>
                <w14:textFill>
                  <w14:solidFill>
                    <w14:schemeClr w14:val="tx1"/>
                  </w14:solidFill>
                </w14:textFill>
              </w:rPr>
            </w:pPr>
          </w:p>
        </w:tc>
        <w:tc>
          <w:tcPr>
            <w:tcW w:w="1421" w:type="dxa"/>
          </w:tcPr>
          <w:p w14:paraId="56B68DEB">
            <w:pPr>
              <w:jc w:val="center"/>
              <w:rPr>
                <w:color w:val="000000" w:themeColor="text1"/>
                <w:highlight w:val="none"/>
                <w:vertAlign w:val="baseline"/>
                <w14:textFill>
                  <w14:solidFill>
                    <w14:schemeClr w14:val="tx1"/>
                  </w14:solidFill>
                </w14:textFill>
              </w:rPr>
            </w:pPr>
          </w:p>
        </w:tc>
      </w:tr>
      <w:tr w14:paraId="40B1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1419" w:type="dxa"/>
          </w:tcPr>
          <w:p w14:paraId="7721B3F6">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691" w:type="dxa"/>
          </w:tcPr>
          <w:p w14:paraId="5C5BA011">
            <w:pPr>
              <w:jc w:val="center"/>
              <w:rPr>
                <w:color w:val="000000" w:themeColor="text1"/>
                <w:highlight w:val="none"/>
                <w:vertAlign w:val="baseline"/>
                <w14:textFill>
                  <w14:solidFill>
                    <w14:schemeClr w14:val="tx1"/>
                  </w14:solidFill>
                </w14:textFill>
              </w:rPr>
            </w:pPr>
          </w:p>
        </w:tc>
        <w:tc>
          <w:tcPr>
            <w:tcW w:w="3985" w:type="dxa"/>
          </w:tcPr>
          <w:p w14:paraId="5C4309DA">
            <w:pPr>
              <w:jc w:val="center"/>
              <w:rPr>
                <w:color w:val="000000" w:themeColor="text1"/>
                <w:highlight w:val="none"/>
                <w:vertAlign w:val="baseline"/>
                <w14:textFill>
                  <w14:solidFill>
                    <w14:schemeClr w14:val="tx1"/>
                  </w14:solidFill>
                </w14:textFill>
              </w:rPr>
            </w:pPr>
          </w:p>
        </w:tc>
        <w:tc>
          <w:tcPr>
            <w:tcW w:w="1419" w:type="dxa"/>
          </w:tcPr>
          <w:p w14:paraId="6B214B2B">
            <w:pPr>
              <w:jc w:val="center"/>
              <w:rPr>
                <w:color w:val="000000" w:themeColor="text1"/>
                <w:highlight w:val="none"/>
                <w:vertAlign w:val="baseline"/>
                <w14:textFill>
                  <w14:solidFill>
                    <w14:schemeClr w14:val="tx1"/>
                  </w14:solidFill>
                </w14:textFill>
              </w:rPr>
            </w:pPr>
          </w:p>
        </w:tc>
        <w:tc>
          <w:tcPr>
            <w:tcW w:w="1419" w:type="dxa"/>
          </w:tcPr>
          <w:p w14:paraId="790D23FA">
            <w:pPr>
              <w:jc w:val="center"/>
              <w:rPr>
                <w:color w:val="000000" w:themeColor="text1"/>
                <w:highlight w:val="none"/>
                <w:vertAlign w:val="baseline"/>
                <w14:textFill>
                  <w14:solidFill>
                    <w14:schemeClr w14:val="tx1"/>
                  </w14:solidFill>
                </w14:textFill>
              </w:rPr>
            </w:pPr>
          </w:p>
        </w:tc>
        <w:tc>
          <w:tcPr>
            <w:tcW w:w="1419" w:type="dxa"/>
          </w:tcPr>
          <w:p w14:paraId="6A13D74D">
            <w:pPr>
              <w:jc w:val="center"/>
              <w:rPr>
                <w:color w:val="000000" w:themeColor="text1"/>
                <w:highlight w:val="none"/>
                <w:vertAlign w:val="baseline"/>
                <w14:textFill>
                  <w14:solidFill>
                    <w14:schemeClr w14:val="tx1"/>
                  </w14:solidFill>
                </w14:textFill>
              </w:rPr>
            </w:pPr>
          </w:p>
        </w:tc>
        <w:tc>
          <w:tcPr>
            <w:tcW w:w="1421" w:type="dxa"/>
          </w:tcPr>
          <w:p w14:paraId="54160A42">
            <w:pPr>
              <w:jc w:val="center"/>
              <w:rPr>
                <w:color w:val="000000" w:themeColor="text1"/>
                <w:highlight w:val="none"/>
                <w:vertAlign w:val="baseline"/>
                <w14:textFill>
                  <w14:solidFill>
                    <w14:schemeClr w14:val="tx1"/>
                  </w14:solidFill>
                </w14:textFill>
              </w:rPr>
            </w:pPr>
          </w:p>
        </w:tc>
        <w:tc>
          <w:tcPr>
            <w:tcW w:w="1421" w:type="dxa"/>
          </w:tcPr>
          <w:p w14:paraId="15CF9955">
            <w:pPr>
              <w:jc w:val="center"/>
              <w:rPr>
                <w:color w:val="000000" w:themeColor="text1"/>
                <w:highlight w:val="none"/>
                <w:vertAlign w:val="baseline"/>
                <w14:textFill>
                  <w14:solidFill>
                    <w14:schemeClr w14:val="tx1"/>
                  </w14:solidFill>
                </w14:textFill>
              </w:rPr>
            </w:pPr>
          </w:p>
        </w:tc>
      </w:tr>
      <w:tr w14:paraId="486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1419" w:type="dxa"/>
          </w:tcPr>
          <w:p w14:paraId="23F8BCDC">
            <w:pPr>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w:t>
            </w:r>
          </w:p>
        </w:tc>
        <w:tc>
          <w:tcPr>
            <w:tcW w:w="1691" w:type="dxa"/>
          </w:tcPr>
          <w:p w14:paraId="5FD6989E">
            <w:pPr>
              <w:jc w:val="center"/>
              <w:rPr>
                <w:color w:val="000000" w:themeColor="text1"/>
                <w:highlight w:val="none"/>
                <w:vertAlign w:val="baseline"/>
                <w14:textFill>
                  <w14:solidFill>
                    <w14:schemeClr w14:val="tx1"/>
                  </w14:solidFill>
                </w14:textFill>
              </w:rPr>
            </w:pPr>
          </w:p>
        </w:tc>
        <w:tc>
          <w:tcPr>
            <w:tcW w:w="3985" w:type="dxa"/>
          </w:tcPr>
          <w:p w14:paraId="63B1C9BC">
            <w:pPr>
              <w:jc w:val="center"/>
              <w:rPr>
                <w:color w:val="000000" w:themeColor="text1"/>
                <w:highlight w:val="none"/>
                <w:vertAlign w:val="baseline"/>
                <w14:textFill>
                  <w14:solidFill>
                    <w14:schemeClr w14:val="tx1"/>
                  </w14:solidFill>
                </w14:textFill>
              </w:rPr>
            </w:pPr>
          </w:p>
        </w:tc>
        <w:tc>
          <w:tcPr>
            <w:tcW w:w="1419" w:type="dxa"/>
          </w:tcPr>
          <w:p w14:paraId="2C0D29E7">
            <w:pPr>
              <w:jc w:val="center"/>
              <w:rPr>
                <w:color w:val="000000" w:themeColor="text1"/>
                <w:highlight w:val="none"/>
                <w:vertAlign w:val="baseline"/>
                <w14:textFill>
                  <w14:solidFill>
                    <w14:schemeClr w14:val="tx1"/>
                  </w14:solidFill>
                </w14:textFill>
              </w:rPr>
            </w:pPr>
          </w:p>
        </w:tc>
        <w:tc>
          <w:tcPr>
            <w:tcW w:w="1419" w:type="dxa"/>
          </w:tcPr>
          <w:p w14:paraId="3CD30DDD">
            <w:pPr>
              <w:jc w:val="center"/>
              <w:rPr>
                <w:color w:val="000000" w:themeColor="text1"/>
                <w:highlight w:val="none"/>
                <w:vertAlign w:val="baseline"/>
                <w14:textFill>
                  <w14:solidFill>
                    <w14:schemeClr w14:val="tx1"/>
                  </w14:solidFill>
                </w14:textFill>
              </w:rPr>
            </w:pPr>
          </w:p>
        </w:tc>
        <w:tc>
          <w:tcPr>
            <w:tcW w:w="1419" w:type="dxa"/>
          </w:tcPr>
          <w:p w14:paraId="14C9A870">
            <w:pPr>
              <w:jc w:val="center"/>
              <w:rPr>
                <w:color w:val="000000" w:themeColor="text1"/>
                <w:highlight w:val="none"/>
                <w:vertAlign w:val="baseline"/>
                <w14:textFill>
                  <w14:solidFill>
                    <w14:schemeClr w14:val="tx1"/>
                  </w14:solidFill>
                </w14:textFill>
              </w:rPr>
            </w:pPr>
          </w:p>
        </w:tc>
        <w:tc>
          <w:tcPr>
            <w:tcW w:w="1421" w:type="dxa"/>
          </w:tcPr>
          <w:p w14:paraId="02482CFC">
            <w:pPr>
              <w:jc w:val="center"/>
              <w:rPr>
                <w:color w:val="000000" w:themeColor="text1"/>
                <w:highlight w:val="none"/>
                <w:vertAlign w:val="baseline"/>
                <w14:textFill>
                  <w14:solidFill>
                    <w14:schemeClr w14:val="tx1"/>
                  </w14:solidFill>
                </w14:textFill>
              </w:rPr>
            </w:pPr>
          </w:p>
        </w:tc>
        <w:tc>
          <w:tcPr>
            <w:tcW w:w="1421" w:type="dxa"/>
          </w:tcPr>
          <w:p w14:paraId="431F6F87">
            <w:pPr>
              <w:jc w:val="center"/>
              <w:rPr>
                <w:color w:val="000000" w:themeColor="text1"/>
                <w:highlight w:val="none"/>
                <w:vertAlign w:val="baseline"/>
                <w14:textFill>
                  <w14:solidFill>
                    <w14:schemeClr w14:val="tx1"/>
                  </w14:solidFill>
                </w14:textFill>
              </w:rPr>
            </w:pPr>
          </w:p>
        </w:tc>
      </w:tr>
      <w:tr w14:paraId="32CF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4194" w:type="dxa"/>
            <w:gridSpan w:val="8"/>
          </w:tcPr>
          <w:p w14:paraId="575970E8">
            <w:pPr>
              <w:rPr>
                <w:color w:val="000000" w:themeColor="text1"/>
                <w:highlight w:val="none"/>
                <w:vertAlign w:val="baseline"/>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投标报价小写：</w:t>
            </w:r>
          </w:p>
        </w:tc>
      </w:tr>
      <w:tr w14:paraId="7C28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194" w:type="dxa"/>
            <w:gridSpan w:val="8"/>
          </w:tcPr>
          <w:p w14:paraId="26773490">
            <w:pP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投标报价大写：</w:t>
            </w:r>
          </w:p>
        </w:tc>
      </w:tr>
    </w:tbl>
    <w:p w14:paraId="0BA15764">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14:paraId="32F090E7">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1D94DEEA">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、特别提示：采购代理机构将对项目名称和项目编号，中标供应商名称、地址和中标金额，主要中标标的名称、服务范围、服务要求、服务时间、服务标准等予以公示。</w:t>
      </w:r>
    </w:p>
    <w:p w14:paraId="4FEB630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2"/>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D69827">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5D627A1A">
      <w:pPr>
        <w:pStyle w:val="3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p>
    <w:p w14:paraId="660FE40E">
      <w:pPr>
        <w:pStyle w:val="30"/>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31C7D90B">
      <w:pPr>
        <w:pStyle w:val="3"/>
        <w:keepNext w:val="0"/>
        <w:keepLines w:val="0"/>
        <w:pageBreakBefore/>
        <w:widowControl/>
        <w:tabs>
          <w:tab w:val="left" w:pos="432"/>
        </w:tabs>
        <w:spacing w:before="100" w:beforeAutospacing="1" w:after="100" w:afterAutospacing="1" w:line="36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14:paraId="242A9707">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5A611088">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5CAF01EE">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3A4915C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249B2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96795F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8C0916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94833B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3F3F6B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1CE934E">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577CBFB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4B6F247">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38B4B9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C8696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5AABC35">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089BD54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E1D8C4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E7DB4A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219E7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F30139C">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342025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4AC9A27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ED5F3BF">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961153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0D41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E04AEB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E0D71B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3051707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7F724A9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5575E3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17FB3F8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2FD70D5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6BCB401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B94639B">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250BFE70">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F44646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45033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8FE6CE6">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672F8D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AD6AFC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8A9C9C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10C42F1">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0AFD272F">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096B6793">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3F2A1271">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3A8721F9">
      <w:pPr>
        <w:pStyle w:val="16"/>
        <w:rPr>
          <w:rFonts w:hint="eastAsia"/>
          <w:color w:val="000000" w:themeColor="text1"/>
          <w:highlight w:val="none"/>
          <w14:textFill>
            <w14:solidFill>
              <w14:schemeClr w14:val="tx1"/>
            </w14:solidFill>
          </w14:textFill>
        </w:rPr>
      </w:pPr>
    </w:p>
    <w:p w14:paraId="3D88A92A">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6D3A4799">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7D4C6CD8">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5F59DE3E">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28C288C1">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4AB6E069">
      <w:pPr>
        <w:pStyle w:val="16"/>
        <w:rPr>
          <w:rFonts w:hint="eastAsia"/>
          <w:color w:val="000000" w:themeColor="text1"/>
          <w:highlight w:val="none"/>
          <w14:textFill>
            <w14:solidFill>
              <w14:schemeClr w14:val="tx1"/>
            </w14:solidFill>
          </w14:textFill>
        </w:rPr>
      </w:pPr>
    </w:p>
    <w:p w14:paraId="5D215330">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pacing w:val="6"/>
          <w:sz w:val="32"/>
          <w:szCs w:val="32"/>
          <w:highlight w:val="none"/>
          <w14:textFill>
            <w14:solidFill>
              <w14:schemeClr w14:val="tx1"/>
            </w14:solidFill>
          </w14:textFill>
        </w:rPr>
        <w:t>：投诉书范本及制作说明</w:t>
      </w:r>
    </w:p>
    <w:p w14:paraId="331C239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1EB2C1FD">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6F70409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4C564C1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F73BA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65E5C33">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ED7D304">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9F837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D16F51C">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570DE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1F01B8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4BAC28B">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F7E035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37A3831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AD2CC1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B260DE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DCF9BF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84C72A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BB8BCE2">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8AE8B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5CF39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EF60ED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C7460D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973E0D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16F4A2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C1F2B7B">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8618B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E984C3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4FA7C52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463AAAF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5153A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16CDA5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82B7B7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7451C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9E5331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5ACFFB8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02D9A0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235A41C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6B3E0DF">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C88B4C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D970AC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0FCD32B">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FBD5A51">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29131D29">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1FAD55B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4F5EC7D">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F8E3E7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39F2A12">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66F2613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4AD87139">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EA2EF45">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316B131">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C95660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2FBAA8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DAEEFA">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3</w:t>
      </w:r>
      <w:r>
        <w:rPr>
          <w:rFonts w:hint="eastAsia" w:ascii="仿宋" w:hAnsi="仿宋" w:eastAsia="仿宋" w:cs="仿宋"/>
          <w:b/>
          <w:color w:val="000000" w:themeColor="text1"/>
          <w:spacing w:val="6"/>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5686D77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7CD59C4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6C624DB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sz w:val="24"/>
          <w:highlight w:val="none"/>
          <w:lang w:eastAsia="zh-CN"/>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E4B2B6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7813C4E6">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361A393">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60CCA2E5">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2D8C4FC6">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381842B5">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2CC5440D">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5CC407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0725F60E">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0" distR="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14:paraId="14354F9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30D1BD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7C06E4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7EA80F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B403BC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9688B0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162C24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DC27408">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7CC037E1">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79296E8F">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23DB1E58">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32BD6A55">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0E03A307">
      <w:pPr>
        <w:rPr>
          <w:rFonts w:hint="eastAsia" w:ascii="仿宋" w:hAnsi="仿宋" w:eastAsia="仿宋" w:cs="仿宋"/>
          <w:b/>
          <w:color w:val="000000" w:themeColor="text1"/>
          <w:spacing w:val="6"/>
          <w:sz w:val="32"/>
          <w:szCs w:val="32"/>
          <w:highlight w:val="none"/>
          <w14:textFill>
            <w14:solidFill>
              <w14:schemeClr w14:val="tx1"/>
            </w14:solidFill>
          </w14:textFill>
        </w:rPr>
      </w:pPr>
    </w:p>
    <w:p w14:paraId="1BBBCFDB">
      <w:pPr>
        <w:pStyle w:val="16"/>
        <w:rPr>
          <w:rFonts w:hint="eastAsia" w:ascii="仿宋" w:hAnsi="仿宋" w:eastAsia="仿宋" w:cs="仿宋"/>
          <w:b/>
          <w:color w:val="000000" w:themeColor="text1"/>
          <w:spacing w:val="6"/>
          <w:sz w:val="32"/>
          <w:szCs w:val="32"/>
          <w:highlight w:val="none"/>
          <w14:textFill>
            <w14:solidFill>
              <w14:schemeClr w14:val="tx1"/>
            </w14:solidFill>
          </w14:textFill>
        </w:rPr>
      </w:pPr>
    </w:p>
    <w:p w14:paraId="7D1378A5">
      <w:pPr>
        <w:pStyle w:val="16"/>
        <w:rPr>
          <w:rFonts w:hint="eastAsia"/>
          <w:color w:val="000000" w:themeColor="text1"/>
          <w:highlight w:val="none"/>
          <w14:textFill>
            <w14:solidFill>
              <w14:schemeClr w14:val="tx1"/>
            </w14:solidFill>
          </w14:textFill>
        </w:rPr>
      </w:pPr>
    </w:p>
    <w:p w14:paraId="59902E5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8A04A2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w:t>
      </w:r>
      <w:r>
        <w:rPr>
          <w:rFonts w:hint="eastAsia" w:ascii="仿宋" w:hAnsi="仿宋" w:eastAsia="仿宋" w:cs="仿宋"/>
          <w:b/>
          <w:color w:val="000000" w:themeColor="text1"/>
          <w:spacing w:val="6"/>
          <w:sz w:val="32"/>
          <w:szCs w:val="32"/>
          <w:highlight w:val="none"/>
          <w:lang w:val="en-US" w:eastAsia="zh-CN"/>
          <w14:textFill>
            <w14:solidFill>
              <w14:schemeClr w14:val="tx1"/>
            </w14:solidFill>
          </w14:textFill>
        </w:rPr>
        <w:t>4</w:t>
      </w:r>
      <w:r>
        <w:rPr>
          <w:rFonts w:hint="eastAsia" w:ascii="仿宋" w:hAnsi="仿宋" w:eastAsia="仿宋" w:cs="仿宋"/>
          <w:b/>
          <w:color w:val="000000" w:themeColor="text1"/>
          <w:spacing w:val="6"/>
          <w:sz w:val="32"/>
          <w:szCs w:val="32"/>
          <w:highlight w:val="none"/>
          <w14:textFill>
            <w14:solidFill>
              <w14:schemeClr w14:val="tx1"/>
            </w14:solidFill>
          </w14:textFill>
        </w:rPr>
        <w:t>：</w:t>
      </w:r>
      <w:bookmarkStart w:id="54" w:name="OLE_LINK13"/>
      <w:bookmarkStart w:id="55"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4"/>
    <w:bookmarkEnd w:id="55"/>
    <w:p w14:paraId="4F7E2BC6">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113D82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F754D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226A0BD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8D203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B7141B3">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05DB1080">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FB4C5B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13038E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3A99F3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F2B571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25DAB5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1085D6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56B8E1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0993CD5">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1822DA9">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7136B68">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B05B76C">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0A8F5E6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945417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BBA796A">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6C002A9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C7351B4">
      <w:pPr>
        <w:pStyle w:val="2"/>
        <w:rPr>
          <w:rFonts w:hint="eastAsia" w:ascii="仿宋" w:hAnsi="仿宋" w:eastAsia="仿宋" w:cs="仿宋"/>
          <w:color w:val="000000" w:themeColor="text1"/>
          <w:highlight w:val="none"/>
          <w14:textFill>
            <w14:solidFill>
              <w14:schemeClr w14:val="tx1"/>
            </w14:solidFill>
          </w14:textFill>
        </w:rPr>
      </w:pPr>
    </w:p>
    <w:p w14:paraId="0DE40D47">
      <w:pPr>
        <w:pStyle w:val="16"/>
        <w:rPr>
          <w:rFonts w:hint="eastAsia" w:ascii="仿宋" w:hAnsi="仿宋" w:eastAsia="仿宋" w:cs="仿宋"/>
          <w:color w:val="000000" w:themeColor="text1"/>
          <w:highlight w:val="none"/>
          <w14:textFill>
            <w14:solidFill>
              <w14:schemeClr w14:val="tx1"/>
            </w14:solidFill>
          </w14:textFill>
        </w:rPr>
      </w:pPr>
    </w:p>
    <w:p w14:paraId="04198456">
      <w:pPr>
        <w:rPr>
          <w:rFonts w:hint="eastAsia" w:ascii="仿宋" w:hAnsi="仿宋" w:eastAsia="仿宋" w:cs="仿宋"/>
          <w:color w:val="000000" w:themeColor="text1"/>
          <w:highlight w:val="none"/>
          <w14:textFill>
            <w14:solidFill>
              <w14:schemeClr w14:val="tx1"/>
            </w14:solidFill>
          </w14:textFill>
        </w:rPr>
      </w:pPr>
    </w:p>
    <w:p w14:paraId="448EC16A">
      <w:pPr>
        <w:pStyle w:val="16"/>
        <w:rPr>
          <w:rFonts w:hint="eastAsia"/>
          <w:color w:val="000000" w:themeColor="text1"/>
          <w:highlight w:val="none"/>
          <w14:textFill>
            <w14:solidFill>
              <w14:schemeClr w14:val="tx1"/>
            </w14:solidFill>
          </w14:textFill>
        </w:rPr>
      </w:pPr>
    </w:p>
    <w:p w14:paraId="429D0E66">
      <w:pPr>
        <w:pStyle w:val="16"/>
        <w:rPr>
          <w:rFonts w:hint="eastAsia" w:ascii="仿宋" w:hAnsi="仿宋" w:eastAsia="仿宋" w:cs="仿宋"/>
          <w:color w:val="000000" w:themeColor="text1"/>
          <w:highlight w:val="none"/>
          <w14:textFill>
            <w14:solidFill>
              <w14:schemeClr w14:val="tx1"/>
            </w14:solidFill>
          </w14:textFill>
        </w:rPr>
      </w:pPr>
    </w:p>
    <w:p w14:paraId="3ED17C30">
      <w:pPr>
        <w:rPr>
          <w:rFonts w:hint="eastAsia" w:ascii="仿宋" w:hAnsi="仿宋" w:eastAsia="仿宋" w:cs="仿宋"/>
          <w:color w:val="000000" w:themeColor="text1"/>
          <w:highlight w:val="none"/>
          <w14:textFill>
            <w14:solidFill>
              <w14:schemeClr w14:val="tx1"/>
            </w14:solidFill>
          </w14:textFill>
        </w:rPr>
      </w:pPr>
    </w:p>
    <w:p w14:paraId="427EA8D6">
      <w:pPr>
        <w:pStyle w:val="16"/>
        <w:rPr>
          <w:rFonts w:hint="eastAsia"/>
          <w:color w:val="000000" w:themeColor="text1"/>
          <w:highlight w:val="none"/>
          <w14:textFill>
            <w14:solidFill>
              <w14:schemeClr w14:val="tx1"/>
            </w14:solidFill>
          </w14:textFill>
        </w:rPr>
      </w:pPr>
    </w:p>
    <w:p w14:paraId="27D3932A">
      <w:pPr>
        <w:snapToGrid w:val="0"/>
        <w:spacing w:line="360" w:lineRule="auto"/>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w:t>
      </w:r>
    </w:p>
    <w:p w14:paraId="23CC06A6">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41D2518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14:paraId="19D87F1C">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采购活动</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服务全部由符合政策要求的中小企业承接。相关企业（含联合体中的中小企业、签订分包意向协议的中小企业）的具体情况如下：</w:t>
      </w:r>
    </w:p>
    <w:p w14:paraId="50D72B7F">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02496F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1ED417C9">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319207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36E22F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5735D679">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1B03A6A5">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770C4683">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704773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05FD9D4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14:paraId="71481F16">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BC63A2">
      <w:pPr>
        <w:spacing w:line="360" w:lineRule="auto"/>
        <w:ind w:right="420"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BBB39D">
      <w:pPr>
        <w:pStyle w:val="4"/>
        <w:rPr>
          <w:rFonts w:hint="eastAsia" w:ascii="仿宋" w:hAnsi="仿宋" w:eastAsia="仿宋" w:cs="仿宋"/>
          <w:color w:val="000000" w:themeColor="text1"/>
          <w:highlight w:val="none"/>
          <w:lang w:val="en-US"/>
          <w14:textFill>
            <w14:solidFill>
              <w14:schemeClr w14:val="tx1"/>
            </w14:solidFill>
          </w14:textFill>
        </w:rPr>
      </w:pPr>
    </w:p>
    <w:p w14:paraId="443D8DCF">
      <w:pPr>
        <w:pageBreakBefore/>
        <w:shd w:val="clear" w:color="auto" w:fill="FFFFFF"/>
        <w:spacing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国家统计局关于印发《统计上大中小微型企业划分办法（2017）》的通知</w:t>
      </w:r>
    </w:p>
    <w:p w14:paraId="5DE76C37">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各省、自治区、直辖市统计局，新疆生产建设兵团统计局，国务院各有关部门，国家统计局各调查总队：</w:t>
      </w:r>
    </w:p>
    <w:p w14:paraId="4B858EF5">
      <w:pPr>
        <w:widowControl/>
        <w:shd w:val="clear" w:color="auto" w:fill="FFFFFF"/>
        <w:spacing w:before="150" w:line="420" w:lineRule="atLeast"/>
        <w:ind w:firstLine="420" w:firstLineChars="200"/>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5AF5D3B">
      <w:pPr>
        <w:widowControl/>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附件：《统计上大中小微型企业划分办法（2017）》修订说明</w:t>
      </w:r>
    </w:p>
    <w:p w14:paraId="00AFA6ED">
      <w:pPr>
        <w:widowControl/>
        <w:shd w:val="clear" w:color="auto" w:fill="FFFFFF"/>
        <w:spacing w:before="150" w:line="420" w:lineRule="atLeast"/>
        <w:ind w:right="825"/>
        <w:jc w:val="righ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国家统计局  </w:t>
      </w:r>
    </w:p>
    <w:p w14:paraId="18D877DF">
      <w:pPr>
        <w:widowControl/>
        <w:shd w:val="clear" w:color="auto" w:fill="FFFFFF"/>
        <w:spacing w:before="150" w:line="420" w:lineRule="atLeast"/>
        <w:ind w:right="825"/>
        <w:jc w:val="righ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2017年12月28日</w:t>
      </w:r>
    </w:p>
    <w:p w14:paraId="6B3F4563">
      <w:pPr>
        <w:pStyle w:val="2"/>
        <w:rPr>
          <w:rFonts w:hint="eastAsia"/>
          <w:color w:val="000000" w:themeColor="text1"/>
          <w:highlight w:val="none"/>
          <w:lang w:val="en-US" w:eastAsia="zh-CN"/>
          <w14:textFill>
            <w14:solidFill>
              <w14:schemeClr w14:val="tx1"/>
            </w14:solidFill>
          </w14:textFill>
        </w:rPr>
      </w:pPr>
    </w:p>
    <w:p w14:paraId="137564DB">
      <w:pPr>
        <w:widowControl/>
        <w:shd w:val="clear" w:color="auto" w:fill="FFFFFF"/>
        <w:spacing w:before="150"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统计上大中小微型企业划分办法（2017）</w:t>
      </w:r>
    </w:p>
    <w:p w14:paraId="0EF4DEF5">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689110F0">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327CCA52">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84D1FE">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0C4ED677">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五、企业划分由政府综合统计部门根据统计年报每年确定一次，定报统计原则上不进行调整。</w:t>
      </w:r>
    </w:p>
    <w:p w14:paraId="2B85F6A6">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六、本办法自印发之日起执行，国家统计局2011年印发的《统计上大中小微型企业划分办法》（国统字〔2011〕75号）同时废止。</w:t>
      </w:r>
    </w:p>
    <w:p w14:paraId="58E1F070">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附表：统计上大中小微型企业划分标准</w:t>
      </w:r>
    </w:p>
    <w:p w14:paraId="085AF0A3">
      <w:pPr>
        <w:widowControl/>
        <w:jc w:val="left"/>
        <w:rPr>
          <w:rFonts w:hint="eastAsia" w:ascii="仿宋" w:hAnsi="仿宋" w:eastAsia="仿宋" w:cs="仿宋"/>
          <w:color w:val="000000" w:themeColor="text1"/>
          <w:kern w:val="0"/>
          <w:sz w:val="24"/>
          <w:highlight w:val="none"/>
          <w14:textFill>
            <w14:solidFill>
              <w14:schemeClr w14:val="tx1"/>
            </w14:solidFill>
          </w14:textFill>
        </w:rPr>
      </w:pPr>
    </w:p>
    <w:p w14:paraId="625CC452">
      <w:pPr>
        <w:widowControl/>
        <w:shd w:val="clear" w:color="auto" w:fill="FFFFFF"/>
        <w:spacing w:before="150"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统计上大中小微型企业划分标准</w:t>
      </w:r>
    </w:p>
    <w:tbl>
      <w:tblPr>
        <w:tblStyle w:val="18"/>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09E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4521AB1C">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行业名称</w:t>
            </w:r>
          </w:p>
        </w:tc>
        <w:tc>
          <w:tcPr>
            <w:tcW w:w="1560" w:type="dxa"/>
            <w:tcMar>
              <w:top w:w="75" w:type="dxa"/>
              <w:left w:w="75" w:type="dxa"/>
              <w:bottom w:w="75" w:type="dxa"/>
              <w:right w:w="75" w:type="dxa"/>
            </w:tcMar>
            <w:vAlign w:val="bottom"/>
          </w:tcPr>
          <w:p w14:paraId="530FF031">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指标名称</w:t>
            </w:r>
          </w:p>
        </w:tc>
        <w:tc>
          <w:tcPr>
            <w:tcW w:w="671" w:type="dxa"/>
            <w:tcMar>
              <w:top w:w="75" w:type="dxa"/>
              <w:left w:w="75" w:type="dxa"/>
              <w:bottom w:w="75" w:type="dxa"/>
              <w:right w:w="75" w:type="dxa"/>
            </w:tcMar>
            <w:vAlign w:val="bottom"/>
          </w:tcPr>
          <w:p w14:paraId="23C3BDCA">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计量单位</w:t>
            </w:r>
          </w:p>
        </w:tc>
        <w:tc>
          <w:tcPr>
            <w:tcW w:w="1231" w:type="dxa"/>
            <w:tcMar>
              <w:top w:w="75" w:type="dxa"/>
              <w:left w:w="75" w:type="dxa"/>
              <w:bottom w:w="75" w:type="dxa"/>
              <w:right w:w="75" w:type="dxa"/>
            </w:tcMar>
            <w:vAlign w:val="bottom"/>
          </w:tcPr>
          <w:p w14:paraId="72C3F25F">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大型</w:t>
            </w:r>
          </w:p>
        </w:tc>
        <w:tc>
          <w:tcPr>
            <w:tcW w:w="1891" w:type="dxa"/>
            <w:tcMar>
              <w:top w:w="75" w:type="dxa"/>
              <w:left w:w="75" w:type="dxa"/>
              <w:bottom w:w="75" w:type="dxa"/>
              <w:right w:w="75" w:type="dxa"/>
            </w:tcMar>
            <w:vAlign w:val="bottom"/>
          </w:tcPr>
          <w:p w14:paraId="13338485">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中型</w:t>
            </w:r>
          </w:p>
        </w:tc>
        <w:tc>
          <w:tcPr>
            <w:tcW w:w="1730" w:type="dxa"/>
            <w:tcMar>
              <w:top w:w="75" w:type="dxa"/>
              <w:left w:w="75" w:type="dxa"/>
              <w:bottom w:w="75" w:type="dxa"/>
              <w:right w:w="75" w:type="dxa"/>
            </w:tcMar>
            <w:vAlign w:val="bottom"/>
          </w:tcPr>
          <w:p w14:paraId="406F9A10">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小型</w:t>
            </w:r>
          </w:p>
        </w:tc>
        <w:tc>
          <w:tcPr>
            <w:tcW w:w="1203" w:type="dxa"/>
            <w:tcMar>
              <w:top w:w="75" w:type="dxa"/>
              <w:left w:w="75" w:type="dxa"/>
              <w:bottom w:w="75" w:type="dxa"/>
              <w:right w:w="75" w:type="dxa"/>
            </w:tcMar>
            <w:vAlign w:val="bottom"/>
          </w:tcPr>
          <w:p w14:paraId="5C18D7F4">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微型</w:t>
            </w:r>
          </w:p>
        </w:tc>
      </w:tr>
      <w:tr w14:paraId="580C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92C827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农、林、牧、渔业</w:t>
            </w:r>
          </w:p>
        </w:tc>
        <w:tc>
          <w:tcPr>
            <w:tcW w:w="1560" w:type="dxa"/>
            <w:vAlign w:val="center"/>
          </w:tcPr>
          <w:p w14:paraId="4751E11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27B249D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5E0A2B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w:t>
            </w:r>
          </w:p>
        </w:tc>
        <w:tc>
          <w:tcPr>
            <w:tcW w:w="1891" w:type="dxa"/>
            <w:vAlign w:val="center"/>
          </w:tcPr>
          <w:p w14:paraId="04C24E1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500≤Y＜20000</w:t>
            </w:r>
          </w:p>
        </w:tc>
        <w:tc>
          <w:tcPr>
            <w:tcW w:w="1730" w:type="dxa"/>
            <w:vAlign w:val="center"/>
          </w:tcPr>
          <w:p w14:paraId="1BDA14E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50≤Y＜500</w:t>
            </w:r>
          </w:p>
        </w:tc>
        <w:tc>
          <w:tcPr>
            <w:tcW w:w="1203" w:type="dxa"/>
            <w:vAlign w:val="center"/>
          </w:tcPr>
          <w:p w14:paraId="4458726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w:t>
            </w:r>
          </w:p>
        </w:tc>
      </w:tr>
      <w:tr w14:paraId="347E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01BFA7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工业 *</w:t>
            </w:r>
          </w:p>
        </w:tc>
        <w:tc>
          <w:tcPr>
            <w:tcW w:w="1560" w:type="dxa"/>
            <w:vAlign w:val="center"/>
          </w:tcPr>
          <w:p w14:paraId="01B6D0E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77280CE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4C43949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14:paraId="2E83FD4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14:paraId="44AAB72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14:paraId="3CBB69C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14:paraId="2FBE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B4A07C4">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73AD62C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0A14875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2F685CF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Y≥40000</w:t>
            </w:r>
          </w:p>
        </w:tc>
        <w:tc>
          <w:tcPr>
            <w:tcW w:w="1891" w:type="dxa"/>
            <w:vAlign w:val="center"/>
          </w:tcPr>
          <w:p w14:paraId="1911902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2000≤Y＜40000</w:t>
            </w:r>
          </w:p>
        </w:tc>
        <w:tc>
          <w:tcPr>
            <w:tcW w:w="1730" w:type="dxa"/>
            <w:vAlign w:val="center"/>
          </w:tcPr>
          <w:p w14:paraId="7498369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300≤Y＜2000</w:t>
            </w:r>
          </w:p>
        </w:tc>
        <w:tc>
          <w:tcPr>
            <w:tcW w:w="1203" w:type="dxa"/>
            <w:vAlign w:val="center"/>
          </w:tcPr>
          <w:p w14:paraId="5B99A39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w:t>
            </w:r>
          </w:p>
        </w:tc>
      </w:tr>
      <w:tr w14:paraId="36FD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10A9B1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建筑业</w:t>
            </w:r>
          </w:p>
        </w:tc>
        <w:tc>
          <w:tcPr>
            <w:tcW w:w="1560" w:type="dxa"/>
            <w:vAlign w:val="center"/>
          </w:tcPr>
          <w:p w14:paraId="0F964C9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3E776C5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5D67A6A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Y≥80000</w:t>
            </w:r>
          </w:p>
        </w:tc>
        <w:tc>
          <w:tcPr>
            <w:tcW w:w="1891" w:type="dxa"/>
            <w:vAlign w:val="center"/>
          </w:tcPr>
          <w:p w14:paraId="4D13281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6000≤Y＜80000</w:t>
            </w:r>
          </w:p>
        </w:tc>
        <w:tc>
          <w:tcPr>
            <w:tcW w:w="1730" w:type="dxa"/>
            <w:vAlign w:val="center"/>
          </w:tcPr>
          <w:p w14:paraId="18DB7AF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300≤Y＜6000</w:t>
            </w:r>
          </w:p>
        </w:tc>
        <w:tc>
          <w:tcPr>
            <w:tcW w:w="1203" w:type="dxa"/>
            <w:vAlign w:val="center"/>
          </w:tcPr>
          <w:p w14:paraId="7646D9B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w:t>
            </w:r>
          </w:p>
        </w:tc>
      </w:tr>
      <w:tr w14:paraId="28E89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E2C53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39366B9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14:paraId="2B201F3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237F60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Z≥80000</w:t>
            </w:r>
          </w:p>
        </w:tc>
        <w:tc>
          <w:tcPr>
            <w:tcW w:w="1891" w:type="dxa"/>
            <w:vAlign w:val="center"/>
          </w:tcPr>
          <w:p w14:paraId="590FF48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5000≤Z＜80000</w:t>
            </w:r>
          </w:p>
        </w:tc>
        <w:tc>
          <w:tcPr>
            <w:tcW w:w="1730" w:type="dxa"/>
            <w:vAlign w:val="center"/>
          </w:tcPr>
          <w:p w14:paraId="3224F1F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300≤Z＜5000</w:t>
            </w:r>
          </w:p>
        </w:tc>
        <w:tc>
          <w:tcPr>
            <w:tcW w:w="1203" w:type="dxa"/>
            <w:vAlign w:val="center"/>
          </w:tcPr>
          <w:p w14:paraId="79A511E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Z＜300</w:t>
            </w:r>
          </w:p>
        </w:tc>
      </w:tr>
      <w:tr w14:paraId="4BD3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89726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批发业</w:t>
            </w:r>
          </w:p>
        </w:tc>
        <w:tc>
          <w:tcPr>
            <w:tcW w:w="1560" w:type="dxa"/>
            <w:vAlign w:val="center"/>
          </w:tcPr>
          <w:p w14:paraId="61D7342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027A45B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29E9001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w:t>
            </w:r>
          </w:p>
        </w:tc>
        <w:tc>
          <w:tcPr>
            <w:tcW w:w="1891" w:type="dxa"/>
            <w:vAlign w:val="center"/>
          </w:tcPr>
          <w:p w14:paraId="510EFF4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20≤X＜200</w:t>
            </w:r>
          </w:p>
        </w:tc>
        <w:tc>
          <w:tcPr>
            <w:tcW w:w="1730" w:type="dxa"/>
            <w:vAlign w:val="center"/>
          </w:tcPr>
          <w:p w14:paraId="1B54989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5≤X＜20</w:t>
            </w:r>
          </w:p>
        </w:tc>
        <w:tc>
          <w:tcPr>
            <w:tcW w:w="1203" w:type="dxa"/>
            <w:vAlign w:val="center"/>
          </w:tcPr>
          <w:p w14:paraId="160DD37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X＜5</w:t>
            </w:r>
          </w:p>
        </w:tc>
      </w:tr>
      <w:tr w14:paraId="680B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25036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761C878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2259B19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87F49E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Y≥40000</w:t>
            </w:r>
          </w:p>
        </w:tc>
        <w:tc>
          <w:tcPr>
            <w:tcW w:w="1891" w:type="dxa"/>
            <w:vAlign w:val="center"/>
          </w:tcPr>
          <w:p w14:paraId="2ABE0EB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5000≤Y＜40000</w:t>
            </w:r>
          </w:p>
        </w:tc>
        <w:tc>
          <w:tcPr>
            <w:tcW w:w="1730" w:type="dxa"/>
            <w:vAlign w:val="center"/>
          </w:tcPr>
          <w:p w14:paraId="5D194F4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1000≤Y＜5000</w:t>
            </w:r>
          </w:p>
        </w:tc>
        <w:tc>
          <w:tcPr>
            <w:tcW w:w="1203" w:type="dxa"/>
            <w:vAlign w:val="center"/>
          </w:tcPr>
          <w:p w14:paraId="167CF34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w:t>
            </w:r>
          </w:p>
        </w:tc>
      </w:tr>
      <w:tr w14:paraId="4911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0D853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零售业</w:t>
            </w:r>
          </w:p>
        </w:tc>
        <w:tc>
          <w:tcPr>
            <w:tcW w:w="1560" w:type="dxa"/>
            <w:vAlign w:val="center"/>
          </w:tcPr>
          <w:p w14:paraId="76F1887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3802FC9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0CB9E72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1FA3437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50≤X＜300</w:t>
            </w:r>
          </w:p>
        </w:tc>
        <w:tc>
          <w:tcPr>
            <w:tcW w:w="1730" w:type="dxa"/>
            <w:vAlign w:val="center"/>
          </w:tcPr>
          <w:p w14:paraId="5F54939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10≤X＜50</w:t>
            </w:r>
          </w:p>
        </w:tc>
        <w:tc>
          <w:tcPr>
            <w:tcW w:w="1203" w:type="dxa"/>
            <w:vAlign w:val="center"/>
          </w:tcPr>
          <w:p w14:paraId="105FAF5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7A497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1BD1F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0B0711E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0BEE355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2E6CEF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w:t>
            </w:r>
          </w:p>
        </w:tc>
        <w:tc>
          <w:tcPr>
            <w:tcW w:w="1891" w:type="dxa"/>
            <w:vAlign w:val="center"/>
          </w:tcPr>
          <w:p w14:paraId="5710AC8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500≤Y＜20000</w:t>
            </w:r>
          </w:p>
        </w:tc>
        <w:tc>
          <w:tcPr>
            <w:tcW w:w="1730" w:type="dxa"/>
            <w:vAlign w:val="center"/>
          </w:tcPr>
          <w:p w14:paraId="57B8994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100≤Y＜500</w:t>
            </w:r>
          </w:p>
        </w:tc>
        <w:tc>
          <w:tcPr>
            <w:tcW w:w="1203" w:type="dxa"/>
            <w:vAlign w:val="center"/>
          </w:tcPr>
          <w:p w14:paraId="0DE9D6E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300D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F5690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交通运输业 *</w:t>
            </w:r>
          </w:p>
        </w:tc>
        <w:tc>
          <w:tcPr>
            <w:tcW w:w="1560" w:type="dxa"/>
            <w:vAlign w:val="center"/>
          </w:tcPr>
          <w:p w14:paraId="6C69908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7EE902A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67B2DDB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14:paraId="6856BB4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14:paraId="46AE7DE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14:paraId="75121C0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14:paraId="3A2E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3B72D7">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5DF73B1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775FDA8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49F1803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14:paraId="735E455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3000≤Y＜30000</w:t>
            </w:r>
          </w:p>
        </w:tc>
        <w:tc>
          <w:tcPr>
            <w:tcW w:w="1730" w:type="dxa"/>
            <w:vAlign w:val="center"/>
          </w:tcPr>
          <w:p w14:paraId="1C9B260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200≤Y＜3000</w:t>
            </w:r>
          </w:p>
        </w:tc>
        <w:tc>
          <w:tcPr>
            <w:tcW w:w="1203" w:type="dxa"/>
            <w:vAlign w:val="center"/>
          </w:tcPr>
          <w:p w14:paraId="3E7F729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w:t>
            </w:r>
          </w:p>
        </w:tc>
      </w:tr>
      <w:tr w14:paraId="29A6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220B6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仓储业*</w:t>
            </w:r>
          </w:p>
        </w:tc>
        <w:tc>
          <w:tcPr>
            <w:tcW w:w="1560" w:type="dxa"/>
            <w:vAlign w:val="center"/>
          </w:tcPr>
          <w:p w14:paraId="1F14423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691E7E3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0920BC7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w:t>
            </w:r>
          </w:p>
        </w:tc>
        <w:tc>
          <w:tcPr>
            <w:tcW w:w="1891" w:type="dxa"/>
            <w:vAlign w:val="center"/>
          </w:tcPr>
          <w:p w14:paraId="5AAD8F7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100≤X＜200</w:t>
            </w:r>
          </w:p>
        </w:tc>
        <w:tc>
          <w:tcPr>
            <w:tcW w:w="1730" w:type="dxa"/>
            <w:vAlign w:val="center"/>
          </w:tcPr>
          <w:p w14:paraId="14D4CF2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20≤X＜100</w:t>
            </w:r>
          </w:p>
        </w:tc>
        <w:tc>
          <w:tcPr>
            <w:tcW w:w="1203" w:type="dxa"/>
            <w:vAlign w:val="center"/>
          </w:tcPr>
          <w:p w14:paraId="090C17E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14:paraId="57B6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54DD327">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6A93737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7FAA0B0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5093509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14:paraId="1C1EF70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1000≤Y＜30000</w:t>
            </w:r>
          </w:p>
        </w:tc>
        <w:tc>
          <w:tcPr>
            <w:tcW w:w="1730" w:type="dxa"/>
            <w:vAlign w:val="center"/>
          </w:tcPr>
          <w:p w14:paraId="739B71D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14:paraId="4A17F52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2C33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2699C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邮政业</w:t>
            </w:r>
          </w:p>
        </w:tc>
        <w:tc>
          <w:tcPr>
            <w:tcW w:w="1560" w:type="dxa"/>
            <w:vAlign w:val="center"/>
          </w:tcPr>
          <w:p w14:paraId="5FE6DEB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1724988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4F587F3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14:paraId="654B122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14:paraId="72AE210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20≤X＜300</w:t>
            </w:r>
          </w:p>
        </w:tc>
        <w:tc>
          <w:tcPr>
            <w:tcW w:w="1203" w:type="dxa"/>
            <w:vAlign w:val="center"/>
          </w:tcPr>
          <w:p w14:paraId="2DECB8A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w:t>
            </w:r>
          </w:p>
        </w:tc>
      </w:tr>
      <w:tr w14:paraId="1E1C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FAEC1EB">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71F1B55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0FCCA6D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0A86DF7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Y≥30000</w:t>
            </w:r>
          </w:p>
        </w:tc>
        <w:tc>
          <w:tcPr>
            <w:tcW w:w="1891" w:type="dxa"/>
            <w:vAlign w:val="center"/>
          </w:tcPr>
          <w:p w14:paraId="402E8F5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2000≤Y＜30000</w:t>
            </w:r>
          </w:p>
        </w:tc>
        <w:tc>
          <w:tcPr>
            <w:tcW w:w="1730" w:type="dxa"/>
            <w:vAlign w:val="center"/>
          </w:tcPr>
          <w:p w14:paraId="2102D6D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14:paraId="2CCC1C8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0AA8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044F68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住宿业</w:t>
            </w:r>
          </w:p>
        </w:tc>
        <w:tc>
          <w:tcPr>
            <w:tcW w:w="1560" w:type="dxa"/>
            <w:vAlign w:val="center"/>
          </w:tcPr>
          <w:p w14:paraId="09017D5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75DA86F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6159C21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2505A58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14:paraId="1F645D2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7FF9794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343D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549AE8">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4A588E8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3A29EB9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5C3F95F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14:paraId="4B1CF2B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2000≤Y＜10000</w:t>
            </w:r>
          </w:p>
        </w:tc>
        <w:tc>
          <w:tcPr>
            <w:tcW w:w="1730" w:type="dxa"/>
            <w:vAlign w:val="center"/>
          </w:tcPr>
          <w:p w14:paraId="65EA5B3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14:paraId="2F25CC8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0FA0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49F4E5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餐饮业</w:t>
            </w:r>
          </w:p>
        </w:tc>
        <w:tc>
          <w:tcPr>
            <w:tcW w:w="1560" w:type="dxa"/>
            <w:vAlign w:val="center"/>
          </w:tcPr>
          <w:p w14:paraId="42713D5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762D9A4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6F54E7C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3246221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14:paraId="4D972CD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0D8F2A9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115E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71D8C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27044B1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14FA487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4628FD5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14:paraId="2C7BAA0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2000≤Y＜10000</w:t>
            </w:r>
          </w:p>
        </w:tc>
        <w:tc>
          <w:tcPr>
            <w:tcW w:w="1730" w:type="dxa"/>
            <w:vAlign w:val="center"/>
          </w:tcPr>
          <w:p w14:paraId="42B8648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100≤Y＜2000</w:t>
            </w:r>
          </w:p>
        </w:tc>
        <w:tc>
          <w:tcPr>
            <w:tcW w:w="1203" w:type="dxa"/>
            <w:vAlign w:val="center"/>
          </w:tcPr>
          <w:p w14:paraId="241D5B4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74E9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43AF6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信息传输业 *</w:t>
            </w:r>
          </w:p>
        </w:tc>
        <w:tc>
          <w:tcPr>
            <w:tcW w:w="1560" w:type="dxa"/>
            <w:vAlign w:val="center"/>
          </w:tcPr>
          <w:p w14:paraId="4AF4F3E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12AA334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5EA3E77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X≥2000</w:t>
            </w:r>
          </w:p>
        </w:tc>
        <w:tc>
          <w:tcPr>
            <w:tcW w:w="1891" w:type="dxa"/>
            <w:vAlign w:val="center"/>
          </w:tcPr>
          <w:p w14:paraId="46EF596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100≤X＜2000</w:t>
            </w:r>
          </w:p>
        </w:tc>
        <w:tc>
          <w:tcPr>
            <w:tcW w:w="1730" w:type="dxa"/>
            <w:vAlign w:val="center"/>
          </w:tcPr>
          <w:p w14:paraId="0A91265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5B5940A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2E659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EE2B0AF">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37F817D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7003CC4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3500106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Y≥100000</w:t>
            </w:r>
          </w:p>
        </w:tc>
        <w:tc>
          <w:tcPr>
            <w:tcW w:w="1891" w:type="dxa"/>
            <w:vAlign w:val="center"/>
          </w:tcPr>
          <w:p w14:paraId="079FA6D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1000≤Y＜100000</w:t>
            </w:r>
          </w:p>
        </w:tc>
        <w:tc>
          <w:tcPr>
            <w:tcW w:w="1730" w:type="dxa"/>
            <w:vAlign w:val="center"/>
          </w:tcPr>
          <w:p w14:paraId="547112A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14:paraId="065E193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3026D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504FE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软件和信息技术服务业</w:t>
            </w:r>
          </w:p>
        </w:tc>
        <w:tc>
          <w:tcPr>
            <w:tcW w:w="1560" w:type="dxa"/>
            <w:vAlign w:val="center"/>
          </w:tcPr>
          <w:p w14:paraId="6E0256B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0FE0808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36721DB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32C99F5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14:paraId="206654F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7A5EA5D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38E74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EC964C2">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32240D9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2660159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30AFB55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Y≥10000</w:t>
            </w:r>
          </w:p>
        </w:tc>
        <w:tc>
          <w:tcPr>
            <w:tcW w:w="1891" w:type="dxa"/>
            <w:vAlign w:val="center"/>
          </w:tcPr>
          <w:p w14:paraId="42F218B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1000≤Y＜10000</w:t>
            </w:r>
          </w:p>
        </w:tc>
        <w:tc>
          <w:tcPr>
            <w:tcW w:w="1730" w:type="dxa"/>
            <w:vAlign w:val="center"/>
          </w:tcPr>
          <w:p w14:paraId="3CA34A0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50≤Y＜1000</w:t>
            </w:r>
          </w:p>
        </w:tc>
        <w:tc>
          <w:tcPr>
            <w:tcW w:w="1203" w:type="dxa"/>
            <w:vAlign w:val="center"/>
          </w:tcPr>
          <w:p w14:paraId="47E7A0B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w:t>
            </w:r>
          </w:p>
        </w:tc>
      </w:tr>
      <w:tr w14:paraId="0BFE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F0C93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房地产开发经营</w:t>
            </w:r>
          </w:p>
        </w:tc>
        <w:tc>
          <w:tcPr>
            <w:tcW w:w="1560" w:type="dxa"/>
            <w:vAlign w:val="center"/>
          </w:tcPr>
          <w:p w14:paraId="558ABFE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45A23FD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1210F7B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Y≥200000</w:t>
            </w:r>
          </w:p>
        </w:tc>
        <w:tc>
          <w:tcPr>
            <w:tcW w:w="1891" w:type="dxa"/>
            <w:vAlign w:val="center"/>
          </w:tcPr>
          <w:p w14:paraId="127AB86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1000≤Y＜200000</w:t>
            </w:r>
          </w:p>
        </w:tc>
        <w:tc>
          <w:tcPr>
            <w:tcW w:w="1730" w:type="dxa"/>
            <w:vAlign w:val="center"/>
          </w:tcPr>
          <w:p w14:paraId="604D06C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100≤Y＜1000</w:t>
            </w:r>
          </w:p>
        </w:tc>
        <w:tc>
          <w:tcPr>
            <w:tcW w:w="1203" w:type="dxa"/>
            <w:vAlign w:val="center"/>
          </w:tcPr>
          <w:p w14:paraId="75EBC8E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Y＜100</w:t>
            </w:r>
          </w:p>
        </w:tc>
      </w:tr>
      <w:tr w14:paraId="2D45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27909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2218F3C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14:paraId="0DE3476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ED77E8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Z≥10000</w:t>
            </w:r>
          </w:p>
        </w:tc>
        <w:tc>
          <w:tcPr>
            <w:tcW w:w="1891" w:type="dxa"/>
            <w:vAlign w:val="center"/>
          </w:tcPr>
          <w:p w14:paraId="6543962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5000≤Z＜10000</w:t>
            </w:r>
          </w:p>
        </w:tc>
        <w:tc>
          <w:tcPr>
            <w:tcW w:w="1730" w:type="dxa"/>
            <w:vAlign w:val="center"/>
          </w:tcPr>
          <w:p w14:paraId="7BCAE7B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2000≤Z＜5000</w:t>
            </w:r>
          </w:p>
        </w:tc>
        <w:tc>
          <w:tcPr>
            <w:tcW w:w="1203" w:type="dxa"/>
            <w:vAlign w:val="center"/>
          </w:tcPr>
          <w:p w14:paraId="183C718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Z＜2000</w:t>
            </w:r>
          </w:p>
        </w:tc>
      </w:tr>
      <w:tr w14:paraId="7F80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688EB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物业管理</w:t>
            </w:r>
          </w:p>
        </w:tc>
        <w:tc>
          <w:tcPr>
            <w:tcW w:w="1560" w:type="dxa"/>
            <w:vAlign w:val="center"/>
          </w:tcPr>
          <w:p w14:paraId="0DD8D80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67F14B4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018F5CB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X≥1000</w:t>
            </w:r>
          </w:p>
        </w:tc>
        <w:tc>
          <w:tcPr>
            <w:tcW w:w="1891" w:type="dxa"/>
            <w:vAlign w:val="center"/>
          </w:tcPr>
          <w:p w14:paraId="37FD20E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300≤X＜1000</w:t>
            </w:r>
          </w:p>
        </w:tc>
        <w:tc>
          <w:tcPr>
            <w:tcW w:w="1730" w:type="dxa"/>
            <w:vAlign w:val="center"/>
          </w:tcPr>
          <w:p w14:paraId="3088097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203" w:type="dxa"/>
            <w:vAlign w:val="center"/>
          </w:tcPr>
          <w:p w14:paraId="6C14230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X＜100</w:t>
            </w:r>
          </w:p>
        </w:tc>
      </w:tr>
      <w:tr w14:paraId="3239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21FA79">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1C5B4BE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营业收入(Y)</w:t>
            </w:r>
          </w:p>
        </w:tc>
        <w:tc>
          <w:tcPr>
            <w:tcW w:w="671" w:type="dxa"/>
            <w:vAlign w:val="center"/>
          </w:tcPr>
          <w:p w14:paraId="3E9708F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6B674F1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Y≥5000</w:t>
            </w:r>
          </w:p>
        </w:tc>
        <w:tc>
          <w:tcPr>
            <w:tcW w:w="1891" w:type="dxa"/>
            <w:vAlign w:val="center"/>
          </w:tcPr>
          <w:p w14:paraId="0F19933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1000≤Y＜5000</w:t>
            </w:r>
          </w:p>
        </w:tc>
        <w:tc>
          <w:tcPr>
            <w:tcW w:w="1730" w:type="dxa"/>
            <w:vAlign w:val="center"/>
          </w:tcPr>
          <w:p w14:paraId="75CFA88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500≤Y＜1000</w:t>
            </w:r>
          </w:p>
        </w:tc>
        <w:tc>
          <w:tcPr>
            <w:tcW w:w="1203" w:type="dxa"/>
            <w:vAlign w:val="center"/>
          </w:tcPr>
          <w:p w14:paraId="7D7BE09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Y＜500</w:t>
            </w:r>
          </w:p>
        </w:tc>
      </w:tr>
      <w:tr w14:paraId="1015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08040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租赁和商务服务业</w:t>
            </w:r>
          </w:p>
        </w:tc>
        <w:tc>
          <w:tcPr>
            <w:tcW w:w="1560" w:type="dxa"/>
            <w:vAlign w:val="center"/>
          </w:tcPr>
          <w:p w14:paraId="6C7D1F4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79DA2BD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4EEBE9A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5C2C7CA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14:paraId="4FD7069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449C084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r w14:paraId="2727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71E424">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560" w:type="dxa"/>
            <w:vAlign w:val="center"/>
          </w:tcPr>
          <w:p w14:paraId="0FE7AE9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资产总额(Z)</w:t>
            </w:r>
          </w:p>
        </w:tc>
        <w:tc>
          <w:tcPr>
            <w:tcW w:w="671" w:type="dxa"/>
            <w:vAlign w:val="center"/>
          </w:tcPr>
          <w:p w14:paraId="655ACD7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万元</w:t>
            </w:r>
          </w:p>
        </w:tc>
        <w:tc>
          <w:tcPr>
            <w:tcW w:w="1231" w:type="dxa"/>
            <w:vAlign w:val="center"/>
          </w:tcPr>
          <w:p w14:paraId="71D3FE6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Z≥120000</w:t>
            </w:r>
          </w:p>
        </w:tc>
        <w:tc>
          <w:tcPr>
            <w:tcW w:w="1891" w:type="dxa"/>
            <w:vAlign w:val="center"/>
          </w:tcPr>
          <w:p w14:paraId="0664839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8000≤Z＜120000</w:t>
            </w:r>
          </w:p>
        </w:tc>
        <w:tc>
          <w:tcPr>
            <w:tcW w:w="1730" w:type="dxa"/>
            <w:vAlign w:val="center"/>
          </w:tcPr>
          <w:p w14:paraId="0652BCF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100≤Z＜8000</w:t>
            </w:r>
          </w:p>
        </w:tc>
        <w:tc>
          <w:tcPr>
            <w:tcW w:w="1203" w:type="dxa"/>
            <w:vAlign w:val="center"/>
          </w:tcPr>
          <w:p w14:paraId="06007EA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Z＜100</w:t>
            </w:r>
          </w:p>
        </w:tc>
      </w:tr>
      <w:tr w14:paraId="34AA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8D9665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其他未列明行业 *</w:t>
            </w:r>
          </w:p>
        </w:tc>
        <w:tc>
          <w:tcPr>
            <w:tcW w:w="1560" w:type="dxa"/>
            <w:vAlign w:val="center"/>
          </w:tcPr>
          <w:p w14:paraId="1F3F8F8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从业人员(X)</w:t>
            </w:r>
          </w:p>
        </w:tc>
        <w:tc>
          <w:tcPr>
            <w:tcW w:w="671" w:type="dxa"/>
            <w:vAlign w:val="center"/>
          </w:tcPr>
          <w:p w14:paraId="49E4B6D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w:t>
            </w:r>
          </w:p>
        </w:tc>
        <w:tc>
          <w:tcPr>
            <w:tcW w:w="1231" w:type="dxa"/>
            <w:vAlign w:val="center"/>
          </w:tcPr>
          <w:p w14:paraId="3711C2B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X≥300</w:t>
            </w:r>
          </w:p>
        </w:tc>
        <w:tc>
          <w:tcPr>
            <w:tcW w:w="1891" w:type="dxa"/>
            <w:vAlign w:val="center"/>
          </w:tcPr>
          <w:p w14:paraId="6FD3BB3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100≤X＜300</w:t>
            </w:r>
          </w:p>
        </w:tc>
        <w:tc>
          <w:tcPr>
            <w:tcW w:w="1730" w:type="dxa"/>
            <w:vAlign w:val="center"/>
          </w:tcPr>
          <w:p w14:paraId="148D542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10≤X＜100</w:t>
            </w:r>
          </w:p>
        </w:tc>
        <w:tc>
          <w:tcPr>
            <w:tcW w:w="1203" w:type="dxa"/>
            <w:vAlign w:val="center"/>
          </w:tcPr>
          <w:p w14:paraId="02EBDF1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X＜10</w:t>
            </w:r>
          </w:p>
        </w:tc>
      </w:tr>
    </w:tbl>
    <w:p w14:paraId="793221FA">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 　　</w:t>
      </w:r>
    </w:p>
    <w:p w14:paraId="44A795A9">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1.大型、中型和小型企业须同时满足所列指标的下限，否则下划一档；微型企业只须满足所列指标中的一项即可。 　　</w:t>
      </w:r>
    </w:p>
    <w:p w14:paraId="401737CB">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58E133C">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3.企业划分指标以现行统计制度为准。</w:t>
      </w:r>
    </w:p>
    <w:p w14:paraId="397C4CE4">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（1）从业人员，是指期末从业人员数，没有期末从业人员数的，采用全年平均人员数代替。</w:t>
      </w:r>
    </w:p>
    <w:p w14:paraId="3E52333C">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3F40750">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（3）资产总额，采用资产总计代替。</w:t>
      </w:r>
    </w:p>
    <w:p w14:paraId="7ED940C6">
      <w:pPr>
        <w:widowControl/>
        <w:jc w:val="left"/>
        <w:rPr>
          <w:rFonts w:hint="eastAsia" w:ascii="仿宋" w:hAnsi="仿宋" w:eastAsia="仿宋" w:cs="仿宋"/>
          <w:color w:val="000000" w:themeColor="text1"/>
          <w:kern w:val="0"/>
          <w:sz w:val="24"/>
          <w:highlight w:val="none"/>
          <w14:textFill>
            <w14:solidFill>
              <w14:schemeClr w14:val="tx1"/>
            </w14:solidFill>
          </w14:textFill>
        </w:rPr>
      </w:pPr>
    </w:p>
    <w:p w14:paraId="49B5BEAE">
      <w:pPr>
        <w:widowControl/>
        <w:jc w:val="left"/>
        <w:rPr>
          <w:rFonts w:hint="eastAsia" w:ascii="仿宋" w:hAnsi="仿宋" w:eastAsia="仿宋" w:cs="仿宋"/>
          <w:color w:val="000000" w:themeColor="text1"/>
          <w:kern w:val="0"/>
          <w:sz w:val="24"/>
          <w:highlight w:val="none"/>
          <w14:textFill>
            <w14:solidFill>
              <w14:schemeClr w14:val="tx1"/>
            </w14:solidFill>
          </w14:textFill>
        </w:rPr>
      </w:pPr>
    </w:p>
    <w:p w14:paraId="0DF88A4B">
      <w:pPr>
        <w:widowControl/>
        <w:shd w:val="clear" w:color="auto" w:fill="FFFFFF"/>
        <w:spacing w:before="150"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《统计上大中小微型企业划分办法（2017）》修订说明</w:t>
      </w:r>
    </w:p>
    <w:p w14:paraId="6EB0E220">
      <w:pPr>
        <w:widowControl/>
        <w:shd w:val="clear" w:color="auto" w:fill="FFFFFF"/>
        <w:spacing w:before="150" w:line="540" w:lineRule="atLeast"/>
        <w:jc w:val="left"/>
        <w:textAlignment w:val="baseline"/>
        <w:rPr>
          <w:rFonts w:hint="eastAsia" w:ascii="仿宋" w:hAnsi="仿宋" w:eastAsia="仿宋" w:cs="仿宋"/>
          <w:b/>
          <w:bCs/>
          <w:color w:val="000000" w:themeColor="text1"/>
          <w:kern w:val="0"/>
          <w:sz w:val="27"/>
          <w:szCs w:val="27"/>
          <w:highlight w:val="none"/>
          <w14:textFill>
            <w14:solidFill>
              <w14:schemeClr w14:val="tx1"/>
            </w14:solidFill>
          </w14:textFill>
        </w:rPr>
      </w:pPr>
      <w:r>
        <w:rPr>
          <w:rFonts w:hint="eastAsia" w:ascii="仿宋" w:hAnsi="仿宋" w:eastAsia="仿宋" w:cs="仿宋"/>
          <w:b/>
          <w:bCs/>
          <w:color w:val="000000" w:themeColor="text1"/>
          <w:kern w:val="0"/>
          <w:sz w:val="27"/>
          <w:szCs w:val="27"/>
          <w:highlight w:val="none"/>
          <w14:textFill>
            <w14:solidFill>
              <w14:schemeClr w14:val="tx1"/>
            </w14:solidFill>
          </w14:textFill>
        </w:rPr>
        <w:t>一、修订背景</w:t>
      </w:r>
    </w:p>
    <w:p w14:paraId="738E3E48">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6FC0B66">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96C7843">
      <w:pPr>
        <w:widowControl/>
        <w:shd w:val="clear" w:color="auto" w:fill="FFFFFF"/>
        <w:spacing w:before="150" w:line="540" w:lineRule="atLeast"/>
        <w:jc w:val="left"/>
        <w:textAlignment w:val="baseline"/>
        <w:rPr>
          <w:rFonts w:hint="eastAsia" w:ascii="仿宋" w:hAnsi="仿宋" w:eastAsia="仿宋" w:cs="仿宋"/>
          <w:b/>
          <w:bCs/>
          <w:color w:val="000000" w:themeColor="text1"/>
          <w:kern w:val="0"/>
          <w:sz w:val="27"/>
          <w:szCs w:val="27"/>
          <w:highlight w:val="none"/>
          <w14:textFill>
            <w14:solidFill>
              <w14:schemeClr w14:val="tx1"/>
            </w14:solidFill>
          </w14:textFill>
        </w:rPr>
      </w:pPr>
      <w:r>
        <w:rPr>
          <w:rFonts w:hint="eastAsia" w:ascii="仿宋" w:hAnsi="仿宋" w:eastAsia="仿宋" w:cs="仿宋"/>
          <w:b/>
          <w:bCs/>
          <w:color w:val="000000" w:themeColor="text1"/>
          <w:kern w:val="0"/>
          <w:sz w:val="27"/>
          <w:szCs w:val="27"/>
          <w:highlight w:val="none"/>
          <w14:textFill>
            <w14:solidFill>
              <w14:schemeClr w14:val="tx1"/>
            </w14:solidFill>
          </w14:textFill>
        </w:rPr>
        <w:t>二、修订主要内容</w:t>
      </w:r>
    </w:p>
    <w:p w14:paraId="561DB541">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3DA77FD">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将交通运输业中包括的“装卸搬运和运输代理业”修改为“多式联运和运输代理业、装卸搬运”。</w:t>
      </w:r>
    </w:p>
    <w:p w14:paraId="40F1999A">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0258EF34">
      <w:pPr>
        <w:widowControl/>
        <w:jc w:val="left"/>
        <w:rPr>
          <w:rFonts w:hint="eastAsia" w:ascii="仿宋" w:hAnsi="仿宋" w:eastAsia="仿宋" w:cs="仿宋"/>
          <w:color w:val="000000" w:themeColor="text1"/>
          <w:kern w:val="0"/>
          <w:sz w:val="18"/>
          <w:szCs w:val="18"/>
          <w:highlight w:val="none"/>
          <w14:textFill>
            <w14:solidFill>
              <w14:schemeClr w14:val="tx1"/>
            </w14:solidFill>
          </w14:textFill>
        </w:rPr>
      </w:pPr>
    </w:p>
    <w:p w14:paraId="197995AA">
      <w:pPr>
        <w:widowControl/>
        <w:jc w:val="left"/>
        <w:rPr>
          <w:rFonts w:hint="eastAsia" w:ascii="仿宋" w:hAnsi="仿宋" w:eastAsia="仿宋" w:cs="仿宋"/>
          <w:color w:val="000000" w:themeColor="text1"/>
          <w:kern w:val="0"/>
          <w:sz w:val="18"/>
          <w:szCs w:val="18"/>
          <w:highlight w:val="none"/>
          <w14:textFill>
            <w14:solidFill>
              <w14:schemeClr w14:val="tx1"/>
            </w14:solidFill>
          </w14:textFill>
        </w:rPr>
      </w:pPr>
    </w:p>
    <w:p w14:paraId="68CD99D4">
      <w:pPr>
        <w:widowControl/>
        <w:jc w:val="left"/>
        <w:rPr>
          <w:rFonts w:hint="eastAsia" w:ascii="仿宋" w:hAnsi="仿宋" w:eastAsia="仿宋" w:cs="仿宋"/>
          <w:color w:val="000000" w:themeColor="text1"/>
          <w:kern w:val="0"/>
          <w:sz w:val="18"/>
          <w:szCs w:val="18"/>
          <w:highlight w:val="none"/>
          <w14:textFill>
            <w14:solidFill>
              <w14:schemeClr w14:val="tx1"/>
            </w14:solidFill>
          </w14:textFill>
        </w:rPr>
      </w:pPr>
    </w:p>
    <w:p w14:paraId="4590BA2B">
      <w:pPr>
        <w:widowControl/>
        <w:shd w:val="clear" w:color="auto" w:fill="FFFFFF"/>
        <w:spacing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中国人民银行中国银行业监督管理委员会</w:t>
      </w:r>
    </w:p>
    <w:p w14:paraId="4339D8D3">
      <w:pPr>
        <w:widowControl/>
        <w:shd w:val="clear" w:color="auto" w:fill="FFFFFF"/>
        <w:spacing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中国证券监督管理委员会中国保险监督管理委员会</w:t>
      </w:r>
    </w:p>
    <w:p w14:paraId="52602A18">
      <w:pPr>
        <w:widowControl/>
        <w:shd w:val="clear" w:color="auto" w:fill="FFFFFF"/>
        <w:spacing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国家统计局关于印发《金融业企业划型标准规定》的通知</w:t>
      </w:r>
    </w:p>
    <w:p w14:paraId="0370F300">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7812AB3">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19FF1A49">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附件：金融业企业划型标准规定</w:t>
      </w:r>
    </w:p>
    <w:p w14:paraId="004C32F1">
      <w:pPr>
        <w:widowControl/>
        <w:shd w:val="clear" w:color="auto" w:fill="FFFFFF"/>
        <w:spacing w:before="150"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金融业企业划型标准规定</w:t>
      </w:r>
    </w:p>
    <w:p w14:paraId="369075DC">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w:t>
      </w:r>
    </w:p>
    <w:p w14:paraId="20B0E480">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二、 适用范围。本规定适用于从事《国民经济行业分类》(GB/T4754-2011)中J门类（金融业）活动的企业。</w:t>
      </w:r>
    </w:p>
    <w:p w14:paraId="1BD1DF0B">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77E6B56">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四、划型标准指标。采用一个完整会计年度中四个季度末法人并表口径的资产总额（信托公司为信托资产）平均值作为划型指标，该指标以监管部门数据为准。</w:t>
      </w:r>
    </w:p>
    <w:p w14:paraId="2C82ECDB">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五、指标标准值。依据指标标准值，将各类金融业企业划分为大、中、小、微四个规模类型，中型企业标准上限及以上的为大型企业。</w:t>
      </w:r>
    </w:p>
    <w:p w14:paraId="25B37164">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w:t>
      </w:r>
    </w:p>
    <w:p w14:paraId="341BD88F">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p>
    <w:p w14:paraId="275CC7E2">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w:t>
      </w:r>
    </w:p>
    <w:p w14:paraId="086EBEEC">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w:t>
      </w:r>
    </w:p>
    <w:p w14:paraId="7A218438">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w:t>
      </w:r>
    </w:p>
    <w:p w14:paraId="75E77CFF">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w:t>
      </w:r>
    </w:p>
    <w:p w14:paraId="494BFF28">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w:t>
      </w:r>
    </w:p>
    <w:p w14:paraId="02FC771F">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34DE52F">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0CA491C">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七、 标准值的评估和调整。金融业企业划型标准工作组毎五年对划型标准值受经济发展与通货膨胀等因素的响程度进行评估和调整。</w:t>
      </w:r>
    </w:p>
    <w:p w14:paraId="2FECF17D">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w:t>
      </w:r>
    </w:p>
    <w:p w14:paraId="61592655">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九、 融资担保公司参照本规定中“除贷款公司、小额贷款公司、典当行以外的其他金融机构”标准划型。</w:t>
      </w:r>
    </w:p>
    <w:p w14:paraId="02ED4FE1">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十、本规定由人民银行会同银监会，证监会、保监会和统计局负责解释。</w:t>
      </w:r>
    </w:p>
    <w:p w14:paraId="78E477D5">
      <w:pPr>
        <w:widowControl/>
        <w:shd w:val="clear" w:color="auto" w:fill="FFFFFF"/>
        <w:spacing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十一、本规定自发布之日起实施。</w:t>
      </w:r>
    </w:p>
    <w:p w14:paraId="22C5EA10">
      <w:pPr>
        <w:widowControl/>
        <w:shd w:val="clear" w:color="auto" w:fill="FFFFFF"/>
        <w:spacing w:before="150" w:line="420" w:lineRule="atLeast"/>
        <w:jc w:val="left"/>
        <w:textAlignment w:val="baselin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附：金融业企业划型标准</w:t>
      </w:r>
    </w:p>
    <w:p w14:paraId="292468EC">
      <w:pPr>
        <w:widowControl/>
        <w:shd w:val="clear" w:color="auto" w:fill="FFFFFF"/>
        <w:spacing w:before="150" w:line="600" w:lineRule="atLeast"/>
        <w:jc w:val="center"/>
        <w:textAlignment w:val="baseline"/>
        <w:rPr>
          <w:rFonts w:hint="eastAsia" w:ascii="仿宋" w:hAnsi="仿宋" w:eastAsia="仿宋" w:cs="仿宋"/>
          <w:b/>
          <w:bCs/>
          <w:color w:val="000000" w:themeColor="text1"/>
          <w:kern w:val="0"/>
          <w:sz w:val="36"/>
          <w:szCs w:val="36"/>
          <w:highlight w:val="none"/>
          <w14:textFill>
            <w14:solidFill>
              <w14:schemeClr w14:val="tx1"/>
            </w14:solidFill>
          </w14:textFill>
        </w:rPr>
      </w:pPr>
      <w:r>
        <w:rPr>
          <w:rFonts w:hint="eastAsia" w:ascii="仿宋" w:hAnsi="仿宋" w:eastAsia="仿宋" w:cs="仿宋"/>
          <w:b/>
          <w:bCs/>
          <w:color w:val="000000" w:themeColor="text1"/>
          <w:kern w:val="0"/>
          <w:sz w:val="36"/>
          <w:szCs w:val="36"/>
          <w:highlight w:val="none"/>
          <w14:textFill>
            <w14:solidFill>
              <w14:schemeClr w14:val="tx1"/>
            </w14:solidFill>
          </w14:textFill>
        </w:rPr>
        <w:t>金融业企业划型标准</w:t>
      </w:r>
    </w:p>
    <w:tbl>
      <w:tblPr>
        <w:tblStyle w:val="18"/>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1437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00DAB10">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行业</w:t>
            </w:r>
          </w:p>
        </w:tc>
        <w:tc>
          <w:tcPr>
            <w:tcW w:w="2836" w:type="dxa"/>
            <w:tcMar>
              <w:top w:w="75" w:type="dxa"/>
              <w:left w:w="75" w:type="dxa"/>
              <w:bottom w:w="75" w:type="dxa"/>
              <w:right w:w="75" w:type="dxa"/>
            </w:tcMar>
            <w:vAlign w:val="bottom"/>
          </w:tcPr>
          <w:p w14:paraId="7096368A">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类别</w:t>
            </w:r>
          </w:p>
        </w:tc>
        <w:tc>
          <w:tcPr>
            <w:tcW w:w="606" w:type="dxa"/>
            <w:tcMar>
              <w:top w:w="75" w:type="dxa"/>
              <w:left w:w="75" w:type="dxa"/>
              <w:bottom w:w="75" w:type="dxa"/>
              <w:right w:w="75" w:type="dxa"/>
            </w:tcMar>
            <w:vAlign w:val="bottom"/>
          </w:tcPr>
          <w:p w14:paraId="0050E6B2">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类型</w:t>
            </w:r>
          </w:p>
        </w:tc>
        <w:tc>
          <w:tcPr>
            <w:tcW w:w="3326" w:type="dxa"/>
            <w:tcMar>
              <w:top w:w="75" w:type="dxa"/>
              <w:left w:w="75" w:type="dxa"/>
              <w:bottom w:w="75" w:type="dxa"/>
              <w:right w:w="75" w:type="dxa"/>
            </w:tcMar>
            <w:vAlign w:val="bottom"/>
          </w:tcPr>
          <w:p w14:paraId="70294182">
            <w:pPr>
              <w:widowControl/>
              <w:jc w:val="center"/>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资产总额</w:t>
            </w:r>
          </w:p>
        </w:tc>
      </w:tr>
      <w:tr w14:paraId="4719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0DD03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货币金融服务</w:t>
            </w:r>
          </w:p>
        </w:tc>
        <w:tc>
          <w:tcPr>
            <w:tcW w:w="1025" w:type="dxa"/>
            <w:vMerge w:val="restart"/>
            <w:vAlign w:val="center"/>
          </w:tcPr>
          <w:p w14:paraId="2141545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货币银行服务</w:t>
            </w:r>
          </w:p>
        </w:tc>
        <w:tc>
          <w:tcPr>
            <w:tcW w:w="2836" w:type="dxa"/>
            <w:vMerge w:val="restart"/>
            <w:vAlign w:val="center"/>
          </w:tcPr>
          <w:p w14:paraId="062EB1C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银行业存款类金融机构</w:t>
            </w:r>
          </w:p>
        </w:tc>
        <w:tc>
          <w:tcPr>
            <w:tcW w:w="606" w:type="dxa"/>
            <w:vAlign w:val="center"/>
          </w:tcPr>
          <w:p w14:paraId="6FF910A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0ED6F63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5000亿元（含）至40000亿元</w:t>
            </w:r>
          </w:p>
        </w:tc>
      </w:tr>
      <w:tr w14:paraId="6DD4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D07E915">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4108E80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01595B87">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64E8150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09AFF4E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50亿元（含）至5000亿元</w:t>
            </w:r>
          </w:p>
        </w:tc>
      </w:tr>
      <w:tr w14:paraId="46BE7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DC7FDF">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74BFBF92">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24DBD73B">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5853740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47016AE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14:paraId="74F07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49B166">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14:paraId="4F3219A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非货币银行服务</w:t>
            </w:r>
          </w:p>
        </w:tc>
        <w:tc>
          <w:tcPr>
            <w:tcW w:w="2836" w:type="dxa"/>
            <w:vMerge w:val="restart"/>
            <w:vAlign w:val="center"/>
          </w:tcPr>
          <w:p w14:paraId="7DD3B0A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银行业非存款类金融机构</w:t>
            </w:r>
          </w:p>
        </w:tc>
        <w:tc>
          <w:tcPr>
            <w:tcW w:w="606" w:type="dxa"/>
            <w:vAlign w:val="center"/>
          </w:tcPr>
          <w:p w14:paraId="53E219B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4623D97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14:paraId="3C54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8ABFAAA">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5D03933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58DF9965">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00F1FC2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357D8E1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14:paraId="4734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C36C0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4E399C89">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596A3FF6">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0BA876E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7B75131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14:paraId="1F02E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E11139">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5F529C1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restart"/>
            <w:vAlign w:val="center"/>
          </w:tcPr>
          <w:p w14:paraId="6CA4BF6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贷款公司、小额贷款公司及典当行</w:t>
            </w:r>
          </w:p>
        </w:tc>
        <w:tc>
          <w:tcPr>
            <w:tcW w:w="606" w:type="dxa"/>
            <w:vAlign w:val="center"/>
          </w:tcPr>
          <w:p w14:paraId="5CD2EAE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2A1D00C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14:paraId="1AF1B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EB8F4F0">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561F6F2C">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2C54AD0B">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02199359">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79070DA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14:paraId="247B0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AE3B2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3619EEF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736DB38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279CD01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48E500B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14:paraId="7E34C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4D3C58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资本市场服务</w:t>
            </w:r>
          </w:p>
        </w:tc>
        <w:tc>
          <w:tcPr>
            <w:tcW w:w="2836" w:type="dxa"/>
            <w:vMerge w:val="restart"/>
            <w:vAlign w:val="center"/>
          </w:tcPr>
          <w:p w14:paraId="30EB3AA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证券业金融机构</w:t>
            </w:r>
          </w:p>
        </w:tc>
        <w:tc>
          <w:tcPr>
            <w:tcW w:w="606" w:type="dxa"/>
            <w:vAlign w:val="center"/>
          </w:tcPr>
          <w:p w14:paraId="354ABC2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54367B6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100亿元（含）至1000亿元</w:t>
            </w:r>
          </w:p>
        </w:tc>
      </w:tr>
      <w:tr w14:paraId="2A36B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75A2C82">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06551F3C">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7CBF42B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39DEBA8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10亿元（含）至100亿元</w:t>
            </w:r>
          </w:p>
        </w:tc>
      </w:tr>
      <w:tr w14:paraId="4863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4DF2AAF">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29265812">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4B464FC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1235081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10亿元以下</w:t>
            </w:r>
          </w:p>
        </w:tc>
      </w:tr>
      <w:tr w14:paraId="5D19F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9B1264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保险业</w:t>
            </w:r>
          </w:p>
        </w:tc>
        <w:tc>
          <w:tcPr>
            <w:tcW w:w="2836" w:type="dxa"/>
            <w:vMerge w:val="restart"/>
            <w:vAlign w:val="center"/>
          </w:tcPr>
          <w:p w14:paraId="2F34A31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保险业金融机构</w:t>
            </w:r>
          </w:p>
        </w:tc>
        <w:tc>
          <w:tcPr>
            <w:tcW w:w="606" w:type="dxa"/>
            <w:vAlign w:val="center"/>
          </w:tcPr>
          <w:p w14:paraId="5504437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4C123DCF">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400亿元（含）至5000亿元</w:t>
            </w:r>
          </w:p>
        </w:tc>
      </w:tr>
      <w:tr w14:paraId="2E6A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EF29F3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5F7B513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0BFEDD7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025647A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20亿元（含）至400亿元</w:t>
            </w:r>
          </w:p>
        </w:tc>
      </w:tr>
      <w:tr w14:paraId="199C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B8AC5D8">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70092C4E">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1E66828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5A78261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20亿元以下</w:t>
            </w:r>
          </w:p>
        </w:tc>
      </w:tr>
      <w:tr w14:paraId="0C986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CA63517">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其他金融业</w:t>
            </w:r>
          </w:p>
        </w:tc>
        <w:tc>
          <w:tcPr>
            <w:tcW w:w="1025" w:type="dxa"/>
            <w:vMerge w:val="restart"/>
            <w:vAlign w:val="center"/>
          </w:tcPr>
          <w:p w14:paraId="70EAC80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金融信托与管理服务</w:t>
            </w:r>
          </w:p>
        </w:tc>
        <w:tc>
          <w:tcPr>
            <w:tcW w:w="2836" w:type="dxa"/>
            <w:vMerge w:val="restart"/>
            <w:vAlign w:val="center"/>
          </w:tcPr>
          <w:p w14:paraId="2B8F8F3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信托公司</w:t>
            </w:r>
          </w:p>
        </w:tc>
        <w:tc>
          <w:tcPr>
            <w:tcW w:w="606" w:type="dxa"/>
            <w:vAlign w:val="center"/>
          </w:tcPr>
          <w:p w14:paraId="29579FD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01D6A3E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400亿元（含）至1000亿元</w:t>
            </w:r>
          </w:p>
        </w:tc>
      </w:tr>
      <w:tr w14:paraId="528FF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2CADFC">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6395E863">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0B2D1CD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5DC31984">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487BCB3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20亿元（含）至400亿元</w:t>
            </w:r>
          </w:p>
        </w:tc>
      </w:tr>
      <w:tr w14:paraId="4126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9C974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51D2AE87">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58DED778">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2A089B8D">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1E71C7C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20亿元以下</w:t>
            </w:r>
          </w:p>
        </w:tc>
      </w:tr>
      <w:tr w14:paraId="1C87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AB9162C">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14:paraId="5766BF0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控股公司服务</w:t>
            </w:r>
          </w:p>
        </w:tc>
        <w:tc>
          <w:tcPr>
            <w:tcW w:w="2836" w:type="dxa"/>
            <w:vMerge w:val="restart"/>
            <w:vAlign w:val="center"/>
          </w:tcPr>
          <w:p w14:paraId="7170093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金融控股公司</w:t>
            </w:r>
          </w:p>
        </w:tc>
        <w:tc>
          <w:tcPr>
            <w:tcW w:w="606" w:type="dxa"/>
            <w:vAlign w:val="center"/>
          </w:tcPr>
          <w:p w14:paraId="055F5766">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309D2CF8">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5000亿元（含）至40000亿元</w:t>
            </w:r>
          </w:p>
        </w:tc>
      </w:tr>
      <w:tr w14:paraId="76856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8FD049">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74C5F27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4AAB73E4">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58242E6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27EDC3A5">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50亿元（含）至5000亿元</w:t>
            </w:r>
          </w:p>
        </w:tc>
      </w:tr>
      <w:tr w14:paraId="6A19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2B516E1">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6A755262">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11937898">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3626A35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0E647220">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r w14:paraId="5AC7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05153C">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restart"/>
            <w:vAlign w:val="center"/>
          </w:tcPr>
          <w:p w14:paraId="0BF0209B">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其他未包括的金融业</w:t>
            </w:r>
          </w:p>
        </w:tc>
        <w:tc>
          <w:tcPr>
            <w:tcW w:w="2836" w:type="dxa"/>
            <w:vMerge w:val="restart"/>
            <w:vAlign w:val="center"/>
          </w:tcPr>
          <w:p w14:paraId="7FAA0783">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除贷款公司、小额贷款公司及典当行以外的其他金融机构</w:t>
            </w:r>
          </w:p>
        </w:tc>
        <w:tc>
          <w:tcPr>
            <w:tcW w:w="606" w:type="dxa"/>
            <w:vAlign w:val="center"/>
          </w:tcPr>
          <w:p w14:paraId="00A52C62">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中型</w:t>
            </w:r>
          </w:p>
        </w:tc>
        <w:tc>
          <w:tcPr>
            <w:tcW w:w="3326" w:type="dxa"/>
            <w:vAlign w:val="center"/>
          </w:tcPr>
          <w:p w14:paraId="4410872E">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200亿元（含）至1000亿元</w:t>
            </w:r>
          </w:p>
        </w:tc>
      </w:tr>
      <w:tr w14:paraId="4E04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77A69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1E2CBDEB">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6986A776">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30BDF6AC">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小型</w:t>
            </w:r>
          </w:p>
        </w:tc>
        <w:tc>
          <w:tcPr>
            <w:tcW w:w="3326" w:type="dxa"/>
            <w:vAlign w:val="center"/>
          </w:tcPr>
          <w:p w14:paraId="2FA5DDE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50亿元（含）至200亿元</w:t>
            </w:r>
          </w:p>
        </w:tc>
      </w:tr>
      <w:tr w14:paraId="00DB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BF1AD5">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1025" w:type="dxa"/>
            <w:vMerge w:val="continue"/>
            <w:vAlign w:val="center"/>
          </w:tcPr>
          <w:p w14:paraId="4212693D">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2836" w:type="dxa"/>
            <w:vMerge w:val="continue"/>
            <w:vAlign w:val="center"/>
          </w:tcPr>
          <w:p w14:paraId="59536AC7">
            <w:pPr>
              <w:widowControl/>
              <w:jc w:val="left"/>
              <w:rPr>
                <w:rFonts w:hint="eastAsia" w:ascii="仿宋" w:hAnsi="仿宋" w:eastAsia="仿宋" w:cs="仿宋"/>
                <w:color w:val="000000" w:themeColor="text1"/>
                <w:kern w:val="0"/>
                <w:sz w:val="24"/>
                <w:highlight w:val="none"/>
                <w14:textFill>
                  <w14:solidFill>
                    <w14:schemeClr w14:val="tx1"/>
                  </w14:solidFill>
                </w14:textFill>
              </w:rPr>
            </w:pPr>
          </w:p>
        </w:tc>
        <w:tc>
          <w:tcPr>
            <w:tcW w:w="606" w:type="dxa"/>
            <w:vAlign w:val="center"/>
          </w:tcPr>
          <w:p w14:paraId="1904A971">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微型</w:t>
            </w:r>
          </w:p>
        </w:tc>
        <w:tc>
          <w:tcPr>
            <w:tcW w:w="3326" w:type="dxa"/>
            <w:vAlign w:val="center"/>
          </w:tcPr>
          <w:p w14:paraId="70CEF43A">
            <w:pPr>
              <w:widowControl/>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50亿元以下</w:t>
            </w:r>
          </w:p>
        </w:tc>
      </w:tr>
    </w:tbl>
    <w:p w14:paraId="1E9FEE92">
      <w:pPr>
        <w:rPr>
          <w:rFonts w:hint="eastAsia" w:ascii="仿宋" w:hAnsi="仿宋" w:eastAsia="仿宋" w:cs="仿宋"/>
          <w:color w:val="000000" w:themeColor="text1"/>
          <w:sz w:val="24"/>
          <w:highlight w:val="none"/>
          <w14:textFill>
            <w14:solidFill>
              <w14:schemeClr w14:val="tx1"/>
            </w14:solidFill>
          </w14:textFill>
        </w:rPr>
      </w:pPr>
    </w:p>
    <w:p w14:paraId="0ABF167A">
      <w:pPr>
        <w:ind w:firstLine="420" w:firstLineChars="200"/>
        <w:rPr>
          <w:rFonts w:hint="eastAsia" w:ascii="仿宋" w:hAnsi="仿宋" w:eastAsia="仿宋" w:cs="仿宋"/>
          <w:color w:val="000000" w:themeColor="text1"/>
          <w:highlight w:val="none"/>
          <w14:textFill>
            <w14:solidFill>
              <w14:schemeClr w14:val="tx1"/>
            </w14:solidFill>
          </w14:textFill>
        </w:rPr>
      </w:pPr>
    </w:p>
    <w:p w14:paraId="6BDBF615">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0C2C3F92">
      <w:pPr>
        <w:spacing w:line="360" w:lineRule="auto"/>
        <w:rPr>
          <w:rFonts w:ascii="宋体" w:hAnsi="宋体" w:cs="宋体"/>
          <w:bCs/>
          <w:color w:val="000000" w:themeColor="text1"/>
          <w:sz w:val="24"/>
          <w:highlight w:val="none"/>
          <w14:textFill>
            <w14:solidFill>
              <w14:schemeClr w14:val="tx1"/>
            </w14:solidFill>
          </w14:textFill>
        </w:rPr>
      </w:pPr>
    </w:p>
    <w:p w14:paraId="42185B6A"/>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A3B9">
    <w:pPr>
      <w:pStyle w:val="10"/>
    </w:pPr>
    <w:r>
      <w:rPr>
        <w:sz w:val="18"/>
      </w:rPr>
      <w:drawing>
        <wp:anchor distT="0" distB="0" distL="114300" distR="114300" simplePos="0" relativeHeight="251666432" behindDoc="0" locked="0" layoutInCell="1" allowOverlap="1">
          <wp:simplePos x="0" y="0"/>
          <wp:positionH relativeFrom="column">
            <wp:posOffset>-473075</wp:posOffset>
          </wp:positionH>
          <wp:positionV relativeFrom="paragraph">
            <wp:posOffset>-202565</wp:posOffset>
          </wp:positionV>
          <wp:extent cx="548005" cy="406400"/>
          <wp:effectExtent l="0" t="0" r="4445" b="12700"/>
          <wp:wrapSquare wrapText="bothSides"/>
          <wp:docPr id="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69B4">
    <w:pPr>
      <w:pStyle w:val="10"/>
      <w:tabs>
        <w:tab w:val="center" w:pos="4535"/>
        <w:tab w:val="clear" w:pos="4153"/>
      </w:tabs>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66E84">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0D66E84">
                    <w:pPr>
                      <w:pStyle w:val="10"/>
                    </w:pPr>
                    <w:r>
                      <w:fldChar w:fldCharType="begin"/>
                    </w:r>
                    <w:r>
                      <w:instrText xml:space="preserve"> PAGE  \* MERGEFORMAT </w:instrText>
                    </w:r>
                    <w:r>
                      <w:fldChar w:fldCharType="separate"/>
                    </w:r>
                    <w:r>
                      <w:t>42</w:t>
                    </w:r>
                    <w:r>
                      <w:fldChar w:fldCharType="end"/>
                    </w:r>
                  </w:p>
                </w:txbxContent>
              </v:textbox>
            </v:shape>
          </w:pict>
        </mc:Fallback>
      </mc:AlternateContent>
    </w:r>
    <w:r>
      <w:rPr>
        <w:sz w:val="18"/>
      </w:rPr>
      <w:drawing>
        <wp:anchor distT="0" distB="0" distL="114300" distR="114300" simplePos="0" relativeHeight="251670528" behindDoc="0" locked="0" layoutInCell="1" allowOverlap="1">
          <wp:simplePos x="0" y="0"/>
          <wp:positionH relativeFrom="column">
            <wp:posOffset>-342900</wp:posOffset>
          </wp:positionH>
          <wp:positionV relativeFrom="paragraph">
            <wp:posOffset>-151130</wp:posOffset>
          </wp:positionV>
          <wp:extent cx="548005" cy="406400"/>
          <wp:effectExtent l="0" t="0" r="4445" b="12700"/>
          <wp:wrapSquare wrapText="bothSides"/>
          <wp:docPr id="1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D332">
    <w:pPr>
      <w:pStyle w:val="10"/>
      <w:jc w:val="center"/>
      <w:rPr>
        <w:rFonts w:ascii="仿宋_GB2312" w:eastAsia="仿宋_GB2312"/>
      </w:rPr>
    </w:pPr>
    <w:r>
      <w:rPr>
        <w:sz w:val="18"/>
      </w:rPr>
      <w:drawing>
        <wp:anchor distT="0" distB="0" distL="114300" distR="114300" simplePos="0" relativeHeight="251678720" behindDoc="0" locked="0" layoutInCell="1" allowOverlap="1">
          <wp:simplePos x="0" y="0"/>
          <wp:positionH relativeFrom="column">
            <wp:posOffset>-222885</wp:posOffset>
          </wp:positionH>
          <wp:positionV relativeFrom="paragraph">
            <wp:posOffset>57150</wp:posOffset>
          </wp:positionV>
          <wp:extent cx="548005" cy="406400"/>
          <wp:effectExtent l="0" t="0" r="4445" b="12700"/>
          <wp:wrapSquare wrapText="bothSides"/>
          <wp:docPr id="20"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205D0">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2205D0">
                    <w:pPr>
                      <w:pStyle w:val="10"/>
                    </w:pPr>
                    <w:r>
                      <w:fldChar w:fldCharType="begin"/>
                    </w:r>
                    <w:r>
                      <w:instrText xml:space="preserve"> PAGE  \* MERGEFORMAT </w:instrText>
                    </w:r>
                    <w:r>
                      <w:fldChar w:fldCharType="separate"/>
                    </w:r>
                    <w:r>
                      <w:t>45</w:t>
                    </w:r>
                    <w:r>
                      <w:fldChar w:fldCharType="end"/>
                    </w:r>
                  </w:p>
                </w:txbxContent>
              </v:textbox>
            </v:shape>
          </w:pict>
        </mc:Fallback>
      </mc:AlternateContent>
    </w:r>
  </w:p>
  <w:p w14:paraId="568756E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2085">
    <w:pPr>
      <w:pStyle w:val="10"/>
      <w:jc w:val="center"/>
      <w:rPr>
        <w:rFonts w:ascii="仿宋_GB2312" w:eastAsia="仿宋_GB2312"/>
      </w:rPr>
    </w:pPr>
    <w:r>
      <w:rPr>
        <w:sz w:val="18"/>
      </w:rPr>
      <w:drawing>
        <wp:anchor distT="0" distB="0" distL="114300" distR="114300" simplePos="0" relativeHeight="251677696" behindDoc="0" locked="0" layoutInCell="1" allowOverlap="1">
          <wp:simplePos x="0" y="0"/>
          <wp:positionH relativeFrom="column">
            <wp:posOffset>-189230</wp:posOffset>
          </wp:positionH>
          <wp:positionV relativeFrom="paragraph">
            <wp:posOffset>9525</wp:posOffset>
          </wp:positionV>
          <wp:extent cx="548005" cy="406400"/>
          <wp:effectExtent l="0" t="0" r="4445" b="12700"/>
          <wp:wrapSquare wrapText="bothSides"/>
          <wp:docPr id="19"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E3D09">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0E3D09">
                    <w:pPr>
                      <w:pStyle w:val="10"/>
                    </w:pPr>
                    <w:r>
                      <w:fldChar w:fldCharType="begin"/>
                    </w:r>
                    <w:r>
                      <w:instrText xml:space="preserve"> PAGE  \* MERGEFORMAT </w:instrText>
                    </w:r>
                    <w:r>
                      <w:fldChar w:fldCharType="separate"/>
                    </w:r>
                    <w:r>
                      <w:t>44</w:t>
                    </w:r>
                    <w:r>
                      <w:fldChar w:fldCharType="end"/>
                    </w:r>
                  </w:p>
                </w:txbxContent>
              </v:textbox>
            </v:shape>
          </w:pict>
        </mc:Fallback>
      </mc:AlternateContent>
    </w:r>
  </w:p>
  <w:p w14:paraId="38149BCC">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F138">
    <w:pPr>
      <w:pStyle w:val="10"/>
      <w:jc w:val="center"/>
      <w:rPr>
        <w:rFonts w:ascii="仿宋_GB2312" w:eastAsia="仿宋_GB2312"/>
        <w:szCs w:val="24"/>
      </w:rPr>
    </w:pPr>
    <w:r>
      <w:rPr>
        <w:sz w:val="18"/>
      </w:rPr>
      <w:drawing>
        <wp:anchor distT="0" distB="0" distL="114300" distR="114300" simplePos="0" relativeHeight="251680768" behindDoc="0" locked="0" layoutInCell="1" allowOverlap="1">
          <wp:simplePos x="0" y="0"/>
          <wp:positionH relativeFrom="column">
            <wp:posOffset>-276860</wp:posOffset>
          </wp:positionH>
          <wp:positionV relativeFrom="paragraph">
            <wp:posOffset>-29845</wp:posOffset>
          </wp:positionV>
          <wp:extent cx="548005" cy="406400"/>
          <wp:effectExtent l="0" t="0" r="4445" b="12700"/>
          <wp:wrapSquare wrapText="bothSides"/>
          <wp:docPr id="2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D797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DCD797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9798">
    <w:pPr>
      <w:pStyle w:val="10"/>
      <w:framePr w:wrap="around" w:vAnchor="text" w:hAnchor="margin" w:xAlign="right" w:y="1"/>
      <w:rPr>
        <w:rStyle w:val="22"/>
      </w:rPr>
    </w:pPr>
    <w:r>
      <w:fldChar w:fldCharType="begin"/>
    </w:r>
    <w:r>
      <w:rPr>
        <w:rStyle w:val="22"/>
      </w:rPr>
      <w:instrText xml:space="preserve">PAGE  </w:instrText>
    </w:r>
    <w:r>
      <w:fldChar w:fldCharType="end"/>
    </w:r>
  </w:p>
  <w:p w14:paraId="7A35B214">
    <w:pPr>
      <w:pStyle w:val="1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D74A">
    <w:pPr>
      <w:pStyle w:val="10"/>
      <w:jc w:val="center"/>
      <w:rPr>
        <w:rFonts w:ascii="仿宋_GB2312" w:eastAsia="仿宋_GB2312"/>
      </w:rPr>
    </w:pPr>
    <w:r>
      <w:rPr>
        <w:sz w:val="18"/>
      </w:rPr>
      <w:drawing>
        <wp:anchor distT="0" distB="0" distL="114300" distR="114300" simplePos="0" relativeHeight="251679744" behindDoc="0" locked="0" layoutInCell="1" allowOverlap="1">
          <wp:simplePos x="0" y="0"/>
          <wp:positionH relativeFrom="column">
            <wp:posOffset>-302260</wp:posOffset>
          </wp:positionH>
          <wp:positionV relativeFrom="paragraph">
            <wp:posOffset>51435</wp:posOffset>
          </wp:positionV>
          <wp:extent cx="548005" cy="406400"/>
          <wp:effectExtent l="0" t="0" r="4445" b="12700"/>
          <wp:wrapSquare wrapText="bothSides"/>
          <wp:docPr id="2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C3389">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0C3389">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7E55">
    <w:pPr>
      <w:pStyle w:val="10"/>
      <w:framePr w:wrap="around" w:vAnchor="text" w:hAnchor="margin" w:xAlign="right" w:y="1"/>
      <w:rPr>
        <w:rStyle w:val="22"/>
      </w:rPr>
    </w:pPr>
    <w:r>
      <w:fldChar w:fldCharType="begin"/>
    </w:r>
    <w:r>
      <w:rPr>
        <w:rStyle w:val="22"/>
      </w:rPr>
      <w:instrText xml:space="preserve">PAGE  </w:instrText>
    </w:r>
    <w:r>
      <w:fldChar w:fldCharType="end"/>
    </w:r>
  </w:p>
  <w:p w14:paraId="1E4D3A8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B22D">
    <w:pPr>
      <w:pStyle w:val="10"/>
    </w:pPr>
    <w:r>
      <w:rPr>
        <w:sz w:val="18"/>
      </w:rPr>
      <w:drawing>
        <wp:anchor distT="0" distB="0" distL="114300" distR="114300" simplePos="0" relativeHeight="251665408" behindDoc="0" locked="0" layoutInCell="1" allowOverlap="1">
          <wp:simplePos x="0" y="0"/>
          <wp:positionH relativeFrom="column">
            <wp:posOffset>-342900</wp:posOffset>
          </wp:positionH>
          <wp:positionV relativeFrom="paragraph">
            <wp:posOffset>-151130</wp:posOffset>
          </wp:positionV>
          <wp:extent cx="548005" cy="406400"/>
          <wp:effectExtent l="0" t="0" r="4445" b="12700"/>
          <wp:wrapSquare wrapText="bothSides"/>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FBAB">
    <w:pPr>
      <w:pStyle w:val="1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BE9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ECBE95">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w:drawing>
        <wp:anchor distT="0" distB="0" distL="114300" distR="114300" simplePos="0" relativeHeight="251668480" behindDoc="0" locked="0" layoutInCell="1" allowOverlap="1">
          <wp:simplePos x="0" y="0"/>
          <wp:positionH relativeFrom="column">
            <wp:posOffset>-525145</wp:posOffset>
          </wp:positionH>
          <wp:positionV relativeFrom="paragraph">
            <wp:posOffset>-91440</wp:posOffset>
          </wp:positionV>
          <wp:extent cx="548005" cy="406400"/>
          <wp:effectExtent l="0" t="0" r="4445" b="12700"/>
          <wp:wrapSquare wrapText="bothSides"/>
          <wp:docPr id="4"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0C15">
    <w:pPr>
      <w:pStyle w:val="10"/>
      <w:jc w:val="center"/>
      <w:rPr>
        <w:rFonts w:ascii="仿宋_GB2312" w:eastAsia="仿宋_GB2312"/>
      </w:rPr>
    </w:pPr>
    <w:r>
      <w:rPr>
        <w:sz w:val="18"/>
      </w:rPr>
      <w:drawing>
        <wp:anchor distT="0" distB="0" distL="114300" distR="114300" simplePos="0" relativeHeight="251681792" behindDoc="0" locked="0" layoutInCell="1" allowOverlap="1">
          <wp:simplePos x="0" y="0"/>
          <wp:positionH relativeFrom="column">
            <wp:posOffset>-525145</wp:posOffset>
          </wp:positionH>
          <wp:positionV relativeFrom="paragraph">
            <wp:posOffset>-91440</wp:posOffset>
          </wp:positionV>
          <wp:extent cx="548005" cy="406400"/>
          <wp:effectExtent l="0" t="0" r="4445" b="12700"/>
          <wp:wrapSquare wrapText="bothSides"/>
          <wp:docPr id="2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1190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1190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4D537">
    <w:pPr>
      <w:pStyle w:val="10"/>
      <w:jc w:val="center"/>
      <w:rPr>
        <w:rFonts w:ascii="仿宋_GB2312" w:eastAsia="仿宋_GB2312"/>
      </w:rPr>
    </w:pPr>
    <w:r>
      <w:rPr>
        <w:sz w:val="18"/>
      </w:rPr>
      <w:drawing>
        <wp:anchor distT="0" distB="0" distL="114300" distR="114300" simplePos="0" relativeHeight="251674624" behindDoc="0" locked="0" layoutInCell="1" allowOverlap="1">
          <wp:simplePos x="0" y="0"/>
          <wp:positionH relativeFrom="column">
            <wp:posOffset>-342900</wp:posOffset>
          </wp:positionH>
          <wp:positionV relativeFrom="paragraph">
            <wp:posOffset>-134620</wp:posOffset>
          </wp:positionV>
          <wp:extent cx="548005" cy="406400"/>
          <wp:effectExtent l="0" t="0" r="4445" b="12700"/>
          <wp:wrapSquare wrapText="bothSides"/>
          <wp:docPr id="16"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87B5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CE87B5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7FA4">
    <w:pPr>
      <w:pStyle w:val="10"/>
      <w:framePr w:wrap="around" w:vAnchor="text" w:hAnchor="margin" w:xAlign="right" w:y="1"/>
      <w:rPr>
        <w:rStyle w:val="22"/>
      </w:rPr>
    </w:pPr>
    <w:r>
      <w:fldChar w:fldCharType="begin"/>
    </w:r>
    <w:r>
      <w:rPr>
        <w:rStyle w:val="22"/>
      </w:rPr>
      <w:instrText xml:space="preserve">PAGE  </w:instrText>
    </w:r>
    <w:r>
      <w:fldChar w:fldCharType="end"/>
    </w:r>
  </w:p>
  <w:p w14:paraId="1B68C6E9">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7796">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A515F">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52A515F">
                    <w:pPr>
                      <w:pStyle w:val="10"/>
                    </w:pPr>
                    <w:r>
                      <w:fldChar w:fldCharType="begin"/>
                    </w:r>
                    <w:r>
                      <w:instrText xml:space="preserve"> PAGE  \* MERGEFORMAT </w:instrText>
                    </w:r>
                    <w:r>
                      <w:fldChar w:fldCharType="separate"/>
                    </w:r>
                    <w:r>
                      <w:t>25</w:t>
                    </w:r>
                    <w:r>
                      <w:fldChar w:fldCharType="end"/>
                    </w:r>
                  </w:p>
                </w:txbxContent>
              </v:textbox>
            </v:shape>
          </w:pict>
        </mc:Fallback>
      </mc:AlternateContent>
    </w:r>
    <w:r>
      <w:rPr>
        <w:sz w:val="18"/>
      </w:rPr>
      <w:drawing>
        <wp:anchor distT="0" distB="0" distL="114300" distR="114300" simplePos="0" relativeHeight="251672576" behindDoc="0" locked="0" layoutInCell="1" allowOverlap="1">
          <wp:simplePos x="0" y="0"/>
          <wp:positionH relativeFrom="column">
            <wp:posOffset>-342900</wp:posOffset>
          </wp:positionH>
          <wp:positionV relativeFrom="paragraph">
            <wp:posOffset>-151130</wp:posOffset>
          </wp:positionV>
          <wp:extent cx="548005" cy="406400"/>
          <wp:effectExtent l="0" t="0" r="4445" b="12700"/>
          <wp:wrapSquare wrapText="bothSides"/>
          <wp:docPr id="14"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B117">
    <w:pPr>
      <w:pStyle w:val="10"/>
      <w:jc w:val="center"/>
      <w:rPr>
        <w:rFonts w:ascii="仿宋_GB2312" w:eastAsia="仿宋_GB2312"/>
      </w:rPr>
    </w:pPr>
    <w:r>
      <w:rPr>
        <w:sz w:val="18"/>
      </w:rPr>
      <w:drawing>
        <wp:anchor distT="0" distB="0" distL="114300" distR="114300" simplePos="0" relativeHeight="251676672" behindDoc="0" locked="0" layoutInCell="1" allowOverlap="1">
          <wp:simplePos x="0" y="0"/>
          <wp:positionH relativeFrom="column">
            <wp:posOffset>-233680</wp:posOffset>
          </wp:positionH>
          <wp:positionV relativeFrom="paragraph">
            <wp:posOffset>-64770</wp:posOffset>
          </wp:positionV>
          <wp:extent cx="548005" cy="406400"/>
          <wp:effectExtent l="0" t="0" r="4445" b="12700"/>
          <wp:wrapSquare wrapText="bothSides"/>
          <wp:docPr id="18"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公司logo"/>
                  <pic:cNvPicPr>
                    <a:picLocks noChangeAspect="1"/>
                  </pic:cNvPicPr>
                </pic:nvPicPr>
                <pic:blipFill>
                  <a:blip r:embed="rId1"/>
                  <a:stretch>
                    <a:fillRect/>
                  </a:stretch>
                </pic:blipFill>
                <pic:spPr>
                  <a:xfrm>
                    <a:off x="0" y="0"/>
                    <a:ext cx="548005" cy="406400"/>
                  </a:xfrm>
                  <a:prstGeom prst="rect">
                    <a:avLst/>
                  </a:prstGeom>
                  <a:noFill/>
                  <a:ln>
                    <a:noFill/>
                  </a:ln>
                </pic:spPr>
              </pic:pic>
            </a:graphicData>
          </a:graphic>
        </wp:anchor>
      </w:drawing>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1A4B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C1A4B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15B0">
    <w:pPr>
      <w:pStyle w:val="11"/>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8A0E">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F390">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D1F9">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2A25">
    <w:pPr>
      <w:pStyle w:val="11"/>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6A35">
    <w:pPr>
      <w:pStyle w:val="11"/>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E5843">
    <w:pPr>
      <w:pStyle w:val="11"/>
      <w:jc w:val="left"/>
      <w:rPr>
        <w:rFonts w:ascii="仿宋_GB2312" w:eastAsia="仿宋_GB2312"/>
        <w:b w:val="0"/>
        <w:i/>
        <w:sz w:val="18"/>
        <w:u w:val="single"/>
        <w:lang w:val="en-US"/>
      </w:rPr>
    </w:pPr>
  </w:p>
  <w:p w14:paraId="6C38FC78">
    <w:pPr>
      <w:pStyle w:val="1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42947"/>
    <w:multiLevelType w:val="singleLevel"/>
    <w:tmpl w:val="8B142947"/>
    <w:lvl w:ilvl="0" w:tentative="0">
      <w:start w:val="1"/>
      <w:numFmt w:val="decimal"/>
      <w:pStyle w:val="5"/>
      <w:lvlText w:val="%1."/>
      <w:lvlJc w:val="left"/>
      <w:pPr>
        <w:tabs>
          <w:tab w:val="left" w:pos="780"/>
        </w:tabs>
        <w:ind w:left="780" w:hanging="360"/>
      </w:pPr>
    </w:lvl>
  </w:abstractNum>
  <w:abstractNum w:abstractNumId="1">
    <w:nsid w:val="CBD85BBA"/>
    <w:multiLevelType w:val="singleLevel"/>
    <w:tmpl w:val="CBD85BBA"/>
    <w:lvl w:ilvl="0" w:tentative="0">
      <w:start w:val="1"/>
      <w:numFmt w:val="decimal"/>
      <w:pStyle w:val="6"/>
      <w:lvlText w:val="%1."/>
      <w:lvlJc w:val="left"/>
      <w:pPr>
        <w:tabs>
          <w:tab w:val="left" w:pos="360"/>
        </w:tabs>
        <w:ind w:left="360" w:hanging="360"/>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4B64C97F"/>
    <w:multiLevelType w:val="singleLevel"/>
    <w:tmpl w:val="4B64C97F"/>
    <w:lvl w:ilvl="0" w:tentative="0">
      <w:start w:val="1"/>
      <w:numFmt w:val="decimal"/>
      <w:lvlText w:val="%1."/>
      <w:lvlJc w:val="left"/>
      <w:pPr>
        <w:tabs>
          <w:tab w:val="left" w:pos="312"/>
        </w:tabs>
      </w:pPr>
    </w:lvl>
  </w:abstractNum>
  <w:abstractNum w:abstractNumId="4">
    <w:nsid w:val="576C27DB"/>
    <w:multiLevelType w:val="singleLevel"/>
    <w:tmpl w:val="576C27DB"/>
    <w:lvl w:ilvl="0" w:tentative="0">
      <w:start w:val="7"/>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TdkNGIxZmY3OWY0ZDRjMzE1NjFkYjI3MjI2ZDcifQ=="/>
  </w:docVars>
  <w:rsids>
    <w:rsidRoot w:val="140F2825"/>
    <w:rsid w:val="00F72CA9"/>
    <w:rsid w:val="029304B8"/>
    <w:rsid w:val="031D3B2D"/>
    <w:rsid w:val="047135A4"/>
    <w:rsid w:val="0B7A485B"/>
    <w:rsid w:val="0E941066"/>
    <w:rsid w:val="0EC964EC"/>
    <w:rsid w:val="0F446FE4"/>
    <w:rsid w:val="0FF22BF5"/>
    <w:rsid w:val="121A1480"/>
    <w:rsid w:val="12635154"/>
    <w:rsid w:val="140F2825"/>
    <w:rsid w:val="15760CCD"/>
    <w:rsid w:val="1A5A474D"/>
    <w:rsid w:val="1C700838"/>
    <w:rsid w:val="20D3029D"/>
    <w:rsid w:val="20E935E4"/>
    <w:rsid w:val="21E21DDA"/>
    <w:rsid w:val="22147ADD"/>
    <w:rsid w:val="226E3656"/>
    <w:rsid w:val="23277EDE"/>
    <w:rsid w:val="23482B63"/>
    <w:rsid w:val="24487D93"/>
    <w:rsid w:val="2AF64674"/>
    <w:rsid w:val="364E5040"/>
    <w:rsid w:val="37B32C1B"/>
    <w:rsid w:val="39242AA3"/>
    <w:rsid w:val="3B2F1C2B"/>
    <w:rsid w:val="3E8F4DFA"/>
    <w:rsid w:val="401648C0"/>
    <w:rsid w:val="40B97058"/>
    <w:rsid w:val="457151C4"/>
    <w:rsid w:val="47761DE7"/>
    <w:rsid w:val="49541DAC"/>
    <w:rsid w:val="4A2026A9"/>
    <w:rsid w:val="4B885FA4"/>
    <w:rsid w:val="4BCC49BB"/>
    <w:rsid w:val="4E8C1928"/>
    <w:rsid w:val="4F622DE7"/>
    <w:rsid w:val="4F837443"/>
    <w:rsid w:val="54477598"/>
    <w:rsid w:val="54564321"/>
    <w:rsid w:val="559D2106"/>
    <w:rsid w:val="59346469"/>
    <w:rsid w:val="5BC807A7"/>
    <w:rsid w:val="5CF14187"/>
    <w:rsid w:val="5DE14569"/>
    <w:rsid w:val="604E1338"/>
    <w:rsid w:val="62B2525D"/>
    <w:rsid w:val="657B7F91"/>
    <w:rsid w:val="65AB2953"/>
    <w:rsid w:val="65EF78C8"/>
    <w:rsid w:val="69194288"/>
    <w:rsid w:val="7166222D"/>
    <w:rsid w:val="71FE0289"/>
    <w:rsid w:val="7337310E"/>
    <w:rsid w:val="76923F99"/>
    <w:rsid w:val="783E2643"/>
    <w:rsid w:val="784F7772"/>
    <w:rsid w:val="7AC057B6"/>
    <w:rsid w:val="7CF47F4D"/>
    <w:rsid w:val="7D174080"/>
    <w:rsid w:val="7E797461"/>
    <w:rsid w:val="7EA42982"/>
    <w:rsid w:val="7EB91C00"/>
    <w:rsid w:val="7EF16F50"/>
    <w:rsid w:val="7F1F437F"/>
    <w:rsid w:val="7FD2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Date"/>
    <w:basedOn w:val="1"/>
    <w:next w:val="1"/>
    <w:qFormat/>
    <w:uiPriority w:val="0"/>
    <w:pPr>
      <w:ind w:left="100" w:leftChars="2500"/>
    </w:pPr>
    <w:rPr>
      <w:rFonts w:ascii="宋体"/>
      <w:sz w:val="24"/>
      <w:szCs w:val="21"/>
      <w:lang w:val="zh-CN"/>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2"/>
    <w:next w:val="1"/>
    <w:qFormat/>
    <w:uiPriority w:val="0"/>
    <w:pPr>
      <w:ind w:firstLine="420"/>
    </w:pPr>
    <w:rPr>
      <w:rFonts w:hAnsi="Calibri" w:cs="Times New Roman"/>
      <w:snapToGrid/>
      <w:szCs w:val="20"/>
    </w:rPr>
  </w:style>
  <w:style w:type="paragraph" w:styleId="17">
    <w:name w:val="Body Text First Indent 2"/>
    <w:basedOn w:val="7"/>
    <w:qFormat/>
    <w:uiPriority w:val="0"/>
    <w:pPr>
      <w:adjustRightInd/>
      <w:spacing w:after="120" w:line="240" w:lineRule="auto"/>
      <w:ind w:left="420" w:leftChars="200" w:firstLine="21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样式8"/>
    <w:basedOn w:val="3"/>
    <w:next w:val="1"/>
    <w:qFormat/>
    <w:uiPriority w:val="0"/>
    <w:pPr>
      <w:spacing w:before="63" w:line="360" w:lineRule="auto"/>
      <w:ind w:left="140"/>
      <w:jc w:val="center"/>
    </w:pPr>
    <w:rPr>
      <w:rFonts w:hint="eastAsia" w:ascii="宋体" w:hAnsi="宋体" w:eastAsia="宋体" w:cs="宋体"/>
      <w:bCs/>
      <w:snapToGrid w:val="0"/>
      <w:color w:val="000000"/>
      <w:spacing w:val="9"/>
      <w:kern w:val="0"/>
      <w:sz w:val="32"/>
      <w:szCs w:val="32"/>
      <w:lang w:eastAsia="en-US" w:bidi="ar"/>
    </w:rPr>
  </w:style>
  <w:style w:type="paragraph" w:customStyle="1" w:styleId="25">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autoRedefine/>
    <w:qFormat/>
    <w:uiPriority w:val="0"/>
    <w:pPr>
      <w:spacing w:before="156" w:line="360" w:lineRule="auto"/>
      <w:ind w:firstLine="510" w:firstLineChars="200"/>
    </w:pPr>
    <w:rPr>
      <w:sz w:val="24"/>
      <w:szCs w:val="20"/>
    </w:rPr>
  </w:style>
  <w:style w:type="paragraph" w:customStyle="1" w:styleId="2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styleId="32">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33">
    <w:name w:val="纯文本_0_0"/>
    <w:basedOn w:val="1"/>
    <w:autoRedefine/>
    <w:qFormat/>
    <w:uiPriority w:val="0"/>
    <w:pPr>
      <w:adjustRightInd/>
    </w:pPr>
    <w:rPr>
      <w:rFonts w:ascii="宋体" w:hAnsi="Courier New"/>
      <w:szCs w:val="21"/>
    </w:rPr>
  </w:style>
  <w:style w:type="character" w:customStyle="1" w:styleId="34">
    <w:name w:val="NormalCharacter"/>
    <w:autoRedefine/>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35982</Words>
  <Characters>38724</Characters>
  <Lines>0</Lines>
  <Paragraphs>0</Paragraphs>
  <TotalTime>78</TotalTime>
  <ScaleCrop>false</ScaleCrop>
  <LinksUpToDate>false</LinksUpToDate>
  <CharactersWithSpaces>44317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2024-07-08T04:52:00Z</dcterms:created>
  <dc:creator>Mr张小磊</dc:creator>
  <cp:lastModifiedBy>俊 熙°</cp:lastModifiedBy>
  <dcterms:modified xsi:type="dcterms:W3CDTF">2024-09-04T02:17:53Z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2F6AE6BDD82F4E5FB9E53BF3125952E4_13</vt:lpwstr>
  </property>
</Properties>
</file>