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eastAsia="宋体" w:cs="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eastAsia="宋体" w:cs="宋体"/>
          <w:b/>
          <w:color w:val="auto"/>
          <w:kern w:val="0"/>
          <w:sz w:val="52"/>
          <w:szCs w:val="52"/>
          <w:highlight w:val="none"/>
          <w:lang w:eastAsia="zh-CN"/>
        </w:rPr>
      </w:pPr>
      <w:r>
        <w:rPr>
          <w:rFonts w:hint="eastAsia" w:ascii="宋体" w:hAnsi="宋体" w:eastAsia="宋体" w:cs="宋体"/>
          <w:b/>
          <w:color w:val="auto"/>
          <w:kern w:val="0"/>
          <w:sz w:val="52"/>
          <w:szCs w:val="52"/>
          <w:highlight w:val="none"/>
          <w:lang w:eastAsia="zh-CN"/>
        </w:rPr>
        <w:t>台州市椒江区政府采购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（线上电子招投标）</w:t>
      </w:r>
    </w:p>
    <w:p>
      <w:pPr>
        <w:autoSpaceDE w:val="0"/>
        <w:autoSpaceDN w:val="0"/>
        <w:adjustRightInd w:val="0"/>
        <w:spacing w:line="360" w:lineRule="auto"/>
        <w:ind w:firstLine="2891" w:firstLineChars="900"/>
        <w:rPr>
          <w:rFonts w:hint="eastAsia" w:ascii="宋体" w:hAnsi="宋体" w:eastAsia="宋体" w:cs="宋体"/>
          <w:b/>
          <w:color w:val="auto"/>
          <w:kern w:val="0"/>
          <w:sz w:val="52"/>
          <w:szCs w:val="52"/>
          <w:highlight w:val="none"/>
        </w:rPr>
      </w:pPr>
      <w:r>
        <w:rPr>
          <w:rFonts w:hint="eastAsia" w:ascii="宋体" w:hAnsi="宋体" w:cs="宋体"/>
          <w:b/>
          <w:color w:val="auto"/>
          <w:kern w:val="0"/>
          <w:sz w:val="32"/>
          <w:highlight w:val="none"/>
          <w:lang w:val="en-US" w:eastAsia="zh-CN"/>
        </w:rPr>
        <w:t>椒财采确临[2024]847号</w:t>
      </w:r>
    </w:p>
    <w:p>
      <w:pPr>
        <w:autoSpaceDE w:val="0"/>
        <w:autoSpaceDN w:val="0"/>
        <w:adjustRightInd w:val="0"/>
        <w:spacing w:line="360" w:lineRule="auto"/>
        <w:ind w:firstLine="1797" w:firstLineChars="642"/>
        <w:jc w:val="left"/>
        <w:rPr>
          <w:rFonts w:hint="eastAsia" w:ascii="宋体" w:hAnsi="宋体" w:eastAsia="宋体" w:cs="宋体"/>
          <w:color w:val="auto"/>
          <w:kern w:val="0"/>
          <w:sz w:val="28"/>
          <w:highlight w:val="none"/>
        </w:rPr>
      </w:pPr>
    </w:p>
    <w:p>
      <w:pPr>
        <w:autoSpaceDE w:val="0"/>
        <w:autoSpaceDN w:val="0"/>
        <w:adjustRightInd w:val="0"/>
        <w:spacing w:line="360" w:lineRule="auto"/>
        <w:ind w:firstLine="1797" w:firstLineChars="642"/>
        <w:jc w:val="left"/>
        <w:rPr>
          <w:rFonts w:hint="eastAsia" w:ascii="宋体" w:hAnsi="宋体" w:eastAsia="宋体" w:cs="宋体"/>
          <w:color w:val="auto"/>
          <w:kern w:val="0"/>
          <w:sz w:val="28"/>
          <w:highlight w:val="none"/>
        </w:rPr>
      </w:pPr>
    </w:p>
    <w:p>
      <w:pPr>
        <w:autoSpaceDE w:val="0"/>
        <w:autoSpaceDN w:val="0"/>
        <w:adjustRightInd w:val="0"/>
        <w:spacing w:line="360" w:lineRule="auto"/>
        <w:ind w:firstLine="2077" w:firstLineChars="742"/>
        <w:jc w:val="left"/>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lang w:eastAsia="zh-CN"/>
        </w:rPr>
        <w:t>采购项目：</w:t>
      </w:r>
      <w:r>
        <w:rPr>
          <w:rFonts w:hint="eastAsia" w:ascii="宋体" w:hAnsi="宋体" w:cs="宋体"/>
          <w:color w:val="auto"/>
          <w:kern w:val="0"/>
          <w:sz w:val="28"/>
          <w:highlight w:val="none"/>
          <w:lang w:eastAsia="zh-CN"/>
        </w:rPr>
        <w:t>梓林幼儿园改造项目</w:t>
      </w:r>
    </w:p>
    <w:p>
      <w:pPr>
        <w:autoSpaceDE w:val="0"/>
        <w:autoSpaceDN w:val="0"/>
        <w:adjustRightInd w:val="0"/>
        <w:spacing w:line="360" w:lineRule="auto"/>
        <w:ind w:firstLine="2077" w:firstLineChars="742"/>
        <w:jc w:val="left"/>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 购 人：</w:t>
      </w:r>
      <w:r>
        <w:rPr>
          <w:rFonts w:hint="eastAsia" w:ascii="宋体" w:hAnsi="宋体" w:eastAsia="宋体" w:cs="宋体"/>
          <w:color w:val="auto"/>
          <w:kern w:val="0"/>
          <w:sz w:val="28"/>
          <w:highlight w:val="none"/>
          <w:lang w:eastAsia="zh-CN"/>
        </w:rPr>
        <w:t>台州市椒江区章安街道中心幼儿园</w:t>
      </w:r>
    </w:p>
    <w:p>
      <w:pPr>
        <w:autoSpaceDE w:val="0"/>
        <w:autoSpaceDN w:val="0"/>
        <w:adjustRightInd w:val="0"/>
        <w:spacing w:line="360" w:lineRule="auto"/>
        <w:rPr>
          <w:rFonts w:hint="eastAsia" w:ascii="宋体" w:hAnsi="宋体" w:eastAsia="宋体" w:cs="宋体"/>
          <w:color w:val="auto"/>
          <w:kern w:val="0"/>
          <w:sz w:val="28"/>
          <w:highlight w:val="none"/>
        </w:rPr>
      </w:pPr>
    </w:p>
    <w:p>
      <w:pPr>
        <w:autoSpaceDE w:val="0"/>
        <w:autoSpaceDN w:val="0"/>
        <w:adjustRightInd w:val="0"/>
        <w:spacing w:line="360" w:lineRule="auto"/>
        <w:rPr>
          <w:rFonts w:hint="eastAsia" w:ascii="宋体" w:hAnsi="宋体" w:eastAsia="宋体" w:cs="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eastAsia" w:ascii="宋体" w:hAnsi="宋体" w:eastAsia="宋体" w:cs="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采购</w:t>
      </w:r>
      <w:r>
        <w:rPr>
          <w:rFonts w:hint="eastAsia" w:ascii="宋体" w:hAnsi="宋体" w:eastAsia="宋体" w:cs="宋体"/>
          <w:color w:val="auto"/>
          <w:kern w:val="0"/>
          <w:sz w:val="28"/>
          <w:szCs w:val="28"/>
          <w:highlight w:val="none"/>
          <w:lang w:eastAsia="zh-CN"/>
        </w:rPr>
        <w:t>代理机构：浙江双联工程咨询有限公司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rPr>
        <w:t>2024</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 xml:space="preserve">月 </w:t>
      </w:r>
    </w:p>
    <w:p>
      <w:pPr>
        <w:spacing w:line="360" w:lineRule="auto"/>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sdt>
      <w:sdtPr>
        <w:rPr>
          <w:rFonts w:hint="eastAsia" w:ascii="宋体" w:hAnsi="宋体" w:eastAsia="宋体" w:cs="宋体"/>
          <w:color w:val="auto"/>
          <w:sz w:val="32"/>
          <w:szCs w:val="32"/>
          <w:highlight w:val="none"/>
        </w:rPr>
        <w:id w:val="147453465"/>
        <w:docPartObj>
          <w:docPartGallery w:val="Table of Contents"/>
          <w:docPartUnique/>
        </w:docPartObj>
      </w:sdtPr>
      <w:sdtEndPr>
        <w:rPr>
          <w:rFonts w:hint="eastAsia" w:ascii="宋体" w:hAnsi="宋体" w:eastAsia="宋体" w:cs="宋体"/>
          <w:color w:val="auto"/>
          <w:sz w:val="21"/>
          <w:szCs w:val="28"/>
          <w:highlight w:val="none"/>
        </w:rPr>
      </w:sdtEndPr>
      <w:sdtContent>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  录</w:t>
          </w:r>
        </w:p>
        <w:p>
          <w:pPr>
            <w:pStyle w:val="2"/>
            <w:tabs>
              <w:tab w:val="right" w:leader="dot" w:pos="9070"/>
            </w:tabs>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TOC \o "1-1" \h \u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_Toc7673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第一章 磋商邀请</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_Toc7673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070"/>
            </w:tabs>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_Toc13694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 xml:space="preserve">第二章 </w:t>
          </w:r>
          <w:r>
            <w:rPr>
              <w:rFonts w:hint="eastAsia" w:ascii="宋体" w:hAnsi="宋体" w:eastAsia="宋体" w:cs="宋体"/>
              <w:color w:val="auto"/>
              <w:szCs w:val="24"/>
              <w:highlight w:val="none"/>
              <w:lang w:val="en-US" w:eastAsia="zh-CN"/>
            </w:rPr>
            <w:t>磋商</w:t>
          </w:r>
          <w:r>
            <w:rPr>
              <w:rFonts w:hint="eastAsia" w:ascii="宋体" w:hAnsi="宋体" w:eastAsia="宋体" w:cs="宋体"/>
              <w:color w:val="auto"/>
              <w:szCs w:val="24"/>
              <w:highlight w:val="none"/>
            </w:rPr>
            <w:t>须知</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_Toc13694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6</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070"/>
            </w:tabs>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_Toc7939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第三章 采购需求</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_Toc7939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19</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070"/>
            </w:tabs>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_Toc16805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第四章 评标办法及评分标准</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_Toc16805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22</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070"/>
            </w:tabs>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_Toc11741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第五章 合同条款及格式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_Toc11741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25</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070"/>
            </w:tabs>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_Toc3437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第六章 投标文件格式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_Toc3437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50</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Cs w:val="24"/>
              <w:highlight w:val="none"/>
            </w:rPr>
            <w:fldChar w:fldCharType="end"/>
          </w:r>
        </w:p>
      </w:sdtContent>
    </w:sdt>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sz w:val="36"/>
          <w:szCs w:val="36"/>
          <w:highlight w:val="none"/>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sz w:val="36"/>
          <w:szCs w:val="36"/>
          <w:highlight w:val="none"/>
        </w:rPr>
      </w:pPr>
      <w:bookmarkStart w:id="0" w:name="_Toc7673"/>
      <w:r>
        <w:rPr>
          <w:rFonts w:hint="eastAsia" w:ascii="宋体" w:hAnsi="宋体" w:cs="宋体"/>
          <w:b/>
          <w:color w:val="auto"/>
          <w:kern w:val="0"/>
          <w:sz w:val="36"/>
          <w:szCs w:val="36"/>
          <w:highlight w:val="none"/>
          <w:lang w:val="en-US" w:eastAsia="zh-CN"/>
        </w:rPr>
        <w:t>竞争性</w:t>
      </w:r>
      <w:r>
        <w:rPr>
          <w:rFonts w:hint="eastAsia" w:ascii="宋体" w:hAnsi="宋体" w:eastAsia="宋体" w:cs="宋体"/>
          <w:b/>
          <w:color w:val="auto"/>
          <w:kern w:val="0"/>
          <w:sz w:val="36"/>
          <w:szCs w:val="36"/>
          <w:highlight w:val="none"/>
        </w:rPr>
        <w:t>磋商</w:t>
      </w:r>
      <w:bookmarkEnd w:id="0"/>
      <w:r>
        <w:rPr>
          <w:rFonts w:hint="eastAsia" w:ascii="宋体" w:hAnsi="宋体" w:cs="宋体"/>
          <w:b/>
          <w:color w:val="auto"/>
          <w:kern w:val="0"/>
          <w:sz w:val="36"/>
          <w:szCs w:val="36"/>
          <w:highlight w:val="none"/>
          <w:lang w:val="en-US" w:eastAsia="zh-CN"/>
        </w:rPr>
        <w:t>公告</w:t>
      </w:r>
    </w:p>
    <w:p>
      <w:pPr>
        <w:pStyle w:val="27"/>
        <w:spacing w:line="360" w:lineRule="auto"/>
        <w:ind w:firstLine="562"/>
        <w:jc w:val="center"/>
        <w:outlineLvl w:val="0"/>
        <w:rPr>
          <w:rFonts w:hint="eastAsia" w:ascii="宋体" w:hAnsi="宋体" w:eastAsia="宋体" w:cs="宋体"/>
          <w:color w:val="auto"/>
          <w:highlight w:val="none"/>
        </w:rPr>
      </w:pPr>
    </w:p>
    <w:tbl>
      <w:tblPr>
        <w:tblStyle w:val="28"/>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6" w:type="dxa"/>
            <w:noWrap/>
            <w:vAlign w:val="top"/>
          </w:tcPr>
          <w:p>
            <w:pPr>
              <w:pStyle w:val="25"/>
              <w:spacing w:before="75" w:beforeAutospacing="0" w:after="75" w:afterAutospacing="0" w:line="360" w:lineRule="auto"/>
              <w:ind w:left="735" w:hanging="315"/>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项目概况</w:t>
            </w:r>
          </w:p>
          <w:p>
            <w:pPr>
              <w:pStyle w:val="25"/>
              <w:spacing w:before="75" w:beforeAutospacing="0" w:after="75" w:afterAutospacing="0" w:line="360" w:lineRule="auto"/>
              <w:ind w:left="420" w:firstLine="480" w:firstLineChars="200"/>
              <w:rPr>
                <w:rFonts w:hint="eastAsia" w:ascii="宋体" w:hAnsi="宋体" w:eastAsia="宋体" w:cs="宋体"/>
                <w:color w:val="auto"/>
                <w:kern w:val="2"/>
                <w:highlight w:val="none"/>
              </w:rPr>
            </w:pPr>
            <w:r>
              <w:rPr>
                <w:rFonts w:hint="eastAsia" w:cs="宋体"/>
                <w:color w:val="auto"/>
                <w:highlight w:val="none"/>
                <w:lang w:eastAsia="zh-CN"/>
              </w:rPr>
              <w:t>梓林幼儿园改造项目</w:t>
            </w:r>
            <w:r>
              <w:rPr>
                <w:rFonts w:hint="eastAsia" w:ascii="宋体" w:hAnsi="宋体" w:eastAsia="宋体" w:cs="宋体"/>
                <w:color w:val="auto"/>
                <w:kern w:val="2"/>
                <w:highlight w:val="none"/>
              </w:rPr>
              <w:t>的潜在</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应在“政府采购云平台”（</w:t>
            </w:r>
            <w:r>
              <w:rPr>
                <w:rFonts w:hint="eastAsia" w:ascii="宋体" w:hAnsi="宋体" w:eastAsia="宋体" w:cs="宋体"/>
                <w:color w:val="auto"/>
                <w:highlight w:val="none"/>
              </w:rPr>
              <w:t xml:space="preserve"> www.zcygov.cn</w:t>
            </w:r>
            <w:r>
              <w:rPr>
                <w:rFonts w:hint="eastAsia" w:ascii="宋体" w:hAnsi="宋体" w:eastAsia="宋体" w:cs="宋体"/>
                <w:color w:val="auto"/>
                <w:kern w:val="2"/>
                <w:highlight w:val="none"/>
              </w:rPr>
              <w:t>）免费获取（下载）</w:t>
            </w:r>
            <w:r>
              <w:rPr>
                <w:rFonts w:hint="eastAsia" w:ascii="宋体" w:hAnsi="宋体" w:eastAsia="宋体" w:cs="宋体"/>
                <w:color w:val="auto"/>
                <w:kern w:val="2"/>
                <w:highlight w:val="none"/>
                <w:lang w:eastAsia="zh-CN"/>
              </w:rPr>
              <w:t>采购文件</w:t>
            </w:r>
            <w:r>
              <w:rPr>
                <w:rFonts w:hint="eastAsia" w:ascii="宋体" w:hAnsi="宋体" w:eastAsia="宋体" w:cs="宋体"/>
                <w:color w:val="auto"/>
                <w:kern w:val="2"/>
                <w:highlight w:val="none"/>
              </w:rPr>
              <w:t>，并于</w:t>
            </w:r>
            <w:r>
              <w:rPr>
                <w:rFonts w:hint="eastAsia" w:cs="宋体"/>
                <w:color w:val="auto"/>
                <w:kern w:val="2"/>
                <w:highlight w:val="none"/>
                <w:lang w:eastAsia="zh-CN"/>
              </w:rPr>
              <w:t>2024年06月24日09:00分</w:t>
            </w:r>
            <w:r>
              <w:rPr>
                <w:rFonts w:hint="eastAsia" w:ascii="宋体" w:hAnsi="宋体" w:eastAsia="宋体" w:cs="宋体"/>
                <w:color w:val="auto"/>
                <w:kern w:val="2"/>
                <w:highlight w:val="none"/>
              </w:rPr>
              <w:t>（北京时间）前递交（上传）投标文件。</w:t>
            </w:r>
          </w:p>
        </w:tc>
      </w:tr>
    </w:tbl>
    <w:p>
      <w:pPr>
        <w:spacing w:line="360" w:lineRule="auto"/>
        <w:rPr>
          <w:rFonts w:hint="eastAsia" w:ascii="宋体" w:hAnsi="宋体" w:eastAsia="宋体" w:cs="宋体"/>
          <w:bCs/>
          <w:color w:val="auto"/>
          <w:sz w:val="24"/>
          <w:highlight w:val="none"/>
        </w:rPr>
      </w:pPr>
      <w:bookmarkStart w:id="1" w:name="_Toc28359079"/>
      <w:bookmarkStart w:id="2" w:name="_Toc28359002"/>
      <w:bookmarkStart w:id="3" w:name="_Toc35393790"/>
      <w:bookmarkStart w:id="4" w:name="_Toc35393621"/>
      <w:bookmarkStart w:id="5" w:name="_Hlk24379207"/>
      <w:r>
        <w:rPr>
          <w:rFonts w:hint="eastAsia" w:ascii="宋体" w:hAnsi="宋体" w:eastAsia="宋体" w:cs="宋体"/>
          <w:color w:val="auto"/>
          <w:sz w:val="24"/>
          <w:highlight w:val="none"/>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椒财采确临[2024]847号</w:t>
      </w:r>
      <w:r>
        <w:rPr>
          <w:rFonts w:hint="eastAsia" w:ascii="宋体" w:hAnsi="宋体" w:eastAsia="宋体" w:cs="宋体"/>
          <w:color w:val="auto"/>
          <w:sz w:val="24"/>
          <w:highlight w:val="none"/>
          <w:lang w:val="en-US" w:eastAsia="zh-CN"/>
        </w:rPr>
        <w:t xml:space="preserve"> </w:t>
      </w:r>
    </w:p>
    <w:bookmarkEnd w:id="5"/>
    <w:p>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cs="宋体"/>
          <w:color w:val="auto"/>
          <w:highlight w:val="none"/>
          <w:lang w:eastAsia="zh-CN"/>
        </w:rPr>
        <w:t>梓林幼儿园改造项目</w:t>
      </w:r>
    </w:p>
    <w:p>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采购方式：竞争性磋商</w:t>
      </w:r>
      <w:r>
        <w:rPr>
          <w:rFonts w:hint="eastAsia" w:ascii="宋体" w:hAnsi="宋体" w:eastAsia="宋体" w:cs="宋体"/>
          <w:color w:val="auto"/>
          <w:highlight w:val="none"/>
        </w:rPr>
        <w:t> </w:t>
      </w:r>
    </w:p>
    <w:p>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标项内容：详见磋商文件</w:t>
      </w:r>
      <w:r>
        <w:rPr>
          <w:rFonts w:hint="eastAsia" w:cs="宋体"/>
          <w:color w:val="auto"/>
          <w:kern w:val="2"/>
          <w:highlight w:val="none"/>
          <w:lang w:val="en-US" w:eastAsia="zh-CN"/>
        </w:rPr>
        <w:t>。</w:t>
      </w:r>
    </w:p>
    <w:p>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数量：1</w:t>
      </w:r>
    </w:p>
    <w:p>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单位：项，</w:t>
      </w:r>
    </w:p>
    <w:p>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预算金额（元）：</w:t>
      </w:r>
      <w:r>
        <w:rPr>
          <w:rFonts w:hint="eastAsia" w:cs="宋体"/>
          <w:color w:val="auto"/>
          <w:kern w:val="2"/>
          <w:highlight w:val="none"/>
          <w:lang w:val="en-US" w:eastAsia="zh-CN"/>
        </w:rPr>
        <w:t>798229</w:t>
      </w:r>
      <w:r>
        <w:rPr>
          <w:rFonts w:hint="eastAsia" w:ascii="宋体" w:hAnsi="宋体" w:eastAsia="宋体" w:cs="宋体"/>
          <w:color w:val="auto"/>
          <w:kern w:val="2"/>
          <w:highlight w:val="none"/>
          <w:lang w:val="en-US" w:eastAsia="zh-CN"/>
        </w:rPr>
        <w:t>元</w:t>
      </w:r>
    </w:p>
    <w:p>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最高限价（元）：</w:t>
      </w:r>
      <w:r>
        <w:rPr>
          <w:rFonts w:hint="eastAsia" w:cs="宋体"/>
          <w:color w:val="auto"/>
          <w:kern w:val="2"/>
          <w:highlight w:val="none"/>
          <w:lang w:val="en-US" w:eastAsia="zh-CN"/>
        </w:rPr>
        <w:t>690468</w:t>
      </w:r>
      <w:r>
        <w:rPr>
          <w:rFonts w:hint="eastAsia" w:ascii="宋体" w:hAnsi="宋体" w:eastAsia="宋体" w:cs="宋体"/>
          <w:color w:val="auto"/>
          <w:kern w:val="2"/>
          <w:highlight w:val="none"/>
          <w:lang w:val="en-US" w:eastAsia="zh-CN"/>
        </w:rPr>
        <w:t>元(</w:t>
      </w:r>
      <w:r>
        <w:rPr>
          <w:rFonts w:hint="eastAsia" w:cs="宋体"/>
          <w:color w:val="auto"/>
          <w:kern w:val="2"/>
          <w:highlight w:val="none"/>
          <w:lang w:val="en-US" w:eastAsia="zh-CN"/>
        </w:rPr>
        <w:t>装修：招标控制</w:t>
      </w:r>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6.5</w:t>
      </w:r>
      <w:r>
        <w:rPr>
          <w:rFonts w:hint="eastAsia" w:ascii="宋体" w:hAnsi="宋体" w:eastAsia="宋体" w:cs="宋体"/>
          <w:color w:val="auto"/>
          <w:highlight w:val="none"/>
        </w:rPr>
        <w:t>%</w:t>
      </w:r>
      <w:r>
        <w:rPr>
          <w:rFonts w:hint="eastAsia" w:ascii="宋体" w:hAnsi="宋体" w:eastAsia="宋体" w:cs="宋体"/>
          <w:color w:val="auto"/>
          <w:kern w:val="2"/>
          <w:highlight w:val="none"/>
          <w:lang w:val="en-US" w:eastAsia="zh-CN"/>
        </w:rPr>
        <w:t>）</w:t>
      </w:r>
    </w:p>
    <w:p>
      <w:pPr>
        <w:pStyle w:val="25"/>
        <w:spacing w:before="0" w:beforeAutospacing="0" w:after="0" w:afterAutospacing="0" w:line="360" w:lineRule="auto"/>
        <w:ind w:firstLine="420"/>
        <w:rPr>
          <w:rFonts w:hint="eastAsia" w:ascii="宋体" w:hAnsi="宋体" w:eastAsia="宋体" w:cs="宋体"/>
          <w:color w:val="auto"/>
          <w:highlight w:val="none"/>
          <w:lang w:val="en-US" w:eastAsia="zh-CN"/>
        </w:rPr>
      </w:pPr>
      <w:bookmarkStart w:id="6" w:name="_Toc28359080"/>
      <w:bookmarkStart w:id="7" w:name="_Toc28359003"/>
      <w:bookmarkStart w:id="8" w:name="_Toc35393622"/>
      <w:bookmarkStart w:id="9" w:name="_Toc35393791"/>
      <w:r>
        <w:rPr>
          <w:rFonts w:hint="eastAsia" w:ascii="宋体" w:hAnsi="宋体" w:eastAsia="宋体" w:cs="宋体"/>
          <w:color w:val="auto"/>
          <w:highlight w:val="none"/>
        </w:rPr>
        <w:t>合同履约期限：</w:t>
      </w:r>
      <w:r>
        <w:rPr>
          <w:rFonts w:hint="eastAsia" w:cs="宋体"/>
          <w:color w:val="auto"/>
          <w:highlight w:val="none"/>
          <w:lang w:val="en-US" w:eastAsia="zh-CN"/>
        </w:rPr>
        <w:t>2024年07月31日</w:t>
      </w:r>
      <w:r>
        <w:rPr>
          <w:rFonts w:hint="eastAsia" w:ascii="宋体" w:hAnsi="宋体" w:eastAsia="宋体" w:cs="宋体"/>
          <w:color w:val="auto"/>
          <w:highlight w:val="none"/>
          <w:lang w:val="en-US" w:eastAsia="zh-CN"/>
        </w:rPr>
        <w:t>前完成。</w:t>
      </w:r>
    </w:p>
    <w:p>
      <w:pPr>
        <w:pStyle w:val="25"/>
        <w:spacing w:beforeLines="50" w:beforeAutospacing="0" w:afterLines="50" w:afterAutospacing="0" w:line="360" w:lineRule="auto"/>
        <w:jc w:val="both"/>
        <w:rPr>
          <w:rStyle w:val="33"/>
          <w:rFonts w:hint="eastAsia" w:ascii="宋体" w:hAnsi="宋体" w:eastAsia="宋体" w:cs="宋体"/>
          <w:color w:val="auto"/>
          <w:highlight w:val="none"/>
        </w:rPr>
      </w:pPr>
      <w:r>
        <w:rPr>
          <w:rFonts w:hint="eastAsia" w:ascii="宋体" w:hAnsi="宋体" w:eastAsia="宋体" w:cs="宋体"/>
          <w:bCs/>
          <w:color w:val="auto"/>
          <w:highlight w:val="none"/>
        </w:rPr>
        <w:t>二、</w:t>
      </w:r>
      <w:bookmarkEnd w:id="6"/>
      <w:bookmarkEnd w:id="7"/>
      <w:bookmarkEnd w:id="8"/>
      <w:bookmarkEnd w:id="9"/>
      <w:bookmarkStart w:id="10" w:name="_Toc35393792"/>
      <w:bookmarkStart w:id="11" w:name="_Toc35393623"/>
      <w:bookmarkStart w:id="12" w:name="_Toc28359004"/>
      <w:bookmarkStart w:id="13" w:name="_Toc28359081"/>
      <w:r>
        <w:rPr>
          <w:rStyle w:val="33"/>
          <w:rFonts w:hint="eastAsia" w:ascii="宋体" w:hAnsi="宋体" w:eastAsia="宋体" w:cs="宋体"/>
          <w:color w:val="auto"/>
          <w:highlight w:val="none"/>
        </w:rPr>
        <w:t>申请人的资格要求</w:t>
      </w:r>
    </w:p>
    <w:p>
      <w:pPr>
        <w:pStyle w:val="25"/>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pStyle w:val="25"/>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未被“信用中国”（www.creditchina.gov.cn)、中国政府采购网（www.ccgp.gov.cn）列入失信被执行人、重大税收违法案件当事人名单、政府采购严重违法失信行为记录名单。</w:t>
      </w:r>
    </w:p>
    <w:p>
      <w:pPr>
        <w:pStyle w:val="25"/>
        <w:spacing w:before="0" w:beforeAutospacing="0" w:after="0" w:afterAutospacing="0" w:line="360" w:lineRule="auto"/>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b/>
          <w:bCs/>
          <w:color w:val="auto"/>
          <w:highlight w:val="none"/>
        </w:rPr>
        <w:t>落实政府采购政策需满足的资格要求：本项目按照《政府采购促进中小企业发展管理办法》【财库（2020）46号】第七条规定：专门面向中小企业采购。</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.本项目的特定资格要求：</w:t>
      </w:r>
    </w:p>
    <w:p>
      <w:pPr>
        <w:pStyle w:val="25"/>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投标人资质条件：建筑装修装饰工程专业承包二级及以上</w:t>
      </w:r>
      <w:r>
        <w:rPr>
          <w:rFonts w:hint="eastAsia" w:ascii="宋体" w:hAnsi="宋体" w:eastAsia="宋体" w:cs="宋体"/>
          <w:color w:val="auto"/>
          <w:highlight w:val="none"/>
          <w:lang w:val="en-US" w:eastAsia="zh-CN"/>
        </w:rPr>
        <w:t>；</w:t>
      </w:r>
    </w:p>
    <w:p>
      <w:pPr>
        <w:pStyle w:val="25"/>
        <w:spacing w:before="0" w:beforeAutospacing="0" w:after="0" w:afterAutospacing="0"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项目负责人资格要求：</w:t>
      </w:r>
      <w:r>
        <w:rPr>
          <w:rFonts w:hint="eastAsia" w:ascii="宋体" w:hAnsi="宋体" w:eastAsia="宋体" w:cs="宋体"/>
          <w:color w:val="auto"/>
          <w:kern w:val="0"/>
          <w:sz w:val="24"/>
          <w:highlight w:val="none"/>
        </w:rPr>
        <w:t>建筑工程</w:t>
      </w:r>
      <w:r>
        <w:rPr>
          <w:rFonts w:hint="eastAsia" w:ascii="宋体" w:hAnsi="宋体" w:eastAsia="宋体" w:cs="宋体"/>
          <w:color w:val="auto"/>
          <w:highlight w:val="none"/>
          <w:lang w:val="en-US" w:eastAsia="zh-CN"/>
        </w:rPr>
        <w:t>专业注册建造师二级及以上，并有有效期内的企业项目负责人安全生产考核合格证书（B类）；</w:t>
      </w:r>
    </w:p>
    <w:p>
      <w:pPr>
        <w:pStyle w:val="25"/>
        <w:spacing w:before="0" w:beforeAutospacing="0" w:after="0" w:afterAutospacing="0"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（3）具有有效的企业《安全生产许可证》；</w:t>
      </w:r>
    </w:p>
    <w:p>
      <w:pPr>
        <w:pStyle w:val="25"/>
        <w:spacing w:before="0" w:beforeAutospacing="0" w:after="0" w:afterAutospacing="0"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（4）浙江省省外的供应商须提供有效的《省外企业进浙承接业务备案证明》或“浙江省建筑市场监管公共服务系统”对外发布的通过审核形成的备案信息网页截图（仅指浙江省省外企业）。</w:t>
      </w:r>
    </w:p>
    <w:p>
      <w:pPr>
        <w:pStyle w:val="25"/>
        <w:spacing w:before="0" w:beforeAutospacing="0" w:after="0" w:afterAutospacing="0"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本项目不接受联合体投标。</w:t>
      </w:r>
    </w:p>
    <w:p>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三、获取</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下载</w:t>
      </w:r>
      <w:r>
        <w:rPr>
          <w:rFonts w:hint="eastAsia" w:ascii="宋体" w:hAnsi="宋体" w:eastAsia="宋体" w:cs="宋体"/>
          <w:b/>
          <w:bCs/>
          <w:color w:val="auto"/>
          <w:sz w:val="24"/>
          <w:highlight w:val="none"/>
          <w:lang w:eastAsia="zh-CN"/>
        </w:rPr>
        <w:t>）</w:t>
      </w:r>
      <w:bookmarkEnd w:id="10"/>
      <w:bookmarkEnd w:id="11"/>
      <w:bookmarkEnd w:id="12"/>
      <w:bookmarkEnd w:id="13"/>
      <w:r>
        <w:rPr>
          <w:rFonts w:hint="eastAsia" w:ascii="宋体" w:hAnsi="宋体" w:eastAsia="宋体" w:cs="宋体"/>
          <w:b/>
          <w:bCs/>
          <w:color w:val="auto"/>
          <w:sz w:val="24"/>
          <w:highlight w:val="none"/>
          <w:lang w:eastAsia="zh-CN"/>
        </w:rPr>
        <w:t>采购文件</w:t>
      </w:r>
    </w:p>
    <w:p>
      <w:pPr>
        <w:pStyle w:val="25"/>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时间：/至</w:t>
      </w:r>
      <w:r>
        <w:rPr>
          <w:rFonts w:hint="eastAsia" w:ascii="宋体" w:hAnsi="宋体" w:eastAsia="宋体" w:cs="宋体"/>
          <w:color w:val="auto"/>
          <w:highlight w:val="none"/>
          <w:lang w:val="en-US" w:eastAsia="zh-CN"/>
        </w:rPr>
        <w:t>投标截止时间。</w:t>
      </w:r>
    </w:p>
    <w:p>
      <w:pPr>
        <w:pStyle w:val="25"/>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地点（网址）：“政府采购云平台”（https://www.zcygov.cn/） </w:t>
      </w:r>
    </w:p>
    <w:p>
      <w:pPr>
        <w:pStyle w:val="25"/>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方式：本项目</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在“政府采购云平台”（https://www.zcygov.cn/）进行网上报名后可免费下载。</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获取</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前应先完成“ 政府采购云平台”（https://www.zcygov.cn/）的账号注册。注：请</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按上述要求获取</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，如未在“ 政府采购云平台”（https://www.zcygov.cn/）系统内完成相关流程，引起的投标无效责任自负。 </w:t>
      </w:r>
    </w:p>
    <w:p>
      <w:pPr>
        <w:pStyle w:val="25"/>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售价（元）：0 </w:t>
      </w:r>
    </w:p>
    <w:p>
      <w:pPr>
        <w:pStyle w:val="25"/>
        <w:spacing w:beforeLines="50" w:beforeAutospacing="0" w:afterLines="50" w:afterAutospacing="0" w:line="360" w:lineRule="auto"/>
        <w:jc w:val="both"/>
        <w:rPr>
          <w:rFonts w:hint="eastAsia" w:ascii="宋体" w:hAnsi="宋体" w:eastAsia="宋体" w:cs="宋体"/>
          <w:b/>
          <w:color w:val="auto"/>
          <w:kern w:val="2"/>
          <w:highlight w:val="none"/>
        </w:rPr>
      </w:pPr>
      <w:bookmarkStart w:id="14" w:name="_Toc28359005"/>
      <w:bookmarkStart w:id="15" w:name="_Toc28359082"/>
      <w:bookmarkStart w:id="16" w:name="_Toc35393624"/>
      <w:bookmarkStart w:id="17" w:name="_Toc35393793"/>
      <w:r>
        <w:rPr>
          <w:rFonts w:hint="eastAsia" w:ascii="宋体" w:hAnsi="宋体" w:eastAsia="宋体" w:cs="宋体"/>
          <w:b/>
          <w:color w:val="auto"/>
          <w:highlight w:val="none"/>
        </w:rPr>
        <w:t>四、</w:t>
      </w:r>
      <w:bookmarkEnd w:id="14"/>
      <w:bookmarkEnd w:id="15"/>
      <w:bookmarkEnd w:id="16"/>
      <w:bookmarkEnd w:id="17"/>
      <w:r>
        <w:rPr>
          <w:rFonts w:hint="eastAsia" w:ascii="宋体" w:hAnsi="宋体" w:eastAsia="宋体" w:cs="宋体"/>
          <w:b/>
          <w:color w:val="auto"/>
          <w:kern w:val="2"/>
          <w:highlight w:val="none"/>
        </w:rPr>
        <w:t>提交投标文件截止时间、开标时间和地点</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w:t>
      </w:r>
      <w:r>
        <w:rPr>
          <w:rFonts w:hint="eastAsia" w:cs="宋体"/>
          <w:color w:val="auto"/>
          <w:highlight w:val="none"/>
          <w:lang w:eastAsia="zh-CN"/>
        </w:rPr>
        <w:t>2024年06月24日09:00分</w:t>
      </w:r>
      <w:r>
        <w:rPr>
          <w:rFonts w:hint="eastAsia" w:ascii="宋体" w:hAnsi="宋体" w:eastAsia="宋体" w:cs="宋体"/>
          <w:color w:val="auto"/>
          <w:highlight w:val="none"/>
        </w:rPr>
        <w:t>（北京时间）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投标地点（网址）：电子投标文件上传到“政府采购云平台”（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https://www.zcygov.cn/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cs="宋体"/>
          <w:color w:val="auto"/>
          <w:highlight w:val="none"/>
          <w:lang w:eastAsia="zh-CN"/>
        </w:rPr>
        <w:t>2024年06月24日09:00分</w:t>
      </w:r>
      <w:r>
        <w:rPr>
          <w:rFonts w:hint="eastAsia" w:ascii="宋体" w:hAnsi="宋体" w:eastAsia="宋体" w:cs="宋体"/>
          <w:color w:val="auto"/>
          <w:highlight w:val="none"/>
        </w:rPr>
        <w:t> （北京时间）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开标地点（网址）：“政府采购云平台”（https://www.zcygov.cn/）在线开标  </w:t>
      </w:r>
    </w:p>
    <w:p>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五、发布公告</w:t>
      </w:r>
    </w:p>
    <w:p>
      <w:pPr>
        <w:pStyle w:val="27"/>
        <w:spacing w:after="0" w:line="360" w:lineRule="auto"/>
        <w:ind w:left="0" w:leftChars="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个工作日。</w:t>
      </w:r>
    </w:p>
    <w:p>
      <w:pPr>
        <w:pStyle w:val="27"/>
        <w:spacing w:after="0" w:line="360" w:lineRule="auto"/>
        <w:ind w:left="0" w:leftChars="0" w:firstLine="0" w:firstLineChars="0"/>
        <w:rPr>
          <w:rFonts w:hint="eastAsia" w:ascii="宋体" w:hAnsi="宋体" w:eastAsia="宋体" w:cs="宋体"/>
          <w:b/>
          <w:color w:val="auto"/>
          <w:kern w:val="0"/>
          <w:sz w:val="24"/>
          <w:highlight w:val="none"/>
        </w:rPr>
      </w:pPr>
      <w:bookmarkStart w:id="18" w:name="_Toc35393626"/>
      <w:bookmarkStart w:id="19" w:name="_Toc35393795"/>
      <w:r>
        <w:rPr>
          <w:rFonts w:hint="eastAsia" w:ascii="宋体" w:hAnsi="宋体" w:eastAsia="宋体" w:cs="宋体"/>
          <w:b/>
          <w:color w:val="auto"/>
          <w:sz w:val="24"/>
          <w:highlight w:val="none"/>
        </w:rPr>
        <w:t>六、</w:t>
      </w:r>
      <w:bookmarkEnd w:id="18"/>
      <w:bookmarkEnd w:id="19"/>
      <w:r>
        <w:rPr>
          <w:rFonts w:hint="eastAsia" w:ascii="宋体" w:hAnsi="宋体" w:eastAsia="宋体" w:cs="宋体"/>
          <w:b/>
          <w:color w:val="auto"/>
          <w:kern w:val="0"/>
          <w:sz w:val="24"/>
          <w:highlight w:val="none"/>
        </w:rPr>
        <w:t>其他补充事宜</w:t>
      </w:r>
    </w:p>
    <w:p>
      <w:pPr>
        <w:pStyle w:val="27"/>
        <w:spacing w:after="0" w:line="360" w:lineRule="auto"/>
        <w:ind w:left="0" w:leftChars="0" w:firstLine="480"/>
        <w:rPr>
          <w:rFonts w:hint="eastAsia" w:ascii="宋体" w:hAnsi="宋体" w:eastAsia="宋体" w:cs="宋体"/>
          <w:color w:val="auto"/>
          <w:kern w:val="0"/>
          <w:sz w:val="24"/>
          <w:highlight w:val="none"/>
        </w:rPr>
      </w:pPr>
      <w:bookmarkStart w:id="20" w:name="_Toc28359008"/>
      <w:bookmarkStart w:id="21" w:name="_Toc35393796"/>
      <w:bookmarkStart w:id="22" w:name="_Toc28359085"/>
      <w:bookmarkStart w:id="23" w:name="_Toc35393627"/>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台州市财政局关于进一步加大政府采购支持中小企业力度助力扎实稳住经济的通知（台财采发[2022]3号）、</w:t>
      </w:r>
      <w:r>
        <w:rPr>
          <w:rFonts w:hint="eastAsia" w:ascii="宋体" w:hAnsi="宋体" w:eastAsia="宋体" w:cs="宋体"/>
          <w:color w:val="auto"/>
          <w:kern w:val="0"/>
          <w:sz w:val="24"/>
          <w:highlight w:val="none"/>
        </w:rPr>
        <w:t>《浙江省财政厅关于进一步促进政府采购公平竞争打造最优营商环境的通知》（浙财采监（2021）22号）已分别于2022年</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日和2022年2月1日开始实施，此前有关规定与上述文件内容不一致的，按上述文件要求执行。</w:t>
      </w:r>
    </w:p>
    <w:p>
      <w:pPr>
        <w:pStyle w:val="27"/>
        <w:spacing w:after="0" w:line="360" w:lineRule="auto"/>
        <w:ind w:left="0" w:leftChars="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7"/>
        <w:spacing w:after="0" w:line="360" w:lineRule="auto"/>
        <w:ind w:left="0" w:leftChars="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认为采购文件使自己的权益受到损害的，可以自获取采购文件之日或者采购文件公告期限届满之日起7个工作日内，以书面形式</w:t>
      </w:r>
      <w:r>
        <w:rPr>
          <w:rFonts w:hint="eastAsia" w:ascii="宋体" w:hAnsi="宋体" w:eastAsia="宋体" w:cs="宋体"/>
          <w:color w:val="auto"/>
          <w:kern w:val="0"/>
          <w:sz w:val="24"/>
          <w:highlight w:val="none"/>
          <w:lang w:val="en-US" w:eastAsia="zh-CN"/>
        </w:rPr>
        <w:t>一次性针对同一环节（包括采购过程、采购结果等）</w:t>
      </w:r>
      <w:r>
        <w:rPr>
          <w:rFonts w:hint="eastAsia" w:ascii="宋体" w:hAnsi="宋体" w:eastAsia="宋体" w:cs="宋体"/>
          <w:color w:val="auto"/>
          <w:kern w:val="0"/>
          <w:sz w:val="24"/>
          <w:highlight w:val="none"/>
        </w:rPr>
        <w:t>向采购人和采购代理机构提出质疑。质疑</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spacing w:after="0" w:line="360" w:lineRule="auto"/>
        <w:ind w:left="0" w:leftChars="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.其他事项：无</w:t>
      </w:r>
    </w:p>
    <w:p>
      <w:pPr>
        <w:pStyle w:val="25"/>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kern w:val="2"/>
          <w:sz w:val="24"/>
          <w:szCs w:val="24"/>
          <w:highlight w:val="none"/>
          <w:lang w:val="en-US" w:eastAsia="zh-CN" w:bidi="ar-SA"/>
        </w:rPr>
        <w:t>七、</w:t>
      </w:r>
      <w:bookmarkEnd w:id="20"/>
      <w:bookmarkEnd w:id="21"/>
      <w:bookmarkEnd w:id="22"/>
      <w:bookmarkEnd w:id="23"/>
      <w:r>
        <w:rPr>
          <w:rStyle w:val="33"/>
          <w:rFonts w:hint="eastAsia" w:ascii="宋体" w:hAnsi="宋体" w:eastAsia="宋体" w:cs="宋体"/>
          <w:color w:val="auto"/>
          <w:highlight w:val="none"/>
        </w:rPr>
        <w:t>对本次采购提出询问、质疑、投诉，请按以下方式联系</w:t>
      </w:r>
    </w:p>
    <w:p>
      <w:pPr>
        <w:pStyle w:val="25"/>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1.采购人信息</w:t>
      </w:r>
    </w:p>
    <w:p>
      <w:pPr>
        <w:pStyle w:val="25"/>
        <w:spacing w:before="0" w:beforeAutospacing="0" w:after="0" w:afterAutospacing="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    名    称：</w:t>
      </w:r>
      <w:r>
        <w:rPr>
          <w:rFonts w:hint="eastAsia" w:ascii="宋体" w:hAnsi="宋体" w:eastAsia="宋体" w:cs="宋体"/>
          <w:color w:val="auto"/>
          <w:highlight w:val="none"/>
          <w:lang w:eastAsia="zh-CN"/>
        </w:rPr>
        <w:t>台州市椒江区章安街道中心幼儿园</w:t>
      </w:r>
    </w:p>
    <w:p>
      <w:pPr>
        <w:pStyle w:val="25"/>
        <w:spacing w:before="0" w:beforeAutospacing="0" w:after="0" w:afterAutospacing="0" w:line="360" w:lineRule="auto"/>
        <w:ind w:firstLine="72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台州市椒江区章安街道华景村章古路102号</w:t>
      </w:r>
    </w:p>
    <w:p>
      <w:pPr>
        <w:pStyle w:val="25"/>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项目联系人（询问</w:t>
      </w:r>
      <w:r>
        <w:rPr>
          <w:rFonts w:hint="eastAsia" w:ascii="宋体" w:hAnsi="宋体" w:eastAsia="宋体" w:cs="宋体"/>
          <w:color w:val="auto"/>
          <w:highlight w:val="none"/>
          <w:lang w:val="en-US" w:eastAsia="zh-CN"/>
        </w:rPr>
        <w:t>等事宜</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金老师</w:t>
      </w:r>
      <w:r>
        <w:rPr>
          <w:rFonts w:hint="eastAsia" w:ascii="宋体" w:hAnsi="宋体" w:eastAsia="宋体" w:cs="宋体"/>
          <w:color w:val="auto"/>
          <w:highlight w:val="none"/>
        </w:rPr>
        <w:t> </w:t>
      </w:r>
    </w:p>
    <w:p>
      <w:pPr>
        <w:pStyle w:val="25"/>
        <w:spacing w:before="0" w:beforeAutospacing="0" w:after="0" w:afterAutospacing="0" w:line="360" w:lineRule="auto"/>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项目联系方式（询问</w:t>
      </w:r>
      <w:r>
        <w:rPr>
          <w:rFonts w:hint="eastAsia" w:ascii="宋体" w:hAnsi="宋体" w:eastAsia="宋体" w:cs="宋体"/>
          <w:color w:val="auto"/>
          <w:highlight w:val="none"/>
          <w:lang w:val="en-US" w:eastAsia="zh-CN"/>
        </w:rPr>
        <w:t>等事宜</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0576-89069391</w:t>
      </w:r>
    </w:p>
    <w:p>
      <w:pPr>
        <w:pStyle w:val="25"/>
        <w:spacing w:before="0" w:beforeAutospacing="0" w:after="0" w:afterAutospacing="0" w:line="360" w:lineRule="auto"/>
        <w:ind w:firstLine="720" w:firstLineChars="300"/>
        <w:rPr>
          <w:rFonts w:hint="eastAsia" w:ascii="宋体" w:hAnsi="宋体" w:eastAsia="宋体" w:cs="宋体"/>
          <w:color w:val="auto"/>
          <w:highlight w:val="none"/>
          <w:lang w:eastAsia="zh-CN"/>
        </w:rPr>
      </w:pPr>
      <w:r>
        <w:rPr>
          <w:rFonts w:hint="eastAsia" w:ascii="宋体" w:hAnsi="宋体" w:eastAsia="宋体" w:cs="宋体"/>
          <w:color w:val="auto"/>
          <w:highlight w:val="none"/>
        </w:rPr>
        <w:t>质疑联系人：</w:t>
      </w:r>
      <w:r>
        <w:rPr>
          <w:rFonts w:hint="eastAsia" w:ascii="宋体" w:hAnsi="宋体" w:eastAsia="宋体" w:cs="宋体"/>
          <w:color w:val="auto"/>
          <w:highlight w:val="none"/>
          <w:lang w:val="en-US" w:eastAsia="zh-CN"/>
        </w:rPr>
        <w:t xml:space="preserve">倪老师 </w:t>
      </w:r>
    </w:p>
    <w:p>
      <w:pPr>
        <w:pStyle w:val="25"/>
        <w:spacing w:before="0" w:beforeAutospacing="0" w:after="0" w:afterAutospacing="0" w:line="360" w:lineRule="auto"/>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质疑联系方式：</w:t>
      </w:r>
      <w:r>
        <w:rPr>
          <w:rFonts w:hint="eastAsia" w:ascii="宋体" w:hAnsi="宋体" w:eastAsia="宋体" w:cs="宋体"/>
          <w:color w:val="auto"/>
          <w:highlight w:val="none"/>
          <w:lang w:val="en-US" w:eastAsia="zh-CN"/>
        </w:rPr>
        <w:t>0576-89069391</w:t>
      </w:r>
    </w:p>
    <w:p>
      <w:pPr>
        <w:pStyle w:val="25"/>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2.采购代理机构信息            </w:t>
      </w:r>
    </w:p>
    <w:p>
      <w:pPr>
        <w:pStyle w:val="25"/>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名   称：浙江双联工程咨询有限公司             </w:t>
      </w:r>
    </w:p>
    <w:p>
      <w:pPr>
        <w:pStyle w:val="2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lang w:val="en-US" w:eastAsia="zh-CN"/>
        </w:rPr>
        <w:t>   地  址：台州市台州湾新区经中路398号明远大厦3幢3楼   </w:t>
      </w:r>
      <w:r>
        <w:rPr>
          <w:rFonts w:hint="eastAsia" w:ascii="宋体" w:hAnsi="宋体" w:eastAsia="宋体" w:cs="宋体"/>
          <w:color w:val="auto"/>
          <w:kern w:val="0"/>
          <w:sz w:val="24"/>
          <w:szCs w:val="24"/>
          <w:highlight w:val="none"/>
          <w:lang w:val="en-US" w:eastAsia="zh-CN" w:bidi="ar-SA"/>
        </w:rPr>
        <w:t xml:space="preserve">      </w:t>
      </w:r>
    </w:p>
    <w:p>
      <w:pPr>
        <w:pStyle w:val="25"/>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val="en-US" w:eastAsia="zh-CN"/>
        </w:rPr>
        <w:t>传    真：0576-81818018</w:t>
      </w:r>
      <w:r>
        <w:rPr>
          <w:rFonts w:hint="eastAsia" w:ascii="宋体" w:hAnsi="宋体" w:eastAsia="宋体" w:cs="宋体"/>
          <w:color w:val="auto"/>
          <w:highlight w:val="none"/>
        </w:rPr>
        <w:t xml:space="preserve">      </w:t>
      </w:r>
    </w:p>
    <w:p>
      <w:pPr>
        <w:pStyle w:val="25"/>
        <w:spacing w:before="0" w:beforeAutospacing="0" w:after="0" w:afterAutospacing="0" w:line="360" w:lineRule="auto"/>
        <w:ind w:firstLine="600"/>
        <w:rPr>
          <w:rFonts w:hint="eastAsia" w:ascii="宋体" w:hAnsi="宋体" w:eastAsia="宋体" w:cs="宋体"/>
          <w:color w:val="auto"/>
          <w:highlight w:val="none"/>
        </w:rPr>
      </w:pPr>
      <w:r>
        <w:rPr>
          <w:rFonts w:hint="eastAsia" w:ascii="宋体" w:hAnsi="宋体" w:eastAsia="宋体" w:cs="宋体"/>
          <w:color w:val="auto"/>
          <w:highlight w:val="none"/>
        </w:rPr>
        <w:t>项目联系人（询问</w:t>
      </w:r>
      <w:r>
        <w:rPr>
          <w:rFonts w:hint="eastAsia" w:ascii="宋体" w:hAnsi="宋体" w:eastAsia="宋体" w:cs="宋体"/>
          <w:color w:val="auto"/>
          <w:highlight w:val="none"/>
          <w:lang w:val="en-US" w:eastAsia="zh-CN"/>
        </w:rPr>
        <w:t>等事宜</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郑建平</w:t>
      </w:r>
      <w:r>
        <w:rPr>
          <w:rFonts w:hint="eastAsia" w:ascii="宋体" w:hAnsi="宋体" w:eastAsia="宋体" w:cs="宋体"/>
          <w:color w:val="auto"/>
          <w:highlight w:val="none"/>
        </w:rPr>
        <w:t>               </w:t>
      </w:r>
    </w:p>
    <w:p>
      <w:pPr>
        <w:pStyle w:val="25"/>
        <w:spacing w:before="0" w:beforeAutospacing="0" w:after="0" w:afterAutospacing="0" w:line="360" w:lineRule="auto"/>
        <w:ind w:firstLine="600" w:firstLineChars="0"/>
        <w:rPr>
          <w:rFonts w:hint="eastAsia" w:ascii="宋体" w:hAnsi="宋体" w:eastAsia="宋体" w:cs="宋体"/>
          <w:color w:val="auto"/>
          <w:highlight w:val="none"/>
        </w:rPr>
      </w:pPr>
      <w:r>
        <w:rPr>
          <w:rFonts w:hint="eastAsia" w:ascii="宋体" w:hAnsi="宋体" w:eastAsia="宋体" w:cs="宋体"/>
          <w:color w:val="auto"/>
          <w:highlight w:val="none"/>
        </w:rPr>
        <w:t>项目联系方式（询问</w:t>
      </w:r>
      <w:r>
        <w:rPr>
          <w:rFonts w:hint="eastAsia" w:ascii="宋体" w:hAnsi="宋体" w:eastAsia="宋体" w:cs="宋体"/>
          <w:color w:val="auto"/>
          <w:highlight w:val="none"/>
          <w:lang w:val="en-US" w:eastAsia="zh-CN"/>
        </w:rPr>
        <w:t>等事宜</w:t>
      </w:r>
      <w:r>
        <w:rPr>
          <w:rFonts w:hint="eastAsia" w:ascii="宋体" w:hAnsi="宋体" w:eastAsia="宋体" w:cs="宋体"/>
          <w:color w:val="auto"/>
          <w:highlight w:val="none"/>
        </w:rPr>
        <w:t>）：0576-81818017</w:t>
      </w:r>
    </w:p>
    <w:p>
      <w:pPr>
        <w:pStyle w:val="25"/>
        <w:spacing w:before="0" w:beforeAutospacing="0" w:after="0" w:afterAutospacing="0" w:line="360" w:lineRule="auto"/>
        <w:ind w:firstLine="600"/>
        <w:rPr>
          <w:rFonts w:hint="eastAsia" w:ascii="宋体" w:hAnsi="宋体" w:eastAsia="宋体" w:cs="宋体"/>
          <w:color w:val="auto"/>
          <w:highlight w:val="none"/>
        </w:rPr>
      </w:pPr>
      <w:r>
        <w:rPr>
          <w:rFonts w:hint="eastAsia" w:ascii="宋体" w:hAnsi="宋体" w:eastAsia="宋体" w:cs="宋体"/>
          <w:color w:val="auto"/>
          <w:highlight w:val="none"/>
        </w:rPr>
        <w:t>质疑联系人：</w:t>
      </w:r>
      <w:r>
        <w:rPr>
          <w:rFonts w:hint="eastAsia" w:ascii="宋体" w:hAnsi="宋体" w:eastAsia="宋体" w:cs="宋体"/>
          <w:color w:val="auto"/>
          <w:highlight w:val="none"/>
          <w:lang w:val="en-US" w:eastAsia="zh-CN"/>
        </w:rPr>
        <w:t>赵先波</w:t>
      </w:r>
      <w:r>
        <w:rPr>
          <w:rFonts w:hint="eastAsia" w:ascii="宋体" w:hAnsi="宋体" w:eastAsia="宋体" w:cs="宋体"/>
          <w:color w:val="auto"/>
          <w:highlight w:val="none"/>
        </w:rPr>
        <w:t>            </w:t>
      </w:r>
    </w:p>
    <w:p>
      <w:pPr>
        <w:pStyle w:val="25"/>
        <w:spacing w:before="0" w:beforeAutospacing="0" w:after="0" w:afterAutospacing="0" w:line="360" w:lineRule="auto"/>
        <w:ind w:firstLine="600" w:firstLineChars="0"/>
        <w:rPr>
          <w:rFonts w:hint="eastAsia" w:ascii="宋体" w:hAnsi="宋体" w:eastAsia="宋体" w:cs="宋体"/>
          <w:color w:val="auto"/>
          <w:highlight w:val="none"/>
        </w:rPr>
      </w:pPr>
      <w:r>
        <w:rPr>
          <w:rFonts w:hint="eastAsia" w:ascii="宋体" w:hAnsi="宋体" w:eastAsia="宋体" w:cs="宋体"/>
          <w:color w:val="auto"/>
          <w:highlight w:val="none"/>
        </w:rPr>
        <w:t>质疑联系方式：0576-8181801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w:t>
      </w:r>
    </w:p>
    <w:p>
      <w:pPr>
        <w:pStyle w:val="25"/>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3.同级政府采购监督管理部门            </w:t>
      </w:r>
    </w:p>
    <w:p>
      <w:pPr>
        <w:pStyle w:val="25"/>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名  称：台州市椒江区财政局政府采购监管科             </w:t>
      </w:r>
    </w:p>
    <w:p>
      <w:pPr>
        <w:pStyle w:val="25"/>
        <w:spacing w:before="0" w:beforeAutospacing="0" w:after="0" w:afterAutospacing="0"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址：台州市椒江区财政局</w:t>
      </w:r>
    </w:p>
    <w:p>
      <w:pPr>
        <w:pStyle w:val="25"/>
        <w:spacing w:before="0" w:beforeAutospacing="0" w:after="0" w:afterAutospacing="0"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 ：</w:t>
      </w:r>
      <w:r>
        <w:rPr>
          <w:rFonts w:hint="eastAsia" w:ascii="宋体" w:hAnsi="宋体" w:eastAsia="宋体" w:cs="宋体"/>
          <w:color w:val="auto"/>
          <w:highlight w:val="none"/>
          <w:lang w:val="en-US" w:eastAsia="zh-CN"/>
        </w:rPr>
        <w:t>李</w:t>
      </w:r>
      <w:r>
        <w:rPr>
          <w:rFonts w:hint="eastAsia" w:ascii="宋体" w:hAnsi="宋体" w:eastAsia="宋体" w:cs="宋体"/>
          <w:color w:val="auto"/>
          <w:highlight w:val="none"/>
        </w:rPr>
        <w:t>女士      </w:t>
      </w:r>
    </w:p>
    <w:p>
      <w:pPr>
        <w:pStyle w:val="25"/>
        <w:spacing w:before="0" w:beforeAutospacing="0" w:after="0" w:afterAutospacing="0" w:line="360" w:lineRule="auto"/>
        <w:ind w:firstLine="720" w:firstLineChars="3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监督投诉电话：</w:t>
      </w:r>
      <w:r>
        <w:rPr>
          <w:rFonts w:hint="eastAsia" w:ascii="宋体" w:hAnsi="宋体" w:eastAsia="宋体" w:cs="宋体"/>
          <w:color w:val="auto"/>
          <w:highlight w:val="none"/>
          <w:u w:val="single"/>
        </w:rPr>
        <w:t>0576-</w:t>
      </w:r>
      <w:r>
        <w:rPr>
          <w:rFonts w:hint="eastAsia" w:ascii="宋体" w:hAnsi="宋体" w:eastAsia="宋体" w:cs="宋体"/>
          <w:color w:val="auto"/>
          <w:highlight w:val="none"/>
          <w:u w:val="single"/>
          <w:lang w:val="en-US" w:eastAsia="zh-CN"/>
        </w:rPr>
        <w:t>88553889</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（四）政采云平台</w:t>
      </w:r>
    </w:p>
    <w:p>
      <w:pP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eastAsia="zh-CN"/>
        </w:rPr>
        <w:t>95763</w:t>
      </w:r>
      <w:r>
        <w:rPr>
          <w:rFonts w:hint="eastAsia" w:ascii="宋体" w:hAnsi="宋体" w:eastAsia="宋体" w:cs="宋体"/>
          <w:color w:val="auto"/>
          <w:sz w:val="24"/>
          <w:highlight w:val="none"/>
          <w:u w:val="single"/>
        </w:rPr>
        <w:t xml:space="preserve">    </w:t>
      </w:r>
    </w:p>
    <w:p>
      <w:pPr>
        <w:pStyle w:val="25"/>
        <w:spacing w:line="360" w:lineRule="auto"/>
        <w:ind w:firstLine="422"/>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其余事项</w:t>
      </w:r>
    </w:p>
    <w:p>
      <w:pPr>
        <w:widowControl/>
        <w:spacing w:before="100" w:beforeAutospacing="1" w:after="100" w:afterAutospacing="1"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 w:val="24"/>
          <w:highlight w:val="none"/>
        </w:rPr>
        <w:t xml:space="preserve">   中标人可根据项目情况及自身需求向以下银行申请企业贷款，利率从优。 </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贷款年利率</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中国工商银行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王霖</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中国农业银行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龚盛</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中国建设银行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梅晶晶</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88525339</w:t>
            </w:r>
          </w:p>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任茜</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浦发银行台州分行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王渊</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浦发银行椒江分行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孙瑞华</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交通银行台州分行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周翔宇</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招商银行台州分行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王海玲</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浙商银行台州分行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章涉漪</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81880185</w:t>
            </w:r>
          </w:p>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中信银行台州分行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陈金园</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华夏银行台州分行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邱明达</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81871518</w:t>
            </w:r>
          </w:p>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泰隆银行开发区支行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5.6%起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梁宛莉</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民泰银行椒江支行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5.8%起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陈慧珠</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绍兴银行台州分行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郭庭斌</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温州银行台州分行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王晓波</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平安银行台州分行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6.53%起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李俊丽</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宁波银行台州分行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戴莉丽</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金华银行台州分行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金雪婷</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81886670</w:t>
            </w:r>
          </w:p>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台州银行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5.6%起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洪婷</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邮储银行台州分行</w:t>
            </w:r>
          </w:p>
        </w:tc>
        <w:tc>
          <w:tcPr>
            <w:tcW w:w="13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3.85%起</w:t>
            </w:r>
          </w:p>
        </w:tc>
        <w:tc>
          <w:tcPr>
            <w:tcW w:w="1688"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董庆</w:t>
            </w:r>
          </w:p>
        </w:tc>
        <w:tc>
          <w:tcPr>
            <w:tcW w:w="2131" w:type="dxa"/>
            <w:noWrap w:val="0"/>
            <w:vAlign w:val="center"/>
          </w:tcPr>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81888982</w:t>
            </w:r>
          </w:p>
          <w:p>
            <w:pPr>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18957683735</w:t>
            </w:r>
          </w:p>
        </w:tc>
      </w:tr>
    </w:tbl>
    <w:p>
      <w:pPr>
        <w:pStyle w:val="27"/>
        <w:spacing w:line="360" w:lineRule="auto"/>
        <w:ind w:firstLine="600"/>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t>　</w:t>
      </w:r>
    </w:p>
    <w:p>
      <w:pPr>
        <w:spacing w:line="360" w:lineRule="auto"/>
        <w:ind w:firstLine="0" w:firstLineChars="0"/>
        <w:jc w:val="center"/>
        <w:rPr>
          <w:rFonts w:hint="eastAsia" w:ascii="宋体" w:hAnsi="宋体" w:eastAsia="宋体" w:cs="宋体"/>
          <w:color w:val="auto"/>
          <w:sz w:val="24"/>
          <w:highlight w:val="none"/>
        </w:rPr>
      </w:pPr>
    </w:p>
    <w:p>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合同履约保函联系方式</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1701"/>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6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保险公司名称</w:t>
            </w:r>
          </w:p>
        </w:tc>
        <w:tc>
          <w:tcPr>
            <w:tcW w:w="170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保费率</w:t>
            </w:r>
          </w:p>
        </w:tc>
        <w:tc>
          <w:tcPr>
            <w:tcW w:w="99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46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中国人寿财产保险股份有限公司台州中心支公司</w:t>
            </w:r>
          </w:p>
        </w:tc>
        <w:tc>
          <w:tcPr>
            <w:tcW w:w="170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年费率1%，最低保费500元</w:t>
            </w:r>
          </w:p>
        </w:tc>
        <w:tc>
          <w:tcPr>
            <w:tcW w:w="99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徐凌</w:t>
            </w:r>
          </w:p>
        </w:tc>
        <w:tc>
          <w:tcPr>
            <w:tcW w:w="146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永诚财产保险股份有限公司台州分公司</w:t>
            </w:r>
          </w:p>
        </w:tc>
        <w:tc>
          <w:tcPr>
            <w:tcW w:w="170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年费率1%，最低保费1000元</w:t>
            </w:r>
          </w:p>
        </w:tc>
        <w:tc>
          <w:tcPr>
            <w:tcW w:w="99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尹刚强</w:t>
            </w:r>
          </w:p>
        </w:tc>
        <w:tc>
          <w:tcPr>
            <w:tcW w:w="146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华泰财产保险有限公司台州中心支公司</w:t>
            </w:r>
          </w:p>
        </w:tc>
        <w:tc>
          <w:tcPr>
            <w:tcW w:w="170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年费率0.5%，最低保费1000元</w:t>
            </w:r>
          </w:p>
        </w:tc>
        <w:tc>
          <w:tcPr>
            <w:tcW w:w="99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王灵芳</w:t>
            </w:r>
          </w:p>
        </w:tc>
        <w:tc>
          <w:tcPr>
            <w:tcW w:w="146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中国大地财产保险股份有限公司台州中心支公司</w:t>
            </w:r>
          </w:p>
        </w:tc>
        <w:tc>
          <w:tcPr>
            <w:tcW w:w="170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年费率1.5%，最低保费1000元</w:t>
            </w:r>
          </w:p>
        </w:tc>
        <w:tc>
          <w:tcPr>
            <w:tcW w:w="99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徐小明</w:t>
            </w:r>
          </w:p>
        </w:tc>
        <w:tc>
          <w:tcPr>
            <w:tcW w:w="146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阳光保险台州中心支公司</w:t>
            </w:r>
          </w:p>
        </w:tc>
        <w:tc>
          <w:tcPr>
            <w:tcW w:w="170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年费率1%，最低保费500元</w:t>
            </w:r>
          </w:p>
        </w:tc>
        <w:tc>
          <w:tcPr>
            <w:tcW w:w="99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林高明</w:t>
            </w:r>
          </w:p>
        </w:tc>
        <w:tc>
          <w:tcPr>
            <w:tcW w:w="146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中华联合财产保险股份有限公司台州中心支公司</w:t>
            </w:r>
          </w:p>
        </w:tc>
        <w:tc>
          <w:tcPr>
            <w:tcW w:w="170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年费率2%，最低保费500元</w:t>
            </w:r>
          </w:p>
        </w:tc>
        <w:tc>
          <w:tcPr>
            <w:tcW w:w="99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王仙高</w:t>
            </w:r>
          </w:p>
        </w:tc>
        <w:tc>
          <w:tcPr>
            <w:tcW w:w="146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中国人民财产保险股份有限公司台州中心支公司</w:t>
            </w:r>
          </w:p>
        </w:tc>
        <w:tc>
          <w:tcPr>
            <w:tcW w:w="1701"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年费率0.3%，最低保费1000元</w:t>
            </w:r>
          </w:p>
        </w:tc>
        <w:tc>
          <w:tcPr>
            <w:tcW w:w="99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王仙春</w:t>
            </w:r>
          </w:p>
        </w:tc>
        <w:tc>
          <w:tcPr>
            <w:tcW w:w="146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永安财产保险股份有限公司台州中心支公司</w:t>
            </w:r>
          </w:p>
        </w:tc>
        <w:tc>
          <w:tcPr>
            <w:tcW w:w="1701" w:type="dxa"/>
            <w:noWrap w:val="0"/>
            <w:vAlign w:val="top"/>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年费率0.3%，最低保费1000</w:t>
            </w:r>
          </w:p>
        </w:tc>
        <w:tc>
          <w:tcPr>
            <w:tcW w:w="992" w:type="dxa"/>
            <w:noWrap w:val="0"/>
            <w:vAlign w:val="top"/>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王春宇</w:t>
            </w:r>
          </w:p>
        </w:tc>
        <w:tc>
          <w:tcPr>
            <w:tcW w:w="1468" w:type="dxa"/>
            <w:noWrap w:val="0"/>
            <w:vAlign w:val="top"/>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13676675331</w:t>
            </w:r>
          </w:p>
        </w:tc>
      </w:tr>
    </w:tbl>
    <w:p>
      <w:pPr>
        <w:spacing w:line="360" w:lineRule="auto"/>
        <w:ind w:firstLine="0" w:firstLineChars="0"/>
        <w:jc w:val="center"/>
        <w:rPr>
          <w:rFonts w:hint="eastAsia" w:ascii="宋体" w:hAnsi="宋体" w:eastAsia="宋体" w:cs="宋体"/>
          <w:color w:val="auto"/>
          <w:sz w:val="24"/>
          <w:highlight w:val="none"/>
        </w:rPr>
      </w:pPr>
    </w:p>
    <w:p>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预付款保函联系方式</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1701"/>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361"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保险公司名称</w:t>
            </w:r>
          </w:p>
        </w:tc>
        <w:tc>
          <w:tcPr>
            <w:tcW w:w="1701"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保费率</w:t>
            </w:r>
          </w:p>
        </w:tc>
        <w:tc>
          <w:tcPr>
            <w:tcW w:w="992"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p>
        </w:tc>
        <w:tc>
          <w:tcPr>
            <w:tcW w:w="146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中国人寿财产保险股份有限公司台州中心支公司</w:t>
            </w:r>
          </w:p>
        </w:tc>
        <w:tc>
          <w:tcPr>
            <w:tcW w:w="1701"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年费率3%，最低保费500元</w:t>
            </w:r>
          </w:p>
        </w:tc>
        <w:tc>
          <w:tcPr>
            <w:tcW w:w="992"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徐凌</w:t>
            </w:r>
          </w:p>
        </w:tc>
        <w:tc>
          <w:tcPr>
            <w:tcW w:w="1468"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阳光保险台州中心支公司</w:t>
            </w:r>
          </w:p>
        </w:tc>
        <w:tc>
          <w:tcPr>
            <w:tcW w:w="1701"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年费率1%，最低保费500元</w:t>
            </w:r>
          </w:p>
        </w:tc>
        <w:tc>
          <w:tcPr>
            <w:tcW w:w="992"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林高明</w:t>
            </w:r>
          </w:p>
        </w:tc>
        <w:tc>
          <w:tcPr>
            <w:tcW w:w="1468"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天安财产保险股份有限公司台州中心支公司</w:t>
            </w:r>
          </w:p>
        </w:tc>
        <w:tc>
          <w:tcPr>
            <w:tcW w:w="1701"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年费率1%-2%，最低保费500元</w:t>
            </w:r>
          </w:p>
        </w:tc>
        <w:tc>
          <w:tcPr>
            <w:tcW w:w="992"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罗赛</w:t>
            </w:r>
          </w:p>
        </w:tc>
        <w:tc>
          <w:tcPr>
            <w:tcW w:w="1468" w:type="dxa"/>
            <w:noWrap w:val="0"/>
            <w:vAlign w:val="top"/>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13736605643</w:t>
            </w:r>
          </w:p>
        </w:tc>
      </w:tr>
    </w:tbl>
    <w:p>
      <w:pPr>
        <w:spacing w:line="360" w:lineRule="auto"/>
        <w:ind w:firstLine="0" w:firstLineChars="0"/>
        <w:jc w:val="center"/>
        <w:rPr>
          <w:rFonts w:hint="eastAsia" w:ascii="宋体" w:hAnsi="宋体" w:eastAsia="宋体" w:cs="宋体"/>
          <w:color w:val="auto"/>
          <w:sz w:val="24"/>
          <w:highlight w:val="none"/>
          <w:lang w:val="en-US" w:eastAsia="zh-CN"/>
        </w:rPr>
      </w:pPr>
    </w:p>
    <w:p>
      <w:pPr>
        <w:spacing w:line="360" w:lineRule="auto"/>
        <w:ind w:firstLine="0" w:firstLineChars="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浙江双联工程咨询有限公司</w:t>
      </w:r>
    </w:p>
    <w:p>
      <w:pPr>
        <w:spacing w:line="360" w:lineRule="auto"/>
        <w:ind w:firstLine="0" w:firstLineChars="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2024年6月</w:t>
      </w:r>
    </w:p>
    <w:p>
      <w:pPr>
        <w:numPr>
          <w:ilvl w:val="0"/>
          <w:numId w:val="4"/>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24" w:name="_Toc13694"/>
      <w:r>
        <w:rPr>
          <w:rFonts w:hint="eastAsia" w:ascii="宋体" w:hAnsi="宋体" w:eastAsia="宋体" w:cs="宋体"/>
          <w:b/>
          <w:color w:val="auto"/>
          <w:kern w:val="0"/>
          <w:sz w:val="36"/>
          <w:szCs w:val="36"/>
          <w:highlight w:val="none"/>
          <w:lang w:val="en-US" w:eastAsia="zh-CN"/>
        </w:rPr>
        <w:t>磋商</w:t>
      </w:r>
      <w:r>
        <w:rPr>
          <w:rFonts w:hint="eastAsia" w:ascii="宋体" w:hAnsi="宋体" w:eastAsia="宋体" w:cs="宋体"/>
          <w:b/>
          <w:color w:val="auto"/>
          <w:kern w:val="0"/>
          <w:sz w:val="36"/>
          <w:szCs w:val="36"/>
          <w:highlight w:val="none"/>
        </w:rPr>
        <w:t>须知</w:t>
      </w:r>
      <w:bookmarkEnd w:id="24"/>
    </w:p>
    <w:p>
      <w:pPr>
        <w:numPr>
          <w:ilvl w:val="0"/>
          <w:numId w:val="0"/>
        </w:num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2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特定资格要求</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符合磋商公告资格要求的</w:t>
            </w:r>
            <w:r>
              <w:rPr>
                <w:rFonts w:hint="eastAsia" w:ascii="宋体" w:hAnsi="宋体" w:eastAsia="宋体" w:cs="宋体"/>
                <w:color w:val="auto"/>
                <w:sz w:val="21"/>
                <w:szCs w:val="21"/>
                <w:highlight w:val="none"/>
                <w:lang w:eastAsia="zh-CN"/>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磋商响应文件的编制</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应先安装“政采云电子交易客户端”，并按照本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文件的签章</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电子投标要求</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文件和电子交易平台的要求编制、加密并提交投标文件。▲未按规定加密的投标文件，将被拒收。</w:t>
            </w:r>
          </w:p>
          <w:p>
            <w:pPr>
              <w:spacing w:line="360" w:lineRule="auto"/>
              <w:rPr>
                <w:rFonts w:hint="eastAsia" w:ascii="宋体" w:hAnsi="宋体" w:eastAsia="宋体" w:cs="宋体"/>
                <w:b/>
                <w:bCs/>
                <w:color w:val="auto"/>
                <w:sz w:val="21"/>
                <w:szCs w:val="21"/>
                <w:highlight w:val="none"/>
                <w:shd w:val="clear" w:color="auto" w:fill="000000"/>
              </w:rPr>
            </w:pP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shd w:val="clear" w:color="auto" w:fill="FFFFFF"/>
              </w:rPr>
              <w:t>北京时间</w:t>
            </w:r>
            <w:r>
              <w:rPr>
                <w:rFonts w:hint="eastAsia" w:ascii="宋体" w:hAnsi="宋体" w:cs="宋体"/>
                <w:b/>
                <w:bCs/>
                <w:color w:val="auto"/>
                <w:sz w:val="21"/>
                <w:szCs w:val="21"/>
                <w:highlight w:val="none"/>
                <w:shd w:val="clear" w:color="auto" w:fill="FFFFFF"/>
                <w:lang w:eastAsia="zh-CN"/>
              </w:rPr>
              <w:t>2024</w:t>
            </w:r>
            <w:bookmarkStart w:id="654" w:name="_GoBack"/>
            <w:bookmarkEnd w:id="654"/>
            <w:r>
              <w:rPr>
                <w:rFonts w:hint="eastAsia" w:ascii="宋体" w:hAnsi="宋体" w:cs="宋体"/>
                <w:b/>
                <w:bCs/>
                <w:color w:val="auto"/>
                <w:sz w:val="21"/>
                <w:szCs w:val="21"/>
                <w:highlight w:val="none"/>
                <w:shd w:val="clear" w:color="auto" w:fill="FFFFFF"/>
                <w:lang w:eastAsia="zh-CN"/>
              </w:rPr>
              <w:t>年06月24日09:00分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在投标截止时间前完成投标文件的传输递交，投标截止时间前可以补充、修改或者撤回电子投标文件。补充或者修改电子投标文件的，应当先行撤回原文件，补充、修改后重新传输递交。▲投标截止时间前未完成传输的，视为撤回投标文件。逾期上传的投标文件恕不接受。</w:t>
            </w:r>
          </w:p>
          <w:p>
            <w:pPr>
              <w:pStyle w:val="25"/>
              <w:tabs>
                <w:tab w:val="left" w:pos="6930"/>
              </w:tabs>
              <w:snapToGrid w:val="0"/>
              <w:spacing w:before="0" w:beforeAutospacing="0" w:after="0" w:afterAutospacing="0" w:line="360" w:lineRule="auto"/>
              <w:ind w:firstLine="42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温馨提醒：</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备份电子投标文件</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pStyle w:val="6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可以</w:t>
            </w:r>
            <w:r>
              <w:rPr>
                <w:rFonts w:hint="eastAsia" w:ascii="宋体" w:hAnsi="宋体" w:eastAsia="宋体" w:cs="宋体"/>
                <w:color w:val="auto"/>
                <w:sz w:val="21"/>
                <w:szCs w:val="21"/>
                <w:highlight w:val="none"/>
              </w:rPr>
              <w:t>在投标截止时间前将备份电子投标文件以介质（U盘）存储形式按要求密封邮寄到指定地点或以电子邮件的方式发送至项目负责人邮箱2058893351@qq.com，以收到时间为准，逾期或不符合规定的投标文件恕不接受（</w:t>
            </w:r>
            <w:r>
              <w:rPr>
                <w:rFonts w:hint="eastAsia" w:ascii="宋体" w:hAnsi="宋体" w:eastAsia="宋体" w:cs="宋体"/>
                <w:color w:val="auto"/>
                <w:sz w:val="21"/>
                <w:szCs w:val="21"/>
                <w:highlight w:val="none"/>
                <w:lang w:eastAsia="zh-Hans"/>
              </w:rPr>
              <w:t>寄送备份文件非强制性，因无备份文件造成投标人无法开标的责任由投标人自行承担）</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采用邮寄形式的，在投标截止时间之前邮寄（送达）至以下地点，以签收时间为准，逾期或不符合规定的投标文件恕不接受。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 件 人：徐君</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联系电话：0576-81818017</w:t>
            </w:r>
          </w:p>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址：台州市台州湾新区经中路398号明远大厦3幢3楼。</w:t>
            </w:r>
          </w:p>
          <w:p>
            <w:pPr>
              <w:pStyle w:val="64"/>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备份电子投标文件：通过“政采云”平台电子投标工具制作电子投标文件产生的备份文件（后缀名为“.bfbs”），投标人自行确定是否提交；若提交请将备份投标文件以</w:t>
            </w:r>
            <w:r>
              <w:rPr>
                <w:rFonts w:hint="eastAsia" w:ascii="宋体" w:hAnsi="宋体" w:eastAsia="宋体" w:cs="宋体"/>
                <w:color w:val="auto"/>
                <w:sz w:val="21"/>
                <w:szCs w:val="21"/>
                <w:highlight w:val="none"/>
                <w:lang w:eastAsia="zh-CN"/>
              </w:rPr>
              <w:t>U盘</w:t>
            </w:r>
            <w:r>
              <w:rPr>
                <w:rFonts w:hint="eastAsia" w:ascii="宋体" w:hAnsi="宋体" w:eastAsia="宋体" w:cs="宋体"/>
                <w:color w:val="auto"/>
                <w:sz w:val="21"/>
                <w:szCs w:val="21"/>
                <w:highlight w:val="none"/>
              </w:rPr>
              <w:t>或电子邮件（发送至2058893351@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开标时间后30分钟内）递交，▲未在规定时间内发送造成的投标无效或失败由投标人自行承担。提交备份电子投标文件时，应写明投标人名称和所投项目名称。</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提示：</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1.投标文件已按时解密的，备份投标文件自动失效。</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2.投标文件未按时解密，投标人提供了备份投标文件的，以备份投标文件作为依据，否则视为投标文件撤回。</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3.投标文件未按时解密，又未提供备份投标文件的，视为放弃投标。</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4.投标人仅提交备份投标文件的，投标无效。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样品递交要求</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本项目无需提供样品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电子加密投标文件的解密和异常情况处理</w:t>
            </w:r>
          </w:p>
          <w:p>
            <w:pPr>
              <w:keepNext/>
              <w:keepLines/>
              <w:spacing w:before="260" w:after="260" w:line="360" w:lineRule="auto"/>
              <w:ind w:firstLine="420" w:firstLineChars="200"/>
              <w:jc w:val="center"/>
              <w:outlineLvl w:val="2"/>
              <w:rPr>
                <w:rFonts w:hint="eastAsia" w:ascii="宋体" w:hAnsi="宋体" w:eastAsia="宋体" w:cs="宋体"/>
                <w:color w:val="auto"/>
                <w:sz w:val="21"/>
                <w:szCs w:val="21"/>
                <w:highlight w:val="none"/>
              </w:rPr>
            </w:pP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（1）开标后，采购组织机构将向各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发出“电子加密投标文件”的解密通知，各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代表应当在接到解密通知后30分钟内自行完成“电子加密投标文件”的在线解密。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▲（2）通过“政府采购云平台”成功上传递交的“电子加密投标文件”无法按时解密，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▲（3）投标截止时间前，</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仅递交了“备份投标文件”而未将电子加密投标文件上传至“政府采购云平台”的，投标无效。</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在使用系统进行投标的过程中遇到涉及平台使用的任何问题，可致电政采云平台技术支持热线咨询，联系方式：</w:t>
            </w:r>
            <w:r>
              <w:rPr>
                <w:rFonts w:hint="eastAsia" w:ascii="宋体" w:hAnsi="宋体" w:eastAsia="宋体" w:cs="宋体"/>
                <w:b/>
                <w:bCs/>
                <w:color w:val="auto"/>
                <w:sz w:val="21"/>
                <w:szCs w:val="21"/>
                <w:highlight w:val="none"/>
                <w:lang w:eastAsia="zh-CN"/>
              </w:rPr>
              <w:t>95763</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磋商响应文件</w:t>
            </w:r>
            <w:r>
              <w:rPr>
                <w:rFonts w:hint="eastAsia" w:ascii="宋体" w:hAnsi="宋体" w:eastAsia="宋体" w:cs="宋体"/>
                <w:color w:val="auto"/>
                <w:sz w:val="21"/>
                <w:szCs w:val="21"/>
                <w:highlight w:val="none"/>
              </w:rPr>
              <w:t>有效期</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磋商响应有效期为90天，磋商响应有效期从提交磋商响应文件的截止之日起算。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文件递交</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时间及地点</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合同总价的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%；履约保证金形式：支票、汇票、本票或者金融机构、担保机构出具的保函等非现金形式提交</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带“▲”的条款是实质性条款，投标文件须作出实质性响应，否则作无效投标处理。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本项目所属行业</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本项目属于工程类，</w:t>
            </w:r>
            <w:r>
              <w:rPr>
                <w:rFonts w:hint="eastAsia" w:ascii="宋体" w:hAnsi="宋体" w:eastAsia="宋体" w:cs="宋体"/>
                <w:color w:val="auto"/>
                <w:sz w:val="21"/>
                <w:szCs w:val="21"/>
                <w:highlight w:val="none"/>
              </w:rPr>
              <w:t>中小企业划型标准规定（工信部联企业[2011]300号）：</w:t>
            </w:r>
            <w:r>
              <w:rPr>
                <w:rFonts w:hint="eastAsia" w:ascii="宋体" w:hAnsi="宋体" w:eastAsia="宋体" w:cs="宋体"/>
                <w:color w:val="auto"/>
                <w:sz w:val="21"/>
                <w:szCs w:val="21"/>
                <w:highlight w:val="none"/>
                <w:lang w:val="en-US" w:eastAsia="zh-CN"/>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中标供应商中标后需提供纸质投标文件给</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代理机构作为备案存档，纸质投标文件系电子投标文件纸质版，两者内容应一致；数量为：资格证明文件3份；商务技术文件3份；报价文件3份。</w:t>
            </w:r>
          </w:p>
        </w:tc>
      </w:tr>
    </w:tbl>
    <w:p>
      <w:pPr>
        <w:rPr>
          <w:rFonts w:hint="eastAsia" w:ascii="宋体" w:hAnsi="宋体" w:eastAsia="宋体" w:cs="宋体"/>
          <w:b/>
          <w:bCs/>
          <w:color w:val="auto"/>
          <w:sz w:val="24"/>
          <w:highlight w:val="none"/>
          <w:lang w:val="zh-CN"/>
        </w:rPr>
      </w:pPr>
      <w:bookmarkStart w:id="25" w:name="_Toc306901446"/>
      <w:bookmarkStart w:id="26" w:name="_Toc302983095"/>
      <w:r>
        <w:rPr>
          <w:rFonts w:hint="eastAsia" w:ascii="宋体" w:hAnsi="宋体" w:eastAsia="宋体" w:cs="宋体"/>
          <w:b/>
          <w:bCs/>
          <w:color w:val="auto"/>
          <w:sz w:val="24"/>
          <w:highlight w:val="none"/>
          <w:lang w:val="zh-CN"/>
        </w:rPr>
        <w:br w:type="page"/>
      </w:r>
    </w:p>
    <w:p>
      <w:pPr>
        <w:autoSpaceDE w:val="0"/>
        <w:autoSpaceDN w:val="0"/>
        <w:adjustRightInd w:val="0"/>
        <w:spacing w:line="360" w:lineRule="auto"/>
        <w:ind w:firstLine="422" w:firstLineChars="200"/>
        <w:jc w:val="both"/>
        <w:outlineLvl w:val="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一、</w:t>
      </w:r>
      <w:bookmarkEnd w:id="25"/>
      <w:bookmarkEnd w:id="26"/>
      <w:r>
        <w:rPr>
          <w:rFonts w:hint="eastAsia" w:ascii="宋体" w:hAnsi="宋体" w:eastAsia="宋体" w:cs="宋体"/>
          <w:b/>
          <w:bCs/>
          <w:color w:val="auto"/>
          <w:sz w:val="21"/>
          <w:szCs w:val="21"/>
          <w:highlight w:val="none"/>
          <w:lang w:val="zh-CN"/>
        </w:rPr>
        <w:t>总则</w:t>
      </w:r>
    </w:p>
    <w:p>
      <w:pPr>
        <w:pageBreakBefore w:val="0"/>
        <w:widowControl w:val="0"/>
        <w:kinsoku/>
        <w:wordWrap/>
        <w:overflowPunct/>
        <w:topLinePunct w:val="0"/>
        <w:bidi w:val="0"/>
        <w:snapToGrid w:val="0"/>
        <w:spacing w:line="360" w:lineRule="auto"/>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（一）</w:t>
      </w:r>
      <w:r>
        <w:rPr>
          <w:rFonts w:hint="eastAsia" w:ascii="宋体" w:hAnsi="宋体" w:eastAsia="宋体" w:cs="宋体"/>
          <w:b/>
          <w:color w:val="auto"/>
          <w:sz w:val="21"/>
          <w:szCs w:val="21"/>
          <w:highlight w:val="none"/>
        </w:rPr>
        <w:t>适用范围</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本磋商文件适用于本次项目的磋商、评审、确定成交供应商、验收、合同履约、付款等行为（法律、法规另有规定的，从其规定）。</w:t>
      </w:r>
    </w:p>
    <w:p>
      <w:pPr>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bCs/>
          <w:color w:val="auto"/>
          <w:sz w:val="21"/>
          <w:szCs w:val="21"/>
          <w:highlight w:val="none"/>
        </w:rPr>
      </w:pPr>
      <w:bookmarkStart w:id="27" w:name="_Toc306901451"/>
      <w:bookmarkStart w:id="28" w:name="_Toc302983099"/>
      <w:r>
        <w:rPr>
          <w:rFonts w:hint="eastAsia" w:ascii="宋体" w:hAnsi="宋体" w:eastAsia="宋体" w:cs="宋体"/>
          <w:b/>
          <w:bCs/>
          <w:color w:val="auto"/>
          <w:sz w:val="21"/>
          <w:szCs w:val="21"/>
          <w:highlight w:val="none"/>
        </w:rPr>
        <w:t>（二）定义</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“采购组织机构”指采购人委托组织磋商的集中采购机构或采购代理机构。</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集中采购机构或</w:t>
      </w:r>
      <w:r>
        <w:rPr>
          <w:rFonts w:hint="eastAsia" w:ascii="宋体" w:hAnsi="宋体" w:eastAsia="宋体" w:cs="宋体"/>
          <w:color w:val="auto"/>
          <w:sz w:val="21"/>
          <w:szCs w:val="21"/>
          <w:highlight w:val="none"/>
        </w:rPr>
        <w:t>采购代理机构采购本次项目的国家机关、事业单位和团体组织。</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3、磋商供应商：是指向</w:t>
      </w:r>
      <w:r>
        <w:rPr>
          <w:rFonts w:hint="eastAsia" w:ascii="宋体" w:hAnsi="宋体" w:eastAsia="宋体" w:cs="宋体"/>
          <w:color w:val="auto"/>
          <w:sz w:val="21"/>
          <w:szCs w:val="21"/>
          <w:highlight w:val="none"/>
          <w:lang w:val="zh-CN"/>
        </w:rPr>
        <w:t>采购组织机构</w:t>
      </w:r>
      <w:r>
        <w:rPr>
          <w:rFonts w:hint="eastAsia" w:ascii="宋体" w:hAnsi="宋体" w:eastAsia="宋体" w:cs="宋体"/>
          <w:color w:val="auto"/>
          <w:sz w:val="21"/>
          <w:szCs w:val="21"/>
          <w:highlight w:val="none"/>
        </w:rPr>
        <w:t>提交磋商响应文件的单位。</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6、工程：勘察、设计、施工、监理以及与工程建设有关的重要设备、材料等。</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、“书面形式”包括信函、传真等。</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、“▲”系指实质性要求条款。</w:t>
      </w:r>
    </w:p>
    <w:p>
      <w:pPr>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（三）磋商费用</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不论磋商结果如何，供应商均应自行承担所有与磋商有关的全部费用（磋商文件有相关规定除外）。</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29" w:name="_Toc31440"/>
      <w:bookmarkStart w:id="30" w:name="_Toc206"/>
      <w:bookmarkStart w:id="31" w:name="_Toc26063"/>
      <w:r>
        <w:rPr>
          <w:rFonts w:hint="eastAsia" w:ascii="宋体" w:hAnsi="宋体" w:eastAsia="宋体" w:cs="宋体"/>
          <w:color w:val="auto"/>
          <w:sz w:val="21"/>
          <w:szCs w:val="21"/>
          <w:highlight w:val="none"/>
          <w:lang w:val="en-US" w:eastAsia="zh-CN"/>
        </w:rPr>
        <w:t>2、本项目采购代理服务</w:t>
      </w:r>
      <w:r>
        <w:rPr>
          <w:rFonts w:hint="eastAsia" w:cs="宋体"/>
          <w:color w:val="auto"/>
          <w:kern w:val="2"/>
          <w:highlight w:val="none"/>
          <w:lang w:val="en-US" w:eastAsia="zh-CN"/>
        </w:rPr>
        <w:t>6904</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lang w:val="en-US" w:eastAsia="zh-CN"/>
        </w:rPr>
        <w:t>由中标人在领取中标通知书时一次性支付给采购代理机构。（收款单位（户名）:浙江双联工程咨询有限公，开户银行：浙江台州椒江农村商业银行股份有限公司开发区支行；银行账号：201000107739204）。本项费用由供应商自行考虑，分摊在各项磋商报价中，结算时不再另行计取。</w:t>
      </w:r>
      <w:bookmarkEnd w:id="29"/>
      <w:bookmarkEnd w:id="30"/>
      <w:bookmarkEnd w:id="31"/>
    </w:p>
    <w:p>
      <w:pPr>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（四）联合体投标</w:t>
      </w:r>
    </w:p>
    <w:p>
      <w:pPr>
        <w:pageBreakBefore w:val="0"/>
        <w:widowControl w:val="0"/>
        <w:tabs>
          <w:tab w:val="left" w:pos="5611"/>
        </w:tabs>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ab/>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eastAsia="zh-CN"/>
        </w:rPr>
        <w:t>转包与分包</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1、本项目不允许转包。</w:t>
      </w:r>
    </w:p>
    <w:p>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2、本项目不可以分包。</w:t>
      </w:r>
    </w:p>
    <w:p>
      <w:pPr>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）特别说明</w:t>
      </w:r>
    </w:p>
    <w:p>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位负责人为同一人或者存在直接控股、管理关系的不同供应商，不得参加同一合同项下的政府采购活动。如有上述行为的，评审时取其中通过资格审查后报价最低的一家为有效供应商；当报价相同时，则以技术标最优一家为有效供应商；均相同时，由磋商小组集体决定。</w:t>
      </w:r>
    </w:p>
    <w:p>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供应商磋商</w:t>
      </w:r>
      <w:r>
        <w:rPr>
          <w:rFonts w:hint="eastAsia" w:ascii="宋体" w:hAnsi="宋体" w:eastAsia="宋体" w:cs="宋体"/>
          <w:color w:val="auto"/>
          <w:sz w:val="21"/>
          <w:szCs w:val="21"/>
          <w:highlight w:val="none"/>
          <w:lang w:val="zh-CN"/>
        </w:rPr>
        <w:t>所使用的资格、信誉、荣誉、业绩与企业认证必须为本法人所拥有。</w:t>
      </w:r>
      <w:r>
        <w:rPr>
          <w:rFonts w:hint="eastAsia" w:ascii="宋体" w:hAnsi="宋体" w:eastAsia="宋体" w:cs="宋体"/>
          <w:color w:val="auto"/>
          <w:sz w:val="21"/>
          <w:szCs w:val="21"/>
          <w:highlight w:val="none"/>
          <w:lang w:val="en-US" w:eastAsia="zh-CN"/>
        </w:rPr>
        <w:t>供应商磋商</w:t>
      </w:r>
      <w:r>
        <w:rPr>
          <w:rFonts w:hint="eastAsia" w:ascii="宋体" w:hAnsi="宋体" w:eastAsia="宋体" w:cs="宋体"/>
          <w:color w:val="auto"/>
          <w:sz w:val="21"/>
          <w:szCs w:val="21"/>
          <w:highlight w:val="none"/>
          <w:lang w:val="zh-CN"/>
        </w:rPr>
        <w:t>所使用的采购项目实施人员必须为本法人员工。</w:t>
      </w:r>
    </w:p>
    <w:p>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项目负责人在建项目要求：</w:t>
      </w:r>
      <w:r>
        <w:rPr>
          <w:rFonts w:hint="eastAsia" w:ascii="宋体" w:hAnsi="宋体" w:eastAsia="宋体" w:cs="宋体"/>
          <w:color w:val="auto"/>
          <w:sz w:val="21"/>
          <w:szCs w:val="21"/>
          <w:highlight w:val="none"/>
          <w:lang w:val="en-US" w:eastAsia="zh-CN"/>
        </w:rPr>
        <w:t>本项目不作要求</w:t>
      </w:r>
    </w:p>
    <w:p>
      <w:pPr>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其他要求：项目负责人不得同时在两个或者两个以上单位受聘或者执业（仅指项目负责人不得同时是其他单位的公务员或者事业单位在编人员，涉及到其他情形的，投标资格不受影响）</w:t>
      </w:r>
      <w:r>
        <w:rPr>
          <w:rFonts w:hint="eastAsia" w:ascii="宋体" w:hAnsi="宋体" w:eastAsia="宋体" w:cs="宋体"/>
          <w:color w:val="auto"/>
          <w:sz w:val="21"/>
          <w:szCs w:val="21"/>
          <w:highlight w:val="none"/>
          <w:lang w:val="en-US" w:eastAsia="zh-CN"/>
        </w:rPr>
        <w:t>。</w:t>
      </w:r>
    </w:p>
    <w:p>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.供应商应仔细阅读磋商文件的所有内容，按照磋商文件的要求提交磋商响应文件，并对所提供的全部资料的真实性承担法律责任。</w:t>
      </w:r>
    </w:p>
    <w:p>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活动中提供任何虚假材料，其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投标人不得相互串通投标报价，不得妨碍其他投标人的公平竞争，不得损害采购人或其他投标人的合法权益，投标人不得以向采购人、评标委员会成员行贿或者采取其他不正当手段谋取中标。</w:t>
      </w:r>
    </w:p>
    <w:p>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为采购项目提供整体设计、规范编制或者项目管理、监理、检测等服务的供应商，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信用信息查询渠道及截止时点、信用信息查询记录和证据留存的具体方式、信用信息的使用规则：</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sym w:font="Wingdings" w:char="0081"/>
      </w:r>
      <w:r>
        <w:rPr>
          <w:rFonts w:hint="eastAsia" w:ascii="宋体" w:hAnsi="宋体" w:eastAsia="宋体" w:cs="宋体"/>
          <w:color w:val="auto"/>
          <w:sz w:val="21"/>
          <w:szCs w:val="21"/>
          <w:highlight w:val="none"/>
          <w:lang w:val="zh-CN"/>
        </w:rPr>
        <w:t>查询渠道：中国政府采购网（网址：http://www.ccgp.gov.cn）、信用中国（网址：</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"http://www.creditchina.gov.cn"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http://www.creditchina.gov.cn</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sym w:font="Wingdings" w:char="F082"/>
      </w:r>
      <w:r>
        <w:rPr>
          <w:rFonts w:hint="eastAsia" w:ascii="宋体" w:hAnsi="宋体" w:eastAsia="宋体" w:cs="宋体"/>
          <w:color w:val="auto"/>
          <w:sz w:val="21"/>
          <w:szCs w:val="21"/>
          <w:highlight w:val="none"/>
          <w:lang w:val="zh-CN"/>
        </w:rPr>
        <w:t>截止时间：开标后评标前。</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sym w:font="Wingdings" w:char="F083"/>
      </w:r>
      <w:r>
        <w:rPr>
          <w:rFonts w:hint="eastAsia" w:ascii="宋体" w:hAnsi="宋体" w:eastAsia="宋体" w:cs="宋体"/>
          <w:color w:val="auto"/>
          <w:sz w:val="21"/>
          <w:szCs w:val="21"/>
          <w:highlight w:val="none"/>
          <w:lang w:val="zh-CN"/>
        </w:rPr>
        <w:t>信用信息查询记录和证据留存的具体方式：将在规定查询时间内打印信用信息查询记录及相关证据，并将与其他采购文件一并保存。</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sym w:font="Wingdings" w:char="0084"/>
      </w:r>
      <w:r>
        <w:rPr>
          <w:rFonts w:hint="eastAsia" w:ascii="宋体" w:hAnsi="宋体" w:eastAsia="宋体" w:cs="宋体"/>
          <w:color w:val="auto"/>
          <w:sz w:val="21"/>
          <w:szCs w:val="21"/>
          <w:highlight w:val="none"/>
          <w:lang w:val="zh-CN"/>
        </w:rPr>
        <w:t>使用规则：对列入失信被执行人、重大税收违法案件当事人名单、政府采购严重违法失信行为记录名单的供应商，拒绝其参与采购活动</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9.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zh-CN"/>
        </w:rPr>
        <w:t>质疑与投诉</w:t>
      </w:r>
    </w:p>
    <w:bookmarkEnd w:id="27"/>
    <w:bookmarkEnd w:id="28"/>
    <w:p>
      <w:pPr>
        <w:pStyle w:val="1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供应商认为采购文件使自己的权益受到损害的，可以自获取采购文件之日或者采购公告期限届满之日起7个工作日内，</w:t>
      </w:r>
      <w:r>
        <w:rPr>
          <w:rFonts w:hint="eastAsia" w:ascii="宋体" w:hAnsi="宋体" w:eastAsia="宋体" w:cs="宋体"/>
          <w:color w:val="auto"/>
          <w:sz w:val="21"/>
          <w:szCs w:val="21"/>
          <w:highlight w:val="none"/>
          <w:lang w:val="en-US" w:eastAsia="zh-Hans"/>
        </w:rPr>
        <w:t>一次性针对同一环节</w:t>
      </w:r>
      <w:r>
        <w:rPr>
          <w:rFonts w:hint="eastAsia" w:ascii="宋体" w:hAnsi="宋体" w:eastAsia="宋体" w:cs="宋体"/>
          <w:color w:val="auto"/>
          <w:sz w:val="21"/>
          <w:szCs w:val="21"/>
          <w:highlight w:val="none"/>
          <w:lang w:val="zh-CN"/>
        </w:rPr>
        <w:t>以书面形式向采购人提出质疑。供应商认为采购过程、中标或者成交结果使自己的权益受到损害的，可以在知道或者应知其权益受到损害之日起7个工作日内，</w:t>
      </w:r>
      <w:r>
        <w:rPr>
          <w:rFonts w:hint="eastAsia" w:ascii="宋体" w:hAnsi="宋体" w:eastAsia="宋体" w:cs="宋体"/>
          <w:color w:val="auto"/>
          <w:sz w:val="21"/>
          <w:szCs w:val="21"/>
          <w:highlight w:val="none"/>
          <w:lang w:val="en-US" w:eastAsia="zh-Hans"/>
        </w:rPr>
        <w:t>一次性针对同一环节</w:t>
      </w:r>
      <w:r>
        <w:rPr>
          <w:rFonts w:hint="eastAsia" w:ascii="宋体" w:hAnsi="宋体" w:eastAsia="宋体" w:cs="宋体"/>
          <w:color w:val="auto"/>
          <w:sz w:val="21"/>
          <w:szCs w:val="21"/>
          <w:highlight w:val="none"/>
          <w:lang w:val="zh-CN"/>
        </w:rPr>
        <w:t>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质疑供应商可直接提交、传真或邮寄方式提交质疑书（一式三份）政采云平台的质疑系统一次性针对同一环节向采购人或采购组织机构书面提出质疑。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pStyle w:val="1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3、代理机构在收到质疑供应商的质疑后7个工作日内作出答复（涉及项目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需求内容的由采购人答复），但答复内容不涉及商业秘密。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4、质疑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捏造事实、提供虚假材料进行质疑的，代理机构报告同级监</w:t>
      </w:r>
      <w:r>
        <w:rPr>
          <w:rFonts w:hint="eastAsia" w:ascii="宋体" w:hAnsi="宋体" w:eastAsia="宋体" w:cs="宋体"/>
          <w:color w:val="auto"/>
          <w:sz w:val="21"/>
          <w:szCs w:val="21"/>
          <w:highlight w:val="none"/>
          <w:lang w:val="zh-CN" w:eastAsia="zh-CN"/>
        </w:rPr>
        <w:t>督</w:t>
      </w:r>
      <w:r>
        <w:rPr>
          <w:rFonts w:hint="eastAsia" w:ascii="宋体" w:hAnsi="宋体" w:eastAsia="宋体" w:cs="宋体"/>
          <w:color w:val="auto"/>
          <w:sz w:val="21"/>
          <w:szCs w:val="21"/>
          <w:highlight w:val="none"/>
          <w:lang w:val="zh-CN"/>
        </w:rPr>
        <w:t>部门。情况属实的，列入不良行为记录并在指定的媒体上公告。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bookmarkStart w:id="32" w:name="_Toc9867"/>
      <w:bookmarkStart w:id="33" w:name="_Toc6597"/>
      <w:r>
        <w:rPr>
          <w:rFonts w:hint="eastAsia" w:ascii="宋体" w:hAnsi="宋体" w:eastAsia="宋体" w:cs="宋体"/>
          <w:color w:val="auto"/>
          <w:sz w:val="21"/>
          <w:szCs w:val="21"/>
          <w:highlight w:val="none"/>
          <w:lang w:val="zh-CN"/>
        </w:rPr>
        <w:t>5、质疑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eastAsia="zh-CN"/>
        </w:rPr>
        <w:t>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代理机构</w:t>
      </w:r>
      <w:r>
        <w:rPr>
          <w:rFonts w:hint="eastAsia" w:ascii="宋体" w:hAnsi="宋体" w:eastAsia="宋体" w:cs="宋体"/>
          <w:color w:val="auto"/>
          <w:sz w:val="21"/>
          <w:szCs w:val="21"/>
          <w:highlight w:val="none"/>
          <w:lang w:val="zh-CN"/>
        </w:rPr>
        <w:t>的答复不满意或者</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eastAsia="zh-CN"/>
        </w:rPr>
        <w:t>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代理机构</w:t>
      </w:r>
      <w:r>
        <w:rPr>
          <w:rFonts w:hint="eastAsia" w:ascii="宋体" w:hAnsi="宋体" w:eastAsia="宋体" w:cs="宋体"/>
          <w:color w:val="auto"/>
          <w:sz w:val="21"/>
          <w:szCs w:val="21"/>
          <w:highlight w:val="none"/>
          <w:lang w:val="zh-CN"/>
        </w:rPr>
        <w:t>未在规定的时间内作出答复的，可以在答复期满后十五个工作日内向同级监</w:t>
      </w:r>
      <w:r>
        <w:rPr>
          <w:rFonts w:hint="eastAsia" w:ascii="宋体" w:hAnsi="宋体" w:eastAsia="宋体" w:cs="宋体"/>
          <w:color w:val="auto"/>
          <w:sz w:val="21"/>
          <w:szCs w:val="21"/>
          <w:highlight w:val="none"/>
          <w:lang w:val="zh-CN" w:eastAsia="zh-CN"/>
        </w:rPr>
        <w:t>督</w:t>
      </w:r>
      <w:r>
        <w:rPr>
          <w:rFonts w:hint="eastAsia" w:ascii="宋体" w:hAnsi="宋体" w:eastAsia="宋体" w:cs="宋体"/>
          <w:color w:val="auto"/>
          <w:sz w:val="21"/>
          <w:szCs w:val="21"/>
          <w:highlight w:val="none"/>
          <w:lang w:val="zh-CN"/>
        </w:rPr>
        <w:t>部门投诉。</w:t>
      </w:r>
      <w:bookmarkEnd w:id="32"/>
      <w:bookmarkEnd w:id="33"/>
    </w:p>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二、磋商文件</w:t>
      </w:r>
    </w:p>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color w:val="auto"/>
          <w:sz w:val="21"/>
          <w:szCs w:val="21"/>
          <w:highlight w:val="none"/>
          <w:lang w:val="zh-CN"/>
        </w:rPr>
        <w:t>文件的构成</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文件由以下部份组成：</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公告；</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需求；</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须知；</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评标办法及评分标准；</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合同条款</w:t>
      </w:r>
      <w:r>
        <w:rPr>
          <w:rFonts w:hint="eastAsia" w:ascii="宋体" w:hAnsi="宋体" w:eastAsia="宋体" w:cs="宋体"/>
          <w:color w:val="auto"/>
          <w:sz w:val="21"/>
          <w:szCs w:val="21"/>
          <w:highlight w:val="none"/>
          <w:lang w:val="en-US" w:eastAsia="zh-CN"/>
        </w:rPr>
        <w:t>及格式；</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技术标准和要求；</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zh-CN"/>
        </w:rPr>
        <w:t>文件格式；</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磋商须知前附表规定的其他材料；</w:t>
      </w:r>
    </w:p>
    <w:p>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文件的澄清、答复、修改、补充的内容</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color w:val="auto"/>
          <w:sz w:val="21"/>
          <w:szCs w:val="21"/>
          <w:highlight w:val="none"/>
          <w:lang w:val="zh-CN"/>
        </w:rPr>
        <w:t>文件的澄清与修改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如发现</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文件及其评标办法中存在含糊不清、相互矛盾、多种含义以及歧视性不公正条款或违法违规等有疑点需要质疑的，可以自收到</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文件之日或者采购文件公告期限届满之日（即为</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公告发布后的第</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个工作日）起7个工作日内，以书面形式向采购人和采购代理机构提出质疑。逾期不得再对</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文件内容提出质疑，并视为对</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文件内容认可。</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2.采购代理机构对已发出的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文件进行必要的澄清或者修改，澄清或者修改内容可能影响</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zh-CN"/>
        </w:rPr>
        <w:t>文件编制的，采购代理机构于磋商响应文件提交截止时间至少5日前在“浙江省政府采购网”、网站上发布澄清或更正公告；不足5日的，采购代理机构有权顺延提交</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zh-CN"/>
        </w:rPr>
        <w:t>文件的截止时间。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3.当</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文件的澄清、修改、补充等在同一内容的表述上不一致时，以最后发出的书面文件为准。</w:t>
      </w:r>
    </w:p>
    <w:p>
      <w:pPr>
        <w:autoSpaceDE w:val="0"/>
        <w:autoSpaceDN w:val="0"/>
        <w:adjustRightInd w:val="0"/>
        <w:spacing w:line="360" w:lineRule="auto"/>
        <w:ind w:firstLine="422" w:firstLineChars="20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zh-CN"/>
        </w:rPr>
        <w:t>、磋商响应文件</w:t>
      </w:r>
      <w:r>
        <w:rPr>
          <w:rFonts w:hint="eastAsia" w:ascii="宋体" w:hAnsi="宋体" w:eastAsia="宋体" w:cs="宋体"/>
          <w:b/>
          <w:color w:val="auto"/>
          <w:sz w:val="21"/>
          <w:szCs w:val="21"/>
          <w:highlight w:val="none"/>
          <w:lang w:val="en-US" w:eastAsia="zh-CN"/>
        </w:rPr>
        <w:t>的编制</w:t>
      </w:r>
    </w:p>
    <w:p>
      <w:pPr>
        <w:autoSpaceDE w:val="0"/>
        <w:autoSpaceDN w:val="0"/>
        <w:adjustRightInd w:val="0"/>
        <w:spacing w:line="36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zh-CN"/>
        </w:rPr>
        <w:t>（一）磋商响应文件的组成</w:t>
      </w:r>
    </w:p>
    <w:p>
      <w:pPr>
        <w:autoSpaceDE w:val="0"/>
        <w:autoSpaceDN w:val="0"/>
        <w:adjustRightInd w:val="0"/>
        <w:spacing w:line="360" w:lineRule="auto"/>
        <w:ind w:firstLine="420" w:firstLineChars="200"/>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1、供应商</w:t>
      </w:r>
      <w:r>
        <w:rPr>
          <w:rFonts w:hint="eastAsia" w:ascii="宋体" w:hAnsi="宋体" w:eastAsia="宋体" w:cs="宋体"/>
          <w:b w:val="0"/>
          <w:bCs/>
          <w:color w:val="auto"/>
          <w:sz w:val="21"/>
          <w:szCs w:val="21"/>
          <w:highlight w:val="none"/>
          <w:lang w:val="zh-CN"/>
        </w:rPr>
        <w:t>应仔细阅读</w:t>
      </w:r>
      <w:r>
        <w:rPr>
          <w:rFonts w:hint="eastAsia" w:ascii="宋体" w:hAnsi="宋体" w:eastAsia="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lang w:val="zh-CN"/>
        </w:rPr>
        <w:t>文件的所有内容，按照</w:t>
      </w:r>
      <w:r>
        <w:rPr>
          <w:rFonts w:hint="eastAsia" w:ascii="宋体" w:hAnsi="宋体" w:eastAsia="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lang w:val="zh-CN"/>
        </w:rPr>
        <w:t>文件的要求编制和提交</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lang w:val="zh-CN"/>
        </w:rPr>
        <w:t>文件，并对所提供的全部资料的真实性承担法律责任。</w:t>
      </w:r>
    </w:p>
    <w:p>
      <w:pPr>
        <w:pStyle w:val="11"/>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lang w:val="en-US" w:eastAsia="zh-CN"/>
        </w:rPr>
        <w:t>资信证明文件内容的组成：</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w:t>
      </w:r>
      <w:r>
        <w:rPr>
          <w:rFonts w:hint="eastAsia" w:ascii="宋体" w:hAnsi="宋体" w:eastAsia="宋体" w:cs="宋体"/>
          <w:color w:val="auto"/>
          <w:sz w:val="21"/>
          <w:szCs w:val="21"/>
          <w:highlight w:val="none"/>
          <w:lang w:val="en-US" w:eastAsia="zh-CN"/>
        </w:rPr>
        <w:t>声明书</w:t>
      </w:r>
      <w:r>
        <w:rPr>
          <w:rFonts w:hint="eastAsia" w:ascii="宋体" w:hAnsi="宋体" w:eastAsia="宋体" w:cs="宋体"/>
          <w:color w:val="auto"/>
          <w:sz w:val="21"/>
          <w:szCs w:val="21"/>
          <w:highlight w:val="none"/>
          <w:lang w:val="zh-CN"/>
        </w:rPr>
        <w:t>(格式见附件)；</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（2）法定代表人（负责人）授权委托书(格式见附件)</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）提供有效的营业执照影印件；</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 xml:space="preserve">）企业资质证书影印件或建设部四库平台、网站查询结果截图； </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 xml:space="preserve">）安全生产许可证影印件； </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）项目负责人的《项目负责人建造师注册证书》影印件和三类人员B类证书影印件。若为住房和城乡建设部同意的建设领域从业人员有关证书电子化试点的省、市，可只提供电子证书影印件或网页截图；</w:t>
      </w:r>
    </w:p>
    <w:p>
      <w:pPr>
        <w:snapToGrid w:val="0"/>
        <w:spacing w:line="360" w:lineRule="auto"/>
        <w:ind w:firstLine="420" w:firstLineChars="200"/>
        <w:rPr>
          <w:rFonts w:hint="eastAsia" w:ascii="宋体" w:hAnsi="宋体" w:eastAsia="宋体" w:cs="宋体"/>
          <w:color w:val="auto"/>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cs="宋体"/>
          <w:color w:val="auto"/>
        </w:rPr>
        <w:t>《省外企业进浙承接业务备案证明》或“浙江省建筑市场监管公共服务系统”对外发布的通过审核形成的备案信息网页截图（仅指浙江省省外企业）</w:t>
      </w:r>
      <w:r>
        <w:rPr>
          <w:rFonts w:hint="eastAsia" w:ascii="宋体" w:hAnsi="宋体" w:eastAsia="宋体" w:cs="宋体"/>
          <w:color w:val="auto"/>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）参加</w:t>
      </w:r>
      <w:r>
        <w:rPr>
          <w:rFonts w:hint="eastAsia" w:ascii="宋体" w:hAnsi="宋体" w:eastAsia="宋体" w:cs="宋体"/>
          <w:color w:val="auto"/>
          <w:sz w:val="21"/>
          <w:szCs w:val="21"/>
          <w:highlight w:val="none"/>
          <w:lang w:val="zh-CN" w:eastAsia="zh-CN"/>
        </w:rPr>
        <w:t>本项目活动</w:t>
      </w:r>
      <w:r>
        <w:rPr>
          <w:rFonts w:hint="eastAsia" w:ascii="宋体" w:hAnsi="宋体" w:eastAsia="宋体" w:cs="宋体"/>
          <w:color w:val="auto"/>
          <w:sz w:val="21"/>
          <w:szCs w:val="21"/>
          <w:highlight w:val="none"/>
          <w:lang w:val="zh-CN"/>
        </w:rPr>
        <w:t>前3年内在经营活动中没有重大违法记录的书面声明（声明书格式见附件）</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）具备履行合同所必需的设备和专业技术能力的承诺函</w:t>
      </w:r>
    </w:p>
    <w:p>
      <w:pPr>
        <w:snapToGrid w:val="0"/>
        <w:spacing w:line="360" w:lineRule="auto"/>
        <w:ind w:firstLine="420" w:firstLineChars="200"/>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zh-CN" w:eastAsia="zh-Hans"/>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中小企业声明函等政策采购优惠政策适用证明文件</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）提供采购公告中符合供应商特定条件的有效资质证书扫描件（供应商特定条件中有要求的必须提供），以及需要说明的其他资料；</w:t>
      </w:r>
    </w:p>
    <w:p>
      <w:pPr>
        <w:pStyle w:val="8"/>
        <w:widowControl/>
        <w:numPr>
          <w:ilvl w:val="0"/>
          <w:numId w:val="0"/>
        </w:numPr>
        <w:adjustRightInd w:val="0"/>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商务技术内容的组成：</w:t>
      </w:r>
    </w:p>
    <w:p>
      <w:pPr>
        <w:pStyle w:val="8"/>
        <w:widowControl/>
        <w:numPr>
          <w:ilvl w:val="0"/>
          <w:numId w:val="6"/>
        </w:num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供应商情况介绍（人员与技术力量、企业规模等，格式自拟）；</w:t>
      </w:r>
    </w:p>
    <w:p>
      <w:pPr>
        <w:pStyle w:val="8"/>
        <w:widowControl/>
        <w:numPr>
          <w:ilvl w:val="0"/>
          <w:numId w:val="6"/>
        </w:num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商务及技术响应表</w:t>
      </w:r>
    </w:p>
    <w:p>
      <w:pPr>
        <w:pStyle w:val="8"/>
        <w:widowControl/>
        <w:numPr>
          <w:ilvl w:val="0"/>
          <w:numId w:val="6"/>
        </w:numPr>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其余内容根据评标办法自拟。</w:t>
      </w:r>
    </w:p>
    <w:p>
      <w:pPr>
        <w:pStyle w:val="24"/>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采购需求中要求提供的相关证明材料及根据评标办法提供的证明材料均需在响应文件提供扫描件</w:t>
      </w:r>
    </w:p>
    <w:p>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报价标</w:t>
      </w:r>
      <w:r>
        <w:rPr>
          <w:rFonts w:hint="eastAsia" w:ascii="宋体" w:hAnsi="宋体" w:eastAsia="宋体" w:cs="宋体"/>
          <w:b/>
          <w:color w:val="auto"/>
          <w:sz w:val="21"/>
          <w:szCs w:val="21"/>
          <w:highlight w:val="none"/>
          <w:lang w:val="en-US" w:eastAsia="zh-CN"/>
        </w:rPr>
        <w:t>内容的</w:t>
      </w:r>
      <w:r>
        <w:rPr>
          <w:rFonts w:hint="eastAsia" w:ascii="宋体" w:hAnsi="宋体" w:eastAsia="宋体" w:cs="宋体"/>
          <w:b/>
          <w:color w:val="auto"/>
          <w:sz w:val="21"/>
          <w:szCs w:val="21"/>
          <w:highlight w:val="none"/>
        </w:rPr>
        <w:t>组成：</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（1）首次报价一览表（附件格式）；</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（2）供应商针对报价需要说明的其他文件和说明（如有，格式自拟）。</w:t>
      </w:r>
    </w:p>
    <w:p>
      <w:pPr>
        <w:autoSpaceDE w:val="0"/>
        <w:autoSpaceDN w:val="0"/>
        <w:adjustRightIn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2、磋商报价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zh-CN"/>
        </w:rPr>
        <w:t>报价应按</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zh-CN"/>
        </w:rPr>
        <w:t>文件中相关附表《</w:t>
      </w:r>
      <w:r>
        <w:rPr>
          <w:rFonts w:hint="eastAsia" w:ascii="宋体" w:hAnsi="宋体" w:eastAsia="宋体" w:cs="宋体"/>
          <w:color w:val="auto"/>
          <w:kern w:val="0"/>
          <w:sz w:val="21"/>
          <w:szCs w:val="21"/>
          <w:highlight w:val="none"/>
          <w:lang w:val="zh-CN" w:eastAsia="zh-CN"/>
        </w:rPr>
        <w:t>磋商报价一览表</w:t>
      </w:r>
      <w:r>
        <w:rPr>
          <w:rFonts w:hint="eastAsia" w:ascii="宋体" w:hAnsi="宋体" w:eastAsia="宋体" w:cs="宋体"/>
          <w:color w:val="auto"/>
          <w:kern w:val="0"/>
          <w:sz w:val="21"/>
          <w:szCs w:val="21"/>
          <w:highlight w:val="none"/>
          <w:lang w:val="zh-CN"/>
        </w:rPr>
        <w:t>》格式填写。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bCs/>
          <w:color w:val="auto"/>
          <w:kern w:val="0"/>
          <w:sz w:val="24"/>
        </w:rPr>
        <w:t>磋商报价包括本项目采购需求和投入使用的所有费用，</w:t>
      </w:r>
      <w:r>
        <w:rPr>
          <w:rFonts w:hint="eastAsia" w:ascii="宋体" w:hAnsi="宋体" w:eastAsia="宋体" w:cs="宋体"/>
          <w:color w:val="auto"/>
          <w:kern w:val="0"/>
          <w:sz w:val="24"/>
        </w:rPr>
        <w:t>包括但</w:t>
      </w:r>
      <w:r>
        <w:rPr>
          <w:rFonts w:hint="eastAsia" w:ascii="宋体" w:hAnsi="宋体" w:eastAsia="宋体" w:cs="宋体"/>
          <w:bCs/>
          <w:color w:val="auto"/>
          <w:kern w:val="0"/>
          <w:sz w:val="24"/>
        </w:rPr>
        <w:t>分部分项工程费、措施项目费、其他项目费、规费和税金等</w:t>
      </w:r>
      <w:r>
        <w:rPr>
          <w:rFonts w:hint="eastAsia" w:ascii="宋体" w:hAnsi="宋体" w:eastAsia="宋体" w:cs="宋体"/>
          <w:color w:val="auto"/>
          <w:kern w:val="0"/>
          <w:sz w:val="24"/>
        </w:rPr>
        <w:t>完成磋商文件规定的所有工作内容的所有费用</w:t>
      </w:r>
      <w:r>
        <w:rPr>
          <w:rFonts w:hint="eastAsia" w:ascii="宋体" w:hAnsi="宋体" w:eastAsia="宋体" w:cs="宋体"/>
          <w:bCs/>
          <w:color w:val="auto"/>
          <w:kern w:val="0"/>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zh-CN"/>
        </w:rPr>
        <w:t>文件只允许有一个报价，有选择的报价将不予接受。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首次</w:t>
      </w:r>
      <w:r>
        <w:rPr>
          <w:rFonts w:hint="eastAsia" w:ascii="宋体" w:hAnsi="宋体" w:eastAsia="宋体" w:cs="宋体"/>
          <w:b w:val="0"/>
          <w:bCs w:val="0"/>
          <w:color w:val="auto"/>
          <w:sz w:val="21"/>
          <w:szCs w:val="21"/>
          <w:highlight w:val="none"/>
          <w:lang w:val="zh-CN"/>
        </w:rPr>
        <w:t>报价一览表》中的报价仅为参考报价，供双方磋商时参考。各供应商的最终报价须经磋商后二次报价确定。供应商最终报价中确认标明的价格在合同执行过程中是固定不变的，不得以任何理由予以变更。</w:t>
      </w:r>
      <w:r>
        <w:rPr>
          <w:rFonts w:hint="eastAsia" w:ascii="宋体" w:hAnsi="宋体" w:eastAsia="宋体" w:cs="宋体"/>
          <w:b/>
          <w:color w:val="auto"/>
          <w:sz w:val="21"/>
          <w:szCs w:val="21"/>
          <w:highlight w:val="none"/>
        </w:rPr>
        <w:t>▲</w:t>
      </w:r>
      <w:r>
        <w:rPr>
          <w:rFonts w:hint="eastAsia" w:ascii="宋体" w:hAnsi="宋体" w:eastAsia="宋体" w:cs="宋体"/>
          <w:b w:val="0"/>
          <w:bCs w:val="0"/>
          <w:color w:val="auto"/>
          <w:sz w:val="21"/>
          <w:szCs w:val="21"/>
          <w:highlight w:val="none"/>
          <w:lang w:val="zh-CN"/>
        </w:rPr>
        <w:t>任何包含价格调整的要求，将被认为是非实质性响应磋商文件而予以拒绝。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）本项目设有最高限价，最高限价见前附表。若</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报价超过最高限价的，其</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zh-CN"/>
        </w:rPr>
        <w:t>文件作无效标处理。</w:t>
      </w:r>
    </w:p>
    <w:p>
      <w:pPr>
        <w:numPr>
          <w:ilvl w:val="0"/>
          <w:numId w:val="0"/>
        </w:numPr>
        <w:snapToGrid w:val="0"/>
        <w:spacing w:beforeLines="0" w:afterLines="0" w:line="360" w:lineRule="auto"/>
        <w:ind w:left="480" w:leftChars="0"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磋商响应文件的</w:t>
      </w:r>
      <w:r>
        <w:rPr>
          <w:rFonts w:hint="eastAsia" w:ascii="宋体" w:hAnsi="宋体" w:eastAsia="宋体" w:cs="宋体"/>
          <w:b/>
          <w:color w:val="auto"/>
          <w:kern w:val="0"/>
          <w:sz w:val="21"/>
          <w:szCs w:val="21"/>
          <w:highlight w:val="none"/>
          <w:lang w:val="zh-CN"/>
        </w:rPr>
        <w:t>有效期</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1、自磋商响应</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lang w:val="zh-CN"/>
        </w:rPr>
        <w:t>提交截止之日起90天磋商响应文件应保持有效。有效期短于这个规定期限的磋商响应文件将被拒绝。中标人的磋商响应文件有</w:t>
      </w:r>
      <w:r>
        <w:rPr>
          <w:rFonts w:hint="eastAsia" w:ascii="宋体" w:hAnsi="宋体" w:eastAsia="宋体" w:cs="宋体"/>
          <w:color w:val="auto"/>
          <w:sz w:val="21"/>
          <w:szCs w:val="21"/>
          <w:highlight w:val="none"/>
          <w:lang w:val="en-GB"/>
        </w:rPr>
        <w:t>效期顺延至合同履行完毕，在此有效期内未经同意，</w:t>
      </w:r>
      <w:r>
        <w:rPr>
          <w:rFonts w:hint="eastAsia" w:ascii="宋体" w:hAnsi="宋体" w:eastAsia="宋体" w:cs="宋体"/>
          <w:color w:val="auto"/>
          <w:sz w:val="21"/>
          <w:szCs w:val="21"/>
          <w:highlight w:val="none"/>
          <w:lang w:val="zh-CN"/>
        </w:rPr>
        <w:t>磋商响应</w:t>
      </w:r>
      <w:r>
        <w:rPr>
          <w:rFonts w:hint="eastAsia" w:ascii="宋体" w:hAnsi="宋体" w:eastAsia="宋体" w:cs="宋体"/>
          <w:color w:val="auto"/>
          <w:sz w:val="21"/>
          <w:szCs w:val="21"/>
          <w:highlight w:val="none"/>
          <w:lang w:val="en-GB"/>
        </w:rPr>
        <w:t>文件的一切内容和补充承诺均为持续有效且不予改变。</w:t>
      </w:r>
    </w:p>
    <w:p>
      <w:pPr>
        <w:numPr>
          <w:ilvl w:val="0"/>
          <w:numId w:val="7"/>
        </w:num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在特殊情况下，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人可与</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协商延长磋商响应文件的有效期,这种要求和答复均应以书面形式进行。</w:t>
      </w:r>
    </w:p>
    <w:p>
      <w:pPr>
        <w:numPr>
          <w:ilvl w:val="0"/>
          <w:numId w:val="8"/>
        </w:numPr>
        <w:snapToGrid w:val="0"/>
        <w:spacing w:beforeLines="0" w:afterLines="0" w:line="360" w:lineRule="auto"/>
        <w:ind w:left="480" w:leftChars="0" w:firstLine="422" w:firstLineChars="200"/>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磋商响应</w:t>
      </w:r>
      <w:r>
        <w:rPr>
          <w:rFonts w:hint="eastAsia" w:ascii="宋体" w:hAnsi="宋体" w:eastAsia="宋体" w:cs="宋体"/>
          <w:b/>
          <w:color w:val="auto"/>
          <w:kern w:val="0"/>
          <w:sz w:val="21"/>
          <w:szCs w:val="21"/>
          <w:highlight w:val="none"/>
          <w:lang w:val="zh-CN"/>
        </w:rPr>
        <w:t>文件的制作、签章、形式及份数要求</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1、磋商响应</w:t>
      </w:r>
      <w:r>
        <w:rPr>
          <w:rFonts w:hint="eastAsia" w:ascii="宋体" w:hAnsi="宋体" w:eastAsia="宋体" w:cs="宋体"/>
          <w:color w:val="auto"/>
          <w:sz w:val="21"/>
          <w:szCs w:val="21"/>
          <w:highlight w:val="none"/>
          <w:lang w:val="zh-CN"/>
        </w:rPr>
        <w:t>文件的制作要求</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）本项目通过“政府采购云平台（www.zcygov.cn）”实行在线投标响应（电子投标）。供应商应通过“政采云电子交易客户端”，并按照本磋商文件和“政府采购云平台”的要求编制并加密投标文件。</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）投标供应商应当按照本章节 “磋商响应文件组成”规定的内容及顺序在“政采云电子交易客户端”编制磋商响应文件。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其中《资格证明文件》和《商务技术文件》中不得出现本项目投标报价，如因供应商原因提前泄露投标报价，是供应商的责任。</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）本文件中有提供格式的，投标供应商须参照格式进行编制（格式中要求提供相关证明材料的还需后附相关证明材料），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并按格式要求在指定位置根据要求进行签章，否则视为未提供；本文件未提供格式的，请各投标单位自行拟定格式，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并加盖单位公章并由法定代表人或其授权代表签署（签字或盖章），否则视为未提供。</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）《磋商响应文件》内容不完整、编排混乱导致《磋商响应文件》被误读、漏读或者查找不到相关内容的，是投标供应商的责任。</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）《磋商响应文件》因字迹潦草或表达不清所引起的后果由投标供应商负责。</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）投标供应商没有按照本章节 “磋商响应文件组成”要求提供全部资料，或者没有仔细阅读磋商文件，或者没有对磋商文件在各方面的要求作出实质性响应是投标供应商的风险，由此造成的一切后果由投标供应商自行承担。</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）磋商响应文件以及供应商与采购组织机构就有关投标事宜的所有来往函电，均应以中文汉语书写。</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zh-CN"/>
        </w:rPr>
        <w:t>除签字、盖章、专用名称等特殊情形外，以中文汉语以外的文字表述的磋商响应文件视同未提供。</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）投标计量单位，磋商文件已有明确规定的，使用磋商文件规定的计量单位；磋商文件没有规定的，应采用中华人民共和国法定计量单位（货币单位：人民币元）。</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2、磋商响应文件的签章</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）《磋商响应文件》的签章：见《前附表》；</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）《磋商响应文件》应由投标供应商法定代表人或其授权代表签字（或盖章），并时加盖投标供应商公章。</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）电子签章操作指南详见《供应商项目采购-电子招投标操作指南》。</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3、磋商响应文件的形式</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（1）磋商响应文件的形式：见《前附表》；</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（2）“电子加密投标文件”：“电子加密投标文件”是指通过“政采云电子交易客户端”完成投标文件编制后生成并加密的数据电文形式的投标文件。</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（3）“备份</w:t>
      </w:r>
      <w:r>
        <w:rPr>
          <w:rFonts w:hint="eastAsia" w:ascii="宋体" w:hAnsi="宋体" w:eastAsia="宋体" w:cs="宋体"/>
          <w:color w:val="auto"/>
          <w:sz w:val="21"/>
          <w:szCs w:val="21"/>
          <w:highlight w:val="none"/>
          <w:lang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zh-CN"/>
        </w:rPr>
        <w:t>”：“备份</w:t>
      </w:r>
      <w:r>
        <w:rPr>
          <w:rFonts w:hint="eastAsia" w:ascii="宋体" w:hAnsi="宋体" w:eastAsia="宋体" w:cs="宋体"/>
          <w:color w:val="auto"/>
          <w:sz w:val="21"/>
          <w:szCs w:val="21"/>
          <w:highlight w:val="none"/>
          <w:lang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zh-CN"/>
        </w:rPr>
        <w:t>”是指与“电子加密</w:t>
      </w:r>
      <w:r>
        <w:rPr>
          <w:rFonts w:hint="eastAsia" w:ascii="宋体" w:hAnsi="宋体" w:eastAsia="宋体" w:cs="宋体"/>
          <w:color w:val="auto"/>
          <w:sz w:val="21"/>
          <w:szCs w:val="21"/>
          <w:highlight w:val="none"/>
          <w:lang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zh-CN"/>
        </w:rPr>
        <w:t>”同时生成的数据电文形式的电子文件（备份标书），其他方式编制的“备份</w:t>
      </w:r>
      <w:r>
        <w:rPr>
          <w:rFonts w:hint="eastAsia" w:ascii="宋体" w:hAnsi="宋体" w:eastAsia="宋体" w:cs="宋体"/>
          <w:color w:val="auto"/>
          <w:sz w:val="21"/>
          <w:szCs w:val="21"/>
          <w:highlight w:val="none"/>
          <w:lang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zh-CN"/>
        </w:rPr>
        <w:t>”视为无效的“备份</w:t>
      </w:r>
      <w:r>
        <w:rPr>
          <w:rFonts w:hint="eastAsia" w:ascii="宋体" w:hAnsi="宋体" w:eastAsia="宋体" w:cs="宋体"/>
          <w:color w:val="auto"/>
          <w:sz w:val="21"/>
          <w:szCs w:val="21"/>
          <w:highlight w:val="none"/>
          <w:lang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zh-CN"/>
        </w:rPr>
        <w:t>”。</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4、投标文件的份数</w:t>
      </w:r>
      <w:r>
        <w:rPr>
          <w:rFonts w:hint="eastAsia" w:ascii="宋体" w:hAnsi="宋体" w:eastAsia="宋体" w:cs="宋体"/>
          <w:color w:val="auto"/>
          <w:sz w:val="21"/>
          <w:szCs w:val="21"/>
          <w:highlight w:val="none"/>
          <w:lang w:val="zh-CN"/>
        </w:rPr>
        <w:tab/>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）投标文件的份数：见《前附表》。</w:t>
      </w:r>
    </w:p>
    <w:p>
      <w:pPr>
        <w:numPr>
          <w:ilvl w:val="0"/>
          <w:numId w:val="8"/>
        </w:numPr>
        <w:snapToGrid w:val="0"/>
        <w:spacing w:beforeLines="0" w:afterLines="0" w:line="360" w:lineRule="auto"/>
        <w:ind w:left="480" w:leftChars="0" w:firstLine="422" w:firstLineChars="200"/>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磋商响应文件提交</w:t>
      </w:r>
    </w:p>
    <w:p>
      <w:pPr>
        <w:autoSpaceDE w:val="0"/>
        <w:autoSpaceDN w:val="0"/>
        <w:adjustRightInd w:val="0"/>
        <w:spacing w:line="36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w:t>
      </w:r>
      <w:r>
        <w:rPr>
          <w:rFonts w:hint="eastAsia" w:ascii="宋体" w:hAnsi="宋体" w:eastAsia="宋体" w:cs="宋体"/>
          <w:b/>
          <w:color w:val="auto"/>
          <w:sz w:val="21"/>
          <w:szCs w:val="21"/>
          <w:highlight w:val="none"/>
          <w:lang w:val="zh-CN" w:eastAsia="zh-CN"/>
        </w:rPr>
        <w:t>磋商响应</w:t>
      </w:r>
      <w:r>
        <w:rPr>
          <w:rFonts w:hint="eastAsia" w:ascii="宋体" w:hAnsi="宋体" w:eastAsia="宋体" w:cs="宋体"/>
          <w:b/>
          <w:color w:val="auto"/>
          <w:sz w:val="21"/>
          <w:szCs w:val="21"/>
          <w:highlight w:val="none"/>
          <w:lang w:val="zh-CN"/>
        </w:rPr>
        <w:t>文件提交</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1.1递交磋商响应文件必须在规定的磋商公告截止时间前送达到指定地点，</w:t>
      </w:r>
    </w:p>
    <w:p>
      <w:pPr>
        <w:autoSpaceDE w:val="0"/>
        <w:autoSpaceDN w:val="0"/>
        <w:adjustRightInd w:val="0"/>
        <w:spacing w:line="36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lang w:val="zh-CN" w:eastAsia="zh-CN"/>
        </w:rPr>
        <w:t>磋商响应</w:t>
      </w:r>
      <w:r>
        <w:rPr>
          <w:rFonts w:hint="eastAsia" w:ascii="宋体" w:hAnsi="宋体" w:eastAsia="宋体" w:cs="宋体"/>
          <w:b/>
          <w:color w:val="auto"/>
          <w:sz w:val="21"/>
          <w:szCs w:val="21"/>
          <w:highlight w:val="none"/>
          <w:lang w:val="zh-CN"/>
        </w:rPr>
        <w:t>文件的修改或撤回</w:t>
      </w:r>
    </w:p>
    <w:p>
      <w:pPr>
        <w:autoSpaceDE w:val="0"/>
        <w:autoSpaceDN w:val="0"/>
        <w:adjustRightInd w:val="0"/>
        <w:spacing w:line="36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zh-CN"/>
        </w:rPr>
        <w:t>①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②响应文件递交截止时间后，投标供应商不得撤回、修改《磋商响应文件》。</w:t>
      </w:r>
    </w:p>
    <w:p>
      <w:pPr>
        <w:autoSpaceDE w:val="0"/>
        <w:autoSpaceDN w:val="0"/>
        <w:adjustRightInd w:val="0"/>
        <w:spacing w:line="360" w:lineRule="auto"/>
        <w:ind w:firstLine="422" w:firstLineChars="200"/>
        <w:jc w:val="center"/>
        <w:rPr>
          <w:rFonts w:hint="eastAsia" w:ascii="宋体" w:hAnsi="宋体" w:eastAsia="宋体" w:cs="宋体"/>
          <w:b/>
          <w:color w:val="auto"/>
          <w:sz w:val="21"/>
          <w:szCs w:val="21"/>
          <w:highlight w:val="none"/>
          <w:lang w:val="zh-CN" w:eastAsia="zh-CN"/>
        </w:rPr>
      </w:pPr>
    </w:p>
    <w:p>
      <w:pPr>
        <w:autoSpaceDE w:val="0"/>
        <w:autoSpaceDN w:val="0"/>
        <w:adjustRightInd w:val="0"/>
        <w:spacing w:line="360" w:lineRule="auto"/>
        <w:ind w:firstLine="422" w:firstLineChars="20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四、磋商</w:t>
      </w:r>
    </w:p>
    <w:p>
      <w:pPr>
        <w:pStyle w:val="5"/>
        <w:spacing w:before="0" w:after="0" w:line="360" w:lineRule="auto"/>
        <w:ind w:left="720" w:hanging="7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sz w:val="21"/>
          <w:szCs w:val="21"/>
          <w:highlight w:val="none"/>
        </w:rPr>
        <w:t>开标形式</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采购组织机构将按照</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规定的时间通过“政府采购云平台”组织开标、开启投标文件，所有供应商均应当准时在线参加。</w:t>
      </w:r>
    </w:p>
    <w:p>
      <w:pPr>
        <w:pStyle w:val="5"/>
        <w:spacing w:before="0" w:after="0" w:line="360" w:lineRule="auto"/>
        <w:ind w:left="720" w:hanging="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 开标准备</w:t>
      </w:r>
    </w:p>
    <w:p>
      <w:pPr>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2.1开标的准备工作由采购组织机构负责落实；</w:t>
      </w:r>
    </w:p>
    <w:p>
      <w:pPr>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r>
        <w:rPr>
          <w:rFonts w:hint="eastAsia" w:ascii="宋体" w:hAnsi="宋体" w:eastAsia="宋体" w:cs="宋体"/>
          <w:b/>
          <w:color w:val="auto"/>
          <w:sz w:val="21"/>
          <w:szCs w:val="21"/>
          <w:highlight w:val="none"/>
        </w:rPr>
        <w:t>采购组织机构将按照</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规定的时间通过“政府采购云平台”组织开标、开启投标文件，所有供应商均应当准时在线参加。</w:t>
      </w:r>
      <w:r>
        <w:rPr>
          <w:rFonts w:hint="eastAsia" w:ascii="宋体" w:hAnsi="宋体" w:eastAsia="宋体" w:cs="宋体"/>
          <w:b/>
          <w:color w:val="auto"/>
          <w:kern w:val="0"/>
          <w:sz w:val="21"/>
          <w:szCs w:val="21"/>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5"/>
        <w:spacing w:before="0" w:after="0" w:line="360" w:lineRule="auto"/>
        <w:ind w:left="720" w:hanging="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开标流程（两阶段）</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3.1开标第一阶段</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3.1.1</w:t>
      </w:r>
      <w:r>
        <w:rPr>
          <w:rFonts w:hint="eastAsia" w:ascii="宋体" w:hAnsi="宋体" w:eastAsia="宋体" w:cs="宋体"/>
          <w:color w:val="auto"/>
          <w:kern w:val="0"/>
          <w:sz w:val="21"/>
          <w:szCs w:val="21"/>
          <w:highlight w:val="none"/>
        </w:rPr>
        <w:t>向各投标供应商发出电子加密投标文件【开始解密】通知，由供应商按</w:t>
      </w:r>
      <w:r>
        <w:rPr>
          <w:rFonts w:hint="eastAsia" w:ascii="宋体" w:hAnsi="宋体" w:eastAsia="宋体" w:cs="宋体"/>
          <w:color w:val="auto"/>
          <w:kern w:val="0"/>
          <w:sz w:val="21"/>
          <w:szCs w:val="21"/>
          <w:highlight w:val="none"/>
          <w:lang w:eastAsia="zh-CN"/>
        </w:rPr>
        <w:t>磋商文件</w:t>
      </w:r>
      <w:r>
        <w:rPr>
          <w:rFonts w:hint="eastAsia" w:ascii="宋体" w:hAnsi="宋体" w:eastAsia="宋体" w:cs="宋体"/>
          <w:color w:val="auto"/>
          <w:kern w:val="0"/>
          <w:sz w:val="21"/>
          <w:szCs w:val="21"/>
          <w:highlight w:val="none"/>
        </w:rPr>
        <w:t>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3.1.2</w:t>
      </w:r>
      <w:r>
        <w:rPr>
          <w:rFonts w:hint="eastAsia" w:ascii="宋体" w:hAnsi="宋体" w:eastAsia="宋体" w:cs="宋体"/>
          <w:color w:val="auto"/>
          <w:kern w:val="0"/>
          <w:sz w:val="21"/>
          <w:szCs w:val="21"/>
          <w:highlight w:val="none"/>
        </w:rPr>
        <w:t>投标文件解密结束，通过邮件形式发送各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组织签署《政府采购活动现场确认声明书》；</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3.1.3</w:t>
      </w:r>
      <w:r>
        <w:rPr>
          <w:rFonts w:hint="eastAsia" w:ascii="宋体" w:hAnsi="宋体" w:eastAsia="宋体" w:cs="宋体"/>
          <w:color w:val="auto"/>
          <w:kern w:val="0"/>
          <w:sz w:val="21"/>
          <w:szCs w:val="21"/>
          <w:highlight w:val="none"/>
        </w:rPr>
        <w:t>开启投标文件，进入资格审查；</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3.1.4</w:t>
      </w:r>
      <w:r>
        <w:rPr>
          <w:rFonts w:hint="eastAsia" w:ascii="宋体" w:hAnsi="宋体" w:eastAsia="宋体" w:cs="宋体"/>
          <w:color w:val="auto"/>
          <w:kern w:val="0"/>
          <w:sz w:val="21"/>
          <w:szCs w:val="21"/>
          <w:highlight w:val="none"/>
        </w:rPr>
        <w:t>开启资格审查通过的投标供应商的商务技术文件进入符合性审查、商务技术评审；</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3.1.5</w:t>
      </w:r>
      <w:r>
        <w:rPr>
          <w:rFonts w:hint="eastAsia" w:ascii="宋体" w:hAnsi="宋体" w:eastAsia="宋体" w:cs="宋体"/>
          <w:color w:val="auto"/>
          <w:kern w:val="0"/>
          <w:sz w:val="21"/>
          <w:szCs w:val="21"/>
          <w:highlight w:val="none"/>
        </w:rPr>
        <w:t>第一阶段开标结束。</w:t>
      </w:r>
    </w:p>
    <w:p>
      <w:pPr>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3.2开标大会第二阶段</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3.2.1</w:t>
      </w:r>
      <w:r>
        <w:rPr>
          <w:rFonts w:hint="eastAsia" w:ascii="宋体" w:hAnsi="宋体" w:eastAsia="宋体" w:cs="宋体"/>
          <w:color w:val="auto"/>
          <w:kern w:val="0"/>
          <w:sz w:val="21"/>
          <w:szCs w:val="21"/>
          <w:highlight w:val="none"/>
        </w:rPr>
        <w:t>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3.2.2</w:t>
      </w:r>
      <w:r>
        <w:rPr>
          <w:rFonts w:hint="eastAsia" w:ascii="宋体" w:hAnsi="宋体" w:eastAsia="宋体" w:cs="宋体"/>
          <w:color w:val="auto"/>
          <w:kern w:val="0"/>
          <w:sz w:val="21"/>
          <w:szCs w:val="21"/>
          <w:highlight w:val="none"/>
        </w:rPr>
        <w:t>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3.2.3</w:t>
      </w:r>
      <w:r>
        <w:rPr>
          <w:rFonts w:hint="eastAsia" w:ascii="宋体" w:hAnsi="宋体" w:eastAsia="宋体" w:cs="宋体"/>
          <w:color w:val="auto"/>
          <w:kern w:val="0"/>
          <w:sz w:val="21"/>
          <w:szCs w:val="21"/>
          <w:highlight w:val="none"/>
        </w:rPr>
        <w:t>评审结束后，通过发送邮件形式公布中标（成交）候选供应商名单，及采购人最终确定中标或成交供应商名单的时间和公告方式等。</w:t>
      </w:r>
    </w:p>
    <w:p>
      <w:pPr>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特别说明：如遇“政府采购云平台”电子化开标或评审程序调整的，按调整后程序执行。</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五、评标</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评标工作由按有关规定组建的</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zh-CN"/>
        </w:rPr>
        <w:t>负责。</w:t>
      </w:r>
      <w:r>
        <w:rPr>
          <w:rFonts w:hint="eastAsia" w:ascii="宋体" w:hAnsi="宋体" w:eastAsia="宋体" w:cs="宋体"/>
          <w:color w:val="auto"/>
          <w:sz w:val="21"/>
          <w:szCs w:val="21"/>
          <w:highlight w:val="none"/>
          <w:lang w:val="zh-CN" w:eastAsia="zh-CN"/>
        </w:rPr>
        <w:t>磋商小组</w:t>
      </w:r>
      <w:r>
        <w:rPr>
          <w:rFonts w:hint="eastAsia" w:ascii="宋体" w:hAnsi="宋体" w:eastAsia="宋体" w:cs="宋体"/>
          <w:color w:val="auto"/>
          <w:sz w:val="21"/>
          <w:szCs w:val="21"/>
          <w:highlight w:val="none"/>
          <w:lang w:val="zh-CN"/>
        </w:rPr>
        <w:t>由</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人熟悉相关业务的代表，以及有关技术、经济等方面的专家组成。</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（一）组织评标程序</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代理机构将按照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核验出席评审活动现场的</w:t>
      </w:r>
      <w:r>
        <w:rPr>
          <w:rFonts w:hint="eastAsia" w:ascii="宋体" w:hAnsi="宋体" w:eastAsia="宋体" w:cs="宋体"/>
          <w:color w:val="auto"/>
          <w:sz w:val="21"/>
          <w:szCs w:val="21"/>
          <w:highlight w:val="none"/>
          <w:lang w:val="zh-CN" w:eastAsia="zh-CN"/>
        </w:rPr>
        <w:t>磋商小组</w:t>
      </w:r>
      <w:r>
        <w:rPr>
          <w:rFonts w:hint="eastAsia" w:ascii="宋体" w:hAnsi="宋体" w:eastAsia="宋体" w:cs="宋体"/>
          <w:color w:val="auto"/>
          <w:sz w:val="21"/>
          <w:szCs w:val="21"/>
          <w:highlight w:val="none"/>
          <w:lang w:val="zh-CN"/>
        </w:rPr>
        <w:t>各成员和相关监督人员身份，并要求其登记、签到，按规定统一收缴、保存其通讯工具，无关人员一律拒绝其进入评审现场。</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介绍评审现场的人员情况，宣布评审工作纪律，告知评审人员应当回避情形；组织推选</w:t>
      </w:r>
      <w:r>
        <w:rPr>
          <w:rFonts w:hint="eastAsia" w:ascii="宋体" w:hAnsi="宋体" w:eastAsia="宋体" w:cs="宋体"/>
          <w:color w:val="auto"/>
          <w:sz w:val="21"/>
          <w:szCs w:val="21"/>
          <w:highlight w:val="none"/>
          <w:lang w:val="zh-CN" w:eastAsia="zh-CN"/>
        </w:rPr>
        <w:t>磋商小组</w:t>
      </w:r>
      <w:r>
        <w:rPr>
          <w:rFonts w:hint="eastAsia" w:ascii="宋体" w:hAnsi="宋体" w:eastAsia="宋体" w:cs="宋体"/>
          <w:color w:val="auto"/>
          <w:sz w:val="21"/>
          <w:szCs w:val="21"/>
          <w:highlight w:val="none"/>
          <w:lang w:val="zh-CN"/>
        </w:rPr>
        <w:t>组长。</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宣读提交</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zh-CN"/>
        </w:rPr>
        <w:t>文件的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名单，组织</w:t>
      </w:r>
      <w:r>
        <w:rPr>
          <w:rFonts w:hint="eastAsia" w:ascii="宋体" w:hAnsi="宋体" w:eastAsia="宋体" w:cs="宋体"/>
          <w:color w:val="auto"/>
          <w:sz w:val="21"/>
          <w:szCs w:val="21"/>
          <w:highlight w:val="none"/>
          <w:lang w:val="zh-CN" w:eastAsia="zh-CN"/>
        </w:rPr>
        <w:t>磋商小组</w:t>
      </w:r>
      <w:r>
        <w:rPr>
          <w:rFonts w:hint="eastAsia" w:ascii="宋体" w:hAnsi="宋体" w:eastAsia="宋体" w:cs="宋体"/>
          <w:color w:val="auto"/>
          <w:sz w:val="21"/>
          <w:szCs w:val="21"/>
          <w:highlight w:val="none"/>
          <w:lang w:val="zh-CN"/>
        </w:rPr>
        <w:t>各位成员签订《评审人员廉洁自律承诺书》。</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根据需要简要介绍</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文件（含补充文件）制定及质疑答复情况、按书面陈述项目基本情况及评审工作需注意事项等，让评审专家尽快知悉和了解所评审项目的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需求、评审依据、评审标准、工作程序等；提醒</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zh-CN"/>
        </w:rPr>
        <w:t>对客观评审项目应统一评审依据和评审标准，对主观评审项目应确定大致的评审要求和评审尺度；对评审人员提出的有关</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zh-CN"/>
        </w:rPr>
        <w:t>文件的问题进行必要的说明、解释或讨论。</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zh-CN"/>
        </w:rPr>
        <w:t>组长组织评审人员独立评审。</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zh-CN"/>
        </w:rPr>
        <w:t>对拟认定为</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zh-CN"/>
        </w:rPr>
        <w:t>文件无效，应组织相关</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代表进行陈述、澄清或申辩；代理机构可协助</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zh-CN"/>
        </w:rPr>
        <w:t>组长对打分结果进行校对、核对。</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做好评审现场相关记录，协助</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zh-CN"/>
        </w:rPr>
        <w:t>组长做好评审报告起草、有关内容电脑文字录入等工作，并要求</w:t>
      </w:r>
      <w:r>
        <w:rPr>
          <w:rFonts w:hint="eastAsia" w:ascii="宋体" w:hAnsi="宋体" w:eastAsia="宋体" w:cs="宋体"/>
          <w:color w:val="auto"/>
          <w:sz w:val="21"/>
          <w:szCs w:val="21"/>
          <w:highlight w:val="none"/>
          <w:lang w:val="zh-CN" w:eastAsia="zh-CN"/>
        </w:rPr>
        <w:t>磋商小组</w:t>
      </w:r>
      <w:r>
        <w:rPr>
          <w:rFonts w:hint="eastAsia" w:ascii="宋体" w:hAnsi="宋体" w:eastAsia="宋体" w:cs="宋体"/>
          <w:color w:val="auto"/>
          <w:sz w:val="21"/>
          <w:szCs w:val="21"/>
          <w:highlight w:val="none"/>
          <w:lang w:val="zh-CN"/>
        </w:rPr>
        <w:t>各成员签字确认。</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评审结束后，代理机构应对</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zh-CN"/>
        </w:rPr>
        <w:t>各成员的专业水平、职业道德、遵纪守法等情况进行评价；同时按规定向评审专家发放评审费，并交还评审人员及其他现场相关人员的通讯工具。</w:t>
      </w:r>
    </w:p>
    <w:p>
      <w:pPr>
        <w:spacing w:line="360" w:lineRule="auto"/>
        <w:ind w:right="84"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（二）</w:t>
      </w:r>
      <w:r>
        <w:rPr>
          <w:rFonts w:hint="eastAsia" w:ascii="宋体" w:hAnsi="宋体" w:eastAsia="宋体" w:cs="宋体"/>
          <w:b/>
          <w:color w:val="auto"/>
          <w:sz w:val="21"/>
          <w:szCs w:val="21"/>
          <w:highlight w:val="none"/>
          <w:lang w:val="zh-CN" w:eastAsia="zh-CN"/>
        </w:rPr>
        <w:t>磋商小组</w:t>
      </w:r>
      <w:r>
        <w:rPr>
          <w:rFonts w:hint="eastAsia" w:ascii="宋体" w:hAnsi="宋体" w:eastAsia="宋体" w:cs="宋体"/>
          <w:b/>
          <w:color w:val="auto"/>
          <w:sz w:val="21"/>
          <w:szCs w:val="21"/>
          <w:highlight w:val="none"/>
          <w:lang w:val="zh-CN"/>
        </w:rPr>
        <w:t>评审程序</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1.在评审专家中推选</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组长，优先推选资深专家为组长。</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2.评审人员应认真阅读</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文件以及相关补充、质疑、答复文件、项目书面说明等材料，熟悉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项目的基本概况，</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项目的质量要求、数量、主要技术标准或服务需求，合同主要条款，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无效情形，评审方法、评审依据、评审标准等。</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3.评审人员对各</w:t>
      </w:r>
      <w:r>
        <w:rPr>
          <w:rFonts w:hint="eastAsia" w:ascii="宋体" w:hAnsi="宋体" w:eastAsia="宋体" w:cs="宋体"/>
          <w:color w:val="auto"/>
          <w:sz w:val="21"/>
          <w:szCs w:val="21"/>
          <w:highlight w:val="none"/>
          <w:lang w:val="en-US" w:eastAsia="zh-CN"/>
        </w:rPr>
        <w:t>供应商磋商响应</w:t>
      </w:r>
      <w:r>
        <w:rPr>
          <w:rFonts w:hint="eastAsia" w:ascii="宋体" w:hAnsi="宋体" w:eastAsia="宋体" w:cs="宋体"/>
          <w:color w:val="auto"/>
          <w:sz w:val="21"/>
          <w:szCs w:val="21"/>
          <w:highlight w:val="none"/>
        </w:rPr>
        <w:t>文件的有效性、完整性和响应程度进行审查，确定是否对</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文件作出实质性响应。</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4.评审人员按</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文件规定的评审方法和评审标准，依法独立对各</w:t>
      </w:r>
      <w:r>
        <w:rPr>
          <w:rFonts w:hint="eastAsia" w:ascii="宋体" w:hAnsi="宋体" w:eastAsia="宋体" w:cs="宋体"/>
          <w:color w:val="auto"/>
          <w:sz w:val="21"/>
          <w:szCs w:val="21"/>
          <w:highlight w:val="none"/>
          <w:lang w:val="en-US" w:eastAsia="zh-CN"/>
        </w:rPr>
        <w:t>供应商磋商响应</w:t>
      </w:r>
      <w:r>
        <w:rPr>
          <w:rFonts w:hint="eastAsia" w:ascii="宋体" w:hAnsi="宋体" w:eastAsia="宋体" w:cs="宋体"/>
          <w:color w:val="auto"/>
          <w:sz w:val="21"/>
          <w:szCs w:val="21"/>
          <w:highlight w:val="none"/>
        </w:rPr>
        <w:t>文件进行评估、比较，并给予评价或打分，不受任何单位和个人的干预。</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5.评审人员对各</w:t>
      </w:r>
      <w:r>
        <w:rPr>
          <w:rFonts w:hint="eastAsia" w:ascii="宋体" w:hAnsi="宋体" w:eastAsia="宋体" w:cs="宋体"/>
          <w:color w:val="auto"/>
          <w:sz w:val="21"/>
          <w:szCs w:val="21"/>
          <w:highlight w:val="none"/>
          <w:lang w:val="en-US" w:eastAsia="zh-CN"/>
        </w:rPr>
        <w:t>供应商磋商响应</w:t>
      </w:r>
      <w:r>
        <w:rPr>
          <w:rFonts w:hint="eastAsia" w:ascii="宋体" w:hAnsi="宋体" w:eastAsia="宋体" w:cs="宋体"/>
          <w:color w:val="auto"/>
          <w:sz w:val="21"/>
          <w:szCs w:val="21"/>
          <w:highlight w:val="none"/>
        </w:rPr>
        <w:t>文件非实质性内容有疑议或异议，或者审查发现明显的文字或计算错误等，及时向</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组长提出。经</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商议认为需要</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作出必要澄清或、说明或者补正</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作出澄清、说明或者补正。提交澄清、说明或补正的时间</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接到工作人员电话通知后半小时内，</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已经明确表示澄清、说明或补正完毕的除外。请</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期间电话保持畅通，如未及时接听电话，视为放弃澄清、说明或补正的权利。</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拒绝澄清</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有权对该</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文件作出不利于</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的评判。</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的报价，有可能影响产品质量或者不能诚信履约的，应当要求其在接到工作人员通知后半小时内作出</w:t>
      </w:r>
      <w:r>
        <w:rPr>
          <w:rFonts w:hint="eastAsia" w:ascii="宋体" w:hAnsi="宋体" w:eastAsia="宋体" w:cs="宋体"/>
          <w:color w:val="auto"/>
          <w:sz w:val="21"/>
          <w:szCs w:val="21"/>
          <w:highlight w:val="none"/>
          <w:lang w:val="en-US" w:eastAsia="zh-CN"/>
        </w:rPr>
        <w:t>书面说明</w:t>
      </w:r>
      <w:r>
        <w:rPr>
          <w:rFonts w:hint="eastAsia" w:ascii="宋体" w:hAnsi="宋体" w:eastAsia="宋体" w:cs="宋体"/>
          <w:color w:val="auto"/>
          <w:sz w:val="21"/>
          <w:szCs w:val="21"/>
          <w:highlight w:val="none"/>
        </w:rPr>
        <w:t>，必要时提交相关证明材料；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应当将其作为无效标处理。</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7.评审人员需对</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根据评审汇总情况和</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文件规定确定中标候选人排序名单。</w:t>
      </w:r>
    </w:p>
    <w:p>
      <w:pPr>
        <w:spacing w:line="360" w:lineRule="auto"/>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9.起草评审报告，所有评审人员须在评审报告上签字确认。</w:t>
      </w:r>
    </w:p>
    <w:p>
      <w:pPr>
        <w:autoSpaceDE w:val="0"/>
        <w:autoSpaceDN w:val="0"/>
        <w:adjustRightInd w:val="0"/>
        <w:spacing w:line="36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（三）无效标与废标</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1.发生下列情况之一的</w:t>
      </w:r>
      <w:r>
        <w:rPr>
          <w:rFonts w:hint="eastAsia" w:ascii="宋体" w:hAnsi="宋体" w:eastAsia="宋体" w:cs="宋体"/>
          <w:b/>
          <w:color w:val="auto"/>
          <w:sz w:val="21"/>
          <w:szCs w:val="21"/>
          <w:highlight w:val="none"/>
          <w:lang w:val="en-US" w:eastAsia="zh-CN"/>
        </w:rPr>
        <w:t>磋商响应</w:t>
      </w:r>
      <w:r>
        <w:rPr>
          <w:rFonts w:hint="eastAsia" w:ascii="宋体" w:hAnsi="宋体" w:eastAsia="宋体" w:cs="宋体"/>
          <w:b/>
          <w:color w:val="auto"/>
          <w:sz w:val="21"/>
          <w:szCs w:val="21"/>
          <w:highlight w:val="none"/>
        </w:rPr>
        <w:t>文件被视为无效标：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lang w:val="en-US" w:eastAsia="zh-CN"/>
        </w:rPr>
        <w:t>磋商响应</w:t>
      </w:r>
      <w:r>
        <w:rPr>
          <w:rFonts w:hint="eastAsia" w:ascii="宋体" w:hAnsi="宋体" w:eastAsia="宋体" w:cs="宋体"/>
          <w:b/>
          <w:color w:val="auto"/>
          <w:sz w:val="21"/>
          <w:szCs w:val="21"/>
          <w:highlight w:val="none"/>
        </w:rPr>
        <w:t>文件中的</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color w:val="auto"/>
          <w:sz w:val="21"/>
          <w:szCs w:val="21"/>
          <w:highlight w:val="none"/>
        </w:rPr>
        <w:t>货物出现重大偏差的</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文件未按</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文件要求签署、盖章的；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（3）不具备</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文件中规定资格要求的；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（4）报价超过</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文件中规定的预算金额或者最高限</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rPr>
        <w:t>价的；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（5）未实质性响应</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文件中打“</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”条款或者</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文件含有采购人不能接受的附加条件的；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文件实质性内容填写不全或模糊不清，无法辨认的；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磋商响应文件中</w:t>
      </w:r>
      <w:r>
        <w:rPr>
          <w:rFonts w:hint="eastAsia" w:ascii="宋体" w:hAnsi="宋体" w:eastAsia="宋体" w:cs="宋体"/>
          <w:color w:val="auto"/>
          <w:sz w:val="21"/>
          <w:szCs w:val="21"/>
          <w:highlight w:val="none"/>
        </w:rPr>
        <w:t>技术方案不明确，存在一个或一个以</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rPr>
        <w:t>备选（替代）方案的；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有效期、项目工期、质保期、付款方式等条款不能满足</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应当将其作为无效标处理；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法律、法规和</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文件规定的其他无效情形（包括被拒绝情形）。</w:t>
      </w:r>
    </w:p>
    <w:p>
      <w:pPr>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（11）有</w:t>
      </w:r>
      <w:r>
        <w:rPr>
          <w:rFonts w:hint="eastAsia" w:ascii="宋体" w:hAnsi="宋体" w:cs="宋体"/>
          <w:color w:val="auto"/>
          <w:sz w:val="21"/>
          <w:szCs w:val="21"/>
          <w:highlight w:val="none"/>
          <w:lang w:val="en-US" w:eastAsia="zh-CN"/>
        </w:rPr>
        <w:t>下列</w:t>
      </w:r>
      <w:r>
        <w:rPr>
          <w:rFonts w:hint="eastAsia" w:ascii="宋体" w:hAnsi="宋体" w:eastAsia="宋体" w:cs="宋体"/>
          <w:color w:val="auto"/>
          <w:sz w:val="21"/>
          <w:szCs w:val="21"/>
          <w:highlight w:val="none"/>
          <w:lang w:eastAsia="zh-Hans"/>
        </w:rPr>
        <w:t>情形之一的，视为投标人串通投标，其投标无效，并移送采购监管部门：</w:t>
      </w:r>
    </w:p>
    <w:p>
      <w:pPr>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Hans"/>
        </w:rPr>
        <w:t>不同投标人的投标文件由同一单位或者个人编制；</w:t>
      </w:r>
    </w:p>
    <w:p>
      <w:pPr>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Hans"/>
        </w:rPr>
        <w:t>不同投标人委托同一单位或者个人办理投标事宜；</w:t>
      </w:r>
    </w:p>
    <w:p>
      <w:pPr>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Hans"/>
        </w:rPr>
        <w:t>不同投标人的投标文件载明的项目管理成员或者联系人员为同一人；</w:t>
      </w:r>
    </w:p>
    <w:p>
      <w:pPr>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eastAsia="zh-Hans"/>
        </w:rPr>
        <w:t>不同投标人的投标文件异常一致或者投标报价呈规律性差异；</w:t>
      </w:r>
    </w:p>
    <w:p>
      <w:pPr>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lang w:eastAsia="zh-Hans"/>
        </w:rPr>
        <w:t>不同投标人的投标文件相互</w:t>
      </w:r>
      <w:r>
        <w:rPr>
          <w:rFonts w:hint="eastAsia" w:ascii="宋体" w:hAnsi="宋体" w:eastAsia="宋体" w:cs="宋体"/>
          <w:color w:val="auto"/>
          <w:sz w:val="21"/>
          <w:szCs w:val="21"/>
          <w:highlight w:val="none"/>
          <w:lang w:val="en-US" w:eastAsia="zh-CN"/>
        </w:rPr>
        <w:t>混淆</w:t>
      </w:r>
      <w:r>
        <w:rPr>
          <w:rFonts w:hint="eastAsia" w:ascii="宋体" w:hAnsi="宋体" w:eastAsia="宋体" w:cs="宋体"/>
          <w:color w:val="auto"/>
          <w:sz w:val="21"/>
          <w:szCs w:val="21"/>
          <w:highlight w:val="none"/>
          <w:lang w:eastAsia="zh-Hans"/>
        </w:rPr>
        <w:t>；</w:t>
      </w:r>
    </w:p>
    <w:p>
      <w:pPr>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（12）不同供应商的投标文件制作机器码一致的；</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Hans"/>
        </w:rPr>
        <w:t>（13）投标文件存在虚假材料的</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Hans"/>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highlight w:val="none"/>
        </w:rPr>
        <w:t>被责令停业的；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Hans"/>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highlight w:val="none"/>
        </w:rPr>
        <w:t>被暂停或取消投标资格的（包括项目负责人）；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highlight w:val="none"/>
        </w:rPr>
        <w:t>安全生产许可证超出有效期或处于暂扣时限内的；</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Hans"/>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highlight w:val="none"/>
        </w:rPr>
        <w:t>浙江省外企业《省外企业进浙承接业务备案证明》超出有效期或未能在“浙江省建筑市场监管公共服务系统”对外发布形成的备案信息中显示的或已注销的。</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2、发生下列情况之一的视为废标：</w:t>
      </w:r>
    </w:p>
    <w:p>
      <w:pPr>
        <w:autoSpaceDE w:val="0"/>
        <w:autoSpaceDN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（1）出现影响采购公正的违法、违规、欺骗行为的；</w:t>
      </w:r>
    </w:p>
    <w:p>
      <w:pPr>
        <w:autoSpaceDE w:val="0"/>
        <w:autoSpaceDN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（2）因重大变故，采购任务取消的；</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（3）提交</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文件供应商或符合资格条件供应商或实质性响应供应商不足三家的。</w:t>
      </w:r>
    </w:p>
    <w:p>
      <w:pPr>
        <w:autoSpaceDE w:val="0"/>
        <w:autoSpaceDN w:val="0"/>
        <w:adjustRightInd w:val="0"/>
        <w:spacing w:line="360" w:lineRule="auto"/>
        <w:ind w:right="84"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（四）错误修正</w:t>
      </w:r>
    </w:p>
    <w:p>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rPr>
        <w:t>文件报价出现前后不一致的，按照下列规定修正：</w:t>
      </w:r>
    </w:p>
    <w:p>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rPr>
        <w:t>文件中</w:t>
      </w:r>
      <w:r>
        <w:rPr>
          <w:rFonts w:hint="eastAsia" w:ascii="宋体" w:hAnsi="宋体" w:eastAsia="宋体" w:cs="宋体"/>
          <w:color w:val="auto"/>
          <w:kern w:val="0"/>
          <w:sz w:val="21"/>
          <w:szCs w:val="21"/>
          <w:highlight w:val="none"/>
          <w:lang w:val="en-US" w:eastAsia="zh-CN"/>
        </w:rPr>
        <w:t>磋商报价一览表</w:t>
      </w:r>
      <w:r>
        <w:rPr>
          <w:rFonts w:hint="eastAsia" w:ascii="宋体" w:hAnsi="宋体" w:eastAsia="宋体" w:cs="宋体"/>
          <w:color w:val="auto"/>
          <w:kern w:val="0"/>
          <w:sz w:val="21"/>
          <w:szCs w:val="21"/>
          <w:highlight w:val="none"/>
        </w:rPr>
        <w:t>内容与</w:t>
      </w:r>
      <w:r>
        <w:rPr>
          <w:rFonts w:hint="eastAsia" w:ascii="宋体" w:hAnsi="宋体" w:eastAsia="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rPr>
        <w:t>文件中相应内容不一致的，以</w:t>
      </w:r>
      <w:r>
        <w:rPr>
          <w:rFonts w:hint="eastAsia" w:ascii="宋体" w:hAnsi="宋体" w:eastAsia="宋体" w:cs="宋体"/>
          <w:color w:val="auto"/>
          <w:kern w:val="0"/>
          <w:sz w:val="21"/>
          <w:szCs w:val="21"/>
          <w:highlight w:val="none"/>
          <w:lang w:val="en-US" w:eastAsia="zh-CN"/>
        </w:rPr>
        <w:t>磋商报价一览表</w:t>
      </w:r>
      <w:r>
        <w:rPr>
          <w:rFonts w:hint="eastAsia" w:ascii="宋体" w:hAnsi="宋体" w:eastAsia="宋体" w:cs="宋体"/>
          <w:color w:val="auto"/>
          <w:kern w:val="0"/>
          <w:sz w:val="21"/>
          <w:szCs w:val="21"/>
          <w:highlight w:val="none"/>
        </w:rPr>
        <w:t>为准；</w:t>
      </w:r>
    </w:p>
    <w:p>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②大写金额和小写金额不一致的，以大写金额为准；</w:t>
      </w:r>
    </w:p>
    <w:p>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③单价金额小数点或者百分比有明显错位的，以</w:t>
      </w:r>
      <w:r>
        <w:rPr>
          <w:rFonts w:hint="eastAsia" w:ascii="宋体" w:hAnsi="宋体" w:eastAsia="宋体" w:cs="宋体"/>
          <w:color w:val="auto"/>
          <w:kern w:val="0"/>
          <w:sz w:val="21"/>
          <w:szCs w:val="21"/>
          <w:highlight w:val="none"/>
          <w:lang w:val="en-US" w:eastAsia="zh-CN"/>
        </w:rPr>
        <w:t>磋商报价一览表</w:t>
      </w:r>
      <w:r>
        <w:rPr>
          <w:rFonts w:hint="eastAsia" w:ascii="宋体" w:hAnsi="宋体" w:eastAsia="宋体" w:cs="宋体"/>
          <w:color w:val="auto"/>
          <w:kern w:val="0"/>
          <w:sz w:val="21"/>
          <w:szCs w:val="21"/>
          <w:highlight w:val="none"/>
        </w:rPr>
        <w:t>的总价为准，并修改单价；</w:t>
      </w:r>
    </w:p>
    <w:p>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④总价金额与按单价汇总金额不一致的，以单价金额计算结果为准；</w:t>
      </w:r>
    </w:p>
    <w:p>
      <w:pPr>
        <w:autoSpaceDE w:val="0"/>
        <w:autoSpaceDN w:val="0"/>
        <w:adjustRightInd w:val="0"/>
        <w:spacing w:line="360" w:lineRule="auto"/>
        <w:ind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rPr>
        <w:t>如同时出现两种以上不一致的，按照前款规定的顺序修正。修正后的报价经</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确认后产生约束力，</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不确认的，其</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无效。</w:t>
      </w:r>
    </w:p>
    <w:p>
      <w:pPr>
        <w:autoSpaceDE w:val="0"/>
        <w:autoSpaceDN w:val="0"/>
        <w:adjustRightInd w:val="0"/>
        <w:spacing w:line="36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（五）评标原则和评标办法</w:t>
      </w:r>
    </w:p>
    <w:p>
      <w:pPr>
        <w:pStyle w:val="15"/>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必须公平、公正、客观，不带任何倾向性和启发性；不得向外界透露任何与评标有关的内容；任何单位和个人不得干扰、影响评标的正常进行；</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及有关工作人员不得私下与</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接触。</w:t>
      </w:r>
    </w:p>
    <w:p>
      <w:pPr>
        <w:pStyle w:val="15"/>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2、评标办法：具体评标内容及评分标准等详见本</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文件“第四部分”。</w:t>
      </w:r>
    </w:p>
    <w:p>
      <w:pPr>
        <w:pStyle w:val="15"/>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（六）评标过程的监控</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1、本项目评标过程实行全程录音、录像监控，</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在评标过程中所进行的试图影响评标结果的不公正活动，可能导致其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被拒绝。</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2、评审过程中出现录音录像采集设备不能正常运行的，应当立即封存评审资料、中止评审活动，直至设备（或替代设备）运转正常或转移至符合条件的场所后继续进行评审工作。</w:t>
      </w:r>
    </w:p>
    <w:p>
      <w:pPr>
        <w:pStyle w:val="25"/>
        <w:snapToGrid w:val="0"/>
        <w:spacing w:before="0" w:beforeLines="0" w:beforeAutospacing="0" w:after="0" w:afterLines="0" w:afterAutospacing="0" w:line="360" w:lineRule="auto"/>
        <w:ind w:firstLine="422" w:firstLineChars="20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六、定标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在评审结束之日起2个工作日内将评审报告送交</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自收到评审报告之日起5个工作日内在评审报告推荐的中标候选人中按顺序确定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之日起2个工作日内，</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在“浙江政府采购网”上发布中标结果公告。中标结果公告将包括中标人名称、地址和中标金额，主要中标标的的名称、规格型号、数量、单价、服务要求以及评审专家名单等内容，但不包括国家秘密、商业秘密</w:t>
      </w:r>
      <w:r>
        <w:rPr>
          <w:rFonts w:hint="eastAsia" w:ascii="宋体" w:hAnsi="宋体" w:eastAsia="宋体" w:cs="宋体"/>
          <w:color w:val="auto"/>
          <w:sz w:val="21"/>
          <w:szCs w:val="21"/>
          <w:highlight w:val="none"/>
          <w:lang w:eastAsia="zh-CN"/>
        </w:rPr>
        <w:t>。</w:t>
      </w:r>
    </w:p>
    <w:p>
      <w:pPr>
        <w:pStyle w:val="25"/>
        <w:snapToGrid w:val="0"/>
        <w:spacing w:before="0" w:beforeLines="0" w:beforeAutospacing="0" w:after="0" w:afterLines="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3、中标通知书发出之日起至合同签订前，</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不得开展项目实质性工作（如订货、施工等）。否则，造成的有关损失由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w:t>
      </w:r>
    </w:p>
    <w:p>
      <w:pPr>
        <w:pStyle w:val="25"/>
        <w:snapToGrid w:val="0"/>
        <w:spacing w:before="0" w:beforeLines="0" w:beforeAutospacing="0" w:after="0" w:afterLines="0" w:afterAutospacing="0" w:line="360" w:lineRule="auto"/>
        <w:ind w:firstLine="422" w:firstLineChars="20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七、合同授予</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应当在《中标通知书》发出之日起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处签订合同。同时，</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对合同内容进行审查，如发现与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结果和</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承诺内容不一致的，应予以纠正。</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无故拖延、拒签合同的，</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有权取消其中标资格。</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签订合同的，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可以按照评审报告推荐的中标候选人名单排序，确定下一候选人为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，也可以重新开展</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活动。同时，拒绝与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签订合同的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，由同级</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部门依法作出处理。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4、询问或者质疑事项可能影响中标结果的，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应当暂停签订合同，已经签订合同的，应当中止履行合同（中标结果的质疑期为中标结果公告期限届满之日起七个工作日）。</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应当自合同签订之日起2个工作日内，将合同在浙江省政府采购网公告，但合同中涉及国家秘密、商业秘密的内容除外。</w:t>
      </w:r>
    </w:p>
    <w:p>
      <w:pPr>
        <w:pStyle w:val="9"/>
        <w:spacing w:line="360" w:lineRule="auto"/>
        <w:ind w:firstLine="480" w:firstLineChars="200"/>
        <w:jc w:val="both"/>
        <w:rPr>
          <w:rFonts w:hint="eastAsia" w:ascii="宋体" w:hAnsi="宋体" w:eastAsia="宋体" w:cs="宋体"/>
          <w:color w:val="auto"/>
          <w:sz w:val="24"/>
          <w:highlight w:val="none"/>
        </w:rPr>
      </w:pPr>
    </w:p>
    <w:p>
      <w:pPr>
        <w:numPr>
          <w:ilvl w:val="0"/>
          <w:numId w:val="4"/>
        </w:numPr>
        <w:spacing w:line="360" w:lineRule="auto"/>
        <w:jc w:val="center"/>
        <w:outlineLvl w:val="0"/>
        <w:rPr>
          <w:rFonts w:hint="eastAsia" w:ascii="宋体" w:hAnsi="宋体" w:eastAsia="宋体" w:cs="宋体"/>
          <w:b/>
          <w:color w:val="auto"/>
          <w:kern w:val="0"/>
          <w:sz w:val="36"/>
          <w:szCs w:val="36"/>
          <w:highlight w:val="none"/>
          <w:lang w:val="en-US" w:eastAsia="zh-CN"/>
        </w:rPr>
      </w:pPr>
      <w:bookmarkStart w:id="34" w:name="_Toc7939"/>
      <w:r>
        <w:rPr>
          <w:rFonts w:hint="eastAsia" w:ascii="宋体" w:hAnsi="宋体" w:eastAsia="宋体" w:cs="宋体"/>
          <w:b/>
          <w:color w:val="auto"/>
          <w:kern w:val="0"/>
          <w:sz w:val="36"/>
          <w:szCs w:val="36"/>
          <w:highlight w:val="none"/>
          <w:lang w:val="en-US" w:eastAsia="zh-CN"/>
        </w:rPr>
        <w:t>采购需求</w:t>
      </w:r>
      <w:bookmarkEnd w:id="34"/>
    </w:p>
    <w:p>
      <w:pPr>
        <w:pStyle w:val="66"/>
        <w:jc w:val="center"/>
        <w:rPr>
          <w:rFonts w:hint="eastAsia" w:ascii="宋体" w:hAnsi="宋体" w:eastAsia="宋体" w:cs="宋体"/>
          <w:color w:val="auto"/>
          <w:highlight w:val="none"/>
        </w:rPr>
      </w:pPr>
      <w:bookmarkStart w:id="35" w:name="_Toc29043"/>
      <w:bookmarkStart w:id="36" w:name="_Toc9256"/>
      <w:bookmarkStart w:id="37" w:name="_Toc534469174"/>
      <w:bookmarkStart w:id="38" w:name="_Toc531162037"/>
      <w:bookmarkStart w:id="39" w:name="_Toc283976561"/>
      <w:bookmarkStart w:id="40" w:name="_Toc394573957"/>
      <w:bookmarkStart w:id="41" w:name="_Toc288556313"/>
      <w:bookmarkStart w:id="42" w:name="_Toc372899887"/>
      <w:bookmarkStart w:id="43" w:name="_Toc283886271"/>
      <w:bookmarkStart w:id="44" w:name="_Toc282596326"/>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工程概况</w:t>
      </w:r>
      <w:bookmarkEnd w:id="35"/>
      <w:bookmarkEnd w:id="36"/>
      <w:bookmarkEnd w:id="37"/>
      <w:bookmarkEnd w:id="38"/>
    </w:p>
    <w:p>
      <w:pPr>
        <w:pStyle w:val="65"/>
        <w:rPr>
          <w:rFonts w:hint="eastAsia" w:ascii="宋体" w:hAnsi="宋体" w:eastAsia="宋体" w:cs="宋体"/>
          <w:color w:val="auto"/>
          <w:highlight w:val="none"/>
        </w:rPr>
      </w:pPr>
      <w:r>
        <w:rPr>
          <w:rFonts w:hint="eastAsia" w:ascii="宋体" w:hAnsi="宋体" w:eastAsia="宋体" w:cs="宋体"/>
          <w:color w:val="auto"/>
          <w:highlight w:val="none"/>
        </w:rPr>
        <w:t>1.1招标工程：</w:t>
      </w:r>
      <w:r>
        <w:rPr>
          <w:rFonts w:hint="eastAsia" w:ascii="宋体" w:hAnsi="宋体" w:cs="宋体"/>
          <w:color w:val="auto"/>
          <w:highlight w:val="none"/>
          <w:lang w:eastAsia="zh-CN"/>
        </w:rPr>
        <w:t>梓林幼儿园改造项目</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 xml:space="preserve"> </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1.2建设规模：</w:t>
      </w:r>
      <w:r>
        <w:rPr>
          <w:rFonts w:hint="eastAsia" w:ascii="宋体" w:hAnsi="宋体" w:eastAsia="宋体" w:cs="宋体"/>
          <w:color w:val="auto"/>
          <w:highlight w:val="none"/>
          <w:lang w:val="en-US" w:eastAsia="zh-CN"/>
        </w:rPr>
        <w:t xml:space="preserve">施工图范围内的全部工程。  </w:t>
      </w:r>
      <w:r>
        <w:rPr>
          <w:rFonts w:hint="eastAsia" w:ascii="宋体" w:hAnsi="宋体" w:eastAsia="宋体" w:cs="宋体"/>
          <w:color w:val="auto"/>
          <w:highlight w:val="none"/>
        </w:rPr>
        <w:t xml:space="preserve">        </w:t>
      </w:r>
    </w:p>
    <w:p>
      <w:pPr>
        <w:pStyle w:val="65"/>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1.3</w:t>
      </w:r>
      <w:r>
        <w:rPr>
          <w:rFonts w:hint="eastAsia" w:ascii="宋体" w:hAnsi="宋体" w:eastAsia="宋体" w:cs="宋体"/>
          <w:color w:val="auto"/>
          <w:highlight w:val="none"/>
          <w:shd w:val="clear" w:color="auto" w:fill="auto"/>
          <w:lang w:val="en-US" w:eastAsia="zh-CN"/>
        </w:rPr>
        <w:t>预算金额</w:t>
      </w: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val="en-US" w:eastAsia="zh-CN"/>
        </w:rPr>
        <w:t>798229</w:t>
      </w:r>
      <w:r>
        <w:rPr>
          <w:rFonts w:hint="eastAsia" w:ascii="宋体" w:hAnsi="宋体" w:eastAsia="宋体" w:cs="宋体"/>
          <w:color w:val="auto"/>
          <w:highlight w:val="none"/>
          <w:shd w:val="clear" w:color="auto" w:fill="auto"/>
          <w:lang w:val="en-US" w:eastAsia="zh-CN"/>
        </w:rPr>
        <w:t>元，</w:t>
      </w:r>
      <w:r>
        <w:rPr>
          <w:rFonts w:hint="eastAsia" w:ascii="宋体" w:hAnsi="宋体" w:eastAsia="宋体" w:cs="宋体"/>
          <w:color w:val="auto"/>
          <w:highlight w:val="none"/>
          <w:shd w:val="clear" w:color="auto" w:fill="auto"/>
        </w:rPr>
        <w:t>最高投标限价：</w:t>
      </w:r>
      <w:r>
        <w:rPr>
          <w:rFonts w:hint="eastAsia" w:ascii="宋体" w:hAnsi="宋体" w:cs="宋体"/>
          <w:color w:val="auto"/>
          <w:highlight w:val="none"/>
          <w:shd w:val="clear" w:color="auto" w:fill="auto"/>
          <w:lang w:val="en-US" w:eastAsia="zh-CN"/>
        </w:rPr>
        <w:t>690468</w:t>
      </w:r>
      <w:r>
        <w:rPr>
          <w:rFonts w:hint="eastAsia" w:ascii="宋体" w:hAnsi="宋体" w:eastAsia="宋体" w:cs="宋体"/>
          <w:color w:val="auto"/>
          <w:highlight w:val="none"/>
          <w:shd w:val="clear" w:color="auto" w:fill="auto"/>
          <w:lang w:val="en-US" w:eastAsia="zh-CN"/>
        </w:rPr>
        <w:t xml:space="preserve"> </w:t>
      </w:r>
      <w:r>
        <w:rPr>
          <w:rFonts w:hint="eastAsia" w:ascii="宋体" w:hAnsi="宋体" w:eastAsia="宋体" w:cs="宋体"/>
          <w:color w:val="auto"/>
          <w:highlight w:val="none"/>
          <w:shd w:val="clear" w:color="auto" w:fill="auto"/>
        </w:rPr>
        <w:t>元</w:t>
      </w:r>
      <w:r>
        <w:rPr>
          <w:rFonts w:hint="eastAsia" w:ascii="宋体" w:hAnsi="宋体" w:eastAsia="宋体" w:cs="宋体"/>
          <w:color w:val="auto"/>
          <w:highlight w:val="none"/>
          <w:shd w:val="clear" w:color="auto" w:fill="auto"/>
          <w:lang w:eastAsia="zh-CN"/>
        </w:rPr>
        <w:t>。</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1.4建设地点：</w:t>
      </w:r>
      <w:r>
        <w:rPr>
          <w:rFonts w:hint="eastAsia" w:ascii="宋体" w:hAnsi="宋体" w:cs="宋体"/>
          <w:color w:val="auto"/>
          <w:highlight w:val="none"/>
          <w:lang w:val="en-US" w:eastAsia="zh-CN"/>
        </w:rPr>
        <w:t>椒江区章安街道行政区域内</w:t>
      </w:r>
      <w:r>
        <w:rPr>
          <w:rFonts w:hint="eastAsia" w:ascii="宋体" w:hAnsi="宋体" w:eastAsia="宋体" w:cs="宋体"/>
          <w:color w:val="auto"/>
          <w:highlight w:val="none"/>
        </w:rPr>
        <w:t xml:space="preserve">         </w:t>
      </w:r>
    </w:p>
    <w:p>
      <w:pPr>
        <w:pStyle w:val="66"/>
        <w:jc w:val="center"/>
        <w:rPr>
          <w:rFonts w:hint="eastAsia" w:ascii="宋体" w:hAnsi="宋体" w:eastAsia="宋体" w:cs="宋体"/>
          <w:color w:val="auto"/>
          <w:highlight w:val="none"/>
          <w:lang w:val="en-US" w:eastAsia="zh-CN"/>
        </w:rPr>
      </w:pPr>
      <w:bookmarkStart w:id="45" w:name="_Toc531162038"/>
      <w:bookmarkStart w:id="46" w:name="_Toc11549"/>
      <w:bookmarkStart w:id="47" w:name="_Toc534469175"/>
      <w:bookmarkStart w:id="48" w:name="_Toc17719"/>
      <w:r>
        <w:rPr>
          <w:rFonts w:hint="eastAsia" w:ascii="宋体" w:hAnsi="宋体" w:eastAsia="宋体" w:cs="宋体"/>
          <w:color w:val="auto"/>
          <w:highlight w:val="none"/>
          <w:lang w:val="en-US" w:eastAsia="zh-CN"/>
        </w:rPr>
        <w:t>2. 技术规范及标准</w:t>
      </w:r>
      <w:bookmarkEnd w:id="45"/>
      <w:bookmarkEnd w:id="46"/>
      <w:bookmarkEnd w:id="47"/>
      <w:bookmarkEnd w:id="48"/>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 依据设计施工图纸和技术文件要求，本工程项目的材料、设备、施工必须达到以下现行中华人民共和国及省、市、行业的一切有关法规、规范的要求，如下述标准及规范要求有出入则以较严格者为准。</w:t>
      </w:r>
    </w:p>
    <w:p>
      <w:pPr>
        <w:pStyle w:val="65"/>
        <w:rPr>
          <w:rFonts w:hint="eastAsia" w:ascii="宋体" w:hAnsi="宋体" w:eastAsia="宋体" w:cs="宋体"/>
          <w:color w:val="auto"/>
          <w:szCs w:val="21"/>
          <w:highlight w:val="none"/>
        </w:rPr>
      </w:pPr>
      <w:r>
        <w:rPr>
          <w:rFonts w:hint="eastAsia" w:ascii="宋体" w:hAnsi="宋体" w:eastAsia="宋体" w:cs="宋体"/>
          <w:color w:val="auto"/>
          <w:highlight w:val="none"/>
        </w:rPr>
        <w:t>《工程测量规范》</w:t>
      </w:r>
      <w:r>
        <w:rPr>
          <w:rFonts w:hint="eastAsia" w:ascii="宋体" w:hAnsi="宋体" w:eastAsia="宋体" w:cs="宋体"/>
          <w:color w:val="auto"/>
          <w:szCs w:val="21"/>
          <w:highlight w:val="none"/>
        </w:rPr>
        <w:t>GB50026-2016</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《城镇</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"http://www.so.com/s?q=%E9%81%93%E8%B7%AF%E5%B7%A5%E7%A8%8B%E6%96%BD%E5%B7%A5&amp;ie=utf-8&amp;src=wenda_link" \t "http://wenda.so.com/q/_blank"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道路工程施工</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与质量验收规范》CJJ1-2008</w:t>
      </w:r>
    </w:p>
    <w:p>
      <w:pPr>
        <w:pStyle w:val="65"/>
        <w:rPr>
          <w:rFonts w:hint="eastAsia" w:ascii="宋体" w:hAnsi="宋体" w:eastAsia="宋体" w:cs="宋体"/>
          <w:color w:val="auto"/>
          <w:szCs w:val="21"/>
          <w:highlight w:val="none"/>
        </w:rPr>
      </w:pPr>
      <w:r>
        <w:rPr>
          <w:rFonts w:hint="eastAsia" w:ascii="宋体" w:hAnsi="宋体" w:eastAsia="宋体" w:cs="宋体"/>
          <w:color w:val="auto"/>
          <w:highlight w:val="none"/>
        </w:rPr>
        <w:t>《给水排水管道工程施工及</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"http://www.so.com/s?q=%E9%AA%8C%E6%94%B6%E8%A7%84%E8%8C%83&amp;ie=utf-8&amp;src=wenda_link" \t "http://wenda.so.com/q/_blank"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验收规范</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》GB50268-2008</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《地基与基础工程施工及验收规范》GB50209-2002</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《混凝土结构工程施工及验收规范》GB50204-2015</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《混凝土质量控制标准》GB50164-2011</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《普通混凝土用砂、石质量标准及检验方法》</w:t>
      </w:r>
      <w:r>
        <w:rPr>
          <w:rFonts w:hint="eastAsia" w:ascii="宋体" w:hAnsi="宋体" w:eastAsia="宋体" w:cs="宋体"/>
          <w:color w:val="auto"/>
          <w:szCs w:val="21"/>
          <w:highlight w:val="none"/>
        </w:rPr>
        <w:t>JGJ52-2006</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《普通混凝土用碎石和卵石质量标准及检验方法》JGJ53-92</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《混凝土外加剂应用技术规范》 GB50119-2013</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《砌体结构工程施工质量验收规范》GB50203-2011</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 xml:space="preserve">《混凝土结构设计规范》GB50010-2010    </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《钢结构施工及验收规范》GB50205-2002</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 xml:space="preserve">《涂装前钢材表面锈蚀等级和除锈等级》GB8923  </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《施工现场临时用电安全技术规范》JGJ46-2005</w:t>
      </w:r>
    </w:p>
    <w:p>
      <w:pPr>
        <w:pStyle w:val="65"/>
        <w:rPr>
          <w:rFonts w:hint="eastAsia" w:ascii="宋体" w:hAnsi="宋体" w:eastAsia="宋体" w:cs="宋体"/>
          <w:color w:val="auto"/>
          <w:highlight w:val="none"/>
        </w:rPr>
      </w:pPr>
      <w:r>
        <w:rPr>
          <w:rFonts w:hint="eastAsia" w:ascii="宋体" w:hAnsi="宋体" w:eastAsia="宋体" w:cs="宋体"/>
          <w:color w:val="auto"/>
          <w:highlight w:val="none"/>
        </w:rPr>
        <w:t>《建筑施工高处作业安全技术规范》JGJ80-2016</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highlight w:val="none"/>
        </w:rPr>
        <w:t>《建筑机械使用安全技术规范》JGJ33-2012</w:t>
      </w:r>
      <w:r>
        <w:rPr>
          <w:rFonts w:hint="eastAsia" w:ascii="宋体" w:hAnsi="宋体" w:eastAsia="宋体" w:cs="宋体"/>
          <w:color w:val="auto"/>
          <w:sz w:val="21"/>
          <w:szCs w:val="21"/>
          <w:highlight w:val="none"/>
        </w:rPr>
        <w:t>《钢结构施工及验收规范》GB50205-2002</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《钢结构防火涂料应用技术规范》CECS 24  </w:t>
      </w:r>
    </w:p>
    <w:p>
      <w:pPr>
        <w:pStyle w:val="65"/>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《门式刚架轻型房屋钢结构技术规程》GB51022-2015  </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《钢结构高强度螺栓连接的设施工及验收规程》JGJ82-91  </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《涂装前钢材表面锈蚀等级和除锈等级》GB8923  </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《施工现场临时用电安全技术规范》JGJ46-2005</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《建筑施工高处作业安全技术规范》JGJ80-2016</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《建筑机械使用安全技术规范》JGJ33-2012</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《建筑内部装修设计防火规范》GB50222-2017</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《建筑装修工程质量验收规范》GB 50210-2001</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《民用建筑工程室内环境污染控制规范》GB 50325－2010</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《采暖通风与空气调节设计规范》GBJ19－2003</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《建筑电气工程施工质量验收规范》GB50303-2015</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《建筑给水排水及采暖施工质量验收规范》GB50242-2002</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《通风与空调工程施工质量验收规范》GB50243-2016</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《火灾自动报警系统设计规范》GB50116-2013</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《火灾自动报警系统施工及验收规范》GB 50166-2007</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《自动喷水灭火系统施工及验收规范》GB 50261-2017</w:t>
      </w:r>
    </w:p>
    <w:p>
      <w:pPr>
        <w:pStyle w:val="25"/>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color w:val="auto"/>
          <w:highlight w:val="none"/>
          <w:lang w:val="en-US"/>
        </w:rPr>
      </w:pPr>
      <w:r>
        <w:rPr>
          <w:rFonts w:hint="eastAsia" w:ascii="宋体" w:hAnsi="宋体" w:eastAsia="宋体" w:cs="宋体"/>
          <w:color w:val="auto"/>
          <w:highlight w:val="none"/>
        </w:rPr>
        <w:t>……</w:t>
      </w:r>
    </w:p>
    <w:p>
      <w:pPr>
        <w:pStyle w:val="12"/>
        <w:rPr>
          <w:rFonts w:hint="eastAsia" w:ascii="宋体" w:hAnsi="宋体" w:eastAsia="宋体" w:cs="宋体"/>
          <w:color w:val="auto"/>
          <w:highlight w:val="none"/>
        </w:rPr>
      </w:pPr>
    </w:p>
    <w:p>
      <w:pPr>
        <w:pStyle w:val="65"/>
        <w:rPr>
          <w:rFonts w:hint="eastAsia" w:ascii="宋体" w:hAnsi="宋体" w:eastAsia="宋体" w:cs="宋体"/>
          <w:color w:val="auto"/>
          <w:highlight w:val="none"/>
        </w:rPr>
      </w:pPr>
      <w:r>
        <w:rPr>
          <w:rFonts w:hint="eastAsia" w:ascii="宋体" w:hAnsi="宋体" w:eastAsia="宋体" w:cs="宋体"/>
          <w:color w:val="auto"/>
          <w:highlight w:val="none"/>
        </w:rPr>
        <w:t>2.2以上技术规范由承包人自备，如有不足之处或未能达到国家最新标准时，承包人应使施工及选用的设备和材料符合最新版本的国家标准、规范。</w:t>
      </w:r>
    </w:p>
    <w:p>
      <w:pPr>
        <w:pStyle w:val="65"/>
        <w:ind w:left="0" w:leftChars="0" w:firstLine="0" w:firstLineChars="0"/>
        <w:rPr>
          <w:rFonts w:hint="eastAsia" w:ascii="宋体" w:hAnsi="宋体" w:eastAsia="宋体" w:cs="宋体"/>
          <w:color w:val="auto"/>
          <w:highlight w:val="none"/>
        </w:rPr>
      </w:pPr>
      <w:bookmarkStart w:id="49" w:name="_Toc9490"/>
      <w:bookmarkStart w:id="50" w:name="_Toc915"/>
      <w:bookmarkStart w:id="51" w:name="_Toc531162039"/>
    </w:p>
    <w:bookmarkEnd w:id="39"/>
    <w:bookmarkEnd w:id="40"/>
    <w:bookmarkEnd w:id="41"/>
    <w:bookmarkEnd w:id="42"/>
    <w:bookmarkEnd w:id="43"/>
    <w:bookmarkEnd w:id="44"/>
    <w:bookmarkEnd w:id="49"/>
    <w:bookmarkEnd w:id="50"/>
    <w:bookmarkEnd w:id="51"/>
    <w:p>
      <w:pPr>
        <w:pStyle w:val="6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3．材料质量要求</w:t>
      </w:r>
    </w:p>
    <w:p>
      <w:pPr>
        <w:pStyle w:val="65"/>
        <w:rPr>
          <w:rFonts w:hint="eastAsia" w:ascii="宋体" w:hAnsi="宋体" w:eastAsia="宋体" w:cs="宋体"/>
          <w:color w:val="auto"/>
          <w:sz w:val="21"/>
          <w:szCs w:val="21"/>
          <w:highlight w:val="none"/>
        </w:rPr>
      </w:pP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材料选择</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（1）本章节附件为“主要设备材料备选品牌一览表”， 投标人在投标时必须按表中所列的备选品牌之一进行报价。</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材料的质量保证</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（2）承包人必须对所承包的工程的质量负全部责任，其责任不因其他材料生产商提供的保证书而减轻或更改。</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（3）材料检验结果证明其有害物质含量指标超标的产品不得在工程上使用。</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供应要求</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（2）由承包人采购的主要建筑材料，当承包人选定的产品质量达不到设计要求和预期质量目标时，发包人保留更换的权利，且中标价不予调整。</w:t>
      </w:r>
    </w:p>
    <w:p>
      <w:pPr>
        <w:pStyle w:val="66"/>
        <w:jc w:val="center"/>
        <w:rPr>
          <w:rFonts w:hint="eastAsia" w:ascii="宋体" w:hAnsi="宋体" w:eastAsia="宋体" w:cs="宋体"/>
          <w:color w:val="auto"/>
          <w:sz w:val="21"/>
          <w:szCs w:val="21"/>
          <w:highlight w:val="none"/>
        </w:rPr>
      </w:pPr>
      <w:bookmarkStart w:id="52" w:name="_Toc1639"/>
      <w:bookmarkStart w:id="53" w:name="_Toc562"/>
      <w:bookmarkStart w:id="54" w:name="_Toc531162040"/>
      <w:r>
        <w:rPr>
          <w:rFonts w:hint="eastAsia" w:ascii="宋体" w:hAnsi="宋体" w:eastAsia="宋体" w:cs="宋体"/>
          <w:color w:val="auto"/>
          <w:sz w:val="21"/>
          <w:szCs w:val="21"/>
          <w:highlight w:val="none"/>
        </w:rPr>
        <w:t>4．工程管理的要求</w:t>
      </w:r>
      <w:bookmarkEnd w:id="52"/>
      <w:bookmarkEnd w:id="53"/>
      <w:bookmarkEnd w:id="54"/>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本工程发包范围内的工程项目，未经发包人同意一律不得分包。一经发现立即取消承包资格，作违约处理，并承担由此引起的一切经济损失。</w:t>
      </w:r>
    </w:p>
    <w:p>
      <w:pPr>
        <w:pStyle w:val="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承包人应严格按已确认设计图纸和施工技术方案组织施工，并无条件地接受发包人委托的监理单位对施工质量的监督和管理。</w:t>
      </w:r>
      <w:bookmarkStart w:id="55" w:name="_Toc282596329"/>
      <w:bookmarkStart w:id="56" w:name="_Toc531162041"/>
      <w:bookmarkStart w:id="57" w:name="_Toc283886274"/>
      <w:bookmarkStart w:id="58" w:name="_Toc25904"/>
      <w:bookmarkStart w:id="59" w:name="_Toc394573961"/>
      <w:bookmarkStart w:id="60" w:name="_Toc283976564"/>
      <w:bookmarkStart w:id="61" w:name="_Toc372899891"/>
      <w:bookmarkStart w:id="62" w:name="_Toc229990374"/>
      <w:bookmarkStart w:id="63" w:name="_Toc288556317"/>
    </w:p>
    <w:p>
      <w:pPr>
        <w:pStyle w:val="65"/>
        <w:numPr>
          <w:ilvl w:val="0"/>
          <w:numId w:val="9"/>
        </w:numPr>
        <w:ind w:firstLine="2940" w:firstLineChars="14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▲商务要求</w:t>
      </w:r>
    </w:p>
    <w:p>
      <w:pPr>
        <w:pStyle w:val="65"/>
        <w:snapToGrid w:val="0"/>
        <w:ind w:left="420" w:left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5.1本工程采用固定结算率方式结算【结算率：中标价/</w:t>
      </w:r>
      <w:r>
        <w:rPr>
          <w:rFonts w:hint="eastAsia" w:ascii="宋体" w:hAnsi="宋体" w:cs="宋体"/>
          <w:color w:val="auto"/>
          <w:szCs w:val="21"/>
          <w:highlight w:val="none"/>
          <w:lang w:val="en-US" w:eastAsia="zh-CN"/>
        </w:rPr>
        <w:t>798229</w:t>
      </w:r>
      <w:r>
        <w:rPr>
          <w:rFonts w:hint="eastAsia" w:ascii="宋体" w:hAnsi="宋体" w:eastAsia="宋体" w:cs="宋体"/>
          <w:color w:val="auto"/>
          <w:sz w:val="21"/>
          <w:szCs w:val="21"/>
          <w:highlight w:val="none"/>
          <w:lang w:val="en-US" w:eastAsia="zh-CN" w:bidi="ar-SA"/>
        </w:rPr>
        <w:t>*100%】。</w:t>
      </w:r>
    </w:p>
    <w:p>
      <w:pPr>
        <w:pStyle w:val="65"/>
        <w:snapToGrid w:val="0"/>
        <w:ind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5.2本工程在施工过程中施工单位须听从招标人安排，由此可能需要增加的费用由各投标单位自行考虑在报价内。</w:t>
      </w:r>
    </w:p>
    <w:p>
      <w:pPr>
        <w:pStyle w:val="65"/>
        <w:snapToGrid w:val="0"/>
        <w:ind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5.3投标人自行踏勘现场，招标人按现场地交付，施工过程中用水、电由投标人自行协商解决，在报价时综合考虑，实际发生时不再另行计费。</w:t>
      </w:r>
    </w:p>
    <w:p>
      <w:pPr>
        <w:pStyle w:val="65"/>
        <w:snapToGrid w:val="0"/>
        <w:ind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5.4施工期间需做好安全文明施工，保证施工安全，不影响招标人的日常教学工作，具体措施和费用投标人自行考虑。</w:t>
      </w:r>
    </w:p>
    <w:p>
      <w:pPr>
        <w:pStyle w:val="65"/>
        <w:snapToGrid w:val="0"/>
        <w:ind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5.5具体采购数量按实结算，采购人有权单方面做出决定增加或减少或取消数量，但不得调整单价。</w:t>
      </w:r>
    </w:p>
    <w:p>
      <w:pPr>
        <w:pStyle w:val="65"/>
        <w:snapToGrid w:val="0"/>
        <w:ind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5.6关于结算的约定：工程竣工验收合格后，承包人按合同等要求及时报送结算，结算的编制应规范、准确，以事实为依据，遵循实事求是的原则。</w:t>
      </w:r>
    </w:p>
    <w:p>
      <w:pPr>
        <w:pStyle w:val="65"/>
        <w:rPr>
          <w:rFonts w:hint="eastAsia" w:ascii="宋体" w:hAnsi="宋体" w:eastAsia="宋体" w:cs="宋体"/>
          <w:color w:val="auto"/>
          <w:sz w:val="21"/>
          <w:szCs w:val="21"/>
          <w:highlight w:val="none"/>
        </w:rPr>
      </w:pPr>
    </w:p>
    <w:p>
      <w:pPr>
        <w:pStyle w:val="65"/>
        <w:numPr>
          <w:ilvl w:val="0"/>
          <w:numId w:val="9"/>
        </w:numPr>
        <w:ind w:firstLine="2940" w:firstLineChars="14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其他</w:t>
      </w:r>
      <w:bookmarkEnd w:id="55"/>
      <w:bookmarkEnd w:id="56"/>
      <w:bookmarkEnd w:id="57"/>
      <w:bookmarkEnd w:id="58"/>
      <w:bookmarkEnd w:id="59"/>
      <w:bookmarkEnd w:id="60"/>
      <w:bookmarkEnd w:id="61"/>
      <w:bookmarkEnd w:id="62"/>
      <w:bookmarkEnd w:id="63"/>
    </w:p>
    <w:p>
      <w:pPr>
        <w:pStyle w:val="67"/>
        <w:spacing w:before="312"/>
        <w:rPr>
          <w:rFonts w:hint="eastAsia" w:ascii="宋体" w:hAnsi="宋体" w:eastAsia="宋体" w:cs="宋体"/>
          <w:b w:val="0"/>
          <w:bCs w:val="0"/>
          <w:color w:val="auto"/>
          <w:kern w:val="2"/>
          <w:sz w:val="21"/>
          <w:szCs w:val="21"/>
          <w:highlight w:val="none"/>
          <w:lang w:val="en-US" w:eastAsia="zh-CN" w:bidi="ar-SA"/>
        </w:rPr>
      </w:pPr>
      <w:bookmarkStart w:id="64" w:name="_Toc33448197"/>
      <w:bookmarkStart w:id="65" w:name="_Toc16833"/>
      <w:r>
        <w:rPr>
          <w:rFonts w:hint="eastAsia" w:ascii="宋体" w:hAnsi="宋体" w:eastAsia="宋体" w:cs="宋体"/>
          <w:color w:val="auto"/>
          <w:sz w:val="21"/>
          <w:szCs w:val="21"/>
          <w:highlight w:val="none"/>
        </w:rPr>
        <w:t>附件：主要设备材料备选品牌一览表</w:t>
      </w:r>
      <w:bookmarkEnd w:id="64"/>
      <w:bookmarkEnd w:id="65"/>
    </w:p>
    <w:tbl>
      <w:tblPr>
        <w:tblStyle w:val="28"/>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947"/>
        <w:gridCol w:w="467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94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材料名称</w:t>
            </w:r>
          </w:p>
        </w:tc>
        <w:tc>
          <w:tcPr>
            <w:tcW w:w="467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备选品牌或厂家</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4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水泥</w:t>
            </w:r>
          </w:p>
        </w:tc>
        <w:tc>
          <w:tcPr>
            <w:tcW w:w="467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上峰、三狮、尖峰</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4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板材</w:t>
            </w:r>
          </w:p>
        </w:tc>
        <w:tc>
          <w:tcPr>
            <w:tcW w:w="467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千年舟、莫干山、兔宝宝</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947" w:type="dxa"/>
            <w:vAlign w:val="center"/>
          </w:tcPr>
          <w:p>
            <w:pPr>
              <w:shd w:val="clear" w:color="auto" w:fill="auto"/>
              <w:jc w:val="center"/>
              <w:rPr>
                <w:rFonts w:hint="eastAsia" w:ascii="宋体" w:hAnsi="宋体" w:eastAsia="宋体" w:cs="宋体"/>
                <w:color w:val="auto"/>
                <w:sz w:val="21"/>
                <w:szCs w:val="21"/>
                <w:highlight w:val="none"/>
              </w:rPr>
            </w:pPr>
            <w:r>
              <w:rPr>
                <w:rFonts w:ascii="宋体" w:hAnsi="宋体" w:cs="Calibri"/>
                <w:color w:val="auto"/>
                <w:sz w:val="21"/>
                <w:szCs w:val="21"/>
                <w:highlight w:val="none"/>
                <w:shd w:val="clear" w:color="auto" w:fill="auto"/>
              </w:rPr>
              <w:t>防水卷材、防水涂料等防水材料</w:t>
            </w:r>
          </w:p>
        </w:tc>
        <w:tc>
          <w:tcPr>
            <w:tcW w:w="4673" w:type="dxa"/>
            <w:vAlign w:val="center"/>
          </w:tcPr>
          <w:p>
            <w:pPr>
              <w:shd w:val="clear" w:color="auto" w:fill="auto"/>
              <w:jc w:val="center"/>
              <w:rPr>
                <w:rFonts w:hint="default" w:ascii="宋体" w:hAnsi="宋体" w:eastAsia="宋体" w:cs="宋体"/>
                <w:color w:val="auto"/>
                <w:sz w:val="21"/>
                <w:szCs w:val="21"/>
                <w:highlight w:val="none"/>
              </w:rPr>
            </w:pPr>
            <w:r>
              <w:rPr>
                <w:rFonts w:ascii="宋体" w:hAnsi="宋体" w:cs="宋体"/>
                <w:color w:val="auto"/>
                <w:sz w:val="21"/>
                <w:szCs w:val="21"/>
                <w:highlight w:val="none"/>
                <w:shd w:val="clear" w:color="auto" w:fill="auto"/>
              </w:rPr>
              <w:t>科顺、</w:t>
            </w:r>
            <w:r>
              <w:rPr>
                <w:rFonts w:hint="eastAsia" w:ascii="宋体" w:hAnsi="宋体" w:cs="宋体"/>
                <w:color w:val="auto"/>
                <w:sz w:val="21"/>
                <w:szCs w:val="21"/>
                <w:highlight w:val="none"/>
                <w:shd w:val="clear" w:color="auto" w:fill="auto"/>
                <w:lang w:val="en-US" w:eastAsia="zh-CN"/>
              </w:rPr>
              <w:t>东方雨虹、卓宝</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94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涂料（乳胶漆、无机涂料）及配套腻子</w:t>
            </w:r>
          </w:p>
        </w:tc>
        <w:tc>
          <w:tcPr>
            <w:tcW w:w="4673"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上海立邦、多乐士、三棵树</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环保、通过甲醛检测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294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地砖、抛光砖、瓷砖</w:t>
            </w:r>
          </w:p>
        </w:tc>
        <w:tc>
          <w:tcPr>
            <w:tcW w:w="467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斯米克、冠军、马可波罗</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颜色款式需业主确认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947" w:type="dxa"/>
            <w:vAlign w:val="center"/>
          </w:tcPr>
          <w:p>
            <w:pPr>
              <w:jc w:val="center"/>
              <w:rPr>
                <w:rFonts w:hint="eastAsia" w:ascii="宋体" w:hAnsi="宋体"/>
                <w:color w:val="auto"/>
                <w:sz w:val="21"/>
                <w:szCs w:val="21"/>
              </w:rPr>
            </w:pPr>
            <w:r>
              <w:rPr>
                <w:rFonts w:hint="eastAsia" w:ascii="Times New Roman" w:hAnsi="Times New Roman" w:eastAsia="宋体" w:cs="Times New Roman"/>
                <w:color w:val="auto"/>
                <w:sz w:val="21"/>
                <w:szCs w:val="21"/>
                <w:highlight w:val="none"/>
              </w:rPr>
              <w:t>卫生洁具</w:t>
            </w:r>
          </w:p>
        </w:tc>
        <w:tc>
          <w:tcPr>
            <w:tcW w:w="4673" w:type="dxa"/>
            <w:vAlign w:val="center"/>
          </w:tcPr>
          <w:p>
            <w:pPr>
              <w:jc w:val="center"/>
              <w:rPr>
                <w:rFonts w:hint="eastAsia"/>
                <w:color w:val="auto"/>
                <w:sz w:val="21"/>
                <w:szCs w:val="21"/>
              </w:rPr>
            </w:pPr>
            <w:r>
              <w:rPr>
                <w:rFonts w:hint="eastAsia" w:ascii="Times New Roman" w:hAnsi="Times New Roman" w:eastAsia="宋体" w:cs="Times New Roman"/>
                <w:color w:val="auto"/>
                <w:sz w:val="21"/>
                <w:szCs w:val="21"/>
                <w:highlight w:val="none"/>
                <w:lang w:val="en-US" w:eastAsia="zh-CN"/>
              </w:rPr>
              <w:t>箭牌、恒洁、四维</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947" w:type="dxa"/>
            <w:vAlign w:val="center"/>
          </w:tcPr>
          <w:p>
            <w:pPr>
              <w:jc w:val="center"/>
              <w:rPr>
                <w:rFonts w:hint="eastAsia" w:ascii="宋体" w:hAnsi="宋体"/>
                <w:color w:val="auto"/>
                <w:sz w:val="21"/>
                <w:szCs w:val="21"/>
              </w:rPr>
            </w:pPr>
            <w:r>
              <w:rPr>
                <w:rFonts w:hint="eastAsia" w:ascii="宋体" w:hAnsi="宋体"/>
                <w:color w:val="auto"/>
                <w:sz w:val="21"/>
                <w:szCs w:val="21"/>
              </w:rPr>
              <w:t>UPVC排水管、塑料给</w:t>
            </w:r>
          </w:p>
          <w:p>
            <w:pPr>
              <w:jc w:val="center"/>
              <w:rPr>
                <w:rFonts w:hint="eastAsia" w:ascii="宋体" w:hAnsi="宋体"/>
                <w:color w:val="auto"/>
                <w:sz w:val="21"/>
                <w:szCs w:val="21"/>
              </w:rPr>
            </w:pPr>
            <w:r>
              <w:rPr>
                <w:rFonts w:hint="eastAsia" w:ascii="宋体" w:hAnsi="宋体"/>
                <w:color w:val="auto"/>
                <w:sz w:val="21"/>
                <w:szCs w:val="21"/>
              </w:rPr>
              <w:t>水管(PP-R、PE管等管材</w:t>
            </w:r>
          </w:p>
        </w:tc>
        <w:tc>
          <w:tcPr>
            <w:tcW w:w="4673" w:type="dxa"/>
            <w:vAlign w:val="center"/>
          </w:tcPr>
          <w:p>
            <w:pPr>
              <w:jc w:val="center"/>
              <w:rPr>
                <w:rFonts w:hint="eastAsia"/>
                <w:color w:val="auto"/>
                <w:sz w:val="21"/>
                <w:szCs w:val="21"/>
              </w:rPr>
            </w:pPr>
            <w:r>
              <w:rPr>
                <w:rFonts w:hint="eastAsia"/>
                <w:color w:val="auto"/>
                <w:sz w:val="21"/>
                <w:szCs w:val="21"/>
              </w:rPr>
              <w:t>浙江中财、公元、伟星</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947" w:type="dxa"/>
            <w:vAlign w:val="center"/>
          </w:tcPr>
          <w:p>
            <w:pPr>
              <w:shd w:val="clear" w:color="auto" w:fill="auto"/>
              <w:jc w:val="center"/>
              <w:rPr>
                <w:rFonts w:hint="eastAsia" w:ascii="宋体" w:hAnsi="宋体"/>
                <w:color w:val="auto"/>
                <w:sz w:val="21"/>
                <w:szCs w:val="21"/>
              </w:rPr>
            </w:pPr>
            <w:r>
              <w:rPr>
                <w:rStyle w:val="56"/>
                <w:rFonts w:hint="default"/>
                <w:color w:val="auto"/>
                <w:sz w:val="21"/>
                <w:szCs w:val="21"/>
                <w:highlight w:val="none"/>
                <w:shd w:val="clear" w:color="auto" w:fill="auto"/>
                <w:lang w:bidi="ar"/>
              </w:rPr>
              <w:t>镀锌钢管</w:t>
            </w:r>
          </w:p>
        </w:tc>
        <w:tc>
          <w:tcPr>
            <w:tcW w:w="4673" w:type="dxa"/>
            <w:vAlign w:val="center"/>
          </w:tcPr>
          <w:p>
            <w:pPr>
              <w:shd w:val="clear" w:color="auto" w:fill="auto"/>
              <w:jc w:val="center"/>
              <w:rPr>
                <w:rFonts w:hint="eastAsia"/>
                <w:color w:val="auto"/>
                <w:sz w:val="21"/>
                <w:szCs w:val="21"/>
              </w:rPr>
            </w:pPr>
            <w:r>
              <w:rPr>
                <w:rFonts w:cs="Calibri"/>
                <w:color w:val="auto"/>
                <w:sz w:val="21"/>
                <w:szCs w:val="21"/>
                <w:highlight w:val="none"/>
                <w:shd w:val="clear" w:color="auto" w:fill="auto"/>
              </w:rPr>
              <w:t>浙江金洲、天津利达、</w:t>
            </w:r>
            <w:r>
              <w:rPr>
                <w:rFonts w:hint="eastAsia" w:cs="Calibri"/>
                <w:color w:val="auto"/>
                <w:sz w:val="21"/>
                <w:szCs w:val="21"/>
                <w:highlight w:val="none"/>
                <w:shd w:val="clear" w:color="auto" w:fill="auto"/>
                <w:lang w:val="en-US" w:eastAsia="zh-CN"/>
              </w:rPr>
              <w:t xml:space="preserve"> </w:t>
            </w:r>
            <w:r>
              <w:rPr>
                <w:rFonts w:hint="eastAsia" w:cs="Calibri"/>
                <w:color w:val="auto"/>
                <w:sz w:val="21"/>
                <w:szCs w:val="21"/>
                <w:highlight w:val="none"/>
                <w:shd w:val="clear" w:color="auto" w:fill="auto"/>
              </w:rPr>
              <w:t>衡水华岐</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947" w:type="dxa"/>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电线、电缆线</w:t>
            </w:r>
          </w:p>
        </w:tc>
        <w:tc>
          <w:tcPr>
            <w:tcW w:w="4673"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 w:val="21"/>
                <w:szCs w:val="21"/>
              </w:rPr>
              <w:t>杭州中策、熊猫、开开</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947" w:type="dxa"/>
            <w:vAlign w:val="center"/>
          </w:tcPr>
          <w:p>
            <w:pPr>
              <w:jc w:val="center"/>
              <w:rPr>
                <w:rFonts w:hint="eastAsia" w:ascii="宋体" w:hAnsi="宋体"/>
                <w:color w:val="auto"/>
                <w:sz w:val="21"/>
                <w:szCs w:val="21"/>
              </w:rPr>
            </w:pPr>
            <w:r>
              <w:rPr>
                <w:rFonts w:hint="eastAsia"/>
                <w:color w:val="auto"/>
                <w:sz w:val="21"/>
                <w:szCs w:val="21"/>
              </w:rPr>
              <w:t>插座、开关</w:t>
            </w:r>
          </w:p>
        </w:tc>
        <w:tc>
          <w:tcPr>
            <w:tcW w:w="4673" w:type="dxa"/>
            <w:vAlign w:val="center"/>
          </w:tcPr>
          <w:p>
            <w:pPr>
              <w:jc w:val="center"/>
              <w:rPr>
                <w:rFonts w:hint="eastAsia" w:ascii="宋体" w:hAnsi="宋体"/>
                <w:color w:val="auto"/>
                <w:sz w:val="21"/>
                <w:szCs w:val="21"/>
              </w:rPr>
            </w:pPr>
            <w:r>
              <w:rPr>
                <w:rFonts w:hint="eastAsia"/>
                <w:color w:val="auto"/>
                <w:sz w:val="21"/>
                <w:szCs w:val="21"/>
              </w:rPr>
              <w:t>正泰、德力西、鸿雁</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2947" w:type="dxa"/>
            <w:vAlign w:val="center"/>
          </w:tcPr>
          <w:p>
            <w:pPr>
              <w:shd w:val="clear" w:color="auto" w:fill="auto"/>
              <w:jc w:val="center"/>
              <w:rPr>
                <w:rFonts w:hint="eastAsia" w:ascii="宋体" w:hAnsi="宋体"/>
                <w:color w:val="auto"/>
                <w:sz w:val="21"/>
                <w:szCs w:val="21"/>
              </w:rPr>
            </w:pPr>
            <w:r>
              <w:rPr>
                <w:rFonts w:ascii="宋体" w:hAnsi="宋体" w:cs="Calibri"/>
                <w:color w:val="auto"/>
                <w:sz w:val="21"/>
                <w:szCs w:val="21"/>
                <w:highlight w:val="none"/>
                <w:shd w:val="clear" w:color="auto" w:fill="auto"/>
              </w:rPr>
              <w:t>灯具、光源</w:t>
            </w:r>
          </w:p>
        </w:tc>
        <w:tc>
          <w:tcPr>
            <w:tcW w:w="4673" w:type="dxa"/>
            <w:vAlign w:val="center"/>
          </w:tcPr>
          <w:p>
            <w:pPr>
              <w:shd w:val="clear" w:color="auto" w:fill="auto"/>
              <w:jc w:val="center"/>
              <w:rPr>
                <w:rFonts w:hint="eastAsia" w:ascii="宋体" w:hAnsi="宋体"/>
                <w:color w:val="auto"/>
                <w:sz w:val="21"/>
                <w:szCs w:val="21"/>
              </w:rPr>
            </w:pPr>
            <w:r>
              <w:rPr>
                <w:rFonts w:ascii="宋体" w:hAnsi="宋体" w:cs="Calibri"/>
                <w:color w:val="auto"/>
                <w:sz w:val="21"/>
                <w:szCs w:val="21"/>
                <w:highlight w:val="none"/>
                <w:shd w:val="clear" w:color="auto" w:fill="auto"/>
              </w:rPr>
              <w:t>欧普、松下、雷士</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2947" w:type="dxa"/>
            <w:vAlign w:val="center"/>
          </w:tcPr>
          <w:p>
            <w:pPr>
              <w:pStyle w:val="11"/>
              <w:tabs>
                <w:tab w:val="left" w:pos="574"/>
              </w:tabs>
              <w:spacing w:after="0"/>
              <w:jc w:val="center"/>
              <w:rPr>
                <w:rFonts w:hint="eastAsia" w:ascii="宋体" w:hAnsi="宋体"/>
                <w:color w:val="auto"/>
                <w:sz w:val="21"/>
                <w:szCs w:val="21"/>
              </w:rPr>
            </w:pPr>
            <w:r>
              <w:rPr>
                <w:rFonts w:hint="eastAsia"/>
                <w:color w:val="auto"/>
                <w:sz w:val="21"/>
                <w:szCs w:val="21"/>
                <w:highlight w:val="none"/>
                <w:shd w:val="clear" w:color="auto" w:fill="FFFFFF"/>
              </w:rPr>
              <w:t>配电箱及元器件</w:t>
            </w:r>
          </w:p>
        </w:tc>
        <w:tc>
          <w:tcPr>
            <w:tcW w:w="4673" w:type="dxa"/>
            <w:vAlign w:val="center"/>
          </w:tcPr>
          <w:p>
            <w:pPr>
              <w:pStyle w:val="11"/>
              <w:tabs>
                <w:tab w:val="left" w:pos="574"/>
              </w:tabs>
              <w:spacing w:after="0"/>
              <w:jc w:val="center"/>
              <w:rPr>
                <w:rFonts w:hint="eastAsia"/>
                <w:color w:val="auto"/>
                <w:sz w:val="21"/>
                <w:szCs w:val="21"/>
              </w:rPr>
            </w:pPr>
            <w:r>
              <w:rPr>
                <w:rFonts w:hint="eastAsia"/>
                <w:color w:val="auto"/>
                <w:sz w:val="21"/>
                <w:szCs w:val="21"/>
                <w:highlight w:val="none"/>
                <w:shd w:val="clear" w:color="auto" w:fill="FFFFFF"/>
                <w:lang w:val="en-US" w:eastAsia="zh-CN"/>
              </w:rPr>
              <w:t>德力西、正泰、鸿雁</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2947" w:type="dxa"/>
            <w:vAlign w:val="center"/>
          </w:tcPr>
          <w:p>
            <w:pPr>
              <w:jc w:val="center"/>
              <w:rPr>
                <w:rFonts w:hint="eastAsia" w:ascii="宋体" w:hAnsi="宋体"/>
                <w:color w:val="auto"/>
                <w:sz w:val="21"/>
                <w:szCs w:val="21"/>
              </w:rPr>
            </w:pPr>
            <w:r>
              <w:rPr>
                <w:rFonts w:hint="eastAsia" w:ascii="宋体" w:hAnsi="宋体"/>
                <w:color w:val="auto"/>
                <w:sz w:val="21"/>
                <w:szCs w:val="21"/>
              </w:rPr>
              <w:t>配电箱箱体</w:t>
            </w:r>
          </w:p>
        </w:tc>
        <w:tc>
          <w:tcPr>
            <w:tcW w:w="4673" w:type="dxa"/>
            <w:vAlign w:val="center"/>
          </w:tcPr>
          <w:p>
            <w:pPr>
              <w:jc w:val="center"/>
              <w:rPr>
                <w:rFonts w:hint="eastAsia"/>
                <w:color w:val="auto"/>
                <w:sz w:val="21"/>
                <w:szCs w:val="21"/>
              </w:rPr>
            </w:pPr>
            <w:r>
              <w:rPr>
                <w:rFonts w:hint="eastAsia"/>
                <w:color w:val="auto"/>
                <w:sz w:val="21"/>
                <w:szCs w:val="21"/>
              </w:rPr>
              <w:t>台州宏发、浙江昌洲、台州市腾科机电</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2947" w:type="dxa"/>
            <w:vAlign w:val="center"/>
          </w:tcPr>
          <w:p>
            <w:pPr>
              <w:jc w:val="center"/>
              <w:rPr>
                <w:rFonts w:hint="eastAsia" w:ascii="宋体" w:hAnsi="宋体"/>
                <w:color w:val="auto"/>
                <w:sz w:val="21"/>
                <w:szCs w:val="21"/>
              </w:rPr>
            </w:pPr>
            <w:r>
              <w:rPr>
                <w:rFonts w:hint="eastAsia" w:ascii="宋体" w:hAnsi="宋体"/>
                <w:color w:val="auto"/>
                <w:sz w:val="21"/>
                <w:szCs w:val="21"/>
              </w:rPr>
              <w:t>铝合金型材</w:t>
            </w:r>
          </w:p>
        </w:tc>
        <w:tc>
          <w:tcPr>
            <w:tcW w:w="4673" w:type="dxa"/>
            <w:vAlign w:val="center"/>
          </w:tcPr>
          <w:p>
            <w:pPr>
              <w:jc w:val="center"/>
              <w:rPr>
                <w:rFonts w:hint="eastAsia"/>
                <w:color w:val="auto"/>
                <w:sz w:val="21"/>
                <w:szCs w:val="21"/>
              </w:rPr>
            </w:pPr>
            <w:r>
              <w:rPr>
                <w:rFonts w:hint="eastAsia"/>
                <w:color w:val="auto"/>
                <w:sz w:val="21"/>
                <w:szCs w:val="21"/>
              </w:rPr>
              <w:t>兴发、坚美、亚铝克</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947"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olor w:val="auto"/>
                <w:sz w:val="21"/>
                <w:szCs w:val="21"/>
              </w:rPr>
            </w:pPr>
            <w:r>
              <w:rPr>
                <w:rFonts w:hint="eastAsia" w:ascii="宋体" w:hAnsi="宋体" w:eastAsia="宋体" w:cs="宋体"/>
                <w:color w:val="auto"/>
                <w:sz w:val="21"/>
                <w:szCs w:val="21"/>
                <w:highlight w:val="none"/>
                <w:lang w:val="en-US" w:eastAsia="zh-CN"/>
              </w:rPr>
              <w:t>玻璃</w:t>
            </w:r>
          </w:p>
        </w:tc>
        <w:tc>
          <w:tcPr>
            <w:tcW w:w="4673"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color w:val="auto"/>
                <w:sz w:val="21"/>
                <w:szCs w:val="21"/>
              </w:rPr>
            </w:pPr>
            <w:r>
              <w:rPr>
                <w:rFonts w:hint="eastAsia" w:ascii="宋体" w:hAnsi="宋体" w:eastAsia="宋体" w:cs="宋体"/>
                <w:color w:val="auto"/>
                <w:sz w:val="21"/>
                <w:szCs w:val="21"/>
                <w:highlight w:val="none"/>
              </w:rPr>
              <w:t>杭玻、辉玻、博大</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2947"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石膏板、轻钢龙骨</w:t>
            </w:r>
          </w:p>
        </w:tc>
        <w:tc>
          <w:tcPr>
            <w:tcW w:w="4673"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龙牌、可耐福、圣戈班</w:t>
            </w:r>
            <w:r>
              <w:rPr>
                <w:rFonts w:hint="default" w:ascii="宋体" w:hAnsi="宋体" w:eastAsia="宋体" w:cs="宋体"/>
                <w:color w:val="auto"/>
                <w:sz w:val="21"/>
                <w:szCs w:val="21"/>
                <w:highlight w:val="none"/>
              </w:rPr>
              <w:t>或相当于</w:t>
            </w:r>
          </w:p>
        </w:tc>
        <w:tc>
          <w:tcPr>
            <w:tcW w:w="1303"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2947" w:type="dxa"/>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花岗岩、人造石英石</w:t>
            </w:r>
          </w:p>
        </w:tc>
        <w:tc>
          <w:tcPr>
            <w:tcW w:w="5976"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承包人须经发包人签证认可后方可采购、施工，否则因此产生的一切后果由承包人自行承担。</w:t>
            </w:r>
          </w:p>
        </w:tc>
      </w:tr>
    </w:tbl>
    <w:p>
      <w:pPr>
        <w:pStyle w:val="65"/>
        <w:rPr>
          <w:rFonts w:hint="eastAsia" w:ascii="宋体" w:hAnsi="宋体" w:eastAsia="宋体" w:cs="宋体"/>
          <w:color w:val="auto"/>
          <w:highlight w:val="none"/>
        </w:rPr>
      </w:pPr>
    </w:p>
    <w:p>
      <w:pPr>
        <w:rPr>
          <w:rFonts w:hint="eastAsia" w:ascii="宋体" w:hAnsi="宋体" w:eastAsia="宋体" w:cs="宋体"/>
          <w:color w:val="auto"/>
          <w:highlight w:val="none"/>
          <w:lang w:val="en-US" w:eastAsia="zh-CN"/>
        </w:rPr>
      </w:pPr>
    </w:p>
    <w:p>
      <w:pPr>
        <w:pStyle w:val="12"/>
        <w:rPr>
          <w:rFonts w:hint="eastAsia" w:ascii="宋体" w:hAnsi="宋体" w:eastAsia="宋体" w:cs="宋体"/>
          <w:color w:val="auto"/>
          <w:highlight w:val="none"/>
          <w:lang w:val="en-US" w:eastAsia="zh-CN"/>
        </w:rPr>
      </w:pPr>
    </w:p>
    <w:p>
      <w:pPr>
        <w:pStyle w:val="2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br w:type="page"/>
      </w:r>
    </w:p>
    <w:p>
      <w:pPr>
        <w:numPr>
          <w:ilvl w:val="0"/>
          <w:numId w:val="4"/>
        </w:numPr>
        <w:spacing w:line="360" w:lineRule="auto"/>
        <w:jc w:val="center"/>
        <w:outlineLvl w:val="0"/>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t xml:space="preserve"> </w:t>
      </w:r>
      <w:bookmarkStart w:id="66" w:name="_Toc16805"/>
      <w:r>
        <w:rPr>
          <w:rFonts w:hint="eastAsia" w:ascii="宋体" w:hAnsi="宋体" w:eastAsia="宋体" w:cs="宋体"/>
          <w:b/>
          <w:color w:val="auto"/>
          <w:kern w:val="0"/>
          <w:sz w:val="36"/>
          <w:szCs w:val="36"/>
          <w:highlight w:val="none"/>
          <w:lang w:val="en-US" w:eastAsia="zh-CN"/>
        </w:rPr>
        <w:t>评标办法及评分标准</w:t>
      </w:r>
      <w:bookmarkEnd w:id="66"/>
    </w:p>
    <w:p>
      <w:pPr>
        <w:snapToGrid w:val="0"/>
        <w:spacing w:line="360" w:lineRule="auto"/>
        <w:ind w:firstLine="420" w:firstLineChars="200"/>
        <w:rPr>
          <w:rFonts w:hint="eastAsia" w:ascii="宋体" w:hAnsi="宋体" w:eastAsia="宋体" w:cs="宋体"/>
          <w:b/>
          <w:i/>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 xml:space="preserve">采购组织机构将组织磋商小组，对供应商提供的磋商响应文件进行综合评审。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二、本次磋商项目的评审方法为</w:t>
      </w:r>
      <w:r>
        <w:rPr>
          <w:rFonts w:hint="eastAsia" w:ascii="宋体" w:hAnsi="宋体" w:eastAsia="宋体" w:cs="宋体"/>
          <w:b/>
          <w:color w:val="auto"/>
          <w:sz w:val="21"/>
          <w:szCs w:val="21"/>
          <w:highlight w:val="none"/>
        </w:rPr>
        <w:t>综合评分法</w:t>
      </w:r>
      <w:r>
        <w:rPr>
          <w:rFonts w:hint="eastAsia" w:ascii="宋体" w:hAnsi="宋体" w:eastAsia="宋体" w:cs="宋体"/>
          <w:color w:val="auto"/>
          <w:sz w:val="21"/>
          <w:szCs w:val="21"/>
          <w:highlight w:val="none"/>
        </w:rPr>
        <w:t>，总计100分</w:t>
      </w:r>
      <w:r>
        <w:rPr>
          <w:rFonts w:hint="eastAsia" w:ascii="宋体" w:hAnsi="宋体" w:eastAsia="宋体" w:cs="宋体"/>
          <w:bCs/>
          <w:color w:val="auto"/>
          <w:sz w:val="21"/>
          <w:szCs w:val="21"/>
          <w:highlight w:val="none"/>
          <w:lang w:val="zh-CN"/>
        </w:rPr>
        <w:t>(商务技术文件为</w:t>
      </w:r>
      <w:r>
        <w:rPr>
          <w:rFonts w:hint="eastAsia" w:ascii="宋体" w:hAnsi="宋体" w:eastAsia="宋体" w:cs="宋体"/>
          <w:b/>
          <w:bCs w:val="0"/>
          <w:color w:val="auto"/>
          <w:sz w:val="21"/>
          <w:szCs w:val="21"/>
          <w:highlight w:val="none"/>
          <w:lang w:val="en-US" w:eastAsia="zh-CN"/>
        </w:rPr>
        <w:t>70</w:t>
      </w:r>
      <w:r>
        <w:rPr>
          <w:rFonts w:hint="eastAsia" w:ascii="宋体" w:hAnsi="宋体" w:eastAsia="宋体" w:cs="宋体"/>
          <w:bCs/>
          <w:color w:val="auto"/>
          <w:sz w:val="21"/>
          <w:szCs w:val="21"/>
          <w:highlight w:val="none"/>
          <w:lang w:val="zh-CN"/>
        </w:rPr>
        <w:t>分，报价文件为</w:t>
      </w:r>
      <w:r>
        <w:rPr>
          <w:rFonts w:hint="eastAsia" w:ascii="宋体" w:hAnsi="宋体" w:eastAsia="宋体" w:cs="宋体"/>
          <w:b/>
          <w:bCs/>
          <w:color w:val="auto"/>
          <w:sz w:val="21"/>
          <w:szCs w:val="21"/>
          <w:highlight w:val="none"/>
          <w:lang w:val="en-US" w:eastAsia="zh-CN"/>
        </w:rPr>
        <w:t>30分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（一）商务技术文件中的客观分由磋商小组讨论后统一打分；其余在规定的分值内单独评定打分。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（二）各磋商供应商商务技术文件得分按照磋商小组成员的独立评分结果汇总后的算术平均分计算，计算公式为：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商务技术文件得分=磋商小组所有成员评分合计数/磋商小组组成人员数。</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（三）综合评分法中的价格分统一采用低价优先法计算，即满足磋商文件要求且最后报价最低的供应商的价格作为磋商基准价，其报价得满分。其他供应商的价格分统一按照下列公式计算：</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 。</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lang w:val="zh-CN"/>
        </w:rPr>
        <w:t>注：</w:t>
      </w:r>
      <w:r>
        <w:rPr>
          <w:rFonts w:hint="eastAsia" w:ascii="宋体" w:hAnsi="宋体" w:eastAsia="宋体" w:cs="宋体"/>
          <w:b/>
          <w:color w:val="auto"/>
          <w:sz w:val="21"/>
          <w:szCs w:val="21"/>
          <w:highlight w:val="none"/>
          <w:u w:val="single"/>
          <w:lang w:val="zh-CN"/>
        </w:rPr>
        <w:t>对于投标报价明显低于成本价，且</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不能合理说明原因并提供证明材料的</w:t>
      </w:r>
      <w:r>
        <w:rPr>
          <w:rFonts w:hint="eastAsia" w:ascii="宋体" w:hAnsi="宋体" w:eastAsia="宋体" w:cs="宋体"/>
          <w:b/>
          <w:color w:val="auto"/>
          <w:sz w:val="21"/>
          <w:szCs w:val="21"/>
          <w:highlight w:val="none"/>
          <w:u w:val="single"/>
          <w:lang w:val="zh-CN"/>
        </w:rPr>
        <w:t>，</w:t>
      </w:r>
      <w:r>
        <w:rPr>
          <w:rFonts w:hint="eastAsia" w:ascii="宋体" w:hAnsi="宋体" w:eastAsia="宋体" w:cs="宋体"/>
          <w:b/>
          <w:color w:val="auto"/>
          <w:sz w:val="21"/>
          <w:szCs w:val="21"/>
          <w:highlight w:val="none"/>
          <w:u w:val="single"/>
        </w:rPr>
        <w:t>评标</w:t>
      </w:r>
      <w:r>
        <w:rPr>
          <w:rFonts w:hint="eastAsia" w:ascii="宋体" w:hAnsi="宋体" w:eastAsia="宋体" w:cs="宋体"/>
          <w:b/>
          <w:color w:val="auto"/>
          <w:sz w:val="21"/>
          <w:szCs w:val="21"/>
          <w:highlight w:val="none"/>
          <w:u w:val="single"/>
          <w:lang w:val="zh-CN"/>
        </w:rPr>
        <w:t>小组认为其有可能影响商品质量和不能诚信履约的</w:t>
      </w:r>
      <w:r>
        <w:rPr>
          <w:rFonts w:hint="eastAsia" w:ascii="宋体" w:hAnsi="宋体" w:eastAsia="宋体" w:cs="宋体"/>
          <w:b/>
          <w:color w:val="auto"/>
          <w:sz w:val="21"/>
          <w:szCs w:val="21"/>
          <w:highlight w:val="none"/>
          <w:u w:val="single"/>
        </w:rPr>
        <w:t>作</w:t>
      </w:r>
      <w:r>
        <w:rPr>
          <w:rFonts w:hint="eastAsia" w:ascii="宋体" w:hAnsi="宋体" w:eastAsia="宋体" w:cs="宋体"/>
          <w:b/>
          <w:color w:val="auto"/>
          <w:sz w:val="21"/>
          <w:szCs w:val="21"/>
          <w:highlight w:val="none"/>
          <w:u w:val="single"/>
          <w:lang w:val="zh-CN"/>
        </w:rPr>
        <w:t>无效标处理。</w:t>
      </w:r>
    </w:p>
    <w:p>
      <w:pPr>
        <w:spacing w:beforeLines="0" w:afterLines="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政府采购政策及优惠：本项目专门面向中小企业采购，价格评审时，小微企业的投标价格不作扣除。</w:t>
      </w:r>
    </w:p>
    <w:p>
      <w:pPr>
        <w:autoSpaceDE w:val="0"/>
        <w:autoSpaceDN w:val="0"/>
        <w:adjustRightInd w:val="0"/>
        <w:spacing w:beforeLines="0" w:afterLines="0" w:line="360" w:lineRule="auto"/>
        <w:ind w:right="84" w:firstLine="47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注：得分以系统计算为准，保留2位小数。</w:t>
      </w:r>
    </w:p>
    <w:p>
      <w:pPr>
        <w:spacing w:beforeLines="0" w:afterLines="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按照磋商文件中规定的各项因素进行综合评审后，以评审总得分最高的供应商为第一成交候选供应商，总得分次高的为第二成交候选供应商，总得分第三高的为第三成交候选供应商。</w:t>
      </w:r>
    </w:p>
    <w:p>
      <w:pPr>
        <w:shd w:val="clear" w:color="auto" w:fill="FFFFFF"/>
        <w:spacing w:beforeLines="0" w:afterLines="0" w:line="360" w:lineRule="auto"/>
        <w:ind w:firstLine="420" w:firstLineChars="200"/>
        <w:jc w:val="left"/>
        <w:textAlignment w:val="bottom"/>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四、如综合得分相同，最后报价低者为先；如综合得分且最后报价相同的，由采购人抽取确定。</w:t>
      </w:r>
    </w:p>
    <w:p>
      <w:pPr>
        <w:shd w:val="clear" w:color="auto" w:fill="FFFFFF"/>
        <w:spacing w:beforeLines="0" w:afterLines="0" w:line="360" w:lineRule="auto"/>
        <w:ind w:firstLine="422" w:firstLineChars="200"/>
        <w:jc w:val="left"/>
        <w:textAlignment w:val="bottom"/>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六、本次评分具体分值细化条款如下表：</w:t>
      </w:r>
    </w:p>
    <w:p>
      <w:pPr>
        <w:shd w:val="clear" w:color="auto" w:fill="FFFFFF"/>
        <w:spacing w:beforeLines="0" w:afterLines="0" w:line="360" w:lineRule="auto"/>
        <w:ind w:firstLine="420" w:firstLineChars="200"/>
        <w:jc w:val="left"/>
        <w:textAlignment w:val="bottom"/>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（一）评分步骤</w:t>
      </w:r>
    </w:p>
    <w:p>
      <w:pPr>
        <w:shd w:val="clear" w:color="auto" w:fill="FFFFFF"/>
        <w:spacing w:beforeLines="0" w:afterLines="0" w:line="360" w:lineRule="auto"/>
        <w:ind w:firstLine="420" w:firstLineChars="200"/>
        <w:jc w:val="left"/>
        <w:textAlignment w:val="bottom"/>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评标委员会成员针对供应商的技术文件进行独立评审。具体评分步骤如下：</w:t>
      </w:r>
    </w:p>
    <w:p>
      <w:pPr>
        <w:shd w:val="clear" w:color="auto" w:fill="FFFFFF"/>
        <w:spacing w:beforeLines="0" w:afterLines="0" w:line="360" w:lineRule="auto"/>
        <w:ind w:firstLine="420" w:firstLineChars="200"/>
        <w:jc w:val="left"/>
        <w:textAlignment w:val="bottom"/>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评标委员会成员视其科学性、针对性、可行性、先进性、完善程度对供应商的技术文件给出评审意见。</w:t>
      </w:r>
    </w:p>
    <w:p>
      <w:pPr>
        <w:shd w:val="clear" w:color="auto" w:fill="FFFFFF"/>
        <w:spacing w:beforeLines="0" w:afterLines="0" w:line="360" w:lineRule="auto"/>
        <w:ind w:firstLine="420" w:firstLineChars="200"/>
        <w:jc w:val="left"/>
        <w:textAlignment w:val="bottom"/>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评标委员会成员按技术文件评分标准，在</w:t>
      </w:r>
      <w:r>
        <w:rPr>
          <w:rFonts w:hint="eastAsia" w:ascii="宋体" w:hAnsi="宋体" w:eastAsia="宋体" w:cs="宋体"/>
          <w:color w:val="auto"/>
          <w:kern w:val="0"/>
          <w:sz w:val="21"/>
          <w:szCs w:val="21"/>
          <w:highlight w:val="none"/>
          <w:lang w:val="en-US" w:eastAsia="zh-CN"/>
        </w:rPr>
        <w:t>类别</w:t>
      </w:r>
      <w:r>
        <w:rPr>
          <w:rFonts w:hint="eastAsia" w:ascii="宋体" w:hAnsi="宋体" w:eastAsia="宋体" w:cs="宋体"/>
          <w:color w:val="auto"/>
          <w:kern w:val="0"/>
          <w:sz w:val="21"/>
          <w:szCs w:val="21"/>
          <w:highlight w:val="none"/>
          <w:lang w:val="zh-CN"/>
        </w:rPr>
        <w:t>分值范围内各自打分（小数点后保留1位），评标委员会成员对应的合计得分的平均值作为供应商技术文件的得分（小数点后保留2位，第3位四舍五入）。</w:t>
      </w:r>
    </w:p>
    <w:p>
      <w:pPr>
        <w:numPr>
          <w:ilvl w:val="0"/>
          <w:numId w:val="10"/>
        </w:numPr>
        <w:shd w:val="clear" w:color="auto" w:fill="FFFFFF"/>
        <w:spacing w:beforeLines="0" w:afterLines="0" w:line="360" w:lineRule="auto"/>
        <w:ind w:firstLine="420" w:firstLineChars="200"/>
        <w:jc w:val="left"/>
        <w:textAlignment w:val="bottom"/>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商务与</w:t>
      </w:r>
      <w:r>
        <w:rPr>
          <w:rFonts w:hint="eastAsia" w:ascii="宋体" w:hAnsi="宋体" w:eastAsia="宋体" w:cs="宋体"/>
          <w:color w:val="auto"/>
          <w:kern w:val="0"/>
          <w:sz w:val="21"/>
          <w:szCs w:val="21"/>
          <w:highlight w:val="none"/>
          <w:lang w:val="zh-CN"/>
        </w:rPr>
        <w:t>技术文件评分标准（</w:t>
      </w:r>
      <w:r>
        <w:rPr>
          <w:rFonts w:hint="eastAsia" w:ascii="宋体" w:hAnsi="宋体" w:eastAsia="宋体" w:cs="宋体"/>
          <w:color w:val="auto"/>
          <w:kern w:val="0"/>
          <w:sz w:val="21"/>
          <w:szCs w:val="21"/>
          <w:highlight w:val="none"/>
          <w:lang w:val="en-US" w:eastAsia="zh-CN"/>
        </w:rPr>
        <w:t>70分</w:t>
      </w:r>
      <w:r>
        <w:rPr>
          <w:rFonts w:hint="eastAsia" w:ascii="宋体" w:hAnsi="宋体" w:eastAsia="宋体" w:cs="宋体"/>
          <w:color w:val="auto"/>
          <w:kern w:val="0"/>
          <w:sz w:val="21"/>
          <w:szCs w:val="21"/>
          <w:highlight w:val="none"/>
          <w:lang w:val="zh-CN"/>
        </w:rPr>
        <w:t>）</w:t>
      </w:r>
    </w:p>
    <w:tbl>
      <w:tblPr>
        <w:tblStyle w:val="28"/>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8087"/>
        <w:gridCol w:w="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tblHeader/>
          <w:jc w:val="center"/>
        </w:trPr>
        <w:tc>
          <w:tcPr>
            <w:tcW w:w="1185" w:type="dxa"/>
            <w:shd w:val="pct20" w:color="auto" w:fill="auto"/>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评分项目</w:t>
            </w:r>
          </w:p>
        </w:tc>
        <w:tc>
          <w:tcPr>
            <w:tcW w:w="8087" w:type="dxa"/>
            <w:shd w:val="pct20" w:color="auto" w:fill="auto"/>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c>
          <w:tcPr>
            <w:tcW w:w="750" w:type="dxa"/>
            <w:shd w:val="pct20" w:color="auto" w:fill="auto"/>
            <w:vAlign w:val="center"/>
          </w:tcPr>
          <w:p>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1185" w:type="dxa"/>
            <w:tcBorders>
              <w:top w:val="single" w:color="auto" w:sz="4" w:space="0"/>
            </w:tcBorders>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供应商实力</w:t>
            </w:r>
          </w:p>
        </w:tc>
        <w:tc>
          <w:tcPr>
            <w:tcW w:w="8087" w:type="dxa"/>
            <w:vAlign w:val="center"/>
          </w:tcPr>
          <w:p>
            <w:pPr>
              <w:tabs>
                <w:tab w:val="center" w:pos="3289"/>
              </w:tabs>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客观分：</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供应商具有质量管理体系认证、环境管理体系认证、职业健康安全管理体系认证，每项得1分，最高得3分。 </w:t>
            </w:r>
          </w:p>
          <w:p>
            <w:pPr>
              <w:rPr>
                <w:rFonts w:hint="eastAsia" w:ascii="宋体" w:hAnsi="宋体" w:eastAsia="宋体" w:cs="宋体"/>
                <w:color w:val="auto"/>
                <w:highlight w:val="none"/>
              </w:rPr>
            </w:pPr>
            <w:r>
              <w:rPr>
                <w:rFonts w:hint="eastAsia" w:ascii="宋体" w:hAnsi="宋体" w:eastAsia="宋体" w:cs="宋体"/>
                <w:bCs/>
                <w:color w:val="auto"/>
                <w:szCs w:val="21"/>
                <w:highlight w:val="none"/>
              </w:rPr>
              <w:t>注：需提供证书影印件或扫描件，否则不得分。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注：需提供证书影印件或扫描件，否则不得分。</w:t>
            </w:r>
          </w:p>
        </w:tc>
        <w:tc>
          <w:tcPr>
            <w:tcW w:w="750" w:type="dxa"/>
            <w:vAlign w:val="center"/>
          </w:tcPr>
          <w:p>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1185" w:type="dxa"/>
            <w:tcBorders>
              <w:top w:val="single" w:color="auto" w:sz="4" w:space="0"/>
            </w:tcBorders>
            <w:vAlign w:val="center"/>
          </w:tcPr>
          <w:p>
            <w:pPr>
              <w:widowControl/>
              <w:adjustRightInd w:val="0"/>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业绩</w:t>
            </w:r>
          </w:p>
        </w:tc>
        <w:tc>
          <w:tcPr>
            <w:tcW w:w="8087" w:type="dxa"/>
            <w:vAlign w:val="center"/>
          </w:tcPr>
          <w:p>
            <w:pPr>
              <w:pStyle w:val="1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客观分：</w:t>
            </w:r>
          </w:p>
          <w:p>
            <w:pPr>
              <w:pStyle w:val="2"/>
              <w:tabs>
                <w:tab w:val="right" w:leader="dot" w:pos="906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年1月1日以来（以合同签订时间为准）完成同类(装饰工程)项目施工业绩,每个得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pStyle w:val="2"/>
              <w:tabs>
                <w:tab w:val="right" w:leader="dot" w:pos="9060"/>
              </w:tabs>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注：附合同</w:t>
            </w:r>
            <w:r>
              <w:rPr>
                <w:rFonts w:hint="eastAsia" w:ascii="宋体" w:hAnsi="宋体" w:eastAsia="宋体" w:cs="宋体"/>
                <w:b/>
                <w:bCs/>
                <w:color w:val="auto"/>
                <w:szCs w:val="21"/>
                <w:highlight w:val="none"/>
                <w:lang w:eastAsia="zh-Hans"/>
              </w:rPr>
              <w:t>和竣工证明材料</w:t>
            </w:r>
            <w:r>
              <w:rPr>
                <w:rFonts w:hint="eastAsia" w:ascii="宋体" w:hAnsi="宋体" w:eastAsia="宋体" w:cs="宋体"/>
                <w:b/>
                <w:color w:val="auto"/>
                <w:szCs w:val="21"/>
                <w:highlight w:val="none"/>
              </w:rPr>
              <w:t>影印件或扫描件</w:t>
            </w:r>
            <w:r>
              <w:rPr>
                <w:rFonts w:hint="eastAsia" w:ascii="宋体" w:hAnsi="宋体" w:eastAsia="宋体" w:cs="宋体"/>
                <w:b/>
                <w:color w:val="auto"/>
                <w:szCs w:val="21"/>
                <w:highlight w:val="none"/>
                <w:lang w:val="en-US" w:eastAsia="zh-CN"/>
              </w:rPr>
              <w:t>缺一不可</w:t>
            </w:r>
            <w:r>
              <w:rPr>
                <w:rFonts w:hint="eastAsia" w:ascii="宋体" w:hAnsi="宋体" w:eastAsia="宋体" w:cs="宋体"/>
                <w:b/>
                <w:bCs/>
                <w:color w:val="auto"/>
                <w:szCs w:val="21"/>
                <w:highlight w:val="none"/>
              </w:rPr>
              <w:t>，未提供的不得分。</w:t>
            </w:r>
          </w:p>
        </w:tc>
        <w:tc>
          <w:tcPr>
            <w:tcW w:w="750" w:type="dxa"/>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185" w:type="dxa"/>
            <w:tcBorders>
              <w:top w:val="single" w:color="auto" w:sz="4" w:space="0"/>
            </w:tcBorders>
            <w:vAlign w:val="center"/>
          </w:tcPr>
          <w:p>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项目团队实力</w:t>
            </w:r>
          </w:p>
        </w:tc>
        <w:tc>
          <w:tcPr>
            <w:tcW w:w="8087"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客观分：</w:t>
            </w:r>
          </w:p>
          <w:p>
            <w:pPr>
              <w:adjustRightInd w:val="0"/>
              <w:snapToGri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拟派项目团队中：</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1.技术负责人具有工程师中级以上职称的得2分，高级及以上职称的得4分。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2.项目组成员（除项目负责人和技术负责人以外）具有二级及以上建造师或造价师资格的得2分。</w:t>
            </w:r>
            <w:r>
              <w:rPr>
                <w:rFonts w:hint="eastAsia" w:ascii="宋体" w:hAnsi="宋体" w:eastAsia="宋体" w:cs="宋体"/>
                <w:b/>
                <w:bCs/>
                <w:color w:val="auto"/>
                <w:szCs w:val="21"/>
                <w:highlight w:val="none"/>
              </w:rPr>
              <w:t>注：需提供有效证书及供应商为其缴纳的近3个月社保的证明（须为加盖社保部门印章的证明文件）影印件或扫描件，否则不得分。</w:t>
            </w:r>
          </w:p>
        </w:tc>
        <w:tc>
          <w:tcPr>
            <w:tcW w:w="750" w:type="dxa"/>
            <w:vAlign w:val="center"/>
          </w:tcPr>
          <w:p>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185" w:type="dxa"/>
            <w:tcBorders>
              <w:bottom w:val="single" w:color="auto" w:sz="4" w:space="0"/>
            </w:tcBorders>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管理人员配置</w:t>
            </w:r>
          </w:p>
        </w:tc>
        <w:tc>
          <w:tcPr>
            <w:tcW w:w="8087"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客观</w:t>
            </w:r>
            <w:r>
              <w:rPr>
                <w:rFonts w:hint="eastAsia" w:ascii="宋体" w:hAnsi="宋体" w:eastAsia="宋体" w:cs="宋体"/>
                <w:b/>
                <w:color w:val="auto"/>
                <w:szCs w:val="21"/>
                <w:highlight w:val="none"/>
              </w:rPr>
              <w:t>分：</w:t>
            </w:r>
          </w:p>
          <w:p>
            <w:pPr>
              <w:pStyle w:val="69"/>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根据本项目的特点派驻现场的工程技术管理人员（技术负责人、施工员、安全员、资料员、质量员）的专业配置是否齐全（同时提供岗位证书和及响应供应商为其缴纳的</w:t>
            </w:r>
            <w:r>
              <w:rPr>
                <w:rFonts w:hint="eastAsia" w:ascii="宋体" w:hAnsi="宋体" w:eastAsia="宋体" w:cs="宋体"/>
                <w:color w:val="auto"/>
                <w:kern w:val="2"/>
                <w:sz w:val="21"/>
                <w:szCs w:val="24"/>
                <w:highlight w:val="none"/>
                <w:lang w:val="en-US" w:eastAsia="zh-CN"/>
              </w:rPr>
              <w:t>近3个月</w:t>
            </w:r>
            <w:r>
              <w:rPr>
                <w:rFonts w:hint="eastAsia" w:ascii="宋体" w:hAnsi="宋体" w:eastAsia="宋体" w:cs="宋体"/>
                <w:color w:val="auto"/>
                <w:kern w:val="2"/>
                <w:sz w:val="21"/>
                <w:szCs w:val="24"/>
                <w:highlight w:val="none"/>
              </w:rPr>
              <w:t>社保证明扫描件或影印件的证明材料）等情况进行打分。</w:t>
            </w:r>
          </w:p>
          <w:p>
            <w:pPr>
              <w:pStyle w:val="69"/>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1.人员专业按上述要求配置齐全且各项证书证明等资料均齐全的的得5.0分；</w:t>
            </w:r>
          </w:p>
          <w:p>
            <w:pPr>
              <w:pStyle w:val="69"/>
              <w:spacing w:line="240" w:lineRule="auto"/>
              <w:ind w:firstLine="0" w:firstLineChars="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2.人员专业配置较上述要求不齐全，但能满足台州市施工现场管理人员要求（《台州市住房和城乡建设局关于印发台州市建设工程施工现场关键岗位人员管理办法的通知》台建〔2018〕110号）的，技术负责人、资料员、质量员等每少一人在5分的基础上每人扣1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未提供该项内容不得分。</w:t>
            </w:r>
          </w:p>
        </w:tc>
        <w:tc>
          <w:tcPr>
            <w:tcW w:w="750"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1185" w:type="dxa"/>
            <w:tcBorders>
              <w:bottom w:val="single" w:color="auto" w:sz="4" w:space="0"/>
            </w:tcBorders>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各专业工种的配置和劳动力的投入</w:t>
            </w:r>
          </w:p>
        </w:tc>
        <w:tc>
          <w:tcPr>
            <w:tcW w:w="8087"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pStyle w:val="69"/>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根据本项目的特点各专业工种的配置和劳动力的投入是否能满足工程需要（安排有特种工的同时提供岗位证书和及响应供应商为其缴纳的社保证明扫描件或影印件的证明材料）等情况进行打分。</w:t>
            </w:r>
          </w:p>
          <w:p>
            <w:pPr>
              <w:pStyle w:val="69"/>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1.各专业工种的配置和劳动力的投入能优于项目要求且各项证书证明等资料均齐全的得6.0分，各专业工种的配置和劳动力的投入合理且各项证书证明等资料均齐全，能满足项目实施需求的得5.0分；</w:t>
            </w:r>
          </w:p>
          <w:p>
            <w:pPr>
              <w:pStyle w:val="69"/>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2.各专业工种的配置和劳动力的投入能基本满足项目实施但各项证书证明等资料不齐全的得3.0分；</w:t>
            </w:r>
          </w:p>
          <w:p>
            <w:pPr>
              <w:pStyle w:val="69"/>
              <w:spacing w:line="240" w:lineRule="auto"/>
              <w:ind w:firstLine="0" w:firstLineChars="0"/>
              <w:jc w:val="both"/>
              <w:rPr>
                <w:rFonts w:hint="eastAsia" w:ascii="宋体" w:hAnsi="宋体" w:eastAsia="宋体" w:cs="宋体"/>
                <w:b/>
                <w:color w:val="auto"/>
                <w:szCs w:val="21"/>
                <w:highlight w:val="none"/>
              </w:rPr>
            </w:pPr>
            <w:r>
              <w:rPr>
                <w:rFonts w:hint="eastAsia" w:ascii="宋体" w:hAnsi="宋体" w:eastAsia="宋体" w:cs="宋体"/>
                <w:color w:val="auto"/>
                <w:kern w:val="2"/>
                <w:sz w:val="21"/>
                <w:szCs w:val="24"/>
                <w:highlight w:val="none"/>
              </w:rPr>
              <w:t>3.各专业工种的配置和劳动力的投入不能满足项目实施需求或未提供该项内容的0分。</w:t>
            </w:r>
          </w:p>
        </w:tc>
        <w:tc>
          <w:tcPr>
            <w:tcW w:w="7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0" w:hRule="atLeast"/>
          <w:jc w:val="center"/>
        </w:trPr>
        <w:tc>
          <w:tcPr>
            <w:tcW w:w="1185" w:type="dxa"/>
            <w:tcBorders>
              <w:bottom w:val="single" w:color="auto" w:sz="4" w:space="0"/>
            </w:tcBorders>
            <w:vAlign w:val="center"/>
          </w:tcPr>
          <w:p>
            <w:pPr>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施工进度保证措施</w:t>
            </w:r>
          </w:p>
        </w:tc>
        <w:tc>
          <w:tcPr>
            <w:tcW w:w="8087"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根据提供的施工进度计划、关键节点和线路的保证措施承诺是否具有针对性和可行性等方面进行打分。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施工进度计划、关键节点和线路的保证措施承诺均具有针对性和可行性的得6.0分，在此基础上，上述内容某一项存在缺陷但基本不影响正常施工的每项扣1分，上述内容缺项或不适用的每项扣2分，未提供该项内容不得分。</w:t>
            </w:r>
          </w:p>
        </w:tc>
        <w:tc>
          <w:tcPr>
            <w:tcW w:w="7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9" w:hRule="atLeast"/>
          <w:jc w:val="center"/>
        </w:trPr>
        <w:tc>
          <w:tcPr>
            <w:tcW w:w="1185" w:type="dxa"/>
            <w:tcBorders>
              <w:bottom w:val="single" w:color="auto" w:sz="4" w:space="0"/>
            </w:tcBorders>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技术方案和质量保证措施</w:t>
            </w:r>
          </w:p>
        </w:tc>
        <w:tc>
          <w:tcPr>
            <w:tcW w:w="8087"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根据供应商提供的技术方案和质量保证措施及承诺是否具有针对性和科学性等方面进行打分。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技术方案和</w:t>
            </w:r>
            <w:r>
              <w:rPr>
                <w:rFonts w:hint="eastAsia" w:ascii="宋体" w:hAnsi="宋体" w:eastAsia="宋体" w:cs="宋体"/>
                <w:color w:val="auto"/>
                <w:szCs w:val="21"/>
                <w:highlight w:val="none"/>
              </w:rPr>
              <w:t>质量保证</w:t>
            </w:r>
            <w:r>
              <w:rPr>
                <w:rFonts w:hint="eastAsia" w:ascii="宋体" w:hAnsi="宋体" w:eastAsia="宋体" w:cs="宋体"/>
                <w:color w:val="auto"/>
                <w:highlight w:val="none"/>
              </w:rPr>
              <w:t>措施可行性强的、科学合理的6.0分，在此基础上，上述内容某一项存在缺陷但基本不影响正常施工的每项扣1分，上述内容缺项或不适用的每项扣3分，未提供该项内容不得分。</w:t>
            </w:r>
          </w:p>
          <w:p>
            <w:pPr>
              <w:adjustRightInd w:val="0"/>
              <w:snapToGrid w:val="0"/>
              <w:rPr>
                <w:rFonts w:hint="eastAsia" w:ascii="宋体" w:hAnsi="宋体" w:eastAsia="宋体" w:cs="宋体"/>
                <w:b/>
                <w:color w:val="auto"/>
                <w:szCs w:val="21"/>
                <w:highlight w:val="none"/>
              </w:rPr>
            </w:pPr>
          </w:p>
        </w:tc>
        <w:tc>
          <w:tcPr>
            <w:tcW w:w="7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1185" w:type="dxa"/>
            <w:tcBorders>
              <w:bottom w:val="single" w:color="auto" w:sz="4" w:space="0"/>
            </w:tcBorders>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安全文明施工保证措施</w:t>
            </w:r>
          </w:p>
        </w:tc>
        <w:tc>
          <w:tcPr>
            <w:tcW w:w="8087"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根据供应商提供的安全文明施工方案和保证措施及承诺是否具有针对性和科学性等方面进行打分。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安全文明施工方案和</w:t>
            </w:r>
            <w:r>
              <w:rPr>
                <w:rFonts w:hint="eastAsia" w:ascii="宋体" w:hAnsi="宋体" w:eastAsia="宋体" w:cs="宋体"/>
                <w:color w:val="auto"/>
                <w:szCs w:val="21"/>
                <w:highlight w:val="none"/>
              </w:rPr>
              <w:t>保证</w:t>
            </w:r>
            <w:r>
              <w:rPr>
                <w:rFonts w:hint="eastAsia" w:ascii="宋体" w:hAnsi="宋体" w:eastAsia="宋体" w:cs="宋体"/>
                <w:color w:val="auto"/>
                <w:highlight w:val="none"/>
              </w:rPr>
              <w:t>措施可行性强的、科学合理的6.0分，在此基础上，上述内容某一项存在缺陷但基本不影响正常施工的每项扣1分，上述内容缺项或不适用的每项扣3分，未提供该项内容不得分。</w:t>
            </w:r>
          </w:p>
        </w:tc>
        <w:tc>
          <w:tcPr>
            <w:tcW w:w="7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8" w:hRule="atLeast"/>
          <w:jc w:val="center"/>
        </w:trPr>
        <w:tc>
          <w:tcPr>
            <w:tcW w:w="1185" w:type="dxa"/>
            <w:tcBorders>
              <w:bottom w:val="single" w:color="auto" w:sz="4" w:space="0"/>
            </w:tcBorders>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针对本项目的重难点分析</w:t>
            </w:r>
          </w:p>
        </w:tc>
        <w:tc>
          <w:tcPr>
            <w:tcW w:w="8087" w:type="dxa"/>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根据供应商对项目开展过程中的重难点作分级分析，是否层级清晰、分析深刻透彻，是否符合实际及解决措施等情况进行打分。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重难点分析详细到位、层级清晰、深刻透彻、符合实际，解决措施明确、清晰详尽，能够解决问题的得8.0分，在此基础上，内容缺陷或不适用的每项扣1分，未提供该项内容不得分。</w:t>
            </w:r>
          </w:p>
        </w:tc>
        <w:tc>
          <w:tcPr>
            <w:tcW w:w="7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jc w:val="center"/>
        </w:trPr>
        <w:tc>
          <w:tcPr>
            <w:tcW w:w="1185" w:type="dxa"/>
            <w:tcBorders>
              <w:bottom w:val="single" w:color="auto" w:sz="4" w:space="0"/>
            </w:tcBorders>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投入本项目产品技术性能</w:t>
            </w:r>
          </w:p>
        </w:tc>
        <w:tc>
          <w:tcPr>
            <w:tcW w:w="8087" w:type="dxa"/>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投入本项目产品技术性能：</w:t>
            </w:r>
          </w:p>
          <w:p>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根据供应商拟投入本项目的材料设备[包含但不限于地砖、地砖、电线电缆、电气、铝合金门窗、轻钢龙骨石膏板、涂料</w:t>
            </w:r>
            <w:r>
              <w:rPr>
                <w:rFonts w:hint="eastAsia" w:ascii="宋体" w:hAnsi="宋体" w:cs="宋体"/>
                <w:color w:val="auto"/>
                <w:szCs w:val="21"/>
                <w:highlight w:val="none"/>
                <w:lang w:eastAsia="zh-CN"/>
              </w:rPr>
              <w:t>、</w:t>
            </w:r>
            <w:r>
              <w:rPr>
                <w:rFonts w:hint="eastAsia" w:ascii="Times New Roman" w:hAnsi="Times New Roman" w:eastAsia="宋体" w:cs="Times New Roman"/>
                <w:color w:val="auto"/>
                <w:sz w:val="21"/>
                <w:szCs w:val="21"/>
                <w:highlight w:val="none"/>
              </w:rPr>
              <w:t>卫生洁具</w:t>
            </w:r>
            <w:r>
              <w:rPr>
                <w:rFonts w:hint="eastAsia" w:ascii="宋体" w:hAnsi="宋体" w:eastAsia="宋体" w:cs="宋体"/>
                <w:color w:val="auto"/>
                <w:szCs w:val="21"/>
                <w:highlight w:val="none"/>
              </w:rPr>
              <w:t>]的技术性能打分，品牌好、技术性能稳定、产品质量稳定、可靠性好、材料技术性能均优的得12.0分，在此基础上，某一项材料设备存在品牌、技术性能、产品质量、可靠性、材料技术性等缺陷的每项扣0.5分（某一项材料最多扣1.5分），未提供该项内容不得分。</w:t>
            </w:r>
          </w:p>
        </w:tc>
        <w:tc>
          <w:tcPr>
            <w:tcW w:w="7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1185" w:type="dxa"/>
            <w:tcBorders>
              <w:bottom w:val="single" w:color="auto" w:sz="4" w:space="0"/>
            </w:tcBorders>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应急预案</w:t>
            </w:r>
          </w:p>
        </w:tc>
        <w:tc>
          <w:tcPr>
            <w:tcW w:w="8087" w:type="dxa"/>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针对项目实施过程中可能遇到的紧急事件、异常处理等应急预案和对应的解决措施情及承诺况进行打分。</w:t>
            </w:r>
          </w:p>
          <w:p>
            <w:pPr>
              <w:adjustRightInd w:val="0"/>
              <w:snapToGrid w:val="0"/>
              <w:rPr>
                <w:rFonts w:hint="eastAsia" w:ascii="宋体" w:hAnsi="宋体" w:eastAsia="宋体" w:cs="宋体"/>
                <w:color w:val="auto"/>
                <w:spacing w:val="-4"/>
                <w:szCs w:val="21"/>
                <w:highlight w:val="none"/>
              </w:rPr>
            </w:pPr>
            <w:r>
              <w:rPr>
                <w:rFonts w:hint="eastAsia" w:ascii="宋体" w:hAnsi="宋体" w:eastAsia="宋体" w:cs="宋体"/>
                <w:color w:val="auto"/>
                <w:highlight w:val="none"/>
              </w:rPr>
              <w:t>1.提出应急措施科学可行、具有针对性的得6.0分，在此基础上，内容缺陷或不适用的每项扣1分，未提供该项内容不得分。</w:t>
            </w:r>
          </w:p>
        </w:tc>
        <w:tc>
          <w:tcPr>
            <w:tcW w:w="7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1185" w:type="dxa"/>
            <w:tcBorders>
              <w:bottom w:val="single" w:color="auto" w:sz="4" w:space="0"/>
            </w:tcBorders>
            <w:vAlign w:val="center"/>
          </w:tcPr>
          <w:p>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质量保修期响应时间的承诺</w:t>
            </w:r>
          </w:p>
        </w:tc>
        <w:tc>
          <w:tcPr>
            <w:tcW w:w="8087" w:type="dxa"/>
            <w:vAlign w:val="center"/>
          </w:tcPr>
          <w:p>
            <w:pPr>
              <w:adjustRightInd w:val="0"/>
              <w:snapToGrid w:val="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客</w:t>
            </w:r>
            <w:r>
              <w:rPr>
                <w:rFonts w:hint="eastAsia" w:ascii="宋体" w:hAnsi="宋体" w:eastAsia="宋体" w:cs="宋体"/>
                <w:b/>
                <w:bCs/>
                <w:color w:val="auto"/>
                <w:szCs w:val="21"/>
                <w:highlight w:val="none"/>
              </w:rPr>
              <w:t>观分：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根据供应商拟定的保修服务方案，提供后期免费维修承诺，根据维修方案是否及时、完整合理、长效可行等情况进行打分。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第一档：质保服务方案优,维修响应时间≤2小时的得3分；质保服务方案可行,维修响应时间≤2小时的得2.2分，；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第二档：质保服务方案合理有可操作性，维修响应时间＞2小时的得1.6分； </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第三档：维修时间＞2小时，质保服务方案操作性较低且无实质性承诺的得</w:t>
            </w:r>
            <w:r>
              <w:rPr>
                <w:rFonts w:hint="eastAsia" w:ascii="宋体" w:hAnsi="宋体" w:eastAsia="宋体" w:cs="宋体"/>
                <w:color w:val="auto"/>
                <w:highlight w:val="none"/>
              </w:rPr>
              <w:t>1.0</w:t>
            </w:r>
            <w:r>
              <w:rPr>
                <w:rFonts w:hint="eastAsia" w:ascii="宋体" w:hAnsi="宋体" w:eastAsia="宋体" w:cs="宋体"/>
                <w:color w:val="auto"/>
                <w:szCs w:val="21"/>
                <w:highlight w:val="none"/>
              </w:rPr>
              <w:t>分；</w:t>
            </w:r>
          </w:p>
          <w:p>
            <w:pPr>
              <w:adjustRightInd w:val="0"/>
              <w:snapToGrid w:val="0"/>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注：供应商应出具承诺函，未提供该项内容不得分。</w:t>
            </w:r>
          </w:p>
        </w:tc>
        <w:tc>
          <w:tcPr>
            <w:tcW w:w="750"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bl>
    <w:p>
      <w:pPr>
        <w:pStyle w:val="22"/>
        <w:rPr>
          <w:rFonts w:hint="eastAsia" w:ascii="宋体" w:hAnsi="宋体" w:eastAsia="宋体" w:cs="宋体"/>
          <w:color w:val="auto"/>
          <w:highlight w:val="none"/>
          <w:lang w:val="zh-CN"/>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numPr>
          <w:ilvl w:val="0"/>
          <w:numId w:val="4"/>
        </w:numPr>
        <w:spacing w:line="360" w:lineRule="auto"/>
        <w:jc w:val="center"/>
        <w:outlineLvl w:val="0"/>
        <w:rPr>
          <w:rFonts w:hint="eastAsia" w:ascii="宋体" w:hAnsi="宋体" w:eastAsia="宋体" w:cs="宋体"/>
          <w:b/>
          <w:color w:val="auto"/>
          <w:kern w:val="0"/>
          <w:sz w:val="36"/>
          <w:szCs w:val="36"/>
          <w:highlight w:val="none"/>
          <w:lang w:val="en-US" w:eastAsia="zh-CN"/>
        </w:rPr>
      </w:pPr>
      <w:bookmarkStart w:id="67" w:name="_Toc11741"/>
      <w:r>
        <w:rPr>
          <w:rFonts w:hint="eastAsia" w:ascii="宋体" w:hAnsi="宋体" w:eastAsia="宋体" w:cs="宋体"/>
          <w:b/>
          <w:color w:val="auto"/>
          <w:kern w:val="0"/>
          <w:sz w:val="36"/>
          <w:szCs w:val="36"/>
          <w:highlight w:val="none"/>
          <w:lang w:val="en-US" w:eastAsia="zh-CN"/>
        </w:rPr>
        <w:t>合同条款及格式</w:t>
      </w:r>
      <w:bookmarkEnd w:id="67"/>
    </w:p>
    <w:p>
      <w:pPr>
        <w:spacing w:line="360" w:lineRule="exact"/>
        <w:ind w:firstLine="420" w:firstLineChars="200"/>
        <w:rPr>
          <w:rFonts w:hint="eastAsia" w:ascii="宋体" w:hAnsi="宋体" w:eastAsia="宋体" w:cs="宋体"/>
          <w:color w:val="auto"/>
          <w:highlight w:val="none"/>
        </w:rPr>
      </w:pPr>
      <w:bookmarkStart w:id="68" w:name="_Toc5481_WPSOffice_Level1"/>
      <w:r>
        <w:rPr>
          <w:rFonts w:hint="eastAsia" w:ascii="宋体" w:hAnsi="宋体" w:eastAsia="宋体" w:cs="宋体"/>
          <w:color w:val="auto"/>
          <w:highlight w:val="none"/>
        </w:rPr>
        <w:t>合同文本采用《建设工程施工合同（示范文本）》（GF-2017-0201）。</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合同通用条款采用《建设工程施工合同（示范文本）》的通用条款（GF-2017-0201）。</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合同专用条款中的主要条款将由招标人(发包人)与中标人(</w:t>
      </w:r>
      <w:r>
        <w:rPr>
          <w:rFonts w:hint="eastAsia" w:ascii="宋体" w:hAnsi="宋体" w:eastAsia="宋体" w:cs="宋体"/>
          <w:color w:val="auto"/>
          <w:highlight w:val="none"/>
          <w:lang w:eastAsia="zh-CN"/>
        </w:rPr>
        <w:t>承包人</w:t>
      </w:r>
      <w:r>
        <w:rPr>
          <w:rFonts w:hint="eastAsia" w:ascii="宋体" w:hAnsi="宋体" w:eastAsia="宋体" w:cs="宋体"/>
          <w:color w:val="auto"/>
          <w:highlight w:val="none"/>
        </w:rPr>
        <w:t>)根据投标文件签订。</w:t>
      </w:r>
    </w:p>
    <w:p>
      <w:pPr>
        <w:pStyle w:val="3"/>
        <w:rPr>
          <w:rFonts w:hint="eastAsia" w:ascii="宋体" w:hAnsi="宋体" w:eastAsia="宋体" w:cs="宋体"/>
          <w:color w:val="auto"/>
          <w:highlight w:val="none"/>
        </w:rPr>
        <w:sectPr>
          <w:footerReference r:id="rId6" w:type="default"/>
          <w:footnotePr>
            <w:numRestart w:val="eachPage"/>
          </w:footnotePr>
          <w:endnotePr>
            <w:numRestart w:val="eachSect"/>
          </w:endnotePr>
          <w:pgSz w:w="11907" w:h="16840"/>
          <w:pgMar w:top="1247" w:right="1361" w:bottom="1247" w:left="1361" w:header="851" w:footer="839" w:gutter="0"/>
          <w:pgNumType w:fmt="decimal" w:start="1"/>
          <w:cols w:space="720" w:num="1"/>
          <w:docGrid w:linePitch="435" w:charSpace="-6554"/>
        </w:sectPr>
      </w:pPr>
      <w:bookmarkStart w:id="69" w:name="_Toc16690"/>
      <w:bookmarkStart w:id="70" w:name="_Toc11799"/>
      <w:bookmarkStart w:id="71" w:name="_Toc8397"/>
      <w:bookmarkStart w:id="72" w:name="_Toc531162031"/>
    </w:p>
    <w:p>
      <w:pPr>
        <w:pStyle w:val="66"/>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合同协议书</w:t>
      </w:r>
      <w:bookmarkEnd w:id="69"/>
      <w:bookmarkEnd w:id="70"/>
      <w:bookmarkEnd w:id="71"/>
      <w:bookmarkEnd w:id="72"/>
    </w:p>
    <w:p>
      <w:pPr>
        <w:spacing w:line="360" w:lineRule="auto"/>
        <w:rPr>
          <w:rFonts w:hint="eastAsia" w:ascii="宋体" w:hAnsi="宋体" w:eastAsia="宋体" w:cs="宋体"/>
          <w:color w:val="auto"/>
          <w:sz w:val="24"/>
          <w:highlight w:val="none"/>
          <w:u w:val="single"/>
        </w:rPr>
      </w:pPr>
    </w:p>
    <w:p>
      <w:pPr>
        <w:spacing w:line="360" w:lineRule="exac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lang w:eastAsia="zh-CN"/>
        </w:rPr>
        <w:t>台州市椒江区章安街道中心幼儿园</w:t>
      </w:r>
    </w:p>
    <w:p>
      <w:pPr>
        <w:spacing w:line="360" w:lineRule="exac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梓林幼儿园改造项目</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rPr>
        <w:t>施工及有关事项协商一致，共同达成如下协议：</w:t>
      </w:r>
    </w:p>
    <w:p>
      <w:pPr>
        <w:pStyle w:val="6"/>
        <w:spacing w:before="0" w:after="0" w:line="360" w:lineRule="exact"/>
        <w:rPr>
          <w:rFonts w:hint="eastAsia" w:ascii="宋体" w:hAnsi="宋体" w:eastAsia="宋体" w:cs="宋体"/>
          <w:bCs w:val="0"/>
          <w:color w:val="auto"/>
          <w:sz w:val="21"/>
          <w:szCs w:val="21"/>
          <w:highlight w:val="none"/>
        </w:rPr>
      </w:pPr>
      <w:bookmarkStart w:id="73" w:name="_Toc351203481"/>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一、工程概况</w:t>
      </w:r>
      <w:bookmarkEnd w:id="73"/>
    </w:p>
    <w:p>
      <w:pPr>
        <w:spacing w:line="360" w:lineRule="exact"/>
        <w:ind w:firstLine="411" w:firstLineChars="196"/>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1．工程名称</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梓林幼儿园改造项目</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rPr>
        <w:t>。</w:t>
      </w:r>
    </w:p>
    <w:p>
      <w:pPr>
        <w:spacing w:line="36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2．工程地点：</w:t>
      </w:r>
      <w:r>
        <w:rPr>
          <w:rFonts w:hint="eastAsia" w:ascii="宋体" w:hAnsi="宋体" w:eastAsia="宋体" w:cs="宋体"/>
          <w:bCs/>
          <w:color w:val="auto"/>
          <w:szCs w:val="21"/>
          <w:highlight w:val="none"/>
          <w:u w:val="single"/>
          <w:lang w:eastAsia="zh-CN"/>
        </w:rPr>
        <w:t>椒江区</w:t>
      </w:r>
      <w:r>
        <w:rPr>
          <w:rFonts w:hint="eastAsia" w:ascii="宋体" w:hAnsi="宋体" w:eastAsia="宋体" w:cs="宋体"/>
          <w:bCs/>
          <w:color w:val="auto"/>
          <w:szCs w:val="21"/>
          <w:highlight w:val="none"/>
          <w:u w:val="single"/>
          <w:lang w:val="en-US" w:eastAsia="zh-CN"/>
        </w:rPr>
        <w:t>行政区内</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3．工程立项批准文号：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pacing w:line="36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4．资金来源：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财政 </w:t>
      </w:r>
      <w:r>
        <w:rPr>
          <w:rFonts w:hint="eastAsia" w:ascii="宋体" w:hAnsi="宋体" w:eastAsia="宋体" w:cs="宋体"/>
          <w:color w:val="auto"/>
          <w:szCs w:val="21"/>
          <w:highlight w:val="none"/>
          <w:u w:val="single"/>
        </w:rPr>
        <w:t>100%</w:t>
      </w:r>
      <w:r>
        <w:rPr>
          <w:rFonts w:hint="eastAsia" w:ascii="宋体" w:hAnsi="宋体" w:eastAsia="宋体" w:cs="宋体"/>
          <w:bCs/>
          <w:color w:val="auto"/>
          <w:szCs w:val="21"/>
          <w:highlight w:val="none"/>
        </w:rPr>
        <w:t>。</w:t>
      </w:r>
    </w:p>
    <w:p>
      <w:pPr>
        <w:spacing w:line="360" w:lineRule="exact"/>
        <w:ind w:firstLine="411" w:firstLineChars="196"/>
        <w:rPr>
          <w:rFonts w:hint="eastAsia" w:ascii="宋体" w:hAnsi="宋体" w:eastAsia="宋体" w:cs="宋体"/>
          <w:bCs/>
          <w:color w:val="auto"/>
          <w:szCs w:val="21"/>
          <w:highlight w:val="none"/>
          <w:lang w:val="en-US"/>
        </w:rPr>
      </w:pPr>
      <w:r>
        <w:rPr>
          <w:rFonts w:hint="eastAsia" w:ascii="宋体" w:hAnsi="宋体" w:eastAsia="宋体" w:cs="宋体"/>
          <w:bCs/>
          <w:color w:val="auto"/>
          <w:szCs w:val="21"/>
          <w:highlight w:val="none"/>
        </w:rPr>
        <w:t>5．工程内容：</w:t>
      </w:r>
      <w:r>
        <w:rPr>
          <w:rFonts w:hint="eastAsia" w:ascii="宋体" w:hAnsi="宋体" w:eastAsia="宋体" w:cs="宋体"/>
          <w:color w:val="auto"/>
          <w:szCs w:val="21"/>
          <w:highlight w:val="none"/>
          <w:u w:val="single"/>
          <w:lang w:val="en-US" w:eastAsia="zh-CN"/>
        </w:rPr>
        <w:t xml:space="preserve">                    </w:t>
      </w:r>
    </w:p>
    <w:p>
      <w:pPr>
        <w:spacing w:line="360" w:lineRule="exact"/>
        <w:ind w:firstLine="420" w:firstLineChars="200"/>
        <w:rPr>
          <w:rFonts w:hint="eastAsia"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rPr>
        <w:t>6．工程承包范围：</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u w:val="single"/>
          <w:lang w:val="en-US" w:eastAsia="zh-CN"/>
        </w:rPr>
        <w:t xml:space="preserve">                                   。</w:t>
      </w:r>
    </w:p>
    <w:p>
      <w:pPr>
        <w:pStyle w:val="6"/>
        <w:spacing w:before="0" w:after="0" w:line="360" w:lineRule="exact"/>
        <w:rPr>
          <w:rFonts w:hint="eastAsia" w:ascii="宋体" w:hAnsi="宋体" w:eastAsia="宋体" w:cs="宋体"/>
          <w:b w:val="0"/>
          <w:color w:val="auto"/>
          <w:sz w:val="21"/>
          <w:szCs w:val="21"/>
          <w:highlight w:val="none"/>
        </w:rPr>
      </w:pPr>
      <w:bookmarkStart w:id="74" w:name="_Toc351203482"/>
      <w:r>
        <w:rPr>
          <w:rFonts w:hint="eastAsia" w:ascii="宋体" w:hAnsi="宋体" w:eastAsia="宋体" w:cs="宋体"/>
          <w:b w:val="0"/>
          <w:color w:val="auto"/>
          <w:sz w:val="21"/>
          <w:szCs w:val="21"/>
          <w:highlight w:val="none"/>
        </w:rPr>
        <w:t xml:space="preserve">    二、合同工期</w:t>
      </w:r>
      <w:bookmarkEnd w:id="74"/>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pStyle w:val="6"/>
        <w:spacing w:before="0" w:after="0" w:line="36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5" w:name="_Toc351203483"/>
      <w:r>
        <w:rPr>
          <w:rFonts w:hint="eastAsia" w:ascii="宋体" w:hAnsi="宋体" w:eastAsia="宋体" w:cs="宋体"/>
          <w:b w:val="0"/>
          <w:color w:val="auto"/>
          <w:sz w:val="21"/>
          <w:szCs w:val="21"/>
          <w:highlight w:val="none"/>
        </w:rPr>
        <w:t>三、质量标准</w:t>
      </w:r>
      <w:bookmarkEnd w:id="75"/>
    </w:p>
    <w:p>
      <w:pPr>
        <w:spacing w:line="36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合格</w:t>
      </w:r>
      <w:r>
        <w:rPr>
          <w:rFonts w:hint="eastAsia" w:ascii="宋体" w:hAnsi="宋体" w:eastAsia="宋体" w:cs="宋体"/>
          <w:color w:val="auto"/>
          <w:szCs w:val="21"/>
          <w:highlight w:val="none"/>
        </w:rPr>
        <w:t>标准。</w:t>
      </w:r>
    </w:p>
    <w:p>
      <w:pPr>
        <w:pStyle w:val="6"/>
        <w:spacing w:before="0" w:after="0" w:line="360" w:lineRule="exact"/>
        <w:rPr>
          <w:rFonts w:hint="eastAsia" w:ascii="宋体" w:hAnsi="宋体" w:eastAsia="宋体" w:cs="宋体"/>
          <w:bCs w:val="0"/>
          <w:color w:val="auto"/>
          <w:sz w:val="21"/>
          <w:szCs w:val="21"/>
          <w:highlight w:val="none"/>
        </w:rPr>
      </w:pPr>
      <w:bookmarkStart w:id="76" w:name="_Toc351203484"/>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四、签约合同价与合同价格形式</w:t>
      </w:r>
      <w:bookmarkEnd w:id="76"/>
      <w:r>
        <w:rPr>
          <w:rFonts w:hint="eastAsia" w:ascii="宋体" w:hAnsi="宋体" w:eastAsia="宋体" w:cs="宋体"/>
          <w:b w:val="0"/>
          <w:color w:val="auto"/>
          <w:sz w:val="21"/>
          <w:szCs w:val="21"/>
          <w:highlight w:val="none"/>
        </w:rPr>
        <w:tab/>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单价合同</w:t>
      </w:r>
      <w:r>
        <w:rPr>
          <w:rFonts w:hint="eastAsia" w:ascii="宋体" w:hAnsi="宋体" w:eastAsia="宋体" w:cs="宋体"/>
          <w:color w:val="auto"/>
          <w:szCs w:val="21"/>
          <w:highlight w:val="none"/>
        </w:rPr>
        <w:t>。</w:t>
      </w:r>
    </w:p>
    <w:p>
      <w:pPr>
        <w:pStyle w:val="6"/>
        <w:spacing w:before="0" w:after="0" w:line="360" w:lineRule="exact"/>
        <w:rPr>
          <w:rFonts w:hint="eastAsia" w:ascii="宋体" w:hAnsi="宋体" w:eastAsia="宋体" w:cs="宋体"/>
          <w:b w:val="0"/>
          <w:color w:val="auto"/>
          <w:sz w:val="21"/>
          <w:szCs w:val="21"/>
          <w:highlight w:val="none"/>
        </w:rPr>
      </w:pPr>
      <w:bookmarkStart w:id="77" w:name="_Toc351203485"/>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五、</w:t>
      </w:r>
      <w:bookmarkEnd w:id="77"/>
      <w:r>
        <w:rPr>
          <w:rFonts w:hint="eastAsia" w:ascii="宋体" w:hAnsi="宋体" w:eastAsia="宋体" w:cs="宋体"/>
          <w:b w:val="0"/>
          <w:color w:val="auto"/>
          <w:sz w:val="21"/>
          <w:szCs w:val="21"/>
          <w:highlight w:val="none"/>
        </w:rPr>
        <w:t>项目经理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spacing w:before="0" w:after="0" w:line="360" w:lineRule="exact"/>
        <w:rPr>
          <w:rFonts w:hint="eastAsia" w:ascii="宋体" w:hAnsi="宋体" w:eastAsia="宋体" w:cs="宋体"/>
          <w:bCs w:val="0"/>
          <w:color w:val="auto"/>
          <w:sz w:val="21"/>
          <w:szCs w:val="21"/>
          <w:highlight w:val="none"/>
        </w:rPr>
      </w:pPr>
      <w:bookmarkStart w:id="78" w:name="_Toc351203486"/>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六、合同文件构成</w:t>
      </w:r>
      <w:bookmarkEnd w:id="78"/>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（1）中标通知书（如果有）；</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（2）投标函及其附录（如果有）；</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（6）图纸；</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（7）已标价工程量清单或预算书；</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360" w:lineRule="exact"/>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七、创优目标</w:t>
      </w:r>
    </w:p>
    <w:p>
      <w:pPr>
        <w:autoSpaceDE w:val="0"/>
        <w:autoSpaceDN w:val="0"/>
        <w:adjustRightIn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工程质量创</w:t>
      </w:r>
      <w:r>
        <w:rPr>
          <w:rFonts w:hint="eastAsia" w:ascii="宋体" w:hAnsi="宋体" w:eastAsia="宋体" w:cs="宋体"/>
          <w:color w:val="auto"/>
          <w:szCs w:val="21"/>
          <w:highlight w:val="none"/>
          <w:u w:val="single"/>
        </w:rPr>
        <w:t xml:space="preserve"> / 。</w:t>
      </w:r>
    </w:p>
    <w:p>
      <w:pPr>
        <w:autoSpaceDE w:val="0"/>
        <w:autoSpaceDN w:val="0"/>
        <w:adjustRightIn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安全文明施工创</w:t>
      </w:r>
      <w:r>
        <w:rPr>
          <w:rFonts w:hint="eastAsia" w:ascii="宋体" w:hAnsi="宋体" w:eastAsia="宋体" w:cs="宋体"/>
          <w:color w:val="auto"/>
          <w:szCs w:val="21"/>
          <w:highlight w:val="none"/>
          <w:u w:val="single"/>
        </w:rPr>
        <w:t>/。</w:t>
      </w:r>
    </w:p>
    <w:p>
      <w:pPr>
        <w:pStyle w:val="6"/>
        <w:spacing w:before="0" w:after="0" w:line="360" w:lineRule="exact"/>
        <w:rPr>
          <w:rFonts w:hint="eastAsia" w:ascii="宋体" w:hAnsi="宋体" w:eastAsia="宋体" w:cs="宋体"/>
          <w:b w:val="0"/>
          <w:bCs w:val="0"/>
          <w:color w:val="auto"/>
          <w:sz w:val="21"/>
          <w:szCs w:val="21"/>
          <w:highlight w:val="none"/>
        </w:rPr>
      </w:pPr>
      <w:bookmarkStart w:id="79" w:name="_Toc351203487"/>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八、承诺</w:t>
      </w:r>
      <w:bookmarkEnd w:id="79"/>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1．发包人承诺按照法律规定履行项目审批手续、筹集工程建设资金并按照合同约定的期限和方式支付合同价款。</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 xml:space="preserve">3. </w:t>
      </w:r>
      <w:r>
        <w:rPr>
          <w:rFonts w:hint="eastAsia" w:ascii="宋体" w:hAnsi="宋体" w:eastAsia="宋体" w:cs="宋体"/>
          <w:color w:val="auto"/>
          <w:kern w:val="0"/>
          <w:szCs w:val="21"/>
          <w:highlight w:val="none"/>
        </w:rPr>
        <w:t>承包人</w:t>
      </w:r>
      <w:r>
        <w:rPr>
          <w:rFonts w:hint="eastAsia" w:ascii="宋体" w:hAnsi="宋体" w:eastAsia="宋体" w:cs="宋体"/>
          <w:bCs/>
          <w:color w:val="auto"/>
          <w:szCs w:val="21"/>
          <w:highlight w:val="none"/>
        </w:rPr>
        <w:t>承诺</w:t>
      </w:r>
      <w:r>
        <w:rPr>
          <w:rFonts w:hint="eastAsia" w:ascii="宋体" w:hAnsi="宋体" w:eastAsia="宋体" w:cs="宋体"/>
          <w:color w:val="auto"/>
          <w:kern w:val="0"/>
          <w:szCs w:val="21"/>
          <w:highlight w:val="none"/>
        </w:rPr>
        <w:t>不拖欠工人工资，因拖欠工资造成的一切后果，均由承包人承担，发包人有权将应拔付的工程款，先代付工资。</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4．发包人和承包人通过招投标形式签订合同的，双方理解并承诺不再就同一工程另行签订与合同实质性内容相背离的协议。</w:t>
      </w:r>
    </w:p>
    <w:p>
      <w:pPr>
        <w:spacing w:line="360" w:lineRule="exact"/>
        <w:rPr>
          <w:rFonts w:hint="eastAsia" w:ascii="宋体" w:hAnsi="宋体" w:eastAsia="宋体" w:cs="宋体"/>
          <w:bCs/>
          <w:color w:val="auto"/>
          <w:szCs w:val="21"/>
          <w:highlight w:val="none"/>
        </w:rPr>
      </w:pPr>
      <w:bookmarkStart w:id="80" w:name="_Toc351203488"/>
      <w:r>
        <w:rPr>
          <w:rFonts w:hint="eastAsia" w:ascii="宋体" w:hAnsi="宋体" w:eastAsia="宋体" w:cs="宋体"/>
          <w:color w:val="auto"/>
          <w:szCs w:val="21"/>
          <w:highlight w:val="none"/>
        </w:rPr>
        <w:t xml:space="preserve">    九、词语含义</w:t>
      </w:r>
      <w:bookmarkEnd w:id="80"/>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pStyle w:val="6"/>
        <w:spacing w:before="0" w:after="0" w:line="360" w:lineRule="exact"/>
        <w:rPr>
          <w:rFonts w:hint="eastAsia" w:ascii="宋体" w:hAnsi="宋体" w:eastAsia="宋体" w:cs="宋体"/>
          <w:bCs w:val="0"/>
          <w:color w:val="auto"/>
          <w:sz w:val="21"/>
          <w:szCs w:val="21"/>
          <w:highlight w:val="none"/>
        </w:rPr>
      </w:pPr>
      <w:bookmarkStart w:id="81" w:name="_Toc351203489"/>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十、签订时间</w:t>
      </w:r>
      <w:bookmarkEnd w:id="81"/>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pStyle w:val="6"/>
        <w:spacing w:before="0" w:after="0" w:line="36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2" w:name="_Toc351203490"/>
      <w:r>
        <w:rPr>
          <w:rFonts w:hint="eastAsia" w:ascii="宋体" w:hAnsi="宋体" w:eastAsia="宋体" w:cs="宋体"/>
          <w:b w:val="0"/>
          <w:color w:val="auto"/>
          <w:sz w:val="21"/>
          <w:szCs w:val="21"/>
          <w:highlight w:val="none"/>
        </w:rPr>
        <w:t>十一、签订地点</w:t>
      </w:r>
      <w:bookmarkEnd w:id="82"/>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pStyle w:val="6"/>
        <w:spacing w:before="0" w:after="0" w:line="36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3" w:name="_Toc351203491"/>
      <w:r>
        <w:rPr>
          <w:rFonts w:hint="eastAsia" w:ascii="宋体" w:hAnsi="宋体" w:eastAsia="宋体" w:cs="宋体"/>
          <w:b w:val="0"/>
          <w:color w:val="auto"/>
          <w:sz w:val="21"/>
          <w:szCs w:val="21"/>
          <w:highlight w:val="none"/>
        </w:rPr>
        <w:t>十二、补充协议</w:t>
      </w:r>
      <w:bookmarkEnd w:id="83"/>
    </w:p>
    <w:p>
      <w:pPr>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pStyle w:val="6"/>
        <w:spacing w:before="0" w:after="0" w:line="36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4" w:name="_Toc351203492"/>
      <w:r>
        <w:rPr>
          <w:rFonts w:hint="eastAsia" w:ascii="宋体" w:hAnsi="宋体" w:eastAsia="宋体" w:cs="宋体"/>
          <w:b w:val="0"/>
          <w:color w:val="auto"/>
          <w:sz w:val="21"/>
          <w:szCs w:val="21"/>
          <w:highlight w:val="none"/>
        </w:rPr>
        <w:t>十三、合同生效</w:t>
      </w:r>
      <w:bookmarkEnd w:id="84"/>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双方法定代表人或委托代理人签字并加盖公章后生效。</w:t>
      </w:r>
    </w:p>
    <w:p>
      <w:pPr>
        <w:pStyle w:val="6"/>
        <w:spacing w:before="0" w:after="0" w:line="360" w:lineRule="exac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85" w:name="_Toc351203493"/>
      <w:r>
        <w:rPr>
          <w:rFonts w:hint="eastAsia" w:ascii="宋体" w:hAnsi="宋体" w:eastAsia="宋体" w:cs="宋体"/>
          <w:b w:val="0"/>
          <w:color w:val="auto"/>
          <w:sz w:val="21"/>
          <w:szCs w:val="21"/>
          <w:highlight w:val="none"/>
        </w:rPr>
        <w:t>十四、合同份数</w:t>
      </w:r>
      <w:bookmarkEnd w:id="85"/>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lang w:val="en-US" w:eastAsia="zh-CN"/>
        </w:rPr>
        <w:t>六</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lang w:val="en-US" w:eastAsia="zh-CN"/>
        </w:rPr>
        <w:t>三</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lang w:val="en-US" w:eastAsia="zh-CN"/>
        </w:rPr>
        <w:t>三</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bookmarkStart w:id="86" w:name="_Toc351203633"/>
      <w:bookmarkStart w:id="87" w:name="_Toc351203652"/>
      <w:r>
        <w:rPr>
          <w:rFonts w:hint="eastAsia" w:ascii="宋体" w:hAnsi="宋体" w:eastAsia="宋体" w:cs="宋体"/>
          <w:color w:val="auto"/>
          <w:szCs w:val="21"/>
          <w:highlight w:val="none"/>
        </w:rPr>
        <w:t xml:space="preserve">发包人：  （公章）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承包人：  （公章）</w:t>
      </w:r>
    </w:p>
    <w:p>
      <w:pPr>
        <w:spacing w:line="360" w:lineRule="exact"/>
        <w:rPr>
          <w:rFonts w:hint="eastAsia" w:ascii="宋体" w:hAnsi="宋体" w:eastAsia="宋体" w:cs="宋体"/>
          <w:color w:val="auto"/>
          <w:szCs w:val="21"/>
          <w:highlight w:val="none"/>
          <w:u w:val="single"/>
        </w:rPr>
      </w:pPr>
    </w:p>
    <w:p>
      <w:pPr>
        <w:spacing w:line="360" w:lineRule="exact"/>
        <w:rPr>
          <w:rFonts w:hint="eastAsia" w:ascii="宋体" w:hAnsi="宋体" w:eastAsia="宋体" w:cs="宋体"/>
          <w:color w:val="auto"/>
          <w:szCs w:val="21"/>
          <w:highlight w:val="none"/>
          <w:u w:val="singl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法定代表人或其委托代理人：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法定代表人或其委托代理人：</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（签字）</w:t>
      </w:r>
    </w:p>
    <w:p>
      <w:pPr>
        <w:tabs>
          <w:tab w:val="left" w:pos="4410"/>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pStyle w:val="26"/>
        <w:jc w:val="both"/>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88" w:name="_Toc18328"/>
      <w:bookmarkStart w:id="89" w:name="_Toc13948"/>
      <w:bookmarkStart w:id="90" w:name="_Toc6445"/>
      <w:bookmarkStart w:id="91" w:name="_Toc531162032"/>
    </w:p>
    <w:p>
      <w:pPr>
        <w:pStyle w:val="66"/>
        <w:jc w:val="center"/>
        <w:rPr>
          <w:rFonts w:hint="eastAsia" w:ascii="宋体" w:hAnsi="宋体" w:eastAsia="宋体" w:cs="宋体"/>
          <w:color w:val="auto"/>
          <w:sz w:val="32"/>
          <w:szCs w:val="32"/>
          <w:highlight w:val="none"/>
        </w:rPr>
      </w:pPr>
    </w:p>
    <w:p>
      <w:pPr>
        <w:pStyle w:val="66"/>
        <w:jc w:val="cente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66"/>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rPr>
        <w:t>第二部分   通用合同条款（略）</w:t>
      </w:r>
      <w:bookmarkEnd w:id="88"/>
      <w:bookmarkEnd w:id="89"/>
      <w:bookmarkEnd w:id="90"/>
      <w:bookmarkEnd w:id="91"/>
      <w:bookmarkStart w:id="92" w:name="_Toc531162033"/>
      <w:bookmarkStart w:id="93" w:name="_Toc16954"/>
      <w:bookmarkStart w:id="94" w:name="_Toc267919286"/>
      <w:bookmarkStart w:id="95" w:name="_Toc394573947"/>
      <w:bookmarkStart w:id="96" w:name="_Toc278377207"/>
      <w:bookmarkStart w:id="97" w:name="_Toc1116"/>
      <w:bookmarkStart w:id="98" w:name="_Toc14297"/>
    </w:p>
    <w:p>
      <w:pPr>
        <w:pStyle w:val="66"/>
        <w:jc w:val="center"/>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第三部分　　专用合同条款</w:t>
      </w:r>
      <w:bookmarkEnd w:id="92"/>
      <w:bookmarkEnd w:id="93"/>
      <w:bookmarkEnd w:id="94"/>
      <w:bookmarkEnd w:id="95"/>
      <w:bookmarkEnd w:id="96"/>
      <w:bookmarkEnd w:id="97"/>
      <w:bookmarkEnd w:id="98"/>
    </w:p>
    <w:p>
      <w:pPr>
        <w:pStyle w:val="6"/>
        <w:spacing w:before="0" w:after="0" w:line="360" w:lineRule="exact"/>
        <w:rPr>
          <w:rFonts w:hint="eastAsia" w:ascii="宋体" w:hAnsi="宋体" w:eastAsia="宋体" w:cs="宋体"/>
          <w:b w:val="0"/>
          <w:color w:val="auto"/>
          <w:sz w:val="21"/>
          <w:szCs w:val="21"/>
          <w:highlight w:val="none"/>
        </w:rPr>
      </w:pPr>
      <w:bookmarkStart w:id="99" w:name="_Toc296890984"/>
      <w:bookmarkStart w:id="100" w:name="_Toc296346657"/>
      <w:bookmarkStart w:id="101" w:name="_Toc292559361"/>
      <w:bookmarkStart w:id="102" w:name="_Toc296944495"/>
      <w:bookmarkStart w:id="103" w:name="_Toc296503156"/>
      <w:bookmarkStart w:id="104" w:name="_Toc297048342"/>
      <w:bookmarkStart w:id="105" w:name="_Toc292559866"/>
      <w:bookmarkStart w:id="106" w:name="_Toc296347155"/>
      <w:bookmarkStart w:id="107" w:name="_Toc296891196"/>
      <w:bookmarkStart w:id="108" w:name="_Toc297120456"/>
      <w:r>
        <w:rPr>
          <w:rFonts w:hint="eastAsia" w:ascii="宋体" w:hAnsi="宋体" w:eastAsia="宋体" w:cs="宋体"/>
          <w:b w:val="0"/>
          <w:color w:val="auto"/>
          <w:sz w:val="21"/>
          <w:szCs w:val="21"/>
          <w:highlight w:val="none"/>
        </w:rPr>
        <w:t>1. 一般约定</w:t>
      </w:r>
      <w:bookmarkEnd w:id="86"/>
    </w:p>
    <w:bookmarkEnd w:id="99"/>
    <w:bookmarkEnd w:id="100"/>
    <w:bookmarkEnd w:id="101"/>
    <w:bookmarkEnd w:id="102"/>
    <w:bookmarkEnd w:id="103"/>
    <w:bookmarkEnd w:id="104"/>
    <w:bookmarkEnd w:id="105"/>
    <w:bookmarkEnd w:id="106"/>
    <w:bookmarkEnd w:id="107"/>
    <w:bookmarkEnd w:id="108"/>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词语定义</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1.1.1合同</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1.1.1.10其他合同文件包括：</w:t>
      </w:r>
      <w:r>
        <w:rPr>
          <w:rFonts w:hint="eastAsia" w:ascii="宋体" w:hAnsi="宋体" w:eastAsia="宋体" w:cs="宋体"/>
          <w:color w:val="auto"/>
          <w:kern w:val="2"/>
          <w:sz w:val="21"/>
          <w:szCs w:val="21"/>
          <w:highlight w:val="none"/>
          <w:u w:val="single"/>
          <w:lang w:val="en-US" w:eastAsia="zh-CN" w:bidi="ar"/>
        </w:rPr>
        <w:t>工程招标文件、《关于进一步加强政府投资项目管理的若干意见的通知》（台政发〔2014〕26号）除投标函及其附录和已标价工程量清单或预算书外的其它投标文件、经批准的施工组织设计、专项施工方案。</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设计人：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 永久占地包括：</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1.1.3.10 临时占地包括：</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1.3法律</w:t>
      </w:r>
    </w:p>
    <w:p>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适用于合同的其他规范性文件：</w:t>
      </w:r>
      <w:r>
        <w:rPr>
          <w:rFonts w:hint="eastAsia" w:ascii="宋体" w:hAnsi="宋体" w:eastAsia="宋体" w:cs="宋体"/>
          <w:color w:val="auto"/>
          <w:szCs w:val="21"/>
          <w:highlight w:val="none"/>
          <w:u w:val="single"/>
          <w:lang w:eastAsia="zh-CN"/>
        </w:rPr>
        <w:t>《浙江省房屋建筑与装饰工程预算定额》（2018版）、《浙江省通用安装工程预算定额》（2018版）、《浙江省市政工程预算定额》（2018版）、《浙江省园林绿化及仿古建筑工程预算定额》（2018版）、《浙江省房屋建筑安装工程修缮预算定额》（2018版）、《浙江省建设工程计价规则》（2018版）、《浙江省建设工程施工机械台班费用定额》（2018版）、《浙江省建筑安装材料基期价格》（2018版）；《省建设厅关于调整建筑安装文明施工费的通知》（浙建建发[2022]37号）</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省、市、区等工程造价相关文件、定额解释、台州当地有关补充定额。《台州造价》2024/</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期台州市信息价、《浙江造价信息》2024/</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期信息价及除税市场价</w:t>
      </w:r>
      <w:r>
        <w:rPr>
          <w:rFonts w:hint="eastAsia" w:ascii="宋体" w:hAnsi="宋体" w:cs="宋体"/>
          <w:color w:val="auto"/>
          <w:szCs w:val="21"/>
          <w:highlight w:val="none"/>
          <w:u w:val="single"/>
          <w:lang w:val="en-US" w:eastAsia="zh-CN"/>
        </w:rPr>
        <w:t>。</w:t>
      </w:r>
    </w:p>
    <w:p>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标准和规范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color w:val="auto"/>
          <w:szCs w:val="21"/>
          <w:highlight w:val="none"/>
          <w:u w:val="single"/>
        </w:rPr>
        <w:t>按现行的国家、省、市施工验收规范、质量评定标准及有关规定。合同工期内的标准、规范，招标文件中的技术要求等</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1.4.2 发包人提供国外标准、规范的名称：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发包人提供国外标准、规范的份数：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发包人提供国外标准、规范的名称：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color w:val="auto"/>
          <w:szCs w:val="21"/>
          <w:highlight w:val="none"/>
          <w:u w:val="single"/>
        </w:rPr>
        <w:t>国家没有相应标准、规范且不使用国外标准、规范时，按发包人和承包人商定的方案施工</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合同文件的优先顺序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r>
        <w:rPr>
          <w:rFonts w:hint="eastAsia" w:ascii="宋体" w:hAnsi="宋体" w:eastAsia="宋体" w:cs="宋体"/>
          <w:color w:val="auto"/>
          <w:szCs w:val="21"/>
          <w:highlight w:val="none"/>
          <w:u w:val="single"/>
        </w:rPr>
        <w:t>按合同通用条款。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图纸和承包人文件</w:t>
      </w:r>
      <w:r>
        <w:rPr>
          <w:rFonts w:hint="eastAsia" w:ascii="宋体" w:hAnsi="宋体" w:eastAsia="宋体" w:cs="宋体"/>
          <w:color w:val="auto"/>
          <w:szCs w:val="21"/>
          <w:highlight w:val="none"/>
        </w:rPr>
        <w:tab/>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开工日期</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天前</w:t>
      </w:r>
      <w:r>
        <w:rPr>
          <w:rFonts w:hint="eastAsia" w:ascii="宋体" w:hAnsi="宋体" w:eastAsia="宋体" w:cs="宋体"/>
          <w:color w:val="auto"/>
          <w:szCs w:val="21"/>
          <w:highlight w:val="none"/>
        </w:rPr>
        <w:t>；</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纸质施工图〔</w:t>
      </w:r>
      <w:r>
        <w:rPr>
          <w:rFonts w:hint="eastAsia" w:ascii="宋体" w:hAnsi="宋体" w:eastAsia="宋体" w:cs="宋体"/>
          <w:color w:val="auto"/>
          <w:szCs w:val="21"/>
          <w:highlight w:val="none"/>
          <w:u w:val="single"/>
          <w:lang w:val="en-US" w:eastAsia="zh-CN"/>
        </w:rPr>
        <w:t>叁</w:t>
      </w:r>
      <w:r>
        <w:rPr>
          <w:rFonts w:hint="eastAsia" w:ascii="宋体" w:hAnsi="宋体" w:eastAsia="宋体" w:cs="宋体"/>
          <w:color w:val="auto"/>
          <w:szCs w:val="21"/>
          <w:highlight w:val="none"/>
          <w:u w:val="single"/>
        </w:rPr>
        <w:t>〕套并附目录清单及与其一致的电子版施工图。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需要由承包人提供的文件，包括：</w:t>
      </w:r>
      <w:r>
        <w:rPr>
          <w:rFonts w:hint="eastAsia" w:ascii="宋体" w:hAnsi="宋体" w:eastAsia="宋体" w:cs="宋体"/>
          <w:color w:val="auto"/>
          <w:szCs w:val="21"/>
          <w:highlight w:val="none"/>
          <w:u w:val="single"/>
        </w:rPr>
        <w:t>施工组织设计、工程总进度计划、工程月进度计划表等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承包人提交修正后的施工组织设计、专项施工方案等的技术标准不低于投标承诺或原承诺标准，且修改或优化后的施工组织设计、专项施工方案须报监理人、发包人批准。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 xml:space="preserve">按发包人要求执行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 xml:space="preserve">纸质及电子版本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 xml:space="preserve"> 收到相应文件后7天内</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szCs w:val="21"/>
          <w:highlight w:val="none"/>
          <w:u w:val="single"/>
        </w:rPr>
        <w:t xml:space="preserve">由监理人在现场保管一套完整施工图，供发包人、监理人及有关人员进行工程检查等活动时使用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联络</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color w:val="auto"/>
          <w:szCs w:val="21"/>
          <w:highlight w:val="none"/>
          <w:u w:val="single"/>
        </w:rPr>
        <w:t xml:space="preserve">7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color w:val="auto"/>
          <w:szCs w:val="21"/>
          <w:highlight w:val="none"/>
          <w:u w:val="single"/>
        </w:rPr>
        <w:t xml:space="preserve"> （2人以上及联系电话）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color w:val="auto"/>
          <w:szCs w:val="21"/>
          <w:highlight w:val="none"/>
          <w:u w:val="single"/>
        </w:rPr>
        <w:t xml:space="preserve"> （2人以上及联系电话）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color w:val="auto"/>
          <w:szCs w:val="21"/>
          <w:highlight w:val="none"/>
          <w:u w:val="single"/>
        </w:rPr>
        <w:t xml:space="preserve"> （2人以上及联系电话）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交通运输</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109" w:name="_Toc303539100"/>
      <w:bookmarkStart w:id="110" w:name="_Toc318581155"/>
      <w:bookmarkStart w:id="111" w:name="_Toc312677986"/>
      <w:bookmarkStart w:id="112" w:name="_Toc304295521"/>
      <w:bookmarkStart w:id="113" w:name="_Toc300934943"/>
      <w:r>
        <w:rPr>
          <w:rFonts w:hint="eastAsia" w:ascii="宋体" w:hAnsi="宋体" w:eastAsia="宋体" w:cs="宋体"/>
          <w:color w:val="auto"/>
          <w:szCs w:val="21"/>
          <w:highlight w:val="none"/>
        </w:rPr>
        <w:t>.10.1 出入现场的权利</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按合同通用条款，可视工程实际双方再补充约定</w:t>
      </w:r>
      <w:r>
        <w:rPr>
          <w:rFonts w:hint="eastAsia" w:ascii="宋体" w:hAnsi="宋体" w:eastAsia="宋体" w:cs="宋体"/>
          <w:color w:val="auto"/>
          <w:szCs w:val="21"/>
          <w:highlight w:val="none"/>
        </w:rPr>
        <w:t>。</w:t>
      </w:r>
    </w:p>
    <w:bookmarkEnd w:id="109"/>
    <w:bookmarkEnd w:id="110"/>
    <w:bookmarkEnd w:id="111"/>
    <w:bookmarkEnd w:id="112"/>
    <w:bookmarkEnd w:id="113"/>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114" w:name="_Toc300934944"/>
      <w:bookmarkStart w:id="115" w:name="_Toc303539101"/>
      <w:bookmarkStart w:id="116" w:name="_Toc312677987"/>
      <w:bookmarkStart w:id="117" w:name="_Toc318581156"/>
      <w:bookmarkStart w:id="118" w:name="_Toc304295522"/>
      <w:r>
        <w:rPr>
          <w:rFonts w:hint="eastAsia" w:ascii="宋体" w:hAnsi="宋体" w:eastAsia="宋体" w:cs="宋体"/>
          <w:color w:val="auto"/>
          <w:szCs w:val="21"/>
          <w:highlight w:val="none"/>
        </w:rPr>
        <w:t>.10.3 场内交通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color w:val="auto"/>
          <w:kern w:val="0"/>
          <w:szCs w:val="21"/>
          <w:highlight w:val="none"/>
          <w:u w:val="single"/>
          <w:lang w:val="en-US" w:eastAsia="zh-CN"/>
        </w:rPr>
        <w:t xml:space="preserve">    /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lang w:val="en-US" w:eastAsia="zh-CN" w:bidi="ar"/>
        </w:rPr>
        <w:t>发包人提供的施工条件为现状，承包人自行组织现场踏勘</w:t>
      </w:r>
      <w:r>
        <w:rPr>
          <w:rFonts w:hint="eastAsia" w:ascii="宋体" w:hAnsi="宋体" w:eastAsia="宋体" w:cs="宋体"/>
          <w:color w:val="auto"/>
          <w:szCs w:val="21"/>
          <w:highlight w:val="none"/>
        </w:rPr>
        <w:t>。</w:t>
      </w:r>
      <w:bookmarkEnd w:id="114"/>
      <w:bookmarkEnd w:id="115"/>
      <w:bookmarkEnd w:id="116"/>
      <w:bookmarkEnd w:id="117"/>
      <w:bookmarkEnd w:id="118"/>
      <w:bookmarkStart w:id="119" w:name="_Toc318581157"/>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t>已包含在签约合同价中</w:t>
      </w:r>
      <w:r>
        <w:rPr>
          <w:rFonts w:hint="eastAsia" w:ascii="宋体" w:hAnsi="宋体" w:eastAsia="宋体" w:cs="宋体"/>
          <w:color w:val="auto"/>
          <w:szCs w:val="21"/>
          <w:highlight w:val="none"/>
          <w:u w:val="single"/>
        </w:rPr>
        <w:t>。</w:t>
      </w:r>
    </w:p>
    <w:bookmarkEnd w:id="119"/>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知识产权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按合同通用条款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按合同通用条款</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发包人</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 按合同通用条款</w:t>
      </w:r>
      <w:r>
        <w:rPr>
          <w:rFonts w:hint="eastAsia" w:ascii="宋体" w:hAnsi="宋体" w:eastAsia="宋体" w:cs="宋体"/>
          <w:color w:val="auto"/>
          <w:szCs w:val="21"/>
          <w:highlight w:val="none"/>
        </w:rPr>
        <w:t>。</w:t>
      </w:r>
    </w:p>
    <w:p>
      <w:pPr>
        <w:spacing w:line="360" w:lineRule="exact"/>
        <w:ind w:left="105" w:leftChars="50"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包含在签约合同价内</w:t>
      </w:r>
      <w:r>
        <w:rPr>
          <w:rFonts w:hint="eastAsia" w:ascii="宋体" w:hAnsi="宋体" w:eastAsia="宋体" w:cs="宋体"/>
          <w:color w:val="auto"/>
          <w:kern w:val="0"/>
          <w:szCs w:val="21"/>
          <w:highlight w:val="none"/>
        </w:rPr>
        <w:t>。</w:t>
      </w:r>
    </w:p>
    <w:p>
      <w:pPr>
        <w:spacing w:line="360" w:lineRule="exact"/>
        <w:ind w:firstLine="420" w:firstLineChars="200"/>
        <w:outlineLvl w:val="9"/>
        <w:rPr>
          <w:rFonts w:hint="eastAsia" w:ascii="宋体" w:hAnsi="宋体" w:eastAsia="宋体" w:cs="宋体"/>
          <w:color w:val="auto"/>
          <w:sz w:val="21"/>
          <w:szCs w:val="21"/>
          <w:highlight w:val="none"/>
        </w:rPr>
      </w:pPr>
      <w:bookmarkStart w:id="120" w:name="_Toc351203634"/>
      <w:r>
        <w:rPr>
          <w:rFonts w:hint="eastAsia" w:ascii="宋体" w:hAnsi="宋体" w:eastAsia="宋体" w:cs="宋体"/>
          <w:color w:val="auto"/>
          <w:sz w:val="21"/>
          <w:szCs w:val="21"/>
          <w:highlight w:val="none"/>
        </w:rPr>
        <w:t>1.13工料单价错误的修正</w:t>
      </w:r>
    </w:p>
    <w:p>
      <w:pPr>
        <w:spacing w:line="3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发包人提供的直接工程费如发现计算错误、定额子目套用错误，招标控制价出现漏项、新增项目，均可按实调整；</w:t>
      </w:r>
    </w:p>
    <w:p>
      <w:pPr>
        <w:pStyle w:val="6"/>
        <w:spacing w:before="0" w:after="0" w:line="36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bookmarkStart w:id="121" w:name="_Toc296347156"/>
      <w:bookmarkStart w:id="122" w:name="_Toc296891197"/>
      <w:bookmarkStart w:id="123" w:name="_Toc297120457"/>
      <w:bookmarkStart w:id="124" w:name="_Toc296503157"/>
      <w:bookmarkStart w:id="125" w:name="_Toc292559867"/>
      <w:bookmarkStart w:id="126" w:name="_Toc296944496"/>
      <w:bookmarkStart w:id="127" w:name="_Toc292559362"/>
      <w:bookmarkStart w:id="128" w:name="_Toc297048343"/>
      <w:bookmarkStart w:id="129" w:name="_Toc296890985"/>
      <w:bookmarkStart w:id="130" w:name="_Toc296346658"/>
      <w:r>
        <w:rPr>
          <w:rFonts w:hint="eastAsia" w:ascii="宋体" w:hAnsi="宋体" w:eastAsia="宋体" w:cs="宋体"/>
          <w:b w:val="0"/>
          <w:color w:val="auto"/>
          <w:sz w:val="21"/>
          <w:szCs w:val="21"/>
          <w:highlight w:val="none"/>
        </w:rPr>
        <w:t>. 发包人</w:t>
      </w:r>
      <w:bookmarkEnd w:id="120"/>
    </w:p>
    <w:bookmarkEnd w:id="121"/>
    <w:bookmarkEnd w:id="122"/>
    <w:bookmarkEnd w:id="123"/>
    <w:bookmarkEnd w:id="124"/>
    <w:bookmarkEnd w:id="125"/>
    <w:bookmarkEnd w:id="126"/>
    <w:bookmarkEnd w:id="127"/>
    <w:bookmarkEnd w:id="128"/>
    <w:bookmarkEnd w:id="129"/>
    <w:bookmarkEnd w:id="130"/>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发包人代表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szCs w:val="21"/>
          <w:highlight w:val="none"/>
          <w:u w:val="single"/>
        </w:rPr>
        <w:t>代表发包人对承包人的工程质量管理、安全文明施工和施工进度管理等进行监督，协调施工现场，协调完成验收，按有关规定办理接收手续。</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施工现场、施工条件和基础资料的提供</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 xml:space="preserve"> 开工日期3天前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资金来源证明及支付担保</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spacing w:before="0" w:after="0" w:line="360" w:lineRule="exact"/>
        <w:rPr>
          <w:rFonts w:hint="eastAsia" w:ascii="宋体" w:hAnsi="宋体" w:eastAsia="宋体" w:cs="宋体"/>
          <w:b w:val="0"/>
          <w:color w:val="auto"/>
          <w:sz w:val="21"/>
          <w:szCs w:val="21"/>
          <w:highlight w:val="none"/>
        </w:rPr>
      </w:pPr>
      <w:bookmarkStart w:id="131" w:name="_Toc351203635"/>
      <w:r>
        <w:rPr>
          <w:rFonts w:hint="eastAsia" w:ascii="宋体" w:hAnsi="宋体" w:eastAsia="宋体" w:cs="宋体"/>
          <w:b w:val="0"/>
          <w:color w:val="auto"/>
          <w:sz w:val="21"/>
          <w:szCs w:val="21"/>
          <w:highlight w:val="none"/>
        </w:rPr>
        <w:t>3</w:t>
      </w:r>
      <w:bookmarkStart w:id="132" w:name="_Toc296890986"/>
      <w:bookmarkStart w:id="133" w:name="_Toc296503158"/>
      <w:bookmarkStart w:id="134" w:name="_Toc297120458"/>
      <w:bookmarkStart w:id="135" w:name="_Toc296944497"/>
      <w:bookmarkStart w:id="136" w:name="_Toc297048344"/>
      <w:bookmarkStart w:id="137" w:name="_Toc292559363"/>
      <w:bookmarkStart w:id="138" w:name="_Toc296891198"/>
      <w:bookmarkStart w:id="139" w:name="_Toc296347157"/>
      <w:bookmarkStart w:id="140" w:name="_Toc296346659"/>
      <w:bookmarkStart w:id="141" w:name="_Toc292559868"/>
      <w:r>
        <w:rPr>
          <w:rFonts w:hint="eastAsia" w:ascii="宋体" w:hAnsi="宋体" w:eastAsia="宋体" w:cs="宋体"/>
          <w:b w:val="0"/>
          <w:color w:val="auto"/>
          <w:sz w:val="21"/>
          <w:szCs w:val="21"/>
          <w:highlight w:val="none"/>
        </w:rPr>
        <w:t>. 承包人</w:t>
      </w:r>
      <w:bookmarkEnd w:id="131"/>
    </w:p>
    <w:bookmarkEnd w:id="132"/>
    <w:bookmarkEnd w:id="133"/>
    <w:bookmarkEnd w:id="134"/>
    <w:bookmarkEnd w:id="135"/>
    <w:bookmarkEnd w:id="136"/>
    <w:bookmarkEnd w:id="137"/>
    <w:bookmarkEnd w:id="138"/>
    <w:bookmarkEnd w:id="139"/>
    <w:bookmarkEnd w:id="140"/>
    <w:bookmarkEnd w:id="141"/>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承包人的一般义务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承包人提交的竣工资料的内容：</w:t>
      </w:r>
      <w:r>
        <w:rPr>
          <w:rFonts w:hint="eastAsia" w:ascii="宋体" w:hAnsi="宋体" w:eastAsia="宋体" w:cs="宋体"/>
          <w:color w:val="auto"/>
          <w:szCs w:val="21"/>
          <w:highlight w:val="none"/>
          <w:u w:val="single"/>
        </w:rPr>
        <w:t>向发包人提交按规范规定应由承包人编制部分的竣工资料并符合建设工程资料存档要求</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套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 xml:space="preserve">    由承包人承担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工程竣工验收合格后7天内</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 xml:space="preserve">   纸质及相关电子数据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（10）承包人应履行的其他义务：</w:t>
      </w:r>
    </w:p>
    <w:p>
      <w:pPr>
        <w:spacing w:line="360" w:lineRule="exact"/>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a.本项目施工安全由承包人负总责。</w:t>
      </w:r>
    </w:p>
    <w:p>
      <w:pPr>
        <w:spacing w:line="360" w:lineRule="exact"/>
        <w:ind w:firstLine="531" w:firstLineChars="253"/>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b.按当地有关部门要求，</w:t>
      </w:r>
      <w:r>
        <w:rPr>
          <w:rFonts w:hint="eastAsia" w:ascii="宋体" w:hAnsi="宋体" w:eastAsia="宋体" w:cs="宋体"/>
          <w:color w:val="auto"/>
          <w:kern w:val="0"/>
          <w:szCs w:val="21"/>
          <w:highlight w:val="none"/>
          <w:u w:val="single"/>
        </w:rPr>
        <w:t>由承包人办理的有关施工场地交通、环卫和施工噪音管理等手续。</w:t>
      </w:r>
    </w:p>
    <w:p>
      <w:pPr>
        <w:spacing w:line="36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（11）承包人诚实信用的承诺：</w:t>
      </w:r>
      <w:r>
        <w:rPr>
          <w:rFonts w:hint="eastAsia" w:ascii="宋体" w:hAnsi="宋体" w:eastAsia="宋体" w:cs="宋体"/>
          <w:color w:val="auto"/>
          <w:kern w:val="0"/>
          <w:szCs w:val="21"/>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color w:val="auto"/>
          <w:szCs w:val="21"/>
          <w:highlight w:val="none"/>
          <w:u w:val="single"/>
        </w:rPr>
        <w:t>。</w:t>
      </w:r>
    </w:p>
    <w:p>
      <w:pP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（12）承包人使用新技术、工法、工艺的承诺：</w:t>
      </w:r>
      <w:r>
        <w:rPr>
          <w:rFonts w:hint="eastAsia" w:ascii="宋体" w:hAnsi="宋体" w:eastAsia="宋体" w:cs="宋体"/>
          <w:color w:val="auto"/>
          <w:kern w:val="0"/>
          <w:szCs w:val="21"/>
          <w:highlight w:val="none"/>
          <w:u w:val="single"/>
        </w:rPr>
        <w:t>无。</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项目经理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3.2.1 </w:t>
      </w:r>
      <w:r>
        <w:rPr>
          <w:rFonts w:hint="eastAsia" w:ascii="宋体" w:hAnsi="宋体" w:eastAsia="宋体" w:cs="宋体"/>
          <w:color w:val="auto"/>
          <w:szCs w:val="21"/>
          <w:highlight w:val="none"/>
        </w:rPr>
        <w:t>项目经理：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承包人对项目经理的授权范围如下：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关于项目经理每月在施工现场的时间要求：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u w:val="single"/>
        </w:rPr>
        <w:t>月到岗率须达到24天</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承包人未提交劳动合同，以及没有为项目经理缴纳社会保险证明的违约责任：</w:t>
      </w:r>
      <w:r>
        <w:rPr>
          <w:rFonts w:hint="eastAsia" w:ascii="宋体" w:hAnsi="宋体" w:eastAsia="宋体" w:cs="宋体"/>
          <w:color w:val="auto"/>
          <w:kern w:val="0"/>
          <w:szCs w:val="21"/>
          <w:highlight w:val="none"/>
          <w:u w:val="single"/>
        </w:rPr>
        <w:t>发包人有权要求更换项目经理，由此增加的费用和（或）延误的工期由承包人承担，并承担违约责任</w:t>
      </w:r>
      <w:r>
        <w:rPr>
          <w:rFonts w:hint="eastAsia" w:ascii="宋体" w:hAnsi="宋体" w:eastAsia="宋体" w:cs="宋体"/>
          <w:color w:val="auto"/>
          <w:szCs w:val="21"/>
          <w:highlight w:val="none"/>
        </w:rPr>
        <w:t>。</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0"/>
          <w:szCs w:val="21"/>
          <w:highlight w:val="none"/>
        </w:rPr>
        <w:t>项目经理未经批准，擅自离开施工现场的违约责任：</w:t>
      </w:r>
      <w:r>
        <w:rPr>
          <w:rFonts w:hint="eastAsia" w:ascii="宋体" w:hAnsi="宋体" w:eastAsia="宋体" w:cs="宋体"/>
          <w:color w:val="auto"/>
          <w:kern w:val="2"/>
          <w:sz w:val="21"/>
          <w:szCs w:val="21"/>
          <w:highlight w:val="none"/>
          <w:u w:val="single"/>
          <w:lang w:val="en-US" w:eastAsia="zh-CN" w:bidi="ar"/>
        </w:rPr>
        <w:t>月到岗率须达到24天，不足天数，每天扣除履约担保金额的0.1%（直接在工程款中扣除），每月结算，在当期工程款支付时扣除；连续三个月达不到要求且项目经理不能到岗的，发包人有权终止合同，没收全部履约担保金（直接在工程款中扣除），同时由承包人赔偿发包人由此造成的损失。另遇有工程检查、验收或参观等活动时，无特殊原因不得</w:t>
      </w:r>
      <w:r>
        <w:rPr>
          <w:rFonts w:hint="eastAsia" w:ascii="宋体" w:hAnsi="宋体" w:eastAsia="宋体" w:cs="宋体"/>
          <w:color w:val="auto"/>
          <w:kern w:val="0"/>
          <w:sz w:val="21"/>
          <w:szCs w:val="21"/>
          <w:highlight w:val="none"/>
          <w:u w:val="single"/>
          <w:lang w:val="en-US" w:eastAsia="zh-CN" w:bidi="ar"/>
        </w:rPr>
        <w:t>离开施工现场。</w:t>
      </w:r>
    </w:p>
    <w:p>
      <w:pPr>
        <w:spacing w:line="360" w:lineRule="exact"/>
        <w:ind w:firstLine="420" w:firstLineChars="200"/>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color w:val="auto"/>
          <w:kern w:val="2"/>
          <w:sz w:val="21"/>
          <w:szCs w:val="21"/>
          <w:highlight w:val="none"/>
          <w:u w:val="single"/>
          <w:lang w:val="en-US" w:eastAsia="zh-CN" w:bidi="ar"/>
        </w:rPr>
        <w:t>项目经理因发生重大安全事故不适合再任、生病住院、终止劳动合同关系（提供相关部门或单位证明材料）、被责令停止执业、羁押或判刑情形，</w:t>
      </w:r>
      <w:r>
        <w:rPr>
          <w:rFonts w:hint="eastAsia" w:ascii="宋体" w:hAnsi="宋体" w:eastAsia="宋体" w:cs="宋体"/>
          <w:color w:val="auto"/>
          <w:szCs w:val="21"/>
          <w:highlight w:val="none"/>
          <w:u w:val="single"/>
        </w:rPr>
        <w:t>确已</w:t>
      </w:r>
      <w:r>
        <w:rPr>
          <w:rFonts w:hint="eastAsia" w:ascii="宋体" w:hAnsi="宋体" w:eastAsia="宋体" w:cs="宋体"/>
          <w:color w:val="auto"/>
          <w:kern w:val="2"/>
          <w:sz w:val="21"/>
          <w:szCs w:val="21"/>
          <w:highlight w:val="none"/>
          <w:u w:val="single"/>
          <w:lang w:val="en-US" w:eastAsia="zh-CN" w:bidi="ar"/>
        </w:rPr>
        <w:t>无法继续担任项目经理，承包人向发包人提出申请，发包人应同意更换，更换到位的项目经理资质、信用等级不低于原项目经理；除上述情形外不允许更换，如承包人擅自更换，按每更换一人次扣除履约担保金额的20%（直接在工程款中扣除）；及至发包人可通知承包人全部解除合同，所有履约担保金归发包人（直接在工程款中扣除），并赔偿发包人损失。</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kern w:val="2"/>
          <w:sz w:val="21"/>
          <w:szCs w:val="21"/>
          <w:highlight w:val="none"/>
          <w:u w:val="single"/>
          <w:lang w:val="en-US" w:eastAsia="zh-CN" w:bidi="ar"/>
        </w:rPr>
        <w:t>发包人可通知承包人全部解除合同，所有履约担保金归发包人（直接在工程款中扣除），同时赔偿发包人损失。</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承包人人员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 xml:space="preserve"> 接到开工通知（或确定开工日期）后7天内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承包人无正当理由拒绝撤换主要施工管理人员的违约责任：</w:t>
      </w:r>
      <w:r>
        <w:rPr>
          <w:rFonts w:hint="eastAsia" w:ascii="宋体" w:hAnsi="宋体" w:eastAsia="宋体" w:cs="宋体"/>
          <w:color w:val="auto"/>
          <w:kern w:val="2"/>
          <w:sz w:val="21"/>
          <w:szCs w:val="21"/>
          <w:highlight w:val="none"/>
          <w:u w:val="single"/>
          <w:lang w:val="en-US" w:eastAsia="zh-CN" w:bidi="ar"/>
        </w:rPr>
        <w:t>发包人可通知承包人全部解除合同，所有履约担保金归发包人（直接在工程款中扣除），同时赔偿发包人损失。</w:t>
      </w:r>
    </w:p>
    <w:p>
      <w:pPr>
        <w:spacing w:line="360" w:lineRule="exact"/>
        <w:ind w:firstLine="357" w:firstLineChars="17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3.3.4 承包人主要施工管理人员离开施工现场的批准要求：</w:t>
      </w:r>
      <w:r>
        <w:rPr>
          <w:rFonts w:hint="eastAsia" w:ascii="宋体" w:hAnsi="宋体" w:eastAsia="宋体" w:cs="宋体"/>
          <w:color w:val="auto"/>
          <w:szCs w:val="21"/>
          <w:highlight w:val="none"/>
          <w:u w:val="single"/>
        </w:rPr>
        <w:t>按通用条款执行；另遇有工程检查、验收等活动时，无特殊原因不得请假</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kern w:val="2"/>
          <w:sz w:val="21"/>
          <w:szCs w:val="21"/>
          <w:highlight w:val="none"/>
          <w:u w:val="single"/>
          <w:lang w:val="en-US" w:eastAsia="zh-CN" w:bidi="ar"/>
        </w:rPr>
        <w:t>因发生重大安全事故不适合再任、因生病住院、终止劳动合同关系（提供相关部门或单位证明材料）、被责令停止执业、羁押或判刑情形，</w:t>
      </w:r>
      <w:r>
        <w:rPr>
          <w:rFonts w:hint="eastAsia" w:ascii="宋体" w:hAnsi="宋体" w:eastAsia="宋体" w:cs="宋体"/>
          <w:color w:val="auto"/>
          <w:szCs w:val="21"/>
          <w:highlight w:val="none"/>
          <w:u w:val="single"/>
        </w:rPr>
        <w:t>确已</w:t>
      </w:r>
      <w:r>
        <w:rPr>
          <w:rFonts w:hint="eastAsia" w:ascii="宋体" w:hAnsi="宋体" w:eastAsia="宋体" w:cs="宋体"/>
          <w:color w:val="auto"/>
          <w:kern w:val="2"/>
          <w:sz w:val="21"/>
          <w:szCs w:val="21"/>
          <w:highlight w:val="none"/>
          <w:u w:val="single"/>
          <w:lang w:val="en-US" w:eastAsia="zh-CN" w:bidi="ar"/>
        </w:rPr>
        <w:t>无法继续担任相应岗位工作，承包人向发包人提出申请，发包人应同意更换，对更换到位的技术负责人资质、信用等级应不低于原技术负责人。除上述情形外不允许更换，如承包人擅自更换，按技术负责人每更换一人次扣除履约担保金的10%；其他关键岗位人员每更换一人次扣除履约担保金额的5%（直接在工程款中扣除）。</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kern w:val="2"/>
          <w:sz w:val="21"/>
          <w:szCs w:val="21"/>
          <w:highlight w:val="none"/>
          <w:u w:val="single"/>
          <w:lang w:val="en-US" w:eastAsia="zh-CN" w:bidi="ar"/>
        </w:rPr>
        <w:t>关键岗位人员到岗达不到24天的，不足天数每人次每天扣除履约担保金额的0.05%，每月结算，在当期工程款支付时扣除；</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42" w:name="_Toc296944498"/>
      <w:bookmarkStart w:id="143" w:name="_Toc297048345"/>
      <w:bookmarkStart w:id="144" w:name="_Toc296503159"/>
      <w:bookmarkStart w:id="145" w:name="_Toc296347158"/>
      <w:bookmarkStart w:id="146" w:name="_Toc296346660"/>
      <w:bookmarkStart w:id="147" w:name="_Toc296890987"/>
      <w:bookmarkStart w:id="148" w:name="_Toc300934945"/>
      <w:bookmarkStart w:id="149" w:name="_Toc292559869"/>
      <w:bookmarkStart w:id="150" w:name="_Toc297123492"/>
      <w:bookmarkStart w:id="151" w:name="_Toc303539102"/>
      <w:bookmarkStart w:id="152" w:name="_Toc304295523"/>
      <w:bookmarkStart w:id="153" w:name="_Toc297216151"/>
      <w:bookmarkStart w:id="154" w:name="_Toc292559364"/>
      <w:bookmarkStart w:id="155" w:name="_Toc297120459"/>
      <w:bookmarkStart w:id="156" w:name="_Toc312677988"/>
      <w:bookmarkStart w:id="157" w:name="_Toc296891199"/>
      <w:r>
        <w:rPr>
          <w:rFonts w:hint="eastAsia" w:ascii="宋体" w:hAnsi="宋体" w:eastAsia="宋体" w:cs="宋体"/>
          <w:color w:val="auto"/>
          <w:szCs w:val="21"/>
          <w:highlight w:val="none"/>
        </w:rPr>
        <w:t>.5 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58" w:name="_Toc296503160"/>
      <w:bookmarkStart w:id="159" w:name="_Toc303539103"/>
      <w:bookmarkStart w:id="160" w:name="_Toc297048346"/>
      <w:bookmarkStart w:id="161" w:name="_Toc292559870"/>
      <w:bookmarkStart w:id="162" w:name="_Toc296944499"/>
      <w:bookmarkStart w:id="163" w:name="_Toc296890988"/>
      <w:bookmarkStart w:id="164" w:name="_Toc297120460"/>
      <w:bookmarkStart w:id="165" w:name="_Toc297216152"/>
      <w:bookmarkStart w:id="166" w:name="_Toc304295524"/>
      <w:bookmarkStart w:id="167" w:name="_Toc300934946"/>
      <w:bookmarkStart w:id="168" w:name="_Toc296347159"/>
      <w:bookmarkStart w:id="169" w:name="_Toc296346661"/>
      <w:bookmarkStart w:id="170" w:name="_Toc292559365"/>
      <w:bookmarkStart w:id="171" w:name="_Toc296891200"/>
      <w:bookmarkStart w:id="172" w:name="_Toc297123493"/>
      <w:bookmarkStart w:id="173" w:name="_Toc318581158"/>
      <w:bookmarkStart w:id="174" w:name="_Toc312677989"/>
      <w:r>
        <w:rPr>
          <w:rFonts w:hint="eastAsia" w:ascii="宋体" w:hAnsi="宋体" w:eastAsia="宋体" w:cs="宋体"/>
          <w:color w:val="auto"/>
          <w:szCs w:val="21"/>
          <w:highlight w:val="none"/>
        </w:rPr>
        <w:t>.5.1 分包的一般约定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Start w:id="175" w:name="_Toc296944500"/>
      <w:bookmarkStart w:id="176" w:name="_Toc303539104"/>
      <w:bookmarkStart w:id="177" w:name="_Toc297123494"/>
      <w:bookmarkStart w:id="178" w:name="_Toc296347160"/>
      <w:bookmarkStart w:id="179" w:name="_Toc296890989"/>
      <w:bookmarkStart w:id="180" w:name="_Toc304295525"/>
      <w:bookmarkStart w:id="181" w:name="_Toc297120461"/>
      <w:bookmarkStart w:id="182" w:name="_Toc297216153"/>
      <w:bookmarkStart w:id="183" w:name="_Toc297048347"/>
      <w:bookmarkStart w:id="184" w:name="_Toc296891201"/>
      <w:bookmarkStart w:id="185" w:name="_Toc296346662"/>
      <w:bookmarkStart w:id="186" w:name="_Toc300934947"/>
      <w:bookmarkStart w:id="187" w:name="_Toc296503161"/>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bookmarkStart w:id="188" w:name="_Toc318581159"/>
      <w:bookmarkStart w:id="189" w:name="_Toc312677990"/>
      <w:r>
        <w:rPr>
          <w:rFonts w:hint="eastAsia" w:ascii="宋体" w:hAnsi="宋体" w:eastAsia="宋体" w:cs="宋体"/>
          <w:color w:val="auto"/>
          <w:szCs w:val="21"/>
          <w:highlight w:val="none"/>
        </w:rPr>
        <w:t>.5.2分包的确定</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其他关于分包的约定：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关于分包合同价款支付的约定：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188"/>
    <w:bookmarkEnd w:id="189"/>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工程照管与成品、半成品保护</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szCs w:val="21"/>
          <w:highlight w:val="none"/>
          <w:u w:val="single"/>
        </w:rPr>
        <w:t>按合同通用条款执行</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履约担保</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承包人是否提供履约担保：</w:t>
      </w:r>
      <w:r>
        <w:rPr>
          <w:rFonts w:hint="eastAsia" w:ascii="宋体" w:hAnsi="宋体" w:eastAsia="宋体" w:cs="宋体"/>
          <w:color w:val="auto"/>
          <w:szCs w:val="21"/>
          <w:highlight w:val="none"/>
          <w:u w:val="single"/>
        </w:rPr>
        <w:t xml:space="preserve">   是，提供履约担保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签订</w:t>
      </w:r>
      <w:r>
        <w:rPr>
          <w:rFonts w:hint="eastAsia" w:ascii="宋体" w:hAnsi="宋体" w:eastAsia="宋体" w:cs="宋体"/>
          <w:color w:val="auto"/>
          <w:kern w:val="2"/>
          <w:sz w:val="21"/>
          <w:szCs w:val="24"/>
          <w:highlight w:val="none"/>
          <w:u w:val="single"/>
          <w:lang w:val="en-US" w:eastAsia="zh-CN" w:bidi="ar"/>
        </w:rPr>
        <w:t>工程</w:t>
      </w:r>
      <w:r>
        <w:rPr>
          <w:rFonts w:hint="eastAsia" w:ascii="宋体" w:hAnsi="宋体" w:eastAsia="宋体" w:cs="宋体"/>
          <w:color w:val="auto"/>
          <w:szCs w:val="21"/>
          <w:highlight w:val="none"/>
          <w:u w:val="single"/>
        </w:rPr>
        <w:t>施工合同时，提供</w:t>
      </w:r>
      <w:r>
        <w:rPr>
          <w:rFonts w:hint="eastAsia" w:ascii="宋体" w:hAnsi="宋体" w:eastAsia="宋体" w:cs="宋体"/>
          <w:color w:val="auto"/>
          <w:kern w:val="2"/>
          <w:sz w:val="21"/>
          <w:szCs w:val="24"/>
          <w:highlight w:val="none"/>
          <w:u w:val="single"/>
          <w:lang w:val="en-US" w:eastAsia="zh-CN" w:bidi="ar"/>
        </w:rPr>
        <w:t>履约担保</w:t>
      </w:r>
      <w:r>
        <w:rPr>
          <w:rFonts w:hint="eastAsia" w:ascii="宋体" w:hAnsi="宋体" w:eastAsia="宋体" w:cs="宋体"/>
          <w:color w:val="auto"/>
          <w:szCs w:val="21"/>
          <w:highlight w:val="none"/>
          <w:u w:val="single"/>
        </w:rPr>
        <w:t>（可以采用</w:t>
      </w:r>
      <w:r>
        <w:rPr>
          <w:rFonts w:hint="eastAsia" w:ascii="宋体" w:hAnsi="宋体" w:eastAsia="宋体" w:cs="宋体"/>
          <w:color w:val="auto"/>
          <w:kern w:val="2"/>
          <w:sz w:val="21"/>
          <w:szCs w:val="24"/>
          <w:highlight w:val="none"/>
          <w:u w:val="single"/>
          <w:lang w:val="en-US" w:eastAsia="zh-CN" w:bidi="ar"/>
        </w:rPr>
        <w:t>履约</w:t>
      </w:r>
      <w:r>
        <w:rPr>
          <w:rFonts w:hint="eastAsia" w:ascii="宋体" w:hAnsi="宋体" w:eastAsia="宋体" w:cs="宋体"/>
          <w:color w:val="auto"/>
          <w:szCs w:val="21"/>
          <w:highlight w:val="none"/>
          <w:u w:val="single"/>
        </w:rPr>
        <w:t>保函，保函形式为工程保函）。</w:t>
      </w:r>
      <w:r>
        <w:rPr>
          <w:rFonts w:hint="eastAsia" w:ascii="宋体" w:hAnsi="宋体" w:eastAsia="宋体" w:cs="宋体"/>
          <w:color w:val="auto"/>
          <w:kern w:val="2"/>
          <w:sz w:val="21"/>
          <w:szCs w:val="24"/>
          <w:highlight w:val="none"/>
          <w:u w:val="single"/>
          <w:lang w:val="en-US" w:eastAsia="zh-CN" w:bidi="ar"/>
        </w:rPr>
        <w:t>履约担保</w:t>
      </w:r>
      <w:r>
        <w:rPr>
          <w:rFonts w:hint="eastAsia" w:ascii="宋体" w:hAnsi="宋体" w:eastAsia="宋体" w:cs="宋体"/>
          <w:color w:val="auto"/>
          <w:szCs w:val="21"/>
          <w:highlight w:val="none"/>
          <w:u w:val="single"/>
        </w:rPr>
        <w:t>金额为中标合同金额的2%，本工程的</w:t>
      </w:r>
      <w:r>
        <w:rPr>
          <w:rFonts w:hint="eastAsia" w:ascii="宋体" w:hAnsi="宋体" w:eastAsia="宋体" w:cs="宋体"/>
          <w:color w:val="auto"/>
          <w:kern w:val="2"/>
          <w:sz w:val="21"/>
          <w:szCs w:val="24"/>
          <w:highlight w:val="none"/>
          <w:u w:val="single"/>
          <w:lang w:val="en-US" w:eastAsia="zh-CN" w:bidi="ar"/>
        </w:rPr>
        <w:t>履约</w:t>
      </w:r>
      <w:r>
        <w:rPr>
          <w:rFonts w:hint="eastAsia" w:ascii="宋体" w:hAnsi="宋体" w:eastAsia="宋体" w:cs="宋体"/>
          <w:color w:val="auto"/>
          <w:szCs w:val="21"/>
          <w:highlight w:val="none"/>
          <w:u w:val="single"/>
        </w:rPr>
        <w:t>保证金为        元。</w:t>
      </w:r>
      <w:r>
        <w:rPr>
          <w:rFonts w:hint="eastAsia" w:ascii="宋体" w:hAnsi="宋体" w:eastAsia="宋体" w:cs="宋体"/>
          <w:color w:val="auto"/>
          <w:kern w:val="2"/>
          <w:sz w:val="21"/>
          <w:szCs w:val="24"/>
          <w:highlight w:val="none"/>
          <w:u w:val="single"/>
          <w:lang w:val="en-US" w:eastAsia="zh-CN" w:bidi="ar"/>
        </w:rPr>
        <w:t>发包人</w:t>
      </w:r>
      <w:r>
        <w:rPr>
          <w:rFonts w:hint="eastAsia" w:ascii="宋体" w:hAnsi="宋体" w:eastAsia="宋体" w:cs="宋体"/>
          <w:color w:val="auto"/>
          <w:szCs w:val="21"/>
          <w:highlight w:val="none"/>
          <w:u w:val="single"/>
        </w:rPr>
        <w:t>在</w:t>
      </w:r>
      <w:r>
        <w:rPr>
          <w:rFonts w:hint="eastAsia" w:ascii="宋体" w:hAnsi="宋体" w:eastAsia="宋体" w:cs="宋体"/>
          <w:color w:val="auto"/>
          <w:kern w:val="2"/>
          <w:sz w:val="21"/>
          <w:szCs w:val="24"/>
          <w:highlight w:val="none"/>
          <w:u w:val="single"/>
          <w:lang w:val="en-US" w:eastAsia="zh-CN" w:bidi="ar"/>
        </w:rPr>
        <w:t>工程</w:t>
      </w:r>
      <w:r>
        <w:rPr>
          <w:rFonts w:hint="eastAsia" w:ascii="宋体" w:hAnsi="宋体" w:eastAsia="宋体" w:cs="宋体"/>
          <w:color w:val="auto"/>
          <w:szCs w:val="21"/>
          <w:highlight w:val="none"/>
          <w:u w:val="single"/>
        </w:rPr>
        <w:t>竣工验收后14天内退还履约担保，</w:t>
      </w:r>
      <w:r>
        <w:rPr>
          <w:rFonts w:hint="eastAsia" w:ascii="宋体" w:hAnsi="宋体" w:eastAsia="宋体" w:cs="宋体"/>
          <w:color w:val="auto"/>
          <w:kern w:val="2"/>
          <w:sz w:val="21"/>
          <w:szCs w:val="24"/>
          <w:highlight w:val="none"/>
          <w:u w:val="single"/>
          <w:lang w:val="en-US" w:eastAsia="zh-CN" w:bidi="ar"/>
        </w:rPr>
        <w:t>履约担保</w:t>
      </w:r>
      <w:r>
        <w:rPr>
          <w:rFonts w:hint="eastAsia" w:ascii="宋体" w:hAnsi="宋体" w:eastAsia="宋体" w:cs="宋体"/>
          <w:color w:val="auto"/>
          <w:szCs w:val="21"/>
          <w:highlight w:val="none"/>
          <w:u w:val="single"/>
        </w:rPr>
        <w:t>现金部分不计算利息</w:t>
      </w:r>
      <w:r>
        <w:rPr>
          <w:rFonts w:hint="eastAsia" w:ascii="宋体" w:hAnsi="宋体" w:eastAsia="宋体" w:cs="宋体"/>
          <w:color w:val="auto"/>
          <w:kern w:val="2"/>
          <w:sz w:val="21"/>
          <w:szCs w:val="21"/>
          <w:highlight w:val="none"/>
          <w:lang w:val="en-US" w:eastAsia="zh-CN" w:bidi="ar"/>
        </w:rPr>
        <w:t>。</w:t>
      </w:r>
    </w:p>
    <w:p>
      <w:pPr>
        <w:pStyle w:val="6"/>
        <w:spacing w:before="0" w:after="0" w:line="360" w:lineRule="exact"/>
        <w:rPr>
          <w:rFonts w:hint="eastAsia" w:ascii="宋体" w:hAnsi="宋体" w:eastAsia="宋体" w:cs="宋体"/>
          <w:b w:val="0"/>
          <w:color w:val="auto"/>
          <w:sz w:val="21"/>
          <w:szCs w:val="21"/>
          <w:highlight w:val="none"/>
        </w:rPr>
      </w:pPr>
      <w:bookmarkStart w:id="190" w:name="_Toc351203636"/>
      <w:r>
        <w:rPr>
          <w:rFonts w:hint="eastAsia" w:ascii="宋体" w:hAnsi="宋体" w:eastAsia="宋体" w:cs="宋体"/>
          <w:b w:val="0"/>
          <w:color w:val="auto"/>
          <w:sz w:val="21"/>
          <w:szCs w:val="21"/>
          <w:highlight w:val="none"/>
        </w:rPr>
        <w:t>4</w:t>
      </w:r>
      <w:bookmarkStart w:id="191" w:name="_Toc296944501"/>
      <w:bookmarkStart w:id="192" w:name="_Toc292559366"/>
      <w:bookmarkStart w:id="193" w:name="_Toc292559871"/>
      <w:bookmarkStart w:id="194" w:name="_Toc296891202"/>
      <w:bookmarkStart w:id="195" w:name="_Toc297120462"/>
      <w:bookmarkStart w:id="196" w:name="_Toc296346663"/>
      <w:bookmarkStart w:id="197" w:name="_Toc267251413"/>
      <w:bookmarkStart w:id="198" w:name="_Toc296347161"/>
      <w:bookmarkStart w:id="199" w:name="_Toc296890990"/>
      <w:bookmarkStart w:id="200" w:name="_Toc297048348"/>
      <w:bookmarkStart w:id="201" w:name="_Toc296503162"/>
      <w:r>
        <w:rPr>
          <w:rFonts w:hint="eastAsia" w:ascii="宋体" w:hAnsi="宋体" w:eastAsia="宋体" w:cs="宋体"/>
          <w:b w:val="0"/>
          <w:color w:val="auto"/>
          <w:sz w:val="21"/>
          <w:szCs w:val="21"/>
          <w:highlight w:val="none"/>
        </w:rPr>
        <w:t>. 监</w:t>
      </w:r>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val="0"/>
          <w:color w:val="auto"/>
          <w:sz w:val="21"/>
          <w:szCs w:val="21"/>
          <w:highlight w:val="none"/>
        </w:rPr>
        <w:t>理人</w:t>
      </w:r>
      <w:bookmarkEnd w:id="190"/>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4.1监理人的一般规定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按本工程监理合同约定内容</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按本工程监理合同约定内容，涉及工程变更（含设计变更等参建各方变更）均需报发包人审批后生效</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 xml:space="preserve"> 由承包人免费提供办公室1间使用。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监理人员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（2）对于监理人更换其委派的监理人员的，监理人在征得发包人同意后应当提前48小时书面通知承包人；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（3）监理人对其监理人员的任何授权，承包人均应当要求监理人提供书面的授权，否则，承包人有权拒绝接受监理人员的指示。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商定或确定</w:t>
      </w:r>
    </w:p>
    <w:p>
      <w:pPr>
        <w:spacing w:line="360" w:lineRule="exact"/>
        <w:ind w:firstLine="420" w:firstLineChars="200"/>
        <w:rPr>
          <w:rFonts w:hint="eastAsia" w:ascii="宋体" w:hAnsi="宋体" w:eastAsia="宋体" w:cs="宋体"/>
          <w:color w:val="auto"/>
          <w:szCs w:val="21"/>
          <w:highlight w:val="none"/>
        </w:rPr>
      </w:pPr>
      <w:bookmarkStart w:id="202"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spacing w:before="0" w:after="0" w:line="360" w:lineRule="exact"/>
        <w:rPr>
          <w:rFonts w:hint="eastAsia" w:ascii="宋体" w:hAnsi="宋体" w:eastAsia="宋体" w:cs="宋体"/>
          <w:b w:val="0"/>
          <w:color w:val="auto"/>
          <w:sz w:val="21"/>
          <w:szCs w:val="21"/>
          <w:highlight w:val="none"/>
        </w:rPr>
      </w:pPr>
      <w:bookmarkStart w:id="203" w:name="_Toc351203637"/>
      <w:r>
        <w:rPr>
          <w:rFonts w:hint="eastAsia" w:ascii="宋体" w:hAnsi="宋体" w:eastAsia="宋体" w:cs="宋体"/>
          <w:b w:val="0"/>
          <w:color w:val="auto"/>
          <w:sz w:val="21"/>
          <w:szCs w:val="21"/>
          <w:highlight w:val="none"/>
        </w:rPr>
        <w:t>5</w:t>
      </w:r>
      <w:bookmarkEnd w:id="202"/>
      <w:bookmarkStart w:id="204" w:name="_Toc297120463"/>
      <w:bookmarkStart w:id="205" w:name="_Toc296347162"/>
      <w:bookmarkStart w:id="206" w:name="_Toc296890991"/>
      <w:bookmarkStart w:id="207" w:name="_Toc292559367"/>
      <w:bookmarkStart w:id="208" w:name="_Toc297048349"/>
      <w:bookmarkStart w:id="209" w:name="_Toc296891203"/>
      <w:bookmarkStart w:id="210" w:name="_Toc296346664"/>
      <w:bookmarkStart w:id="211" w:name="_Toc296944502"/>
      <w:bookmarkStart w:id="212" w:name="_Toc296503163"/>
      <w:bookmarkStart w:id="213" w:name="_Toc292559872"/>
      <w:r>
        <w:rPr>
          <w:rFonts w:hint="eastAsia" w:ascii="宋体" w:hAnsi="宋体" w:eastAsia="宋体" w:cs="宋体"/>
          <w:b w:val="0"/>
          <w:color w:val="auto"/>
          <w:sz w:val="21"/>
          <w:szCs w:val="21"/>
          <w:highlight w:val="none"/>
        </w:rPr>
        <w:t>. 工程质量</w:t>
      </w:r>
      <w:bookmarkEnd w:id="203"/>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质量要求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214" w:name="_Toc297216155"/>
      <w:bookmarkStart w:id="215" w:name="_Toc318581164"/>
      <w:bookmarkStart w:id="216" w:name="_Toc303539106"/>
      <w:bookmarkStart w:id="217" w:name="_Toc304295527"/>
      <w:bookmarkStart w:id="218" w:name="_Toc312677997"/>
      <w:bookmarkStart w:id="219" w:name="_Toc300934949"/>
      <w:bookmarkStart w:id="220" w:name="_Toc297123496"/>
      <w:r>
        <w:rPr>
          <w:rFonts w:hint="eastAsia" w:ascii="宋体" w:hAnsi="宋体" w:eastAsia="宋体" w:cs="宋体"/>
          <w:color w:val="auto"/>
          <w:szCs w:val="21"/>
          <w:highlight w:val="none"/>
        </w:rPr>
        <w:t>.1.1 特殊质量标准和要求：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隐蔽工程检查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w:t>
      </w:r>
      <w:r>
        <w:rPr>
          <w:rFonts w:hint="eastAsia" w:ascii="宋体" w:hAnsi="宋体" w:eastAsia="宋体" w:cs="宋体"/>
          <w:color w:val="auto"/>
          <w:szCs w:val="21"/>
          <w:highlight w:val="none"/>
          <w:u w:val="single"/>
        </w:rPr>
        <w:t xml:space="preserve"> 按合同通用条款执行。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小时提交书面延期要求。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小时，由此导致工期延误的，工期予以顺延。</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隐蔽工程验收过程、验收部位除办理纸质验收记录，还应留置验收部位、验收过程、主要验收人员相片、影像等资料。</w:t>
      </w:r>
    </w:p>
    <w:p>
      <w:pPr>
        <w:pStyle w:val="6"/>
        <w:spacing w:before="0" w:after="0" w:line="360" w:lineRule="exact"/>
        <w:rPr>
          <w:rFonts w:hint="eastAsia" w:ascii="宋体" w:hAnsi="宋体" w:eastAsia="宋体" w:cs="宋体"/>
          <w:b w:val="0"/>
          <w:color w:val="auto"/>
          <w:sz w:val="21"/>
          <w:szCs w:val="21"/>
          <w:highlight w:val="none"/>
        </w:rPr>
      </w:pPr>
      <w:bookmarkStart w:id="221" w:name="_Toc351203638"/>
      <w:r>
        <w:rPr>
          <w:rFonts w:hint="eastAsia" w:ascii="宋体" w:hAnsi="宋体" w:eastAsia="宋体" w:cs="宋体"/>
          <w:b w:val="0"/>
          <w:color w:val="auto"/>
          <w:sz w:val="21"/>
          <w:szCs w:val="21"/>
          <w:highlight w:val="none"/>
        </w:rPr>
        <w:t>6. 安全文明施工与环境保护</w:t>
      </w:r>
      <w:bookmarkEnd w:id="221"/>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6.1安全文明施工</w:t>
      </w:r>
    </w:p>
    <w:p>
      <w:pPr>
        <w:spacing w:line="36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none"/>
        </w:rPr>
        <w:t xml:space="preserve"> 按《浙江省建筑施工安全标准化管理规定》（浙建建〔2012〕54号）及省、市建筑业、安全监督等相关主管部门发布的有关管理规定执行。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按省、市发有关文明施工管理规定执行</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6.1.6 关于安全文明施工费支付比例和支付期限的约定：</w:t>
      </w:r>
      <w:r>
        <w:rPr>
          <w:rFonts w:hint="eastAsia" w:ascii="宋体" w:hAnsi="宋体" w:eastAsia="宋体" w:cs="宋体"/>
          <w:color w:val="auto"/>
          <w:szCs w:val="21"/>
          <w:highlight w:val="none"/>
          <w:u w:val="single"/>
        </w:rPr>
        <w:t>安全文明施工费预付费用包含在工程预付款内，与工程预付款一并支付，支付比例为安全文明施工费总额的50% ，其余部分与进度款同期支付。安全文明施工费承包人应专款专用，在财务账目中应单独列项备查，不得挪作他用</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安全文明施工费包含在签约合同价内。承包人经发包人同意采取合同以外的安全措施所产生的费用，由发、承包人协商处理；未经发包人同意，发包人可不承担由此增加费用；</w:t>
      </w:r>
    </w:p>
    <w:bookmarkEnd w:id="214"/>
    <w:bookmarkEnd w:id="215"/>
    <w:bookmarkEnd w:id="216"/>
    <w:bookmarkEnd w:id="217"/>
    <w:bookmarkEnd w:id="218"/>
    <w:bookmarkEnd w:id="219"/>
    <w:bookmarkEnd w:id="220"/>
    <w:p>
      <w:pPr>
        <w:pStyle w:val="6"/>
        <w:spacing w:before="0" w:after="0" w:line="360" w:lineRule="exact"/>
        <w:rPr>
          <w:rFonts w:hint="eastAsia" w:ascii="宋体" w:hAnsi="宋体" w:eastAsia="宋体" w:cs="宋体"/>
          <w:b w:val="0"/>
          <w:color w:val="auto"/>
          <w:sz w:val="21"/>
          <w:szCs w:val="21"/>
          <w:highlight w:val="none"/>
        </w:rPr>
      </w:pPr>
      <w:bookmarkStart w:id="222" w:name="_Toc351203639"/>
      <w:r>
        <w:rPr>
          <w:rFonts w:hint="eastAsia" w:ascii="宋体" w:hAnsi="宋体" w:eastAsia="宋体" w:cs="宋体"/>
          <w:b w:val="0"/>
          <w:color w:val="auto"/>
          <w:sz w:val="21"/>
          <w:szCs w:val="21"/>
          <w:highlight w:val="none"/>
        </w:rPr>
        <w:t>7. 工期和进度</w:t>
      </w:r>
      <w:bookmarkEnd w:id="222"/>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施工组织设计</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7.1.1 合</w:t>
      </w:r>
      <w:r>
        <w:rPr>
          <w:rFonts w:hint="eastAsia" w:ascii="宋体" w:hAnsi="宋体" w:eastAsia="宋体" w:cs="宋体"/>
          <w:color w:val="auto"/>
          <w:kern w:val="0"/>
          <w:szCs w:val="21"/>
          <w:highlight w:val="none"/>
        </w:rPr>
        <w:t>同当事人约定的施工组织设计应包括的其他内容：</w:t>
      </w:r>
      <w:r>
        <w:rPr>
          <w:rFonts w:hint="eastAsia" w:ascii="宋体" w:hAnsi="宋体" w:eastAsia="宋体" w:cs="宋体"/>
          <w:color w:val="auto"/>
          <w:szCs w:val="21"/>
          <w:highlight w:val="none"/>
          <w:u w:val="single"/>
        </w:rPr>
        <w:t xml:space="preserve">      /     。</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7.1.2 </w:t>
      </w:r>
      <w:r>
        <w:rPr>
          <w:rFonts w:hint="eastAsia" w:ascii="宋体" w:hAnsi="宋体" w:eastAsia="宋体" w:cs="宋体"/>
          <w:color w:val="auto"/>
          <w:kern w:val="0"/>
          <w:szCs w:val="21"/>
          <w:highlight w:val="none"/>
        </w:rPr>
        <w:t>施工组织设计的提交和修改</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承包人提交详细施工组织设计的期限的约定：</w:t>
      </w:r>
      <w:r>
        <w:rPr>
          <w:rFonts w:hint="eastAsia" w:ascii="宋体" w:hAnsi="宋体" w:eastAsia="宋体" w:cs="宋体"/>
          <w:color w:val="auto"/>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收到相应文件后7天内</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23" w:name="_Toc300934966"/>
      <w:bookmarkStart w:id="224" w:name="_Toc297123514"/>
      <w:bookmarkStart w:id="225" w:name="_Toc303539123"/>
      <w:bookmarkStart w:id="226" w:name="_Toc312677479"/>
      <w:bookmarkStart w:id="227" w:name="_Toc297216173"/>
      <w:bookmarkStart w:id="228" w:name="_Toc312678005"/>
      <w:bookmarkStart w:id="229" w:name="_Toc304295541"/>
      <w:r>
        <w:rPr>
          <w:rFonts w:hint="eastAsia" w:ascii="宋体" w:hAnsi="宋体" w:eastAsia="宋体" w:cs="宋体"/>
          <w:color w:val="auto"/>
          <w:szCs w:val="21"/>
          <w:highlight w:val="none"/>
        </w:rPr>
        <w:t>.2 施工进度计划</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 xml:space="preserve"> 收到相应文件后7天内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开工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pPr>
        <w:spacing w:line="360" w:lineRule="exact"/>
        <w:ind w:firstLine="64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w:t>
      </w:r>
      <w:r>
        <w:rPr>
          <w:rFonts w:hint="eastAsia" w:ascii="宋体" w:hAnsi="宋体" w:eastAsia="宋体" w:cs="宋体"/>
          <w:color w:val="auto"/>
          <w:kern w:val="0"/>
          <w:szCs w:val="21"/>
          <w:highlight w:val="none"/>
        </w:rPr>
        <w:t>工程开工报审表的期限：</w:t>
      </w:r>
      <w:r>
        <w:rPr>
          <w:rFonts w:hint="eastAsia" w:ascii="宋体" w:hAnsi="宋体" w:eastAsia="宋体" w:cs="宋体"/>
          <w:color w:val="auto"/>
          <w:szCs w:val="21"/>
          <w:highlight w:val="none"/>
          <w:u w:val="single"/>
        </w:rPr>
        <w:t xml:space="preserve">接到开工通知（或确定开工日期）后7天内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开工前7天</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开工前。</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发包人（或监理人）在计划开工日期前7天向承包人发出开工通知，工期自开工通知中载明的开工日期起算。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天内发出开工通知的，承包人有权提出价格调整要求，或者解除合同。发包人应当承担由此增加的费用或赔偿承包人的损失。</w:t>
      </w:r>
    </w:p>
    <w:bookmarkEnd w:id="223"/>
    <w:bookmarkEnd w:id="224"/>
    <w:bookmarkEnd w:id="225"/>
    <w:bookmarkEnd w:id="226"/>
    <w:bookmarkEnd w:id="227"/>
    <w:bookmarkEnd w:id="228"/>
    <w:bookmarkEnd w:id="229"/>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测量放线</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 xml:space="preserve"> 按合同通用条款执行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30" w:name="_Toc297123516"/>
      <w:bookmarkStart w:id="231" w:name="_Toc312678010"/>
      <w:bookmarkStart w:id="232" w:name="_Toc297216175"/>
      <w:bookmarkStart w:id="233" w:name="_Toc303539125"/>
      <w:bookmarkStart w:id="234" w:name="_Toc304295546"/>
      <w:bookmarkStart w:id="235" w:name="_Toc312677484"/>
      <w:bookmarkStart w:id="236" w:name="_Toc300934968"/>
      <w:r>
        <w:rPr>
          <w:rFonts w:hint="eastAsia" w:ascii="宋体" w:hAnsi="宋体" w:eastAsia="宋体" w:cs="宋体"/>
          <w:color w:val="auto"/>
          <w:szCs w:val="21"/>
          <w:highlight w:val="none"/>
        </w:rPr>
        <w:t>.5 工期延误</w:t>
      </w:r>
    </w:p>
    <w:bookmarkEnd w:id="230"/>
    <w:bookmarkEnd w:id="231"/>
    <w:bookmarkEnd w:id="232"/>
    <w:bookmarkEnd w:id="233"/>
    <w:bookmarkEnd w:id="234"/>
    <w:bookmarkEnd w:id="235"/>
    <w:bookmarkEnd w:id="236"/>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pPr>
        <w:spacing w:line="360" w:lineRule="exact"/>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37" w:name="_Toc312678012"/>
      <w:bookmarkStart w:id="238" w:name="_Toc312677486"/>
      <w:bookmarkStart w:id="239" w:name="_Toc318581169"/>
      <w:bookmarkStart w:id="240" w:name="_Toc297216177"/>
      <w:bookmarkStart w:id="241" w:name="_Toc304295548"/>
      <w:bookmarkStart w:id="242" w:name="_Toc300934970"/>
      <w:bookmarkStart w:id="243" w:name="_Toc297123518"/>
      <w:bookmarkStart w:id="244" w:name="_Toc303539127"/>
      <w:r>
        <w:rPr>
          <w:rFonts w:hint="eastAsia" w:ascii="宋体" w:hAnsi="宋体" w:eastAsia="宋体" w:cs="宋体"/>
          <w:color w:val="auto"/>
          <w:szCs w:val="21"/>
          <w:highlight w:val="none"/>
        </w:rPr>
        <w:t>.5.2 因承包人原因导致工期延误</w:t>
      </w:r>
    </w:p>
    <w:bookmarkEnd w:id="237"/>
    <w:bookmarkEnd w:id="238"/>
    <w:bookmarkEnd w:id="239"/>
    <w:p>
      <w:pPr>
        <w:spacing w:line="360" w:lineRule="exact"/>
        <w:ind w:firstLine="420" w:firstLineChars="200"/>
        <w:rPr>
          <w:rFonts w:hint="eastAsia" w:ascii="宋体" w:hAnsi="宋体" w:eastAsia="宋体" w:cs="宋体"/>
          <w:i/>
          <w:color w:val="auto"/>
          <w:szCs w:val="21"/>
          <w:highlight w:val="none"/>
          <w:u w:val="single"/>
        </w:rPr>
      </w:pPr>
      <w:r>
        <w:rPr>
          <w:rFonts w:hint="eastAsia" w:ascii="宋体" w:hAnsi="宋体" w:eastAsia="宋体" w:cs="宋体"/>
          <w:color w:val="auto"/>
          <w:szCs w:val="21"/>
          <w:highlight w:val="none"/>
        </w:rPr>
        <w:t>因</w:t>
      </w:r>
      <w:bookmarkStart w:id="245" w:name="_Toc312677487"/>
      <w:bookmarkStart w:id="246" w:name="_Toc312678013"/>
      <w:bookmarkStart w:id="247" w:name="_Toc318581170"/>
      <w:r>
        <w:rPr>
          <w:rFonts w:hint="eastAsia" w:ascii="宋体" w:hAnsi="宋体" w:eastAsia="宋体" w:cs="宋体"/>
          <w:color w:val="auto"/>
          <w:szCs w:val="21"/>
          <w:highlight w:val="none"/>
        </w:rPr>
        <w:t>承包人原因造成工期延误，逾期竣工违约金的计算方法为：</w:t>
      </w:r>
      <w:r>
        <w:rPr>
          <w:rFonts w:hint="eastAsia" w:ascii="宋体" w:hAnsi="宋体" w:eastAsia="宋体" w:cs="宋体"/>
          <w:color w:val="auto"/>
          <w:szCs w:val="21"/>
          <w:highlight w:val="none"/>
          <w:u w:val="single"/>
        </w:rPr>
        <w:t>每天</w:t>
      </w:r>
      <w:r>
        <w:rPr>
          <w:rFonts w:hint="eastAsia" w:ascii="宋体" w:hAnsi="宋体" w:eastAsia="宋体" w:cs="宋体"/>
          <w:color w:val="auto"/>
          <w:szCs w:val="21"/>
          <w:highlight w:val="none"/>
          <w:u w:val="single"/>
          <w:lang w:val="en-US" w:eastAsia="zh-CN"/>
        </w:rPr>
        <w:t>1000</w:t>
      </w:r>
      <w:r>
        <w:rPr>
          <w:rFonts w:hint="eastAsia" w:ascii="宋体" w:hAnsi="宋体" w:eastAsia="宋体" w:cs="宋体"/>
          <w:color w:val="auto"/>
          <w:szCs w:val="21"/>
          <w:highlight w:val="none"/>
          <w:u w:val="single"/>
        </w:rPr>
        <w:t>元</w:t>
      </w:r>
      <w:bookmarkEnd w:id="240"/>
      <w:bookmarkEnd w:id="241"/>
      <w:bookmarkEnd w:id="242"/>
      <w:bookmarkEnd w:id="243"/>
      <w:bookmarkEnd w:id="244"/>
      <w:bookmarkEnd w:id="245"/>
      <w:bookmarkEnd w:id="246"/>
      <w:r>
        <w:rPr>
          <w:rFonts w:hint="eastAsia" w:ascii="宋体" w:hAnsi="宋体" w:eastAsia="宋体" w:cs="宋体"/>
          <w:i/>
          <w:color w:val="auto"/>
          <w:szCs w:val="21"/>
          <w:highlight w:val="none"/>
          <w:u w:val="single"/>
        </w:rPr>
        <w:t>。</w:t>
      </w:r>
    </w:p>
    <w:bookmarkEnd w:id="247"/>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w:t>
      </w:r>
      <w:bookmarkStart w:id="248" w:name="_Toc312678014"/>
      <w:bookmarkStart w:id="249" w:name="_Toc318581171"/>
      <w:r>
        <w:rPr>
          <w:rFonts w:hint="eastAsia" w:ascii="宋体" w:hAnsi="宋体" w:eastAsia="宋体" w:cs="宋体"/>
          <w:color w:val="auto"/>
          <w:szCs w:val="21"/>
          <w:highlight w:val="none"/>
        </w:rPr>
        <w:t>期竣工违约金的上限：</w:t>
      </w:r>
      <w:r>
        <w:rPr>
          <w:rFonts w:hint="eastAsia" w:ascii="宋体" w:hAnsi="宋体" w:eastAsia="宋体" w:cs="宋体"/>
          <w:color w:val="auto"/>
          <w:szCs w:val="21"/>
          <w:highlight w:val="none"/>
          <w:u w:val="single"/>
        </w:rPr>
        <w:t>履约保证金额度</w:t>
      </w:r>
      <w:r>
        <w:rPr>
          <w:rFonts w:hint="eastAsia" w:ascii="宋体" w:hAnsi="宋体" w:eastAsia="宋体" w:cs="宋体"/>
          <w:color w:val="auto"/>
          <w:szCs w:val="21"/>
          <w:highlight w:val="none"/>
        </w:rPr>
        <w:t>。</w:t>
      </w:r>
    </w:p>
    <w:bookmarkEnd w:id="248"/>
    <w:bookmarkEnd w:id="249"/>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50" w:name="_Toc297123519"/>
      <w:bookmarkStart w:id="251" w:name="_Toc303539128"/>
      <w:bookmarkStart w:id="252" w:name="_Toc312678015"/>
      <w:bookmarkStart w:id="253" w:name="_Toc297216178"/>
      <w:bookmarkStart w:id="254" w:name="_Toc304295549"/>
      <w:bookmarkStart w:id="255" w:name="_Toc300934971"/>
      <w:r>
        <w:rPr>
          <w:rFonts w:hint="eastAsia" w:ascii="宋体" w:hAnsi="宋体" w:eastAsia="宋体" w:cs="宋体"/>
          <w:color w:val="auto"/>
          <w:szCs w:val="21"/>
          <w:highlight w:val="none"/>
        </w:rPr>
        <w:t>.6 不</w:t>
      </w:r>
      <w:bookmarkEnd w:id="250"/>
      <w:bookmarkEnd w:id="251"/>
      <w:bookmarkEnd w:id="252"/>
      <w:bookmarkEnd w:id="253"/>
      <w:bookmarkEnd w:id="254"/>
      <w:bookmarkEnd w:id="255"/>
      <w:r>
        <w:rPr>
          <w:rFonts w:hint="eastAsia" w:ascii="宋体" w:hAnsi="宋体" w:eastAsia="宋体" w:cs="宋体"/>
          <w:color w:val="auto"/>
          <w:szCs w:val="21"/>
          <w:highlight w:val="none"/>
        </w:rPr>
        <w:t>利物质条件</w:t>
      </w:r>
    </w:p>
    <w:p>
      <w:pPr>
        <w:spacing w:line="360" w:lineRule="exact"/>
        <w:ind w:firstLine="420" w:firstLineChars="200"/>
        <w:rPr>
          <w:rFonts w:hint="eastAsia" w:ascii="宋体" w:hAnsi="宋体" w:eastAsia="宋体" w:cs="宋体"/>
          <w:color w:val="auto"/>
          <w:szCs w:val="21"/>
          <w:highlight w:val="none"/>
        </w:rPr>
      </w:pPr>
      <w:bookmarkStart w:id="256" w:name="_Toc297216179"/>
      <w:bookmarkStart w:id="257" w:name="_Toc318581172"/>
      <w:bookmarkStart w:id="258" w:name="_Toc303539129"/>
      <w:bookmarkStart w:id="259" w:name="_Toc300934972"/>
      <w:bookmarkStart w:id="260" w:name="_Toc297123520"/>
      <w:bookmarkStart w:id="261" w:name="_Toc312678016"/>
      <w:bookmarkStart w:id="262" w:name="_Toc304295550"/>
      <w:r>
        <w:rPr>
          <w:rFonts w:hint="eastAsia" w:ascii="宋体" w:hAnsi="宋体" w:eastAsia="宋体" w:cs="宋体"/>
          <w:color w:val="auto"/>
          <w:szCs w:val="21"/>
          <w:highlight w:val="none"/>
        </w:rPr>
        <w:t>不利物质条件的其他情形和有关约定：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每天连续停水、停电超过8小时以上。</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因政府行政命令（因承包人原因的除外）。</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非因双方原因而无法控制的爆炸、火灾、疫情无法正常施工等事件。</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施工场地周围地下管线保护，地下障碍物和污染物排除，邻近建筑物、构筑物的保护要求。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地质勘探资料未涉及的地下管道、暗沟、岩层等。</w:t>
      </w:r>
    </w:p>
    <w:bookmarkEnd w:id="256"/>
    <w:bookmarkEnd w:id="257"/>
    <w:bookmarkEnd w:id="258"/>
    <w:bookmarkEnd w:id="259"/>
    <w:bookmarkEnd w:id="260"/>
    <w:bookmarkEnd w:id="261"/>
    <w:bookmarkEnd w:id="262"/>
    <w:p>
      <w:pPr>
        <w:spacing w:line="360" w:lineRule="exact"/>
        <w:ind w:firstLine="420" w:firstLineChars="200"/>
        <w:rPr>
          <w:rFonts w:hint="eastAsia" w:ascii="宋体" w:hAnsi="宋体" w:eastAsia="宋体" w:cs="宋体"/>
          <w:color w:val="auto"/>
          <w:szCs w:val="21"/>
          <w:highlight w:val="none"/>
        </w:rPr>
      </w:pPr>
      <w:bookmarkStart w:id="263" w:name="_Toc312678017"/>
      <w:bookmarkStart w:id="264" w:name="_Toc303539130"/>
      <w:bookmarkStart w:id="265" w:name="_Toc297123521"/>
      <w:bookmarkStart w:id="266" w:name="_Toc297216180"/>
      <w:bookmarkStart w:id="267" w:name="_Toc304295551"/>
      <w:bookmarkStart w:id="268" w:name="_Toc300934973"/>
      <w:r>
        <w:rPr>
          <w:rFonts w:hint="eastAsia" w:ascii="宋体" w:hAnsi="宋体" w:eastAsia="宋体" w:cs="宋体"/>
          <w:color w:val="auto"/>
          <w:szCs w:val="21"/>
          <w:highlight w:val="none"/>
        </w:rPr>
        <w:t>7.7异常恶劣的气候条件</w:t>
      </w:r>
    </w:p>
    <w:bookmarkEnd w:id="263"/>
    <w:bookmarkEnd w:id="264"/>
    <w:bookmarkEnd w:id="265"/>
    <w:bookmarkEnd w:id="266"/>
    <w:bookmarkEnd w:id="267"/>
    <w:bookmarkEnd w:id="268"/>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8-10级（含10级）持续24小时的大风（台风）；</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24小时内持续降雨且降水量为200mm以上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40摄氏度及以上且持续2天以上的高温天气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 提前竣工的奖励</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7.9.2提前竣工的奖励：</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6"/>
        <w:spacing w:before="0" w:after="0" w:line="360" w:lineRule="exact"/>
        <w:rPr>
          <w:rFonts w:hint="eastAsia" w:ascii="宋体" w:hAnsi="宋体" w:eastAsia="宋体" w:cs="宋体"/>
          <w:b w:val="0"/>
          <w:color w:val="auto"/>
          <w:sz w:val="21"/>
          <w:szCs w:val="21"/>
          <w:highlight w:val="none"/>
        </w:rPr>
      </w:pPr>
      <w:bookmarkStart w:id="269" w:name="_Toc351203640"/>
      <w:r>
        <w:rPr>
          <w:rFonts w:hint="eastAsia" w:ascii="宋体" w:hAnsi="宋体" w:eastAsia="宋体" w:cs="宋体"/>
          <w:b w:val="0"/>
          <w:color w:val="auto"/>
          <w:sz w:val="21"/>
          <w:szCs w:val="21"/>
          <w:highlight w:val="none"/>
        </w:rPr>
        <w:t>8. 材料与设备</w:t>
      </w:r>
      <w:bookmarkEnd w:id="269"/>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承包人采购材料与工程设备</w:t>
      </w:r>
    </w:p>
    <w:p>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（1）材料品牌、规格和使用要求：按招标文件（相应）技术标准和要求执行。</w:t>
      </w:r>
    </w:p>
    <w:p>
      <w:pP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（2）本工程已确定承包价的建筑材料均由承包人自行询价、采购、运输和保管。新型墙体材料的使用须符合相关规定，否则相关押金由承包人承担。</w:t>
      </w:r>
    </w:p>
    <w:p>
      <w:pP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（3）本工程要求使用材料要求。</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（4）所有材料必须有质保书或合格证，符合施工图纸和规范要求，且品牌、产地需报发包人备案，否则，因此产生的后果均由承包人负责。</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（7）根据工程需要，发包人有权对承包人投标时确认的品牌进行更换，更换后的材料价格由发包人签证进行结算。</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204"/>
    <w:bookmarkEnd w:id="205"/>
    <w:bookmarkEnd w:id="206"/>
    <w:bookmarkEnd w:id="207"/>
    <w:bookmarkEnd w:id="208"/>
    <w:bookmarkEnd w:id="209"/>
    <w:bookmarkEnd w:id="210"/>
    <w:bookmarkEnd w:id="211"/>
    <w:bookmarkEnd w:id="212"/>
    <w:bookmarkEnd w:id="213"/>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270" w:name="_Toc300934979"/>
      <w:bookmarkStart w:id="271" w:name="_Toc312678019"/>
      <w:bookmarkStart w:id="272" w:name="_Toc296890995"/>
      <w:bookmarkStart w:id="273" w:name="_Toc296347166"/>
      <w:bookmarkStart w:id="274" w:name="_Toc292559877"/>
      <w:bookmarkStart w:id="275" w:name="_Toc296503167"/>
      <w:bookmarkStart w:id="276" w:name="_Toc303539136"/>
      <w:bookmarkStart w:id="277" w:name="_Toc280868654"/>
      <w:bookmarkStart w:id="278" w:name="_Toc296346668"/>
      <w:bookmarkStart w:id="279" w:name="_Toc304295556"/>
      <w:bookmarkStart w:id="280" w:name="_Toc297216186"/>
      <w:bookmarkStart w:id="281" w:name="_Toc297048353"/>
      <w:bookmarkStart w:id="282" w:name="_Toc296891207"/>
      <w:bookmarkStart w:id="283" w:name="_Toc292559372"/>
      <w:bookmarkStart w:id="284" w:name="_Toc297123527"/>
      <w:bookmarkStart w:id="285" w:name="_Toc312677493"/>
      <w:bookmarkStart w:id="286" w:name="_Toc296944506"/>
      <w:bookmarkStart w:id="287" w:name="_Toc297120467"/>
      <w:bookmarkStart w:id="288" w:name="_Toc280868656"/>
      <w:bookmarkStart w:id="289" w:name="_Toc267251424"/>
      <w:bookmarkStart w:id="290" w:name="_Toc280868655"/>
      <w:r>
        <w:rPr>
          <w:rFonts w:hint="eastAsia" w:ascii="宋体" w:hAnsi="宋体" w:eastAsia="宋体" w:cs="宋体"/>
          <w:color w:val="auto"/>
          <w:szCs w:val="21"/>
          <w:highlight w:val="none"/>
        </w:rPr>
        <w:t>.4材料与工程设备的保管与使用</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291" w:name="_Toc292559373"/>
      <w:bookmarkStart w:id="292" w:name="_Toc292559878"/>
      <w:bookmarkStart w:id="293" w:name="_Toc296890996"/>
      <w:bookmarkStart w:id="294" w:name="_Toc297123528"/>
      <w:bookmarkStart w:id="295" w:name="_Toc297048354"/>
      <w:bookmarkStart w:id="296" w:name="_Toc300934980"/>
      <w:bookmarkStart w:id="297" w:name="_Toc318581173"/>
      <w:bookmarkStart w:id="298" w:name="_Toc297216187"/>
      <w:bookmarkStart w:id="299" w:name="_Toc312678020"/>
      <w:bookmarkStart w:id="300" w:name="_Toc312677494"/>
      <w:bookmarkStart w:id="301" w:name="_Toc303539137"/>
      <w:bookmarkStart w:id="302" w:name="_Toc296503168"/>
      <w:bookmarkStart w:id="303" w:name="_Toc296891208"/>
      <w:bookmarkStart w:id="304" w:name="_Toc296347167"/>
      <w:bookmarkStart w:id="305" w:name="_Toc296944507"/>
      <w:bookmarkStart w:id="306" w:name="_Toc297120468"/>
      <w:bookmarkStart w:id="307" w:name="_Toc304295557"/>
      <w:bookmarkStart w:id="308" w:name="_Toc296346669"/>
      <w:r>
        <w:rPr>
          <w:rFonts w:hint="eastAsia" w:ascii="宋体" w:hAnsi="宋体" w:eastAsia="宋体" w:cs="宋体"/>
          <w:color w:val="auto"/>
          <w:szCs w:val="21"/>
          <w:highlight w:val="none"/>
        </w:rPr>
        <w:t>.4.1发包人供应的材料设备的保管费用的承担：</w:t>
      </w:r>
      <w:bookmarkEnd w:id="291"/>
      <w:bookmarkEnd w:id="292"/>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 样品</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8.6.1 样品的报送与封存</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 施工设备和临时设施</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 承包人提供的施工设备和临时设施</w:t>
      </w:r>
    </w:p>
    <w:p>
      <w:pPr>
        <w:autoSpaceDE w:val="0"/>
        <w:autoSpaceDN w:val="0"/>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color w:val="auto"/>
          <w:szCs w:val="21"/>
          <w:highlight w:val="none"/>
          <w:u w:val="single"/>
        </w:rPr>
        <w:t xml:space="preserve"> 由承包人承担  </w:t>
      </w:r>
      <w:r>
        <w:rPr>
          <w:rFonts w:hint="eastAsia" w:ascii="宋体" w:hAnsi="宋体" w:eastAsia="宋体" w:cs="宋体"/>
          <w:color w:val="auto"/>
          <w:szCs w:val="21"/>
          <w:highlight w:val="none"/>
        </w:rPr>
        <w:t>。</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Pr>
        <w:pStyle w:val="6"/>
        <w:spacing w:before="0" w:after="0" w:line="360" w:lineRule="exact"/>
        <w:rPr>
          <w:rFonts w:hint="eastAsia" w:ascii="宋体" w:hAnsi="宋体" w:eastAsia="宋体" w:cs="宋体"/>
          <w:b w:val="0"/>
          <w:color w:val="auto"/>
          <w:sz w:val="21"/>
          <w:szCs w:val="21"/>
          <w:highlight w:val="none"/>
        </w:rPr>
      </w:pPr>
      <w:bookmarkStart w:id="309" w:name="_Toc351203641"/>
      <w:r>
        <w:rPr>
          <w:rFonts w:hint="eastAsia" w:ascii="宋体" w:hAnsi="宋体" w:eastAsia="宋体" w:cs="宋体"/>
          <w:b w:val="0"/>
          <w:color w:val="auto"/>
          <w:sz w:val="21"/>
          <w:szCs w:val="21"/>
          <w:highlight w:val="none"/>
        </w:rPr>
        <w:t>9</w:t>
      </w:r>
      <w:bookmarkEnd w:id="288"/>
      <w:bookmarkEnd w:id="289"/>
      <w:bookmarkEnd w:id="290"/>
      <w:bookmarkStart w:id="310" w:name="_Toc312678021"/>
      <w:bookmarkStart w:id="311" w:name="_Toc303539139"/>
      <w:bookmarkStart w:id="312" w:name="_Toc300934982"/>
      <w:bookmarkStart w:id="313" w:name="_Toc312677495"/>
      <w:bookmarkStart w:id="314" w:name="_Toc297216192"/>
      <w:bookmarkStart w:id="315" w:name="_Toc297123533"/>
      <w:bookmarkStart w:id="316" w:name="_Toc304295559"/>
      <w:bookmarkStart w:id="317" w:name="_Toc292559378"/>
      <w:bookmarkStart w:id="318" w:name="_Toc297048359"/>
      <w:bookmarkStart w:id="319" w:name="_Toc296891213"/>
      <w:bookmarkStart w:id="320" w:name="_Toc292559883"/>
      <w:bookmarkStart w:id="321" w:name="_Toc296346674"/>
      <w:bookmarkStart w:id="322" w:name="_Toc296891001"/>
      <w:bookmarkStart w:id="323" w:name="_Toc296944512"/>
      <w:bookmarkStart w:id="324" w:name="_Toc296347172"/>
      <w:bookmarkStart w:id="325" w:name="_Toc296503173"/>
      <w:bookmarkStart w:id="326" w:name="_Toc267251427"/>
      <w:bookmarkStart w:id="327" w:name="_Toc267251428"/>
      <w:bookmarkStart w:id="328" w:name="_Toc297120473"/>
      <w:r>
        <w:rPr>
          <w:rFonts w:hint="eastAsia" w:ascii="宋体" w:hAnsi="宋体" w:eastAsia="宋体" w:cs="宋体"/>
          <w:b w:val="0"/>
          <w:color w:val="auto"/>
          <w:sz w:val="21"/>
          <w:szCs w:val="21"/>
          <w:highlight w:val="none"/>
        </w:rPr>
        <w:t>. 试验与检验</w:t>
      </w:r>
      <w:bookmarkEnd w:id="309"/>
    </w:p>
    <w:bookmarkEnd w:id="310"/>
    <w:bookmarkEnd w:id="311"/>
    <w:bookmarkEnd w:id="312"/>
    <w:bookmarkEnd w:id="313"/>
    <w:bookmarkEnd w:id="314"/>
    <w:bookmarkEnd w:id="315"/>
    <w:bookmarkEnd w:id="316"/>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329" w:name="_Toc297216193"/>
      <w:bookmarkStart w:id="330" w:name="_Toc300934983"/>
      <w:bookmarkStart w:id="331" w:name="_Toc297123534"/>
      <w:bookmarkStart w:id="332" w:name="_Toc312677496"/>
      <w:bookmarkStart w:id="333" w:name="_Toc303539140"/>
      <w:bookmarkStart w:id="334" w:name="_Toc312678022"/>
      <w:bookmarkStart w:id="335" w:name="_Toc304295560"/>
      <w:r>
        <w:rPr>
          <w:rFonts w:hint="eastAsia" w:ascii="宋体" w:hAnsi="宋体" w:eastAsia="宋体" w:cs="宋体"/>
          <w:color w:val="auto"/>
          <w:szCs w:val="21"/>
          <w:highlight w:val="none"/>
        </w:rPr>
        <w:t>.1试验设备与试验人员</w:t>
      </w:r>
    </w:p>
    <w:bookmarkEnd w:id="329"/>
    <w:bookmarkEnd w:id="330"/>
    <w:bookmarkEnd w:id="331"/>
    <w:bookmarkEnd w:id="332"/>
    <w:bookmarkEnd w:id="333"/>
    <w:bookmarkEnd w:id="334"/>
    <w:bookmarkEnd w:id="335"/>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336" w:name="_Toc300934984"/>
      <w:bookmarkStart w:id="337" w:name="_Toc297216194"/>
      <w:bookmarkStart w:id="338" w:name="_Toc312678023"/>
      <w:bookmarkStart w:id="339" w:name="_Toc312677497"/>
      <w:bookmarkStart w:id="340" w:name="_Toc303539141"/>
      <w:bookmarkStart w:id="341" w:name="_Toc297123535"/>
      <w:bookmarkStart w:id="342" w:name="_Toc304295561"/>
      <w:bookmarkStart w:id="343" w:name="_Toc318581174"/>
      <w:r>
        <w:rPr>
          <w:rFonts w:hint="eastAsia" w:ascii="宋体" w:hAnsi="宋体" w:eastAsia="宋体" w:cs="宋体"/>
          <w:color w:val="auto"/>
          <w:szCs w:val="21"/>
          <w:highlight w:val="none"/>
        </w:rPr>
        <w:t>.1.2 试验设备</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bookmarkEnd w:id="336"/>
      <w:bookmarkEnd w:id="337"/>
      <w:bookmarkEnd w:id="338"/>
      <w:bookmarkEnd w:id="339"/>
      <w:bookmarkEnd w:id="340"/>
      <w:bookmarkEnd w:id="341"/>
      <w:bookmarkEnd w:id="342"/>
      <w:bookmarkStart w:id="344" w:name="_Toc300934985"/>
      <w:bookmarkStart w:id="345" w:name="_Toc304295562"/>
      <w:bookmarkStart w:id="346" w:name="_Toc297123536"/>
      <w:bookmarkStart w:id="347" w:name="_Toc312678024"/>
      <w:bookmarkStart w:id="348" w:name="_Toc297216195"/>
      <w:bookmarkStart w:id="349" w:name="_Toc303539142"/>
      <w:bookmarkStart w:id="350" w:name="_Toc312677498"/>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按规范及（当地）建设行政主管部门要求配置</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 xml:space="preserve"> 按规范及（当地）建设行政主管部门要求配置</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 xml:space="preserve"> 按规范及（当地）建设行政主管部门要求配置</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材料、工程设备和工程的试验和检验</w:t>
      </w:r>
    </w:p>
    <w:p>
      <w:pPr>
        <w:spacing w:line="360" w:lineRule="exact"/>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材料、设备和工程的试验和检验的费用：</w:t>
      </w:r>
      <w:r>
        <w:rPr>
          <w:rFonts w:hint="eastAsia" w:ascii="宋体" w:hAnsi="宋体" w:eastAsia="宋体" w:cs="宋体"/>
          <w:color w:val="auto"/>
          <w:szCs w:val="21"/>
          <w:highlight w:val="none"/>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 现场工艺试验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343"/>
    <w:bookmarkEnd w:id="344"/>
    <w:bookmarkEnd w:id="345"/>
    <w:bookmarkEnd w:id="346"/>
    <w:bookmarkEnd w:id="347"/>
    <w:bookmarkEnd w:id="348"/>
    <w:bookmarkEnd w:id="349"/>
    <w:bookmarkEnd w:id="350"/>
    <w:p>
      <w:pPr>
        <w:pStyle w:val="6"/>
        <w:spacing w:before="0" w:after="0" w:line="360" w:lineRule="exact"/>
        <w:rPr>
          <w:rFonts w:hint="eastAsia" w:ascii="宋体" w:hAnsi="宋体" w:eastAsia="宋体" w:cs="宋体"/>
          <w:b w:val="0"/>
          <w:color w:val="auto"/>
          <w:sz w:val="21"/>
          <w:szCs w:val="21"/>
          <w:highlight w:val="none"/>
        </w:rPr>
      </w:pPr>
      <w:bookmarkStart w:id="351" w:name="_Toc351203642"/>
      <w:r>
        <w:rPr>
          <w:rFonts w:hint="eastAsia" w:ascii="宋体" w:hAnsi="宋体" w:eastAsia="宋体" w:cs="宋体"/>
          <w:b w:val="0"/>
          <w:color w:val="auto"/>
          <w:sz w:val="21"/>
          <w:szCs w:val="21"/>
          <w:highlight w:val="none"/>
        </w:rPr>
        <w:t>1</w:t>
      </w:r>
      <w:bookmarkEnd w:id="317"/>
      <w:bookmarkEnd w:id="318"/>
      <w:bookmarkEnd w:id="319"/>
      <w:bookmarkEnd w:id="320"/>
      <w:bookmarkEnd w:id="321"/>
      <w:bookmarkEnd w:id="322"/>
      <w:bookmarkEnd w:id="323"/>
      <w:bookmarkEnd w:id="324"/>
      <w:bookmarkEnd w:id="325"/>
      <w:bookmarkEnd w:id="326"/>
      <w:bookmarkEnd w:id="327"/>
      <w:bookmarkEnd w:id="328"/>
      <w:bookmarkStart w:id="352" w:name="_Toc296891233"/>
      <w:bookmarkStart w:id="353" w:name="_Toc296346694"/>
      <w:bookmarkStart w:id="354" w:name="_Toc297123540"/>
      <w:bookmarkStart w:id="355" w:name="_Toc296891021"/>
      <w:bookmarkStart w:id="356" w:name="_Toc297048379"/>
      <w:bookmarkStart w:id="357" w:name="_Toc300934989"/>
      <w:bookmarkStart w:id="358" w:name="_Toc304295566"/>
      <w:bookmarkStart w:id="359" w:name="_Toc297216199"/>
      <w:bookmarkStart w:id="360" w:name="_Toc296347192"/>
      <w:bookmarkStart w:id="361" w:name="_Toc292559903"/>
      <w:bookmarkStart w:id="362" w:name="_Toc292559398"/>
      <w:bookmarkStart w:id="363" w:name="_Toc303539146"/>
      <w:bookmarkStart w:id="364" w:name="_Toc297120493"/>
      <w:bookmarkStart w:id="365" w:name="_Toc296503193"/>
      <w:bookmarkStart w:id="366" w:name="_Toc296944532"/>
      <w:bookmarkStart w:id="367" w:name="_Toc312677499"/>
      <w:bookmarkStart w:id="368" w:name="_Toc312678025"/>
      <w:bookmarkStart w:id="369" w:name="_Toc267251440"/>
      <w:bookmarkStart w:id="370" w:name="_Toc267251433"/>
      <w:bookmarkStart w:id="371" w:name="_Toc267251441"/>
      <w:bookmarkStart w:id="372" w:name="_Toc267251435"/>
      <w:bookmarkStart w:id="373" w:name="_Toc267251439"/>
      <w:bookmarkStart w:id="374" w:name="_Toc267251437"/>
      <w:bookmarkStart w:id="375" w:name="_Toc267251442"/>
      <w:r>
        <w:rPr>
          <w:rFonts w:hint="eastAsia" w:ascii="宋体" w:hAnsi="宋体" w:eastAsia="宋体" w:cs="宋体"/>
          <w:b w:val="0"/>
          <w:color w:val="auto"/>
          <w:sz w:val="21"/>
          <w:szCs w:val="21"/>
          <w:highlight w:val="none"/>
        </w:rPr>
        <w:t>0. 变更</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bookmarkEnd w:id="367"/>
    <w:bookmarkEnd w:id="368"/>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376" w:name="_Toc296503194"/>
      <w:bookmarkStart w:id="377" w:name="_Toc296346695"/>
      <w:bookmarkStart w:id="378" w:name="_Toc292559399"/>
      <w:bookmarkStart w:id="379" w:name="_Toc304295567"/>
      <w:bookmarkStart w:id="380" w:name="_Toc296891234"/>
      <w:bookmarkStart w:id="381" w:name="_Toc297048380"/>
      <w:bookmarkStart w:id="382" w:name="_Toc297123541"/>
      <w:bookmarkStart w:id="383" w:name="_Toc312677500"/>
      <w:bookmarkStart w:id="384" w:name="_Toc296944533"/>
      <w:bookmarkStart w:id="385" w:name="_Toc296347193"/>
      <w:bookmarkStart w:id="386" w:name="_Toc296891022"/>
      <w:bookmarkStart w:id="387" w:name="_Toc300934990"/>
      <w:bookmarkStart w:id="388" w:name="_Toc292559904"/>
      <w:bookmarkStart w:id="389" w:name="_Toc297120494"/>
      <w:bookmarkStart w:id="390" w:name="_Toc312678026"/>
      <w:bookmarkStart w:id="391" w:name="_Toc297216200"/>
      <w:bookmarkStart w:id="392" w:name="_Toc303539147"/>
      <w:r>
        <w:rPr>
          <w:rFonts w:hint="eastAsia" w:ascii="宋体" w:hAnsi="宋体" w:eastAsia="宋体" w:cs="宋体"/>
          <w:color w:val="auto"/>
          <w:szCs w:val="21"/>
          <w:highlight w:val="none"/>
        </w:rPr>
        <w:t>0.1变更的范围</w:t>
      </w:r>
    </w:p>
    <w:p>
      <w:pPr>
        <w:spacing w:line="36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按合同通用条款。工程变更引起工程量的减少或增加，承包人不得因此拒绝施工。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变更估价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pPr>
        <w:keepNext w:val="0"/>
        <w:keepLines w:val="0"/>
        <w:widowControl w:val="0"/>
        <w:suppressLineNumbers w:val="0"/>
        <w:spacing w:before="0" w:beforeAutospacing="0" w:after="0" w:afterAutospacing="0" w:line="360" w:lineRule="exact"/>
        <w:ind w:left="0" w:right="0" w:firstLine="315" w:firstLineChars="15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合同内的新增材料按发包人预算的当期信息价（正刊）计算。暂定价材料及变更引起的无价材料按采购前发包人的签证结算。经核定的无价材料仍执行结算率；</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10.4.2 变更估价程序</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承包人收到发包人、监理人、设计单位的变更指示后14天内向发包人提交变更估价申请。</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承包人提出工程变更、施工方案调整等变更应同时提交变更估价申请。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承包人提交的变更估价申请，发包人应予以签收，并在14天内审批完毕。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Start w:id="393" w:name="_Toc297048383"/>
      <w:bookmarkStart w:id="394" w:name="_Toc292559907"/>
      <w:bookmarkStart w:id="395" w:name="_Toc297216203"/>
      <w:bookmarkStart w:id="396" w:name="_Toc292559402"/>
      <w:bookmarkStart w:id="397" w:name="_Toc303539150"/>
      <w:bookmarkStart w:id="398" w:name="_Toc296347196"/>
      <w:bookmarkStart w:id="399" w:name="_Toc297120497"/>
      <w:bookmarkStart w:id="400" w:name="_Toc296891237"/>
      <w:bookmarkStart w:id="401" w:name="_Toc300934993"/>
      <w:bookmarkStart w:id="402" w:name="_Toc296503197"/>
      <w:bookmarkStart w:id="403" w:name="_Toc296944536"/>
      <w:bookmarkStart w:id="404" w:name="_Toc296346698"/>
      <w:bookmarkStart w:id="405" w:name="_Toc296891025"/>
      <w:bookmarkStart w:id="406" w:name="_Toc297123544"/>
      <w:bookmarkStart w:id="407" w:name="_Toc304295570"/>
      <w:bookmarkStart w:id="408" w:name="_Toc312677503"/>
      <w:bookmarkStart w:id="409" w:name="_Toc312678029"/>
      <w:r>
        <w:rPr>
          <w:rFonts w:hint="eastAsia" w:ascii="宋体" w:hAnsi="宋体" w:eastAsia="宋体" w:cs="宋体"/>
          <w:color w:val="auto"/>
          <w:szCs w:val="21"/>
          <w:highlight w:val="none"/>
        </w:rPr>
        <w:t>0.5承</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Start w:id="410" w:name="_Toc300934994"/>
      <w:bookmarkStart w:id="411" w:name="_Toc296503203"/>
      <w:bookmarkStart w:id="412" w:name="_Toc296891031"/>
      <w:bookmarkStart w:id="413" w:name="_Toc297123545"/>
      <w:bookmarkStart w:id="414" w:name="_Toc296944542"/>
      <w:bookmarkStart w:id="415" w:name="_Toc297216204"/>
      <w:bookmarkStart w:id="416" w:name="_Toc296347202"/>
      <w:bookmarkStart w:id="417" w:name="_Toc292559408"/>
      <w:bookmarkStart w:id="418" w:name="_Toc297120503"/>
      <w:bookmarkStart w:id="419" w:name="_Toc292559913"/>
      <w:bookmarkStart w:id="420" w:name="_Toc296346704"/>
      <w:bookmarkStart w:id="421" w:name="_Toc297048389"/>
      <w:bookmarkStart w:id="422" w:name="_Toc303539151"/>
      <w:bookmarkStart w:id="423" w:name="_Toc296891243"/>
      <w:r>
        <w:rPr>
          <w:rFonts w:hint="eastAsia" w:ascii="宋体" w:hAnsi="宋体" w:eastAsia="宋体" w:cs="宋体"/>
          <w:color w:val="auto"/>
          <w:szCs w:val="21"/>
          <w:highlight w:val="none"/>
        </w:rPr>
        <w:t>包人的合理化建议</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 xml:space="preserve">按通用条款执行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424" w:name="_Toc297216205"/>
      <w:bookmarkStart w:id="425" w:name="_Toc312678030"/>
      <w:bookmarkStart w:id="426" w:name="_Toc303539152"/>
      <w:bookmarkStart w:id="427" w:name="_Toc296944543"/>
      <w:bookmarkStart w:id="428" w:name="_Toc296346705"/>
      <w:bookmarkStart w:id="429" w:name="_Toc296891244"/>
      <w:bookmarkStart w:id="430" w:name="_Toc318581175"/>
      <w:bookmarkStart w:id="431" w:name="_Toc297048390"/>
      <w:bookmarkStart w:id="432" w:name="_Toc297123546"/>
      <w:bookmarkStart w:id="433" w:name="_Toc300934995"/>
      <w:bookmarkStart w:id="434" w:name="_Toc312677504"/>
      <w:bookmarkStart w:id="435" w:name="_Toc304295571"/>
      <w:bookmarkStart w:id="436" w:name="_Toc296891032"/>
      <w:bookmarkStart w:id="437" w:name="_Toc296347203"/>
      <w:bookmarkStart w:id="438" w:name="_Toc292559409"/>
      <w:bookmarkStart w:id="439" w:name="_Toc296503204"/>
      <w:bookmarkStart w:id="440" w:name="_Toc297120504"/>
      <w:bookmarkStart w:id="441" w:name="_Toc292559914"/>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42" w:name="_Toc300934997"/>
      <w:bookmarkStart w:id="443" w:name="_Toc296891027"/>
      <w:bookmarkStart w:id="444" w:name="_Toc296347198"/>
      <w:bookmarkStart w:id="445" w:name="_Toc297048385"/>
      <w:bookmarkStart w:id="446" w:name="_Toc296944538"/>
      <w:bookmarkStart w:id="447" w:name="_Toc292559404"/>
      <w:bookmarkStart w:id="448" w:name="_Toc297123548"/>
      <w:bookmarkStart w:id="449" w:name="_Toc297216207"/>
      <w:bookmarkStart w:id="450" w:name="_Toc296346700"/>
      <w:bookmarkStart w:id="451" w:name="_Toc297120499"/>
      <w:bookmarkStart w:id="452" w:name="_Toc296503199"/>
      <w:bookmarkStart w:id="453" w:name="_Toc312678033"/>
      <w:bookmarkStart w:id="454" w:name="_Toc312677507"/>
      <w:bookmarkStart w:id="455" w:name="_Toc303539154"/>
      <w:bookmarkStart w:id="456" w:name="_Toc296891239"/>
      <w:bookmarkStart w:id="457" w:name="_Toc292559909"/>
      <w:bookmarkStart w:id="458" w:name="_Toc304295574"/>
      <w:r>
        <w:rPr>
          <w:rFonts w:hint="eastAsia" w:ascii="宋体" w:hAnsi="宋体" w:eastAsia="宋体" w:cs="宋体"/>
          <w:color w:val="auto"/>
          <w:szCs w:val="21"/>
          <w:highlight w:val="none"/>
        </w:rPr>
        <w:t>0.7 暂估价</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暂</w:t>
      </w:r>
      <w:bookmarkStart w:id="459" w:name="_Toc312677508"/>
      <w:bookmarkStart w:id="460" w:name="_Toc312678034"/>
      <w:bookmarkStart w:id="461" w:name="_Toc318581176"/>
      <w:r>
        <w:rPr>
          <w:rFonts w:hint="eastAsia" w:ascii="宋体" w:hAnsi="宋体" w:eastAsia="宋体" w:cs="宋体"/>
          <w:color w:val="auto"/>
          <w:kern w:val="0"/>
          <w:szCs w:val="21"/>
          <w:highlight w:val="none"/>
        </w:rPr>
        <w:t>估价材料和工程设备的明细详见附件11：《</w:t>
      </w:r>
      <w:r>
        <w:rPr>
          <w:rFonts w:hint="eastAsia" w:ascii="宋体" w:hAnsi="宋体" w:eastAsia="宋体" w:cs="宋体"/>
          <w:color w:val="auto"/>
          <w:szCs w:val="21"/>
          <w:highlight w:val="none"/>
        </w:rPr>
        <w:t>暂估价一览表》</w:t>
      </w:r>
      <w:r>
        <w:rPr>
          <w:rFonts w:hint="eastAsia" w:ascii="宋体" w:hAnsi="宋体" w:eastAsia="宋体" w:cs="宋体"/>
          <w:color w:val="auto"/>
          <w:kern w:val="0"/>
          <w:szCs w:val="21"/>
          <w:highlight w:val="none"/>
        </w:rPr>
        <w:t>。</w:t>
      </w:r>
    </w:p>
    <w:bookmarkEnd w:id="459"/>
    <w:bookmarkEnd w:id="460"/>
    <w:bookmarkEnd w:id="461"/>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62" w:name="_Toc312677509"/>
      <w:bookmarkStart w:id="463" w:name="_Toc312678035"/>
      <w:bookmarkStart w:id="464" w:name="_Toc318581177"/>
      <w:r>
        <w:rPr>
          <w:rFonts w:hint="eastAsia" w:ascii="宋体" w:hAnsi="宋体" w:eastAsia="宋体" w:cs="宋体"/>
          <w:color w:val="auto"/>
          <w:szCs w:val="21"/>
          <w:highlight w:val="none"/>
        </w:rPr>
        <w:t>0.7.1 依法必须招标的暂估价项目</w:t>
      </w:r>
    </w:p>
    <w:bookmarkEnd w:id="462"/>
    <w:bookmarkEnd w:id="463"/>
    <w:bookmarkEnd w:id="464"/>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与组织招标工作有关的费用由发包人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 不属于依法必须招标的暂估价项目：</w:t>
      </w:r>
      <w:r>
        <w:rPr>
          <w:rFonts w:hint="eastAsia" w:ascii="宋体" w:hAnsi="宋体" w:eastAsia="宋体" w:cs="宋体"/>
          <w:color w:val="auto"/>
          <w:szCs w:val="21"/>
          <w:highlight w:val="none"/>
          <w:u w:val="single"/>
        </w:rPr>
        <w:t>按合同通用条款。</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kern w:val="0"/>
          <w:szCs w:val="21"/>
          <w:highlight w:val="none"/>
        </w:rPr>
        <w:t>承包人直接实施的暂估价项目</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承包人直接实施的暂估价项目的约定：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 暂列金额</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合同当事人关于暂列金额使用的约定：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创标化工地增加费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创优质工程增加费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
        <w:spacing w:before="0" w:after="0" w:line="360" w:lineRule="exact"/>
        <w:rPr>
          <w:rFonts w:hint="eastAsia" w:ascii="宋体" w:hAnsi="宋体" w:eastAsia="宋体" w:cs="宋体"/>
          <w:b w:val="0"/>
          <w:color w:val="auto"/>
          <w:sz w:val="21"/>
          <w:szCs w:val="21"/>
          <w:highlight w:val="none"/>
        </w:rPr>
      </w:pPr>
      <w:bookmarkStart w:id="465" w:name="_Toc351203643"/>
      <w:r>
        <w:rPr>
          <w:rFonts w:hint="eastAsia" w:ascii="宋体" w:hAnsi="宋体" w:eastAsia="宋体" w:cs="宋体"/>
          <w:b w:val="0"/>
          <w:color w:val="auto"/>
          <w:sz w:val="21"/>
          <w:szCs w:val="21"/>
          <w:highlight w:val="none"/>
        </w:rPr>
        <w:t>11. 价格调整</w:t>
      </w:r>
      <w:bookmarkEnd w:id="465"/>
    </w:p>
    <w:p>
      <w:pPr>
        <w:spacing w:line="360" w:lineRule="exact"/>
        <w:ind w:firstLine="420" w:firstLineChars="200"/>
        <w:rPr>
          <w:rFonts w:hint="eastAsia" w:ascii="宋体" w:hAnsi="宋体" w:eastAsia="宋体" w:cs="宋体"/>
          <w:color w:val="auto"/>
          <w:szCs w:val="21"/>
          <w:highlight w:val="none"/>
        </w:rPr>
      </w:pPr>
      <w:bookmarkStart w:id="466" w:name="_Toc296347200"/>
      <w:bookmarkStart w:id="467" w:name="_Toc292559406"/>
      <w:bookmarkStart w:id="468" w:name="_Toc296944540"/>
      <w:bookmarkStart w:id="469" w:name="_Toc296891029"/>
      <w:bookmarkStart w:id="470" w:name="_Toc297123550"/>
      <w:bookmarkStart w:id="471" w:name="_Toc303539157"/>
      <w:bookmarkStart w:id="472" w:name="_Toc296891241"/>
      <w:bookmarkStart w:id="473" w:name="_Toc296346702"/>
      <w:bookmarkStart w:id="474" w:name="_Toc297048387"/>
      <w:bookmarkStart w:id="475" w:name="_Toc312678039"/>
      <w:bookmarkStart w:id="476" w:name="_Toc297120501"/>
      <w:bookmarkStart w:id="477" w:name="_Toc297216209"/>
      <w:bookmarkStart w:id="478" w:name="_Toc304295577"/>
      <w:bookmarkStart w:id="479" w:name="_Toc296503201"/>
      <w:bookmarkStart w:id="480" w:name="_Toc292559911"/>
      <w:bookmarkStart w:id="481" w:name="_Toc300935000"/>
      <w:r>
        <w:rPr>
          <w:rFonts w:hint="eastAsia" w:ascii="宋体" w:hAnsi="宋体" w:eastAsia="宋体" w:cs="宋体"/>
          <w:color w:val="auto"/>
          <w:szCs w:val="21"/>
          <w:highlight w:val="none"/>
        </w:rPr>
        <w:t>11.1 市场价格波动引起的调整</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spacing w:line="360" w:lineRule="exact"/>
        <w:ind w:firstLine="388" w:firstLineChars="18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市场价格波动是否调整合同价格的约定</w:t>
      </w:r>
      <w:r>
        <w:rPr>
          <w:rFonts w:hint="eastAsia" w:ascii="宋体" w:hAnsi="宋体" w:eastAsia="宋体" w:cs="宋体"/>
          <w:color w:val="auto"/>
          <w:kern w:val="0"/>
          <w:szCs w:val="21"/>
          <w:highlight w:val="none"/>
          <w:u w:val="single"/>
        </w:rPr>
        <w:t>：不予调整</w:t>
      </w:r>
      <w:r>
        <w:rPr>
          <w:rFonts w:hint="eastAsia" w:ascii="宋体" w:hAnsi="宋体" w:eastAsia="宋体" w:cs="宋体"/>
          <w:color w:val="auto"/>
          <w:szCs w:val="21"/>
          <w:highlight w:val="none"/>
          <w:u w:val="singl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法律变化引起的调整 ：</w:t>
      </w:r>
      <w:r>
        <w:rPr>
          <w:rFonts w:hint="eastAsia" w:ascii="宋体" w:hAnsi="宋体" w:eastAsia="宋体" w:cs="宋体"/>
          <w:color w:val="auto"/>
          <w:szCs w:val="21"/>
          <w:highlight w:val="none"/>
          <w:u w:val="single"/>
        </w:rPr>
        <w:t>在疫情期间施工需增加的费用不予计取</w:t>
      </w:r>
      <w:r>
        <w:rPr>
          <w:rFonts w:hint="eastAsia" w:ascii="宋体" w:hAnsi="宋体" w:eastAsia="宋体" w:cs="宋体"/>
          <w:color w:val="auto"/>
          <w:szCs w:val="21"/>
          <w:highlight w:val="none"/>
        </w:rPr>
        <w:t xml:space="preserve"> 。</w:t>
      </w:r>
    </w:p>
    <w:bookmarkEnd w:id="369"/>
    <w:bookmarkEnd w:id="370"/>
    <w:bookmarkEnd w:id="371"/>
    <w:bookmarkEnd w:id="372"/>
    <w:bookmarkEnd w:id="373"/>
    <w:bookmarkEnd w:id="374"/>
    <w:p>
      <w:pPr>
        <w:pStyle w:val="6"/>
        <w:spacing w:before="0" w:after="0" w:line="360" w:lineRule="exact"/>
        <w:rPr>
          <w:rFonts w:hint="eastAsia" w:ascii="宋体" w:hAnsi="宋体" w:eastAsia="宋体" w:cs="宋体"/>
          <w:b w:val="0"/>
          <w:color w:val="auto"/>
          <w:sz w:val="21"/>
          <w:szCs w:val="21"/>
          <w:highlight w:val="none"/>
        </w:rPr>
      </w:pPr>
      <w:bookmarkStart w:id="482" w:name="_Toc297120505"/>
      <w:bookmarkStart w:id="483" w:name="_Toc296346706"/>
      <w:bookmarkStart w:id="484" w:name="_Toc292559410"/>
      <w:bookmarkStart w:id="485" w:name="_Toc297048391"/>
      <w:bookmarkStart w:id="486" w:name="_Toc296347204"/>
      <w:bookmarkStart w:id="487" w:name="_Toc296503205"/>
      <w:bookmarkStart w:id="488" w:name="_Toc296891245"/>
      <w:bookmarkStart w:id="489" w:name="_Toc296944544"/>
      <w:bookmarkStart w:id="490" w:name="_Toc292559915"/>
      <w:bookmarkStart w:id="491" w:name="_Toc296891033"/>
      <w:bookmarkStart w:id="492" w:name="_Toc351203644"/>
      <w:bookmarkStart w:id="493" w:name="_Toc312678040"/>
      <w:bookmarkStart w:id="494" w:name="_Toc300935002"/>
      <w:bookmarkStart w:id="495" w:name="_Toc297123552"/>
      <w:bookmarkStart w:id="496" w:name="_Toc297216211"/>
      <w:bookmarkStart w:id="497" w:name="_Toc304295579"/>
      <w:bookmarkStart w:id="498" w:name="_Toc303539159"/>
      <w:r>
        <w:rPr>
          <w:rFonts w:hint="eastAsia" w:ascii="宋体" w:hAnsi="宋体" w:eastAsia="宋体" w:cs="宋体"/>
          <w:b w:val="0"/>
          <w:color w:val="auto"/>
          <w:sz w:val="21"/>
          <w:szCs w:val="21"/>
          <w:highlight w:val="none"/>
        </w:rPr>
        <w:t>12</w:t>
      </w:r>
      <w:bookmarkEnd w:id="482"/>
      <w:bookmarkEnd w:id="483"/>
      <w:bookmarkEnd w:id="484"/>
      <w:bookmarkEnd w:id="485"/>
      <w:bookmarkEnd w:id="486"/>
      <w:bookmarkEnd w:id="487"/>
      <w:bookmarkEnd w:id="488"/>
      <w:bookmarkEnd w:id="489"/>
      <w:bookmarkEnd w:id="490"/>
      <w:bookmarkEnd w:id="491"/>
      <w:r>
        <w:rPr>
          <w:rFonts w:hint="eastAsia" w:ascii="宋体" w:hAnsi="宋体" w:eastAsia="宋体" w:cs="宋体"/>
          <w:b w:val="0"/>
          <w:color w:val="auto"/>
          <w:sz w:val="21"/>
          <w:szCs w:val="21"/>
          <w:highlight w:val="none"/>
        </w:rPr>
        <w:t>. 合同价格、计量与支付</w:t>
      </w:r>
      <w:bookmarkEnd w:id="492"/>
    </w:p>
    <w:bookmarkEnd w:id="493"/>
    <w:bookmarkEnd w:id="494"/>
    <w:bookmarkEnd w:id="495"/>
    <w:bookmarkEnd w:id="496"/>
    <w:bookmarkEnd w:id="497"/>
    <w:bookmarkEnd w:id="498"/>
    <w:p>
      <w:pPr>
        <w:spacing w:line="360" w:lineRule="exact"/>
        <w:ind w:firstLine="420" w:firstLineChars="200"/>
        <w:rPr>
          <w:rFonts w:hint="eastAsia" w:ascii="宋体" w:hAnsi="宋体" w:eastAsia="宋体" w:cs="宋体"/>
          <w:color w:val="auto"/>
          <w:szCs w:val="21"/>
          <w:highlight w:val="none"/>
        </w:rPr>
      </w:pPr>
      <w:bookmarkStart w:id="499" w:name="_Toc292559411"/>
      <w:bookmarkStart w:id="500" w:name="_Toc267251461"/>
      <w:bookmarkStart w:id="501" w:name="_Toc292559916"/>
      <w:bookmarkStart w:id="502" w:name="_Toc296503206"/>
      <w:bookmarkStart w:id="503" w:name="_Toc296346707"/>
      <w:bookmarkStart w:id="504" w:name="_Toc297120506"/>
      <w:bookmarkStart w:id="505" w:name="_Toc296347205"/>
      <w:bookmarkStart w:id="506" w:name="_Toc296944545"/>
      <w:bookmarkStart w:id="507" w:name="_Toc297048392"/>
      <w:bookmarkStart w:id="508" w:name="_Toc296891034"/>
      <w:bookmarkStart w:id="509" w:name="_Toc296891246"/>
      <w:bookmarkStart w:id="510" w:name="_Toc312678041"/>
      <w:bookmarkStart w:id="511" w:name="_Toc300935003"/>
      <w:bookmarkStart w:id="512" w:name="_Toc304295580"/>
      <w:bookmarkStart w:id="513" w:name="_Toc303539160"/>
      <w:bookmarkStart w:id="514" w:name="_Toc297216212"/>
      <w:bookmarkStart w:id="515" w:name="_Toc297123553"/>
      <w:r>
        <w:rPr>
          <w:rFonts w:hint="eastAsia" w:ascii="宋体" w:hAnsi="宋体" w:eastAsia="宋体" w:cs="宋体"/>
          <w:color w:val="auto"/>
          <w:szCs w:val="21"/>
          <w:highlight w:val="none"/>
        </w:rPr>
        <w:t>12.1 合</w:t>
      </w:r>
      <w:bookmarkEnd w:id="499"/>
      <w:bookmarkEnd w:id="500"/>
      <w:bookmarkEnd w:id="501"/>
      <w:r>
        <w:rPr>
          <w:rFonts w:hint="eastAsia" w:ascii="宋体" w:hAnsi="宋体" w:eastAsia="宋体" w:cs="宋体"/>
          <w:color w:val="auto"/>
          <w:szCs w:val="21"/>
          <w:highlight w:val="none"/>
        </w:rPr>
        <w:t>同价</w:t>
      </w:r>
      <w:bookmarkEnd w:id="502"/>
      <w:bookmarkEnd w:id="503"/>
      <w:bookmarkEnd w:id="504"/>
      <w:bookmarkEnd w:id="505"/>
      <w:bookmarkEnd w:id="506"/>
      <w:bookmarkEnd w:id="507"/>
      <w:bookmarkEnd w:id="508"/>
      <w:bookmarkEnd w:id="509"/>
      <w:r>
        <w:rPr>
          <w:rFonts w:hint="eastAsia" w:ascii="宋体" w:hAnsi="宋体" w:eastAsia="宋体" w:cs="宋体"/>
          <w:color w:val="auto"/>
          <w:szCs w:val="21"/>
          <w:highlight w:val="none"/>
        </w:rPr>
        <w:t>格形式</w:t>
      </w:r>
    </w:p>
    <w:bookmarkEnd w:id="510"/>
    <w:bookmarkEnd w:id="511"/>
    <w:bookmarkEnd w:id="512"/>
    <w:bookmarkEnd w:id="513"/>
    <w:bookmarkEnd w:id="514"/>
    <w:bookmarkEnd w:id="515"/>
    <w:p>
      <w:pPr>
        <w:pStyle w:val="15"/>
        <w:keepNext w:val="0"/>
        <w:keepLines w:val="0"/>
        <w:widowControl/>
        <w:suppressLineNumbers w:val="0"/>
        <w:adjustRightInd w:val="0"/>
        <w:spacing w:line="340" w:lineRule="exact"/>
        <w:ind w:left="0"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 xml:space="preserve">本合同价款采用 </w:t>
      </w:r>
      <w:r>
        <w:rPr>
          <w:rFonts w:hint="eastAsia" w:ascii="宋体" w:hAnsi="宋体" w:eastAsia="宋体" w:cs="宋体"/>
          <w:color w:val="auto"/>
          <w:szCs w:val="21"/>
          <w:highlight w:val="none"/>
          <w:u w:val="single"/>
          <w:lang w:val="en-US"/>
        </w:rPr>
        <w:t xml:space="preserve">   </w:t>
      </w:r>
      <w:r>
        <w:rPr>
          <w:rFonts w:hint="eastAsia" w:ascii="宋体" w:hAnsi="宋体" w:eastAsia="宋体" w:cs="宋体"/>
          <w:color w:val="auto"/>
          <w:szCs w:val="21"/>
          <w:highlight w:val="none"/>
          <w:u w:val="single"/>
          <w:lang w:eastAsia="zh-CN"/>
        </w:rPr>
        <w:t>固定结算率，固定单价</w:t>
      </w:r>
      <w:r>
        <w:rPr>
          <w:rFonts w:hint="eastAsia" w:ascii="宋体" w:hAnsi="宋体" w:eastAsia="宋体" w:cs="宋体"/>
          <w:color w:val="auto"/>
          <w:szCs w:val="21"/>
          <w:highlight w:val="none"/>
          <w:lang w:eastAsia="zh-CN"/>
        </w:rPr>
        <w:t xml:space="preserve"> 方式确定。</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（1）合同价款中包括的风险范围：</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1）本工程按照中标时的结算率一次性包死（</w:t>
      </w:r>
      <w:r>
        <w:rPr>
          <w:rFonts w:hint="eastAsia" w:ascii="宋体" w:hAnsi="宋体" w:eastAsia="宋体" w:cs="宋体"/>
          <w:b w:val="0"/>
          <w:bCs/>
          <w:color w:val="auto"/>
          <w:highlight w:val="none"/>
          <w:u w:val="single"/>
        </w:rPr>
        <w:t>结算率=中标价/</w:t>
      </w:r>
      <w:r>
        <w:rPr>
          <w:rFonts w:hint="eastAsia" w:ascii="宋体" w:hAnsi="宋体" w:cs="宋体"/>
          <w:b w:val="0"/>
          <w:bCs/>
          <w:color w:val="auto"/>
          <w:highlight w:val="none"/>
          <w:u w:val="single"/>
          <w:lang w:val="en-US" w:eastAsia="zh-CN"/>
        </w:rPr>
        <w:t>798229</w:t>
      </w:r>
      <w:r>
        <w:rPr>
          <w:rFonts w:hint="eastAsia" w:ascii="宋体" w:hAnsi="宋体" w:eastAsia="宋体" w:cs="宋体"/>
          <w:b w:val="0"/>
          <w:bCs/>
          <w:color w:val="auto"/>
          <w:highlight w:val="none"/>
          <w:u w:val="single"/>
          <w:lang w:val="en-US" w:eastAsia="zh-CN"/>
        </w:rPr>
        <w:t>元</w:t>
      </w:r>
      <w:r>
        <w:rPr>
          <w:rFonts w:hint="eastAsia" w:ascii="宋体" w:hAnsi="宋体" w:eastAsia="宋体" w:cs="宋体"/>
          <w:b w:val="0"/>
          <w:bCs/>
          <w:color w:val="auto"/>
          <w:highlight w:val="none"/>
          <w:u w:val="single"/>
        </w:rPr>
        <w:t>*100%</w:t>
      </w:r>
      <w:r>
        <w:rPr>
          <w:rFonts w:hint="eastAsia" w:ascii="宋体" w:hAnsi="宋体" w:eastAsia="宋体" w:cs="宋体"/>
          <w:color w:val="auto"/>
          <w:kern w:val="2"/>
          <w:sz w:val="21"/>
          <w:szCs w:val="21"/>
          <w:highlight w:val="none"/>
          <w:u w:val="single"/>
          <w:lang w:val="en-US" w:eastAsia="zh-CN" w:bidi="ar"/>
        </w:rPr>
        <w:t>），结算时不再另行调整，结算工程总造价=按照本合同条款计算所得的工程造价（含预算书中以项为单位的单价、无价材料的签证价等）*结算率。</w:t>
      </w:r>
    </w:p>
    <w:p>
      <w:pPr>
        <w:keepNext w:val="0"/>
        <w:keepLines w:val="0"/>
        <w:widowControl w:val="0"/>
        <w:suppressLineNumbers w:val="0"/>
        <w:spacing w:before="0" w:beforeAutospacing="0" w:after="0" w:afterAutospacing="0" w:line="360" w:lineRule="exact"/>
        <w:ind w:left="0" w:right="0" w:firstLine="315" w:firstLineChars="15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single"/>
          <w:lang w:val="en-US" w:eastAsia="zh-CN" w:bidi="ar"/>
        </w:rPr>
        <w:t>2）计日工单价：技术工（260）元/工日、普工（180）元/工日，工日数经发包人签证;该项费用仅另计算税金；</w:t>
      </w:r>
    </w:p>
    <w:p>
      <w:pPr>
        <w:pStyle w:val="15"/>
        <w:keepNext w:val="0"/>
        <w:keepLines w:val="0"/>
        <w:widowControl/>
        <w:suppressLineNumbers w:val="0"/>
        <w:adjustRightInd w:val="0"/>
        <w:spacing w:line="360" w:lineRule="exact"/>
        <w:ind w:left="0" w:firstLine="315" w:firstLineChars="150"/>
        <w:rPr>
          <w:rFonts w:hint="eastAsia" w:ascii="宋体" w:hAnsi="宋体" w:eastAsia="宋体" w:cs="宋体"/>
          <w:bCs/>
          <w:color w:val="auto"/>
          <w:szCs w:val="21"/>
          <w:highlight w:val="none"/>
          <w:u w:val="single"/>
          <w:lang w:val="en-US"/>
        </w:rPr>
      </w:pPr>
      <w:r>
        <w:rPr>
          <w:rFonts w:hint="eastAsia" w:ascii="宋体" w:hAnsi="宋体" w:eastAsia="宋体" w:cs="宋体"/>
          <w:bCs/>
          <w:color w:val="auto"/>
          <w:szCs w:val="21"/>
          <w:highlight w:val="none"/>
          <w:u w:val="single"/>
          <w:lang w:val="en-US"/>
        </w:rPr>
        <w:t>3</w:t>
      </w:r>
      <w:r>
        <w:rPr>
          <w:rFonts w:hint="eastAsia" w:ascii="宋体" w:hAnsi="宋体" w:eastAsia="宋体" w:cs="宋体"/>
          <w:bCs/>
          <w:color w:val="auto"/>
          <w:szCs w:val="21"/>
          <w:highlight w:val="none"/>
          <w:u w:val="single"/>
          <w:lang w:eastAsia="zh-CN"/>
        </w:rPr>
        <w:t>）工程造价应按照预算书相对应的的计量依据、组价方式、取费费率（含规费、税金、工伤保险费等）、人材机价格（无价材料按签证价进行计算）进行计算，不得调整；</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4）变更引起的无价材料按采购前发包人的签证价。</w:t>
      </w:r>
    </w:p>
    <w:p>
      <w:pPr>
        <w:keepNext w:val="0"/>
        <w:keepLines w:val="0"/>
        <w:widowControl w:val="0"/>
        <w:suppressLineNumbers w:val="0"/>
        <w:autoSpaceDE w:val="0"/>
        <w:autoSpaceDN w:val="0"/>
        <w:spacing w:before="0" w:beforeAutospacing="0" w:after="0" w:afterAutospacing="0" w:line="360" w:lineRule="exact"/>
        <w:ind w:left="0" w:right="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5）、其他可能发生的费用：</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single"/>
          <w:lang w:val="en-US" w:eastAsia="zh-CN" w:bidi="ar"/>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single"/>
          <w:lang w:val="en-US" w:eastAsia="zh-CN" w:bidi="ar"/>
        </w:rPr>
        <w:t>b.实际施工中可能发生街道管理费、干扰费、环保费、占道押金等其它管理费。</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single"/>
          <w:lang w:val="en-US" w:eastAsia="zh-CN" w:bidi="ar"/>
        </w:rPr>
        <w:t>C.施工过程中涉及各阶段验收;及各个部门相关人员到工地检查等，承包人必须无条件按照相关规定及发包人要求，做好施工现场的卫生清理;门窗、楼地面保洁等相关配合工作，由承包人在报价时综合考虑，不再另行计取。</w:t>
      </w:r>
      <w:r>
        <w:rPr>
          <w:rFonts w:hint="eastAsia" w:ascii="宋体" w:hAnsi="宋体" w:eastAsia="宋体" w:cs="宋体"/>
          <w:color w:val="auto"/>
          <w:kern w:val="2"/>
          <w:sz w:val="21"/>
          <w:szCs w:val="21"/>
          <w:highlight w:val="none"/>
          <w:lang w:val="en-US" w:eastAsia="zh-CN" w:bidi="ar"/>
        </w:rPr>
        <w:t>风险费用的计算方法：</w:t>
      </w:r>
      <w:r>
        <w:rPr>
          <w:rFonts w:hint="eastAsia" w:ascii="宋体" w:hAnsi="宋体" w:eastAsia="宋体" w:cs="宋体"/>
          <w:color w:val="auto"/>
          <w:kern w:val="2"/>
          <w:sz w:val="21"/>
          <w:szCs w:val="21"/>
          <w:highlight w:val="none"/>
          <w:u w:val="single"/>
          <w:lang w:val="en-US" w:eastAsia="zh-CN" w:bidi="ar"/>
        </w:rPr>
        <w:t>承包人在投标报价时综合考虑，不再另行计取。</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D.本工程为改造项目，投标人应充分考虑现场内施工场地环境、材料二次搬运、施工难度等因素，</w:t>
      </w:r>
      <w:r>
        <w:rPr>
          <w:rFonts w:hint="eastAsia" w:ascii="宋体" w:hAnsi="宋体" w:eastAsia="宋体" w:cs="宋体"/>
          <w:color w:val="auto"/>
          <w:kern w:val="2"/>
          <w:sz w:val="21"/>
          <w:szCs w:val="21"/>
          <w:highlight w:val="none"/>
          <w:u w:val="single"/>
          <w:lang w:val="en-US" w:eastAsia="zh-CN" w:bidi="ar"/>
        </w:rPr>
        <w:t>投标人在投标时综合考虑；</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E</w:t>
      </w:r>
      <w:r>
        <w:rPr>
          <w:rFonts w:hint="eastAsia" w:ascii="宋体" w:hAnsi="宋体" w:eastAsia="宋体" w:cs="宋体"/>
          <w:color w:val="auto"/>
          <w:kern w:val="2"/>
          <w:sz w:val="21"/>
          <w:szCs w:val="21"/>
          <w:highlight w:val="none"/>
          <w:u w:val="single"/>
          <w:lang w:val="en-US" w:eastAsia="zh-CN" w:bidi="ar"/>
        </w:rPr>
        <w:t>.拆除后建筑垃圾外运处置的运距，预算按10km考虑，投标时由施工单位自行考虑包干</w:t>
      </w:r>
      <w:r>
        <w:rPr>
          <w:rFonts w:hint="eastAsia" w:ascii="宋体" w:hAnsi="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投标人在投标时综合考虑，结算不作调整</w:t>
      </w:r>
      <w:r>
        <w:rPr>
          <w:rFonts w:hint="eastAsia" w:ascii="宋体" w:hAnsi="宋体" w:cs="宋体"/>
          <w:color w:val="auto"/>
          <w:kern w:val="2"/>
          <w:sz w:val="21"/>
          <w:szCs w:val="21"/>
          <w:highlight w:val="none"/>
          <w:u w:val="single"/>
          <w:lang w:val="en-US" w:eastAsia="zh-CN" w:bidi="ar"/>
        </w:rPr>
        <w:t>；</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F.</w:t>
      </w:r>
      <w:r>
        <w:rPr>
          <w:rFonts w:hint="eastAsia" w:ascii="宋体" w:hAnsi="宋体" w:eastAsia="宋体" w:cs="宋体"/>
          <w:color w:val="auto"/>
          <w:kern w:val="2"/>
          <w:sz w:val="21"/>
          <w:szCs w:val="21"/>
          <w:highlight w:val="none"/>
          <w:u w:val="single"/>
          <w:lang w:val="en-US" w:eastAsia="zh-CN" w:bidi="ar"/>
        </w:rPr>
        <w:t>混凝土采用商品混凝土，运距按7km以内考虑，投标人在投标时综合考虑，结算不作调整。</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G.</w:t>
      </w:r>
      <w:r>
        <w:rPr>
          <w:rFonts w:hint="eastAsia" w:ascii="宋体" w:hAnsi="宋体" w:eastAsia="宋体" w:cs="宋体"/>
          <w:color w:val="auto"/>
          <w:kern w:val="2"/>
          <w:sz w:val="21"/>
          <w:szCs w:val="21"/>
          <w:highlight w:val="none"/>
          <w:u w:val="single"/>
          <w:lang w:val="en-US" w:eastAsia="zh-CN" w:bidi="ar"/>
        </w:rPr>
        <w:t>本工程二次装修垂直运输费乘以系数0.3计入；</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H.</w:t>
      </w:r>
      <w:r>
        <w:rPr>
          <w:rFonts w:hint="eastAsia" w:ascii="宋体" w:hAnsi="宋体" w:eastAsia="宋体" w:cs="宋体"/>
          <w:color w:val="auto"/>
          <w:kern w:val="2"/>
          <w:sz w:val="21"/>
          <w:szCs w:val="21"/>
          <w:highlight w:val="none"/>
          <w:u w:val="single"/>
          <w:lang w:val="en-US" w:eastAsia="zh-CN" w:bidi="ar"/>
        </w:rPr>
        <w:t>本工程是改造项目，砂浆按现拌考虑；</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I.卫</w:t>
      </w:r>
      <w:r>
        <w:rPr>
          <w:rFonts w:hint="eastAsia" w:ascii="宋体" w:hAnsi="宋体" w:eastAsia="宋体" w:cs="宋体"/>
          <w:color w:val="auto"/>
          <w:kern w:val="2"/>
          <w:sz w:val="21"/>
          <w:szCs w:val="21"/>
          <w:highlight w:val="none"/>
          <w:u w:val="single"/>
          <w:lang w:val="en-US" w:eastAsia="zh-CN" w:bidi="ar"/>
        </w:rPr>
        <w:t>生间洁具拆除、房间吊扇拆除及灯具拆除等，预算按3000元/项计入，需满足后期装修要求，其拆除费用按一项包干，投标人在投标时综合考虑，结算不作调整；</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J</w:t>
      </w:r>
      <w:r>
        <w:rPr>
          <w:rFonts w:hint="eastAsia" w:ascii="宋体" w:hAnsi="宋体" w:eastAsia="宋体" w:cs="宋体"/>
          <w:color w:val="auto"/>
          <w:kern w:val="2"/>
          <w:sz w:val="21"/>
          <w:szCs w:val="21"/>
          <w:highlight w:val="none"/>
          <w:u w:val="single"/>
          <w:lang w:val="en-US" w:eastAsia="zh-CN" w:bidi="ar"/>
        </w:rPr>
        <w:t>、井室加装防护网，防坠网按50元/个计入；投标人在投标时综合考虑；</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K.</w:t>
      </w:r>
      <w:r>
        <w:rPr>
          <w:rFonts w:hint="eastAsia" w:ascii="宋体" w:hAnsi="宋体" w:eastAsia="宋体" w:cs="宋体"/>
          <w:color w:val="auto"/>
          <w:kern w:val="2"/>
          <w:sz w:val="21"/>
          <w:szCs w:val="21"/>
          <w:highlight w:val="none"/>
          <w:u w:val="single"/>
          <w:lang w:val="en-US" w:eastAsia="zh-CN" w:bidi="ar"/>
        </w:rPr>
        <w:t>、30mm仿真人工草坪参照《椒江区教育局关于学校基建项目管理有关事项的补充规定》中足球场人工草坪（含辅材）150元/m2计入；</w:t>
      </w: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cs="宋体"/>
          <w:color w:val="auto"/>
          <w:kern w:val="2"/>
          <w:sz w:val="21"/>
          <w:szCs w:val="21"/>
          <w:highlight w:val="none"/>
          <w:u w:val="single"/>
          <w:lang w:val="en-US" w:eastAsia="zh-CN" w:bidi="ar"/>
        </w:rPr>
        <w:t>L.</w:t>
      </w:r>
      <w:r>
        <w:rPr>
          <w:rFonts w:hint="eastAsia" w:ascii="宋体" w:hAnsi="宋体" w:eastAsia="宋体" w:cs="宋体"/>
          <w:color w:val="auto"/>
          <w:kern w:val="2"/>
          <w:sz w:val="21"/>
          <w:szCs w:val="21"/>
          <w:highlight w:val="none"/>
          <w:u w:val="single"/>
          <w:lang w:val="en-US" w:eastAsia="zh-CN" w:bidi="ar"/>
        </w:rPr>
        <w:t>4个篮球架降低，切割重新焊接按500元/项计入；</w:t>
      </w:r>
    </w:p>
    <w:p>
      <w:pPr>
        <w:pStyle w:val="2"/>
        <w:rPr>
          <w:rFonts w:hint="eastAsia"/>
          <w:lang w:val="en-US"/>
        </w:rPr>
      </w:pPr>
    </w:p>
    <w:p>
      <w:pPr>
        <w:keepNext w:val="0"/>
        <w:keepLines w:val="0"/>
        <w:widowControl w:val="0"/>
        <w:suppressLineNumbers w:val="0"/>
        <w:autoSpaceDE w:val="0"/>
        <w:autoSpaceDN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lang w:val="en-US" w:eastAsia="zh-CN" w:bidi="ar"/>
        </w:rPr>
        <w:t>风险范围以外的合同价款调整方法：</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（一）工程量按照本招标文件规定的相关定额与规定计算，由承包人计量、发包人及有关部门审核，按实结算。</w:t>
      </w:r>
    </w:p>
    <w:p>
      <w:pPr>
        <w:keepNext w:val="0"/>
        <w:keepLines w:val="0"/>
        <w:widowControl w:val="0"/>
        <w:suppressLineNumbers w:val="0"/>
        <w:spacing w:before="0" w:beforeAutospacing="0" w:after="0" w:afterAutospacing="0" w:line="360" w:lineRule="exact"/>
        <w:ind w:left="-4" w:leftChars="-2"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（二）招标时发包人提供的直接工程费如发现计算错误、定额子目套用错误，可按实调整。</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（三）实际施工时，未达到施工安全文明有关规定的，在结算时扣减施工组织措施费中的相应费用。</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（四）取消通用条款23.3条规定。</w:t>
      </w:r>
    </w:p>
    <w:p>
      <w:pPr>
        <w:pStyle w:val="25"/>
        <w:keepNext w:val="0"/>
        <w:keepLines w:val="0"/>
        <w:widowControl/>
        <w:suppressLineNumbers w:val="0"/>
        <w:adjustRightInd w:val="0"/>
        <w:spacing w:before="0" w:beforeAutospacing="0" w:after="0" w:afterAutospacing="0" w:line="340" w:lineRule="exact"/>
        <w:ind w:left="0" w:right="0" w:firstLine="420" w:firstLineChars="200"/>
        <w:jc w:val="both"/>
        <w:rPr>
          <w:rFonts w:hint="eastAsia" w:ascii="宋体" w:hAnsi="宋体" w:eastAsia="宋体" w:cs="宋体"/>
          <w:color w:val="auto"/>
          <w:kern w:val="0"/>
          <w:szCs w:val="21"/>
          <w:highlight w:val="none"/>
          <w:u w:val="single"/>
          <w:lang w:val="en-US"/>
        </w:rPr>
      </w:pPr>
      <w:r>
        <w:rPr>
          <w:rFonts w:hint="eastAsia" w:ascii="宋体" w:hAnsi="宋体" w:eastAsia="宋体" w:cs="宋体"/>
          <w:color w:val="auto"/>
          <w:kern w:val="2"/>
          <w:sz w:val="21"/>
          <w:szCs w:val="21"/>
          <w:highlight w:val="none"/>
          <w:u w:val="single"/>
          <w:lang w:val="en-US" w:eastAsia="zh-CN" w:bidi="ar"/>
        </w:rPr>
        <w:t xml:space="preserve">（五）风险范围以外的合同价款调整引起总价的变化，结算时仍执行结算率。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2、总价合同(以审计的总价合同为准)。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 xml:space="preserve">                  </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bookmarkStart w:id="516" w:name="_Toc304295581"/>
      <w:bookmarkStart w:id="517" w:name="_Toc303539161"/>
      <w:bookmarkStart w:id="518" w:name="_Toc297123554"/>
      <w:bookmarkStart w:id="519" w:name="_Toc297216213"/>
      <w:bookmarkStart w:id="520" w:name="_Toc312678042"/>
      <w:bookmarkStart w:id="521" w:name="_Toc300935004"/>
      <w:bookmarkStart w:id="522" w:name="_Toc292559412"/>
      <w:bookmarkStart w:id="523" w:name="_Toc296891247"/>
      <w:bookmarkStart w:id="524" w:name="_Toc296346708"/>
      <w:bookmarkStart w:id="525" w:name="_Toc296503207"/>
      <w:bookmarkStart w:id="526" w:name="_Toc297048393"/>
      <w:bookmarkStart w:id="527" w:name="_Toc296891035"/>
      <w:bookmarkStart w:id="528" w:name="_Toc296944546"/>
      <w:bookmarkStart w:id="529" w:name="_Toc296347206"/>
      <w:bookmarkStart w:id="530" w:name="_Toc297120507"/>
      <w:bookmarkStart w:id="531" w:name="_Toc292559917"/>
      <w:r>
        <w:rPr>
          <w:rFonts w:hint="eastAsia" w:ascii="宋体" w:hAnsi="宋体" w:eastAsia="宋体" w:cs="宋体"/>
          <w:color w:val="auto"/>
          <w:szCs w:val="21"/>
          <w:highlight w:val="none"/>
        </w:rPr>
        <w:t>12.2 预付款</w:t>
      </w:r>
    </w:p>
    <w:bookmarkEnd w:id="516"/>
    <w:bookmarkEnd w:id="517"/>
    <w:bookmarkEnd w:id="518"/>
    <w:bookmarkEnd w:id="519"/>
    <w:bookmarkEnd w:id="520"/>
    <w:bookmarkEnd w:id="521"/>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color w:val="auto"/>
          <w:sz w:val="21"/>
          <w:szCs w:val="21"/>
          <w:highlight w:val="none"/>
          <w:u w:val="single"/>
        </w:rPr>
        <w:t>合同生效，承包人人员设备进场后，付该工程合同总金额的</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%备料款</w:t>
      </w:r>
      <w:r>
        <w:rPr>
          <w:rFonts w:hint="eastAsia" w:ascii="宋体" w:hAnsi="宋体" w:eastAsia="宋体" w:cs="宋体"/>
          <w:color w:val="auto"/>
          <w:szCs w:val="21"/>
          <w:highlight w:val="none"/>
          <w:u w:val="singl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预付款支付期限：</w:t>
      </w:r>
      <w:r>
        <w:rPr>
          <w:rFonts w:hint="eastAsia" w:ascii="宋体" w:hAnsi="宋体" w:eastAsia="宋体" w:cs="宋体"/>
          <w:color w:val="auto"/>
          <w:szCs w:val="21"/>
          <w:highlight w:val="none"/>
          <w:u w:val="single"/>
        </w:rPr>
        <w:t xml:space="preserve"> 按投标承诺的人员、机械设备进场后3天内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预付款扣回的方式：</w:t>
      </w:r>
      <w:r>
        <w:rPr>
          <w:rFonts w:hint="eastAsia" w:ascii="宋体" w:hAnsi="宋体" w:eastAsia="宋体" w:cs="宋体"/>
          <w:color w:val="auto"/>
          <w:szCs w:val="21"/>
          <w:highlight w:val="none"/>
          <w:u w:val="single"/>
        </w:rPr>
        <w:t>不扣回，作为工程款</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承包人提交预付款担保的期限：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22"/>
    <w:bookmarkEnd w:id="523"/>
    <w:bookmarkEnd w:id="524"/>
    <w:bookmarkEnd w:id="525"/>
    <w:bookmarkEnd w:id="526"/>
    <w:bookmarkEnd w:id="527"/>
    <w:bookmarkEnd w:id="528"/>
    <w:bookmarkEnd w:id="529"/>
    <w:bookmarkEnd w:id="530"/>
    <w:bookmarkEnd w:id="531"/>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计量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工程量计算按照实际完成施工图纸范围内和经发包人同意增加的施工内容按实计算，工程量计算规则按照：</w:t>
      </w:r>
      <w:r>
        <w:rPr>
          <w:rFonts w:hint="eastAsia" w:ascii="宋体" w:hAnsi="宋体" w:eastAsia="宋体" w:cs="宋体"/>
          <w:color w:val="auto"/>
          <w:szCs w:val="21"/>
          <w:highlight w:val="none"/>
          <w:u w:val="single"/>
          <w:lang w:eastAsia="zh-CN"/>
        </w:rPr>
        <w:t>《浙江省建筑工程预算定额》（2018）、《浙江省安装工程预算定额》（2018）、《浙江省建设工程施工取费定额》（2018）、《浙江省施工机械台班费用参考单价》（2018）、《建筑工程建筑面积计算规范》（GB/T50353-2013）等</w:t>
      </w:r>
      <w:r>
        <w:rPr>
          <w:rFonts w:hint="eastAsia" w:ascii="宋体" w:hAnsi="宋体" w:eastAsia="宋体" w:cs="宋体"/>
          <w:color w:val="auto"/>
          <w:szCs w:val="21"/>
          <w:highlight w:val="none"/>
          <w:u w:val="single"/>
        </w:rPr>
        <w:t>及其他省、市有关造价文件等。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 xml:space="preserve">本工程按月支付工程进度款，承包人必须每月25日前将当月实际完成的各部位的已完工程量报告送交工程师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szCs w:val="21"/>
          <w:highlight w:val="none"/>
          <w:u w:val="single"/>
        </w:rPr>
        <w:t>按合同通用条款执行</w:t>
      </w:r>
      <w:r>
        <w:rPr>
          <w:rFonts w:hint="eastAsia" w:ascii="宋体" w:hAnsi="宋体" w:eastAsia="宋体" w:cs="宋体"/>
          <w:color w:val="auto"/>
          <w:szCs w:val="21"/>
          <w:highlight w:val="none"/>
          <w:u w:val="single"/>
          <w:lang w:eastAsia="zh-CN"/>
        </w:rPr>
        <w:t>，但</w:t>
      </w:r>
      <w:r>
        <w:rPr>
          <w:rFonts w:hint="eastAsia" w:ascii="宋体" w:hAnsi="宋体" w:eastAsia="宋体" w:cs="宋体"/>
          <w:color w:val="auto"/>
          <w:kern w:val="0"/>
          <w:szCs w:val="21"/>
          <w:highlight w:val="none"/>
          <w:u w:val="single"/>
        </w:rPr>
        <w:t>确认的工程量和单价仅作为本期工程款支付的依据。</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12.3.5总价合同采用支付分解表计量支付的，是否适用第</w:t>
      </w:r>
      <w:r>
        <w:rPr>
          <w:rFonts w:hint="eastAsia" w:ascii="宋体" w:hAnsi="宋体" w:eastAsia="宋体" w:cs="宋体"/>
          <w:color w:val="auto"/>
          <w:kern w:val="0"/>
          <w:szCs w:val="21"/>
          <w:highlight w:val="none"/>
        </w:rPr>
        <w:t xml:space="preserve">12.3.4 </w:t>
      </w:r>
      <w:r>
        <w:rPr>
          <w:rFonts w:hint="eastAsia" w:ascii="宋体" w:hAnsi="宋体" w:eastAsia="宋体" w:cs="宋体"/>
          <w:color w:val="auto"/>
          <w:szCs w:val="21"/>
          <w:highlight w:val="none"/>
        </w:rPr>
        <w:t>项</w:t>
      </w:r>
      <w:r>
        <w:rPr>
          <w:rFonts w:hint="eastAsia" w:ascii="宋体" w:hAnsi="宋体" w:eastAsia="宋体" w:cs="宋体"/>
          <w:color w:val="auto"/>
          <w:kern w:val="0"/>
          <w:szCs w:val="21"/>
          <w:highlight w:val="none"/>
        </w:rPr>
        <w:t>〔总价合同的计量〕</w:t>
      </w:r>
      <w:r>
        <w:rPr>
          <w:rFonts w:hint="eastAsia" w:ascii="宋体" w:hAnsi="宋体" w:eastAsia="宋体" w:cs="宋体"/>
          <w:color w:val="auto"/>
          <w:szCs w:val="21"/>
          <w:highlight w:val="none"/>
        </w:rPr>
        <w:t>约定进行计量：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12.4 工程进度款支付</w:t>
      </w:r>
    </w:p>
    <w:p>
      <w:pPr>
        <w:spacing w:line="360" w:lineRule="exact"/>
        <w:ind w:firstLine="420" w:firstLineChars="200"/>
        <w:rPr>
          <w:rFonts w:hint="eastAsia" w:ascii="宋体" w:hAnsi="宋体" w:eastAsia="宋体" w:cs="宋体"/>
          <w:color w:val="auto"/>
          <w:szCs w:val="21"/>
          <w:highlight w:val="none"/>
        </w:rPr>
      </w:pPr>
      <w:bookmarkStart w:id="532" w:name="_Toc296891251"/>
      <w:bookmarkStart w:id="533" w:name="_Toc297048397"/>
      <w:bookmarkStart w:id="534" w:name="_Toc297120511"/>
      <w:bookmarkStart w:id="535" w:name="_Toc296347210"/>
      <w:bookmarkStart w:id="536" w:name="_Toc297123556"/>
      <w:bookmarkStart w:id="537" w:name="_Toc297216215"/>
      <w:bookmarkStart w:id="538" w:name="_Toc296944550"/>
      <w:bookmarkStart w:id="539" w:name="_Toc296503211"/>
      <w:bookmarkStart w:id="540" w:name="_Toc296891039"/>
      <w:bookmarkStart w:id="541" w:name="_Toc296346712"/>
      <w:bookmarkStart w:id="542" w:name="_Toc292559921"/>
      <w:bookmarkStart w:id="543" w:name="_Toc303539163"/>
      <w:bookmarkStart w:id="544" w:name="_Toc300935006"/>
      <w:bookmarkStart w:id="545" w:name="_Toc292559416"/>
      <w:r>
        <w:rPr>
          <w:rFonts w:hint="eastAsia" w:ascii="宋体" w:hAnsi="宋体" w:eastAsia="宋体" w:cs="宋体"/>
          <w:color w:val="auto"/>
          <w:szCs w:val="21"/>
          <w:highlight w:val="none"/>
        </w:rPr>
        <w:t>12.4.1 付款周期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按工程进度计量</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beforeLines="0" w:afterLines="0" w:line="360" w:lineRule="exact"/>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 w:val="21"/>
          <w:highlight w:val="none"/>
          <w:u w:val="single"/>
        </w:rPr>
        <w:t>发包人向承包人支付当期按12.1、12.3款计量工程量价款的80%工程价款（含预付款）。人工、材料价格调整引起合同价款调整，在完成专用条款第11.1条约定的调整节点后，计入该节点所在当期工程价款；工程变更按规定办理完毕的，计入当期工程价款。</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 w:val="21"/>
          <w:highlight w:val="none"/>
          <w:u w:val="single"/>
        </w:rPr>
        <w:t>合同范围内施工内容施工完成，参建各方</w:t>
      </w:r>
      <w:r>
        <w:rPr>
          <w:rFonts w:hint="eastAsia" w:ascii="宋体" w:hAnsi="宋体" w:eastAsia="宋体" w:cs="宋体"/>
          <w:color w:val="auto"/>
          <w:szCs w:val="21"/>
          <w:highlight w:val="none"/>
          <w:u w:val="single"/>
        </w:rPr>
        <w:t>（建设、监理、施工、设计单位等）</w:t>
      </w:r>
      <w:r>
        <w:rPr>
          <w:rFonts w:hint="eastAsia" w:ascii="宋体" w:hAnsi="宋体" w:eastAsia="宋体" w:cs="宋体"/>
          <w:color w:val="auto"/>
          <w:sz w:val="21"/>
          <w:highlight w:val="none"/>
          <w:u w:val="single"/>
        </w:rPr>
        <w:t>对工程验收并签署工程质量合格文件后，支付至合同价格的8</w:t>
      </w:r>
      <w:r>
        <w:rPr>
          <w:rFonts w:hint="eastAsia" w:ascii="宋体" w:hAnsi="宋体" w:eastAsia="宋体" w:cs="宋体"/>
          <w:color w:val="auto"/>
          <w:sz w:val="21"/>
          <w:highlight w:val="none"/>
          <w:u w:val="single"/>
          <w:lang w:val="en-US" w:eastAsia="zh-CN"/>
        </w:rPr>
        <w:t>0</w:t>
      </w:r>
      <w:r>
        <w:rPr>
          <w:rFonts w:hint="eastAsia" w:ascii="宋体" w:hAnsi="宋体" w:eastAsia="宋体" w:cs="宋体"/>
          <w:color w:val="auto"/>
          <w:sz w:val="21"/>
          <w:highlight w:val="none"/>
          <w:u w:val="single"/>
        </w:rPr>
        <w:t>%（含预付款），</w:t>
      </w:r>
      <w:r>
        <w:rPr>
          <w:rFonts w:hint="eastAsia" w:ascii="宋体" w:hAnsi="宋体" w:eastAsia="宋体" w:cs="宋体"/>
          <w:color w:val="auto"/>
          <w:szCs w:val="21"/>
          <w:highlight w:val="none"/>
          <w:u w:val="single"/>
        </w:rPr>
        <w:t>工程结算审定并出具结算报告后，付至结算价的（98.5%），承包人提供质量保证金后,发包人付至工程结算价款的（100%）</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hint="eastAsia" w:ascii="宋体" w:hAnsi="宋体" w:eastAsia="宋体" w:cs="宋体"/>
          <w:color w:val="auto"/>
          <w:szCs w:val="21"/>
          <w:highlight w:val="none"/>
        </w:rPr>
        <w:t>2.4.3 进度付款申请单的提交</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按合同通用条款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pPr>
        <w:numPr>
          <w:ilvl w:val="0"/>
          <w:numId w:val="11"/>
        </w:num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发包人支付进度款的期限：</w:t>
      </w:r>
      <w:r>
        <w:rPr>
          <w:rFonts w:hint="eastAsia" w:ascii="宋体" w:hAnsi="宋体" w:eastAsia="宋体" w:cs="宋体"/>
          <w:color w:val="auto"/>
          <w:szCs w:val="21"/>
          <w:highlight w:val="none"/>
          <w:u w:val="single"/>
        </w:rPr>
        <w:t>在发包人确认计量结果后14天内完成支付。</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发包人将当期应付工程进度款的[25]%单独拨付到承包人开设的农民工工资（劳务费）专用账户，承包人应确保专款专用。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支付应付工程进度（备料）款的利息，利率按中国人民银行发布的同期同类贷款基准利率，时间为从约定应付之日起至支付之日止计算利息</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12.4.6 支付分解表的编制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2、总价合同支付分解表的编制与审批： </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375"/>
    <w:p>
      <w:pPr>
        <w:pStyle w:val="6"/>
        <w:spacing w:before="0" w:after="0" w:line="360" w:lineRule="exact"/>
        <w:rPr>
          <w:rFonts w:hint="eastAsia" w:ascii="宋体" w:hAnsi="宋体" w:eastAsia="宋体" w:cs="宋体"/>
          <w:b w:val="0"/>
          <w:color w:val="auto"/>
          <w:sz w:val="21"/>
          <w:szCs w:val="21"/>
          <w:highlight w:val="none"/>
        </w:rPr>
      </w:pPr>
      <w:bookmarkStart w:id="546" w:name="_Toc351203645"/>
      <w:bookmarkStart w:id="547" w:name="_Toc297216223"/>
      <w:bookmarkStart w:id="548" w:name="_Toc296347218"/>
      <w:bookmarkStart w:id="549" w:name="_Toc292559424"/>
      <w:bookmarkStart w:id="550" w:name="_Toc300935015"/>
      <w:bookmarkStart w:id="551" w:name="_Toc303539172"/>
      <w:bookmarkStart w:id="552" w:name="_Toc297123564"/>
      <w:bookmarkStart w:id="553" w:name="_Toc297048405"/>
      <w:bookmarkStart w:id="554" w:name="_Toc296891047"/>
      <w:bookmarkStart w:id="555" w:name="_Toc296503219"/>
      <w:bookmarkStart w:id="556" w:name="_Toc297120519"/>
      <w:bookmarkStart w:id="557" w:name="_Toc312678053"/>
      <w:bookmarkStart w:id="558" w:name="_Toc296891259"/>
      <w:bookmarkStart w:id="559" w:name="_Toc292559929"/>
      <w:bookmarkStart w:id="560" w:name="_Toc296944558"/>
      <w:bookmarkStart w:id="561" w:name="_Toc296346720"/>
      <w:bookmarkStart w:id="562" w:name="_Toc304295593"/>
      <w:r>
        <w:rPr>
          <w:rFonts w:hint="eastAsia" w:ascii="宋体" w:hAnsi="宋体" w:eastAsia="宋体" w:cs="宋体"/>
          <w:b w:val="0"/>
          <w:color w:val="auto"/>
          <w:sz w:val="21"/>
          <w:szCs w:val="21"/>
          <w:highlight w:val="none"/>
        </w:rPr>
        <w:t>13. 验收和工程试车</w:t>
      </w:r>
      <w:bookmarkEnd w:id="546"/>
    </w:p>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分部分项工程验收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小时提交书面延期要求。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w:t>
      </w:r>
    </w:p>
    <w:p>
      <w:pPr>
        <w:spacing w:line="360" w:lineRule="exact"/>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u w:val="single"/>
        </w:rPr>
        <w:t>工程验收过程、验收部位除办理纸质验收记录，还应留置验收部位、验收过程、主要验收人员相片、影像等资料。</w:t>
      </w:r>
    </w:p>
    <w:p>
      <w:pPr>
        <w:spacing w:line="360" w:lineRule="exact"/>
        <w:ind w:firstLine="420" w:firstLineChars="200"/>
        <w:rPr>
          <w:rFonts w:hint="eastAsia" w:ascii="宋体" w:hAnsi="宋体" w:eastAsia="宋体" w:cs="宋体"/>
          <w:color w:val="auto"/>
          <w:szCs w:val="21"/>
          <w:highlight w:val="none"/>
        </w:rPr>
      </w:pPr>
      <w:bookmarkStart w:id="563" w:name="_Toc296891051"/>
      <w:bookmarkStart w:id="564" w:name="_Toc296503223"/>
      <w:bookmarkStart w:id="565" w:name="_Toc296944562"/>
      <w:bookmarkStart w:id="566" w:name="_Toc304295596"/>
      <w:bookmarkStart w:id="567" w:name="_Toc297216224"/>
      <w:bookmarkStart w:id="568" w:name="_Toc297120523"/>
      <w:bookmarkStart w:id="569" w:name="_Toc292559933"/>
      <w:bookmarkStart w:id="570" w:name="_Toc292559428"/>
      <w:bookmarkStart w:id="571" w:name="_Toc303539173"/>
      <w:bookmarkStart w:id="572" w:name="_Toc296346724"/>
      <w:bookmarkStart w:id="573" w:name="_Toc297048409"/>
      <w:bookmarkStart w:id="574" w:name="_Toc312678056"/>
      <w:bookmarkStart w:id="575" w:name="_Toc300935016"/>
      <w:bookmarkStart w:id="576" w:name="_Toc296891263"/>
      <w:bookmarkStart w:id="577" w:name="_Toc297123565"/>
      <w:bookmarkStart w:id="578" w:name="_Toc296347222"/>
      <w:bookmarkStart w:id="579" w:name="_Toc267251470"/>
      <w:bookmarkStart w:id="580" w:name="_Toc267251476"/>
      <w:bookmarkStart w:id="581" w:name="_Toc267251471"/>
      <w:bookmarkStart w:id="582" w:name="_Toc267251475"/>
      <w:bookmarkStart w:id="583" w:name="_Toc267251474"/>
      <w:bookmarkStart w:id="584" w:name="_Toc267251473"/>
      <w:bookmarkStart w:id="585" w:name="_Toc267251472"/>
      <w:r>
        <w:rPr>
          <w:rFonts w:hint="eastAsia" w:ascii="宋体" w:hAnsi="宋体" w:eastAsia="宋体" w:cs="宋体"/>
          <w:color w:val="auto"/>
          <w:szCs w:val="21"/>
          <w:highlight w:val="none"/>
        </w:rPr>
        <w:t>13.2 竣工验收</w:t>
      </w:r>
    </w:p>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Pr>
        <w:spacing w:line="360" w:lineRule="exact"/>
        <w:ind w:firstLine="420" w:firstLineChars="200"/>
        <w:rPr>
          <w:rFonts w:hint="eastAsia" w:ascii="宋体" w:hAnsi="宋体" w:eastAsia="宋体" w:cs="宋体"/>
          <w:color w:val="auto"/>
          <w:szCs w:val="21"/>
          <w:highlight w:val="none"/>
        </w:rPr>
      </w:pPr>
      <w:bookmarkStart w:id="586" w:name="_Toc280868704"/>
      <w:bookmarkStart w:id="587" w:name="_Toc280868705"/>
      <w:bookmarkStart w:id="588" w:name="_Toc280868706"/>
      <w:bookmarkStart w:id="589" w:name="_Toc280868707"/>
      <w:bookmarkStart w:id="590" w:name="_Toc280868708"/>
      <w:bookmarkStart w:id="591" w:name="_Toc280868709"/>
      <w:r>
        <w:rPr>
          <w:rFonts w:hint="eastAsia" w:ascii="宋体" w:hAnsi="宋体" w:eastAsia="宋体" w:cs="宋体"/>
          <w:color w:val="auto"/>
          <w:szCs w:val="21"/>
          <w:highlight w:val="none"/>
        </w:rPr>
        <w:t>13.2.2竣工验收程序</w:t>
      </w:r>
    </w:p>
    <w:bookmarkEnd w:id="586"/>
    <w:p>
      <w:pPr>
        <w:spacing w:line="360" w:lineRule="exact"/>
        <w:ind w:left="3746" w:leftChars="188" w:hanging="3351" w:hangingChars="1596"/>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关于竣工验收程序的约定：</w:t>
      </w:r>
      <w:r>
        <w:rPr>
          <w:rFonts w:hint="eastAsia" w:ascii="宋体" w:hAnsi="宋体" w:eastAsia="宋体" w:cs="宋体"/>
          <w:color w:val="auto"/>
          <w:szCs w:val="21"/>
          <w:highlight w:val="none"/>
          <w:u w:val="single"/>
        </w:rPr>
        <w:t xml:space="preserve"> 按通用条款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 xml:space="preserve">  不计违约金。</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因发包人原因，未在监理人接收到承包人提交的竣工验收申请报告42天内完成验收，以提交竣工验收申请报告的日期为实际竣工日期</w:t>
      </w:r>
      <w:r>
        <w:rPr>
          <w:rFonts w:hint="eastAsia" w:ascii="宋体" w:hAnsi="宋体" w:eastAsia="宋体" w:cs="宋体"/>
          <w:color w:val="auto"/>
          <w:szCs w:val="21"/>
          <w:highlight w:val="none"/>
        </w:rPr>
        <w:t>。</w:t>
      </w:r>
    </w:p>
    <w:bookmarkEnd w:id="587"/>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588"/>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承包人向发包人移交工程的期限：</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589"/>
    <w:p>
      <w:pPr>
        <w:spacing w:line="360" w:lineRule="exact"/>
        <w:ind w:left="399" w:leftChars="189" w:hanging="2" w:hangingChars="1"/>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工程试车</w:t>
      </w:r>
    </w:p>
    <w:bookmarkEnd w:id="590"/>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13.3.1 试车程序</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工程试车内容：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（1）单机无负荷试车费用由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承担；</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（2）无负荷联动试车费用由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承担。</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关于投料试车相关事项的约定：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竣工退场</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13.6.1 竣工退场</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承包人完成竣工退场的期限：</w:t>
      </w:r>
      <w:r>
        <w:rPr>
          <w:rFonts w:hint="eastAsia" w:ascii="宋体" w:hAnsi="宋体" w:eastAsia="宋体" w:cs="宋体"/>
          <w:color w:val="auto"/>
          <w:szCs w:val="21"/>
          <w:highlight w:val="none"/>
          <w:u w:val="single"/>
        </w:rPr>
        <w:t xml:space="preserve"> 工程竣工验收证后7天内</w:t>
      </w:r>
      <w:r>
        <w:rPr>
          <w:rFonts w:hint="eastAsia" w:ascii="宋体" w:hAnsi="宋体" w:eastAsia="宋体" w:cs="宋体"/>
          <w:color w:val="auto"/>
          <w:kern w:val="0"/>
          <w:szCs w:val="21"/>
          <w:highlight w:val="none"/>
        </w:rPr>
        <w:t>。</w:t>
      </w:r>
    </w:p>
    <w:p>
      <w:pPr>
        <w:pStyle w:val="6"/>
        <w:spacing w:before="0" w:after="0" w:line="360" w:lineRule="exact"/>
        <w:rPr>
          <w:rFonts w:hint="eastAsia" w:ascii="宋体" w:hAnsi="宋体" w:eastAsia="宋体" w:cs="宋体"/>
          <w:b w:val="0"/>
          <w:color w:val="auto"/>
          <w:sz w:val="21"/>
          <w:szCs w:val="21"/>
          <w:highlight w:val="none"/>
        </w:rPr>
      </w:pPr>
      <w:bookmarkStart w:id="592" w:name="_Toc351203646"/>
      <w:r>
        <w:rPr>
          <w:rFonts w:hint="eastAsia" w:ascii="宋体" w:hAnsi="宋体" w:eastAsia="宋体" w:cs="宋体"/>
          <w:b w:val="0"/>
          <w:color w:val="auto"/>
          <w:sz w:val="21"/>
          <w:szCs w:val="21"/>
          <w:highlight w:val="none"/>
        </w:rPr>
        <w:t>14. 竣工结算</w:t>
      </w:r>
      <w:bookmarkEnd w:id="592"/>
    </w:p>
    <w:p>
      <w:pPr>
        <w:spacing w:line="36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承包人</w:t>
      </w:r>
      <w:r>
        <w:rPr>
          <w:rFonts w:hint="eastAsia" w:ascii="宋体" w:hAnsi="宋体" w:eastAsia="宋体" w:cs="宋体"/>
          <w:color w:val="auto"/>
          <w:szCs w:val="21"/>
          <w:highlight w:val="none"/>
          <w:u w:val="single"/>
        </w:rPr>
        <w:t>应在完成合同范围内施工内容，参建各方（建设、监理、施工、勘察、设计单位等）对工程验收并签署工程质量合格文件后60天内向发包人和监理人提交竣工结算申请单，并提交完整的工程结算资料一套。</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承包人</w:t>
      </w:r>
      <w:r>
        <w:rPr>
          <w:rFonts w:hint="eastAsia" w:ascii="宋体" w:hAnsi="宋体" w:eastAsia="宋体" w:cs="宋体"/>
          <w:color w:val="auto"/>
          <w:szCs w:val="21"/>
          <w:highlight w:val="none"/>
          <w:u w:val="single"/>
        </w:rPr>
        <w:t>超过60天未提交竣工结算资料，经发包人催告后28天，</w:t>
      </w:r>
      <w:r>
        <w:rPr>
          <w:rFonts w:hint="eastAsia" w:ascii="宋体" w:hAnsi="宋体" w:eastAsia="宋体" w:cs="宋体"/>
          <w:color w:val="auto"/>
          <w:szCs w:val="21"/>
          <w:highlight w:val="none"/>
          <w:u w:val="single"/>
          <w:lang w:eastAsia="zh-CN"/>
        </w:rPr>
        <w:t>承包人</w:t>
      </w:r>
      <w:r>
        <w:rPr>
          <w:rFonts w:hint="eastAsia" w:ascii="宋体" w:hAnsi="宋体" w:eastAsia="宋体" w:cs="宋体"/>
          <w:color w:val="auto"/>
          <w:szCs w:val="21"/>
          <w:highlight w:val="none"/>
          <w:u w:val="single"/>
        </w:rPr>
        <w:t>还不提交竣工结算资料的，发包人可根据自己资料办理竣工结算，且视为</w:t>
      </w:r>
      <w:r>
        <w:rPr>
          <w:rFonts w:hint="eastAsia" w:ascii="宋体" w:hAnsi="宋体" w:eastAsia="宋体" w:cs="宋体"/>
          <w:color w:val="auto"/>
          <w:szCs w:val="21"/>
          <w:highlight w:val="none"/>
          <w:u w:val="single"/>
          <w:lang w:eastAsia="zh-CN"/>
        </w:rPr>
        <w:t>承包人</w:t>
      </w:r>
      <w:r>
        <w:rPr>
          <w:rFonts w:hint="eastAsia" w:ascii="宋体" w:hAnsi="宋体" w:eastAsia="宋体" w:cs="宋体"/>
          <w:color w:val="auto"/>
          <w:szCs w:val="21"/>
          <w:highlight w:val="none"/>
          <w:u w:val="single"/>
        </w:rPr>
        <w:t>认可竣工结算结果。</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竣工结算审核</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（1）发包人结算审核时间：</w:t>
      </w:r>
      <w:r>
        <w:rPr>
          <w:rFonts w:hint="eastAsia" w:ascii="宋体" w:hAnsi="宋体" w:eastAsia="宋体" w:cs="宋体"/>
          <w:color w:val="auto"/>
          <w:szCs w:val="21"/>
          <w:highlight w:val="none"/>
          <w:u w:val="single"/>
        </w:rPr>
        <w:t>发包人收到承包人递交的竣工结算报告及结算资料后，在6 个月内审核完毕，并签发竣工结算证书。</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由发包人原因逾期审核责任：向承包人支付违约金，违约金为工程结算后应付工程款的利息，利率按中国人民银行发布的同期同类贷款基准利率，利息计算时间为应付工程款日至支付工程款日止。</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（3）承包人对发包人签认的结算价有异议的，发包人可先支付承包人无异议部分结算款。异议部分重新进行复核或按照第20条处理。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最终结清</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承包人提交最终结清申请单的份数：</w:t>
      </w:r>
      <w:r>
        <w:rPr>
          <w:rFonts w:hint="eastAsia" w:ascii="宋体" w:hAnsi="宋体" w:eastAsia="宋体" w:cs="宋体"/>
          <w:color w:val="auto"/>
          <w:szCs w:val="21"/>
          <w:highlight w:val="none"/>
          <w:u w:val="single"/>
        </w:rPr>
        <w:t xml:space="preserve"> 按通用条款执行</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承包人提交最终结算申请单的期限：</w:t>
      </w:r>
      <w:r>
        <w:rPr>
          <w:rFonts w:hint="eastAsia" w:ascii="宋体" w:hAnsi="宋体" w:eastAsia="宋体" w:cs="宋体"/>
          <w:color w:val="auto"/>
          <w:szCs w:val="21"/>
          <w:highlight w:val="none"/>
          <w:u w:val="single"/>
        </w:rPr>
        <w:t xml:space="preserve"> 按通用条款执行</w:t>
      </w:r>
      <w:r>
        <w:rPr>
          <w:rFonts w:hint="eastAsia" w:ascii="宋体" w:hAnsi="宋体" w:eastAsia="宋体" w:cs="宋体"/>
          <w:color w:val="auto"/>
          <w:szCs w:val="21"/>
          <w:highlight w:val="non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 xml:space="preserve">  按通用条款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按通用条款</w:t>
      </w:r>
      <w:r>
        <w:rPr>
          <w:rFonts w:hint="eastAsia" w:ascii="宋体" w:hAnsi="宋体" w:eastAsia="宋体" w:cs="宋体"/>
          <w:color w:val="auto"/>
          <w:szCs w:val="21"/>
          <w:highlight w:val="none"/>
        </w:rPr>
        <w:t>。</w:t>
      </w:r>
    </w:p>
    <w:bookmarkEnd w:id="579"/>
    <w:bookmarkEnd w:id="580"/>
    <w:bookmarkEnd w:id="581"/>
    <w:bookmarkEnd w:id="582"/>
    <w:bookmarkEnd w:id="583"/>
    <w:bookmarkEnd w:id="584"/>
    <w:bookmarkEnd w:id="585"/>
    <w:bookmarkEnd w:id="591"/>
    <w:p>
      <w:pPr>
        <w:pStyle w:val="6"/>
        <w:spacing w:before="0" w:after="0" w:line="360" w:lineRule="exact"/>
        <w:rPr>
          <w:rFonts w:hint="eastAsia" w:ascii="宋体" w:hAnsi="宋体" w:eastAsia="宋体" w:cs="宋体"/>
          <w:b w:val="0"/>
          <w:color w:val="auto"/>
          <w:sz w:val="21"/>
          <w:szCs w:val="21"/>
          <w:highlight w:val="none"/>
        </w:rPr>
      </w:pPr>
      <w:bookmarkStart w:id="593" w:name="_Toc351203647"/>
      <w:bookmarkStart w:id="594" w:name="_Toc267251483"/>
      <w:bookmarkStart w:id="595" w:name="_Toc267251482"/>
      <w:bookmarkStart w:id="596" w:name="_Toc267251484"/>
      <w:bookmarkStart w:id="597" w:name="_Toc267251485"/>
      <w:bookmarkStart w:id="598" w:name="_Toc267251490"/>
      <w:bookmarkStart w:id="599" w:name="_Toc267251488"/>
      <w:bookmarkStart w:id="600" w:name="_Toc267251489"/>
      <w:bookmarkStart w:id="601" w:name="_Toc267251486"/>
      <w:bookmarkStart w:id="602" w:name="_Toc267251495"/>
      <w:bookmarkStart w:id="603" w:name="_Toc267251496"/>
      <w:bookmarkStart w:id="604" w:name="_Toc267251493"/>
      <w:bookmarkStart w:id="605" w:name="_Toc267251491"/>
      <w:bookmarkStart w:id="606" w:name="_Toc267251499"/>
      <w:bookmarkStart w:id="607" w:name="_Toc267251497"/>
      <w:bookmarkStart w:id="608" w:name="_Toc267251492"/>
      <w:bookmarkStart w:id="609" w:name="_Toc267251502"/>
      <w:bookmarkStart w:id="610" w:name="_Toc267251498"/>
      <w:bookmarkStart w:id="611" w:name="_Toc267251494"/>
      <w:bookmarkStart w:id="612" w:name="_Toc267251503"/>
      <w:bookmarkStart w:id="613" w:name="_Toc267251501"/>
      <w:bookmarkStart w:id="614" w:name="_Toc267251506"/>
      <w:bookmarkStart w:id="615" w:name="_Toc267251504"/>
      <w:bookmarkStart w:id="616" w:name="_Toc267251507"/>
      <w:bookmarkStart w:id="617" w:name="_Toc267251508"/>
      <w:bookmarkStart w:id="618" w:name="_Toc267251515"/>
      <w:bookmarkStart w:id="619" w:name="_Toc267251510"/>
      <w:bookmarkStart w:id="620" w:name="_Toc267251514"/>
      <w:bookmarkStart w:id="621" w:name="_Toc267251509"/>
      <w:bookmarkStart w:id="622" w:name="_Toc267251513"/>
      <w:bookmarkStart w:id="623" w:name="_Toc267251511"/>
      <w:r>
        <w:rPr>
          <w:rFonts w:hint="eastAsia" w:ascii="宋体" w:hAnsi="宋体" w:eastAsia="宋体" w:cs="宋体"/>
          <w:b w:val="0"/>
          <w:color w:val="auto"/>
          <w:sz w:val="21"/>
          <w:szCs w:val="21"/>
          <w:highlight w:val="none"/>
        </w:rPr>
        <w:t>15. 缺陷责任期与保修</w:t>
      </w:r>
      <w:bookmarkEnd w:id="593"/>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15.2缺陷责任期</w:t>
      </w:r>
      <w:bookmarkEnd w:id="594"/>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 xml:space="preserve"> 缺陷责任期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个月，其余按通用条款执行</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质量保证金</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 xml:space="preserve"> 扣留质量保证金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 承包人提供质量保证金的方式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（1）质量保证金保函，保证金额为</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xml:space="preserve">.5 %的工程结算价款； </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rPr>
        <w:t>.5 %</w:t>
      </w:r>
      <w:r>
        <w:rPr>
          <w:rFonts w:hint="eastAsia" w:ascii="宋体" w:hAnsi="宋体" w:eastAsia="宋体" w:cs="宋体"/>
          <w:color w:val="auto"/>
          <w:kern w:val="0"/>
          <w:szCs w:val="21"/>
          <w:highlight w:val="none"/>
        </w:rPr>
        <w:t>的工程结算价款；</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（3）其他方式:</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15.3.2 质量保证金的扣留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（2）工程竣工结算时一次性扣留质量保证金；</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（3）其他扣留方式:</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关于质量保证金的补充约定：</w:t>
      </w:r>
      <w:r>
        <w:rPr>
          <w:rFonts w:hint="eastAsia" w:ascii="宋体" w:hAnsi="宋体" w:eastAsia="宋体" w:cs="宋体"/>
          <w:color w:val="auto"/>
          <w:kern w:val="0"/>
          <w:szCs w:val="21"/>
          <w:highlight w:val="none"/>
          <w:u w:val="single"/>
        </w:rPr>
        <w:t xml:space="preserve">        /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 质量保证金的退还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质量保证金按以下第</w:t>
      </w:r>
      <w:r>
        <w:rPr>
          <w:rFonts w:hint="eastAsia" w:ascii="宋体" w:hAnsi="宋体" w:eastAsia="宋体" w:cs="宋体"/>
          <w:color w:val="auto"/>
          <w:szCs w:val="21"/>
          <w:highlight w:val="none"/>
          <w:u w:val="single"/>
          <w:lang w:val="en-US" w:eastAsia="zh-CN"/>
        </w:rPr>
        <w:t xml:space="preserve"> 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方式退回：</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（1）缺陷责任期终止后，发包人退还剩余的质量保证金（是否计息）。</w:t>
      </w:r>
    </w:p>
    <w:p>
      <w:pPr>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（2）建筑工程：工程实际竣工验收合格后满一年返还质量保证金的30%，质量缺陷保修期后返还全部预留的质量保证金。</w:t>
      </w:r>
    </w:p>
    <w:p>
      <w:pPr>
        <w:adjustRightIn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（3）市政工程：工程实际竣工验收合格后满一年可返还全部质量保证金（不计息）。</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（4）其它：</w:t>
      </w:r>
      <w:r>
        <w:rPr>
          <w:rFonts w:hint="eastAsia" w:ascii="宋体" w:hAnsi="宋体" w:eastAsia="宋体" w:cs="宋体"/>
          <w:bCs/>
          <w:color w:val="auto"/>
          <w:szCs w:val="21"/>
          <w:highlight w:val="none"/>
          <w:u w:val="single"/>
        </w:rPr>
        <w:t>工程实际竣工验收合格后满二年无明显质量问题可返还全部质量保证金</w:t>
      </w:r>
      <w:r>
        <w:rPr>
          <w:rFonts w:hint="eastAsia" w:ascii="宋体" w:hAnsi="宋体" w:eastAsia="宋体" w:cs="宋体"/>
          <w:color w:val="auto"/>
          <w:szCs w:val="21"/>
          <w:highlight w:val="none"/>
        </w:rPr>
        <w:t>（不计息）</w:t>
      </w:r>
      <w:r>
        <w:rPr>
          <w:rFonts w:hint="eastAsia" w:ascii="宋体" w:hAnsi="宋体" w:eastAsia="宋体" w:cs="宋体"/>
          <w:bCs/>
          <w:color w:val="auto"/>
          <w:szCs w:val="21"/>
          <w:highlight w:val="none"/>
          <w:u w:val="single"/>
        </w:rPr>
        <w:t xml:space="preserve">。   </w:t>
      </w:r>
    </w:p>
    <w:bookmarkEnd w:id="595"/>
    <w:bookmarkEnd w:id="596"/>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15.4保修</w:t>
      </w:r>
    </w:p>
    <w:bookmarkEnd w:id="597"/>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kern w:val="0"/>
          <w:szCs w:val="21"/>
          <w:highlight w:val="none"/>
          <w:u w:val="single"/>
        </w:rPr>
        <w:t xml:space="preserve"> 按本合同附件3《工程质量保修书》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承包人收到保修通知并到达工程现场的合理时间：</w:t>
      </w:r>
      <w:r>
        <w:rPr>
          <w:rFonts w:hint="eastAsia" w:ascii="宋体" w:hAnsi="宋体" w:eastAsia="宋体" w:cs="宋体"/>
          <w:color w:val="auto"/>
          <w:kern w:val="0"/>
          <w:szCs w:val="21"/>
          <w:highlight w:val="none"/>
          <w:u w:val="single"/>
        </w:rPr>
        <w:t xml:space="preserve">   24小时内     </w:t>
      </w:r>
      <w:r>
        <w:rPr>
          <w:rFonts w:hint="eastAsia" w:ascii="宋体" w:hAnsi="宋体" w:eastAsia="宋体" w:cs="宋体"/>
          <w:color w:val="auto"/>
          <w:kern w:val="0"/>
          <w:szCs w:val="21"/>
          <w:highlight w:val="none"/>
        </w:rPr>
        <w:t>。</w:t>
      </w:r>
    </w:p>
    <w:bookmarkEnd w:id="598"/>
    <w:bookmarkEnd w:id="599"/>
    <w:bookmarkEnd w:id="600"/>
    <w:bookmarkEnd w:id="601"/>
    <w:p>
      <w:pPr>
        <w:pStyle w:val="6"/>
        <w:spacing w:before="0" w:after="0" w:line="360" w:lineRule="exact"/>
        <w:rPr>
          <w:rFonts w:hint="eastAsia" w:ascii="宋体" w:hAnsi="宋体" w:eastAsia="宋体" w:cs="宋体"/>
          <w:b w:val="0"/>
          <w:color w:val="auto"/>
          <w:sz w:val="21"/>
          <w:szCs w:val="21"/>
          <w:highlight w:val="none"/>
        </w:rPr>
      </w:pPr>
      <w:bookmarkStart w:id="624" w:name="_Toc351203648"/>
      <w:bookmarkStart w:id="625" w:name="_Toc280868717"/>
      <w:bookmarkStart w:id="626" w:name="_Toc280868718"/>
      <w:r>
        <w:rPr>
          <w:rFonts w:hint="eastAsia" w:ascii="宋体" w:hAnsi="宋体" w:eastAsia="宋体" w:cs="宋体"/>
          <w:b w:val="0"/>
          <w:color w:val="auto"/>
          <w:sz w:val="21"/>
          <w:szCs w:val="21"/>
          <w:highlight w:val="none"/>
        </w:rPr>
        <w:t>16. 违约</w:t>
      </w:r>
      <w:bookmarkEnd w:id="624"/>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发包人违约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pPr>
        <w:spacing w:line="360" w:lineRule="exact"/>
        <w:ind w:left="815" w:leftChars="188" w:hanging="420" w:hanging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发包人违约的其他情形：</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exact"/>
        <w:ind w:left="1016" w:leftChars="188" w:hanging="621" w:hangingChars="29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16.1.2 发包人违约的责任</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发包人违约责任的承担方式和计算方法：</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（1）因发包人原因未能在计划开工日期前7天内下达开工通知的违约责任：</w:t>
      </w:r>
      <w:r>
        <w:rPr>
          <w:rFonts w:hint="eastAsia" w:ascii="宋体" w:hAnsi="宋体" w:eastAsia="宋体" w:cs="宋体"/>
          <w:color w:val="auto"/>
          <w:kern w:val="0"/>
          <w:szCs w:val="21"/>
          <w:highlight w:val="none"/>
          <w:u w:val="single"/>
        </w:rPr>
        <w:t xml:space="preserve"> 开始计算第7天后承包人已进场施工设备租赁费及施工人员窝工费。</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u w:val="single"/>
        </w:rPr>
        <w:t>支付违约金，违约金为应付工程款的利息，利率按中国人民银行发布的同期同类贷款基准利率，利息计算时间为应付工程款日至支付工程款日止。</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（3）发包人违反第10.1款〔变更的范围〕第（2）项约定，自行实施被取消的工作或转由他人实施的违约责任：</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（5）因发包人违反合同约定造成暂停施工的违约责任：</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（6）发包人无正当理由没有在约定期限内发出复工指示，导致承包人无法复工的违约责任：</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承包人按16.1.1项〔发包人违约的情形〕约定暂停施工满</w:t>
      </w:r>
      <w:r>
        <w:rPr>
          <w:rFonts w:hint="eastAsia" w:ascii="宋体" w:hAnsi="宋体" w:eastAsia="宋体" w:cs="宋体"/>
          <w:color w:val="auto"/>
          <w:kern w:val="0"/>
          <w:szCs w:val="21"/>
          <w:highlight w:val="none"/>
          <w:u w:val="single"/>
        </w:rPr>
        <w:t xml:space="preserve">  60  </w:t>
      </w:r>
      <w:r>
        <w:rPr>
          <w:rFonts w:hint="eastAsia" w:ascii="宋体" w:hAnsi="宋体" w:eastAsia="宋体" w:cs="宋体"/>
          <w:color w:val="auto"/>
          <w:kern w:val="0"/>
          <w:szCs w:val="21"/>
          <w:highlight w:val="none"/>
        </w:rPr>
        <w:t>天后发包人仍不纠正其违约行为并致使合同目的不能实现的，承包人有权解除合同。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承包人违约</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承包人违约的其他情形：</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w:t>
      </w:r>
      <w:r>
        <w:rPr>
          <w:rFonts w:hint="eastAsia" w:ascii="宋体" w:hAnsi="宋体" w:eastAsia="宋体" w:cs="宋体"/>
          <w:color w:val="auto"/>
          <w:szCs w:val="21"/>
          <w:highlight w:val="none"/>
          <w:u w:val="single"/>
        </w:rPr>
        <w:t>机械设备、施工项目班子未按投标承诺及时到位；</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）承包人允许其他人挂靠经营、私自转包</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u w:val="single"/>
        </w:rPr>
        <w:t>）承包人未达到投标时所承诺的诚信与技术标准。</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16.2.2承包人违约的责任</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承包人违约责任的承担方式和计算方法：</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机械设备未按投标承诺到位，每项扣除履约担保金2%；</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u w:val="single"/>
        </w:rPr>
        <w:t>现场安全文明施工不符合投标书承诺，扣减相应安全文明施工费用；</w:t>
      </w:r>
      <w:r>
        <w:rPr>
          <w:rFonts w:hint="eastAsia" w:ascii="宋体" w:hAnsi="宋体" w:eastAsia="宋体" w:cs="宋体"/>
          <w:color w:val="auto"/>
          <w:kern w:val="0"/>
          <w:szCs w:val="21"/>
          <w:highlight w:val="none"/>
          <w:u w:val="single"/>
        </w:rPr>
        <w:t>承包人原因造成现场管理混乱、</w:t>
      </w:r>
      <w:r>
        <w:rPr>
          <w:rFonts w:hint="eastAsia" w:ascii="宋体" w:hAnsi="宋体" w:eastAsia="宋体" w:cs="宋体"/>
          <w:color w:val="auto"/>
          <w:szCs w:val="21"/>
          <w:highlight w:val="none"/>
          <w:u w:val="single"/>
        </w:rPr>
        <w:t>工程质量和进度达不到投标承诺的要求，发包人有权要求承包人调整充实施工力量、更换项目班子，及至解除施工合同，所有履约担保金归发包人，并赔偿发包人损失。</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u w:val="single"/>
        </w:rPr>
        <w:t>发现承包人允许其他人挂靠经营、私自转包，所有履约担保归发包人，同时赔偿发包人损失，并责令退出工地。</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u w:val="single"/>
        </w:rPr>
        <w:t>未达到投标所承诺的诚信与技术标准，按每一项扣减履约担保金的10%。</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工程延误超过了合同工期，延误责任由承包人承担。工期不予顺延，由工期延误引起人工、材料价格上涨由承包人承担，按原合同约定价格结算；价格下降归发包人受益，按下降后价格结算。当延误的施工工期超过合同工期〔50%〕以上时，可解除施工合同。</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承包人无法继续履行、明确表示不履行或实质上已停止履行合同，发包人可通知承包人全部解除合同，所有履约担保归发包人，同时赔偿发包人损失。</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pPr>
        <w:autoSpaceDE w:val="0"/>
        <w:autoSpaceDN w:val="0"/>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关于承包人违约解除合同的特别约定：</w:t>
      </w:r>
      <w:r>
        <w:rPr>
          <w:rFonts w:hint="eastAsia" w:ascii="宋体" w:hAnsi="宋体" w:eastAsia="宋体" w:cs="宋体"/>
          <w:color w:val="auto"/>
          <w:kern w:val="0"/>
          <w:szCs w:val="21"/>
          <w:highlight w:val="none"/>
          <w:u w:val="single"/>
        </w:rPr>
        <w:t xml:space="preserve">                  。</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16.2.4 因承包人违约解除合同后的处理</w:t>
      </w:r>
    </w:p>
    <w:p>
      <w:pPr>
        <w:pStyle w:val="6"/>
        <w:spacing w:before="0" w:after="0" w:line="360" w:lineRule="exact"/>
        <w:rPr>
          <w:rFonts w:hint="eastAsia" w:ascii="宋体" w:hAnsi="宋体" w:eastAsia="宋体" w:cs="宋体"/>
          <w:b w:val="0"/>
          <w:color w:val="auto"/>
          <w:sz w:val="21"/>
          <w:szCs w:val="21"/>
          <w:highlight w:val="none"/>
        </w:rPr>
      </w:pPr>
      <w:bookmarkStart w:id="627" w:name="_Toc351203649"/>
      <w:r>
        <w:rPr>
          <w:rFonts w:hint="eastAsia" w:ascii="宋体" w:hAnsi="宋体" w:eastAsia="宋体" w:cs="宋体"/>
          <w:b w:val="0"/>
          <w:color w:val="auto"/>
          <w:sz w:val="21"/>
          <w:szCs w:val="21"/>
          <w:highlight w:val="none"/>
        </w:rPr>
        <w:t>17. 不可抗力</w:t>
      </w:r>
      <w:bookmarkEnd w:id="627"/>
      <w:r>
        <w:rPr>
          <w:rFonts w:hint="eastAsia" w:ascii="宋体" w:hAnsi="宋体" w:eastAsia="宋体" w:cs="宋体"/>
          <w:b w:val="0"/>
          <w:color w:val="auto"/>
          <w:sz w:val="21"/>
          <w:szCs w:val="21"/>
          <w:highlight w:val="none"/>
        </w:rPr>
        <w:t xml:space="preserve"> </w:t>
      </w:r>
      <w:bookmarkEnd w:id="625"/>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不可抗力的确认</w:t>
      </w:r>
    </w:p>
    <w:p>
      <w:pPr>
        <w:spacing w:line="36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除通用合同条款约定的不可抗力事件之外，视为不可抗力的其他情形：</w:t>
      </w:r>
      <w:r>
        <w:rPr>
          <w:rFonts w:hint="eastAsia" w:ascii="宋体" w:hAnsi="宋体" w:eastAsia="宋体" w:cs="宋体"/>
          <w:color w:val="auto"/>
          <w:kern w:val="0"/>
          <w:szCs w:val="21"/>
          <w:highlight w:val="none"/>
          <w:u w:val="single"/>
        </w:rPr>
        <w:t xml:space="preserve"> 10年一遇洪水、暴风雪、干旱， 罢工、政府禁令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因不可抗力解除合同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 xml:space="preserve"> 14 </w:t>
      </w:r>
      <w:r>
        <w:rPr>
          <w:rFonts w:hint="eastAsia" w:ascii="宋体" w:hAnsi="宋体" w:eastAsia="宋体" w:cs="宋体"/>
          <w:color w:val="auto"/>
          <w:szCs w:val="21"/>
          <w:highlight w:val="none"/>
        </w:rPr>
        <w:t>天内完成款项的支付。</w:t>
      </w:r>
    </w:p>
    <w:p>
      <w:pPr>
        <w:pStyle w:val="6"/>
        <w:spacing w:before="0" w:after="0" w:line="360" w:lineRule="exact"/>
        <w:rPr>
          <w:rFonts w:hint="eastAsia" w:ascii="宋体" w:hAnsi="宋体" w:eastAsia="宋体" w:cs="宋体"/>
          <w:b w:val="0"/>
          <w:color w:val="auto"/>
          <w:sz w:val="21"/>
          <w:szCs w:val="21"/>
          <w:highlight w:val="none"/>
        </w:rPr>
      </w:pPr>
      <w:bookmarkStart w:id="628" w:name="_Toc351203650"/>
      <w:r>
        <w:rPr>
          <w:rFonts w:hint="eastAsia" w:ascii="宋体" w:hAnsi="宋体" w:eastAsia="宋体" w:cs="宋体"/>
          <w:b w:val="0"/>
          <w:color w:val="auto"/>
          <w:sz w:val="21"/>
          <w:szCs w:val="21"/>
          <w:highlight w:val="none"/>
        </w:rPr>
        <w:t>18. 保险</w:t>
      </w:r>
      <w:bookmarkEnd w:id="628"/>
    </w:p>
    <w:bookmarkEnd w:id="626"/>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工程保险</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kern w:val="0"/>
          <w:szCs w:val="21"/>
          <w:highlight w:val="none"/>
          <w:u w:val="single"/>
        </w:rPr>
        <w:t xml:space="preserve">     按规定办理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其他保险</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kern w:val="0"/>
          <w:szCs w:val="21"/>
          <w:highlight w:val="none"/>
          <w:u w:val="single"/>
        </w:rPr>
        <w:t xml:space="preserve">        按规定办理               </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 xml:space="preserve">  承包人自行决定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 通知义务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关于变更保险合同时的通知义务的约定：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bookmarkEnd w:id="602"/>
    <w:bookmarkEnd w:id="603"/>
    <w:bookmarkEnd w:id="604"/>
    <w:bookmarkEnd w:id="605"/>
    <w:bookmarkEnd w:id="606"/>
    <w:bookmarkEnd w:id="607"/>
    <w:bookmarkEnd w:id="608"/>
    <w:bookmarkEnd w:id="609"/>
    <w:bookmarkEnd w:id="610"/>
    <w:bookmarkEnd w:id="611"/>
    <w:bookmarkEnd w:id="612"/>
    <w:bookmarkEnd w:id="613"/>
    <w:p>
      <w:pPr>
        <w:pStyle w:val="6"/>
        <w:spacing w:before="0" w:after="0" w:line="360" w:lineRule="exact"/>
        <w:rPr>
          <w:rFonts w:hint="eastAsia" w:ascii="宋体" w:hAnsi="宋体" w:eastAsia="宋体" w:cs="宋体"/>
          <w:b w:val="0"/>
          <w:color w:val="auto"/>
          <w:sz w:val="21"/>
          <w:szCs w:val="21"/>
          <w:highlight w:val="none"/>
        </w:rPr>
      </w:pPr>
      <w:bookmarkStart w:id="629" w:name="_Toc351203651"/>
      <w:r>
        <w:rPr>
          <w:rFonts w:hint="eastAsia" w:ascii="宋体" w:hAnsi="宋体" w:eastAsia="宋体" w:cs="宋体"/>
          <w:b w:val="0"/>
          <w:color w:val="auto"/>
          <w:sz w:val="21"/>
          <w:szCs w:val="21"/>
          <w:highlight w:val="none"/>
        </w:rPr>
        <w:t>20. 争议解决</w:t>
      </w:r>
      <w:bookmarkEnd w:id="629"/>
    </w:p>
    <w:bookmarkEnd w:id="614"/>
    <w:bookmarkEnd w:id="615"/>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争</w:t>
      </w:r>
      <w:bookmarkEnd w:id="616"/>
      <w:r>
        <w:rPr>
          <w:rFonts w:hint="eastAsia" w:ascii="宋体" w:hAnsi="宋体" w:eastAsia="宋体" w:cs="宋体"/>
          <w:color w:val="auto"/>
          <w:szCs w:val="21"/>
          <w:highlight w:val="none"/>
        </w:rPr>
        <w:t>议评审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同意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 争议评审小组的确定</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提交争议评审时再选定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按通用条款。</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20.3.3 争议评审小组决定的效力：按通用条款执行。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20.4仲裁或诉讼</w:t>
      </w:r>
      <w:bookmarkEnd w:id="617"/>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种方式解决：</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台州</w:t>
      </w:r>
      <w:r>
        <w:rPr>
          <w:rFonts w:hint="eastAsia" w:ascii="宋体" w:hAnsi="宋体" w:eastAsia="宋体" w:cs="宋体"/>
          <w:color w:val="auto"/>
          <w:szCs w:val="21"/>
          <w:highlight w:val="none"/>
        </w:rPr>
        <w:t>仲裁委员会申请仲裁；</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工程所在地</w:t>
      </w:r>
      <w:r>
        <w:rPr>
          <w:rFonts w:hint="eastAsia" w:ascii="宋体" w:hAnsi="宋体" w:eastAsia="宋体" w:cs="宋体"/>
          <w:color w:val="auto"/>
          <w:szCs w:val="21"/>
          <w:highlight w:val="none"/>
        </w:rPr>
        <w:t>人民法院起诉。</w:t>
      </w:r>
      <w:bookmarkEnd w:id="618"/>
      <w:bookmarkEnd w:id="619"/>
      <w:bookmarkEnd w:id="620"/>
      <w:bookmarkEnd w:id="621"/>
      <w:bookmarkEnd w:id="622"/>
      <w:bookmarkEnd w:id="623"/>
    </w:p>
    <w:p>
      <w:pPr>
        <w:pStyle w:val="68"/>
        <w:pageBreakBefore w:val="0"/>
        <w:kinsoku/>
        <w:wordWrap/>
        <w:overflowPunct/>
        <w:topLinePunct w:val="0"/>
        <w:bidi w:val="0"/>
        <w:spacing w:before="0" w:beforeLines="0" w:after="0" w:afterLines="0" w:line="360" w:lineRule="exact"/>
        <w:ind w:left="0" w:right="0"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21．补充条款</w:t>
      </w:r>
    </w:p>
    <w:p>
      <w:pPr>
        <w:autoSpaceDE w:val="0"/>
        <w:autoSpaceDN w:val="0"/>
        <w:spacing w:line="35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21.1监理人在处理以下事项时必须经发包人审查同意、书面签认后，方可将确认结果回复予</w:t>
      </w:r>
      <w:r>
        <w:rPr>
          <w:rFonts w:hint="eastAsia" w:ascii="宋体" w:hAnsi="宋体" w:eastAsia="宋体" w:cs="宋体"/>
          <w:color w:val="auto"/>
          <w:sz w:val="21"/>
          <w:szCs w:val="21"/>
          <w:highlight w:val="none"/>
          <w:u w:val="single"/>
          <w:lang w:val="en-US" w:eastAsia="zh-CN"/>
        </w:rPr>
        <w:t>承</w:t>
      </w:r>
      <w:r>
        <w:rPr>
          <w:rFonts w:hint="eastAsia" w:ascii="宋体" w:hAnsi="宋体" w:eastAsia="宋体" w:cs="宋体"/>
          <w:color w:val="auto"/>
          <w:sz w:val="21"/>
          <w:szCs w:val="21"/>
          <w:highlight w:val="none"/>
          <w:u w:val="single"/>
        </w:rPr>
        <w:t>包人，未经发包人书面签认的答复无效：</w:t>
      </w:r>
    </w:p>
    <w:p>
      <w:pPr>
        <w:autoSpaceDE w:val="0"/>
        <w:autoSpaceDN w:val="0"/>
        <w:spacing w:line="35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（1）工程计量；</w:t>
      </w:r>
    </w:p>
    <w:p>
      <w:pPr>
        <w:autoSpaceDE w:val="0"/>
        <w:autoSpaceDN w:val="0"/>
        <w:spacing w:line="35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（2）工程价款（包括工程预付款、进度款、结算款）的确认和支付；</w:t>
      </w:r>
    </w:p>
    <w:p>
      <w:pPr>
        <w:autoSpaceDE w:val="0"/>
        <w:autoSpaceDN w:val="0"/>
        <w:spacing w:line="35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（3）工程变更和价格调整；</w:t>
      </w:r>
    </w:p>
    <w:p>
      <w:pPr>
        <w:autoSpaceDE w:val="0"/>
        <w:autoSpaceDN w:val="0"/>
        <w:spacing w:line="35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（4）竣工结算；</w:t>
      </w:r>
    </w:p>
    <w:p>
      <w:pPr>
        <w:autoSpaceDE w:val="0"/>
        <w:autoSpaceDN w:val="0"/>
        <w:spacing w:line="35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（5）工期确认（包括开工日期、竣工日期、工期延误的确认）；</w:t>
      </w:r>
    </w:p>
    <w:p>
      <w:pPr>
        <w:autoSpaceDE w:val="0"/>
        <w:autoSpaceDN w:val="0"/>
        <w:spacing w:line="35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（6）索赔处理。</w:t>
      </w:r>
    </w:p>
    <w:p>
      <w:pPr>
        <w:pStyle w:val="15"/>
        <w:widowControl/>
        <w:adjustRightInd w:val="0"/>
        <w:spacing w:line="350" w:lineRule="exact"/>
        <w:ind w:firstLine="420" w:firstLineChars="200"/>
        <w:rPr>
          <w:rFonts w:hint="eastAsia" w:ascii="宋体" w:hAnsi="宋体" w:eastAsia="宋体" w:cs="宋体"/>
          <w:color w:val="auto"/>
          <w:kern w:val="0"/>
          <w:sz w:val="21"/>
          <w:szCs w:val="21"/>
          <w:highlight w:val="none"/>
          <w:u w:val="single"/>
          <w:lang w:val="en-US" w:eastAsia="zh-CN"/>
        </w:rPr>
      </w:pP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pPr>
        <w:pStyle w:val="6"/>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spacing w:line="36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附件3：  </w:t>
      </w:r>
    </w:p>
    <w:p>
      <w:pPr>
        <w:spacing w:line="360" w:lineRule="exact"/>
        <w:ind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工程质量保修书</w:t>
      </w:r>
    </w:p>
    <w:p>
      <w:pPr>
        <w:spacing w:line="586" w:lineRule="exact"/>
        <w:rPr>
          <w:rFonts w:hint="eastAsia" w:ascii="宋体" w:hAnsi="宋体" w:eastAsia="宋体" w:cs="宋体"/>
          <w:color w:val="auto"/>
          <w:sz w:val="30"/>
          <w:szCs w:val="30"/>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exact"/>
        <w:rPr>
          <w:rFonts w:hint="eastAsia" w:ascii="宋体" w:hAnsi="宋体" w:eastAsia="宋体" w:cs="宋体"/>
          <w:color w:val="auto"/>
          <w:szCs w:val="21"/>
          <w:highlight w:val="none"/>
        </w:rPr>
      </w:pP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梓林幼儿园改造项目</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rPr>
        <w:t>（工程全称）签订工程质量保修书。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Cs/>
          <w:color w:val="auto"/>
          <w:kern w:val="2"/>
          <w:sz w:val="21"/>
          <w:szCs w:val="24"/>
          <w:highlight w:val="none"/>
          <w:u w:val="single"/>
          <w:lang w:val="en-US" w:eastAsia="zh-CN" w:bidi="ar"/>
        </w:rPr>
        <w:t>本工程合同范围内的所有工程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个采暖期、供冷期；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具体按投标人承诺为准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，缺陷责任期自工程竣工验收合格之日起计算。单位工程先于全部工程进行验收，单位工程缺陷责任期自单位工程验收合格之日起算。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pPr>
        <w:spacing w:line="360" w:lineRule="exact"/>
        <w:ind w:firstLine="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highlight w:val="none"/>
          <w:u w:val="single"/>
        </w:rPr>
        <w:t>如承包人未按《工程质量保修书》所规定的期限内保修的，发包人可以委托他人修理，由此造成的一切责任（包括安全责任）由承包人承担，所需的保修费用从质量保证金保函中扣除，不足部分由承包人承担</w:t>
      </w:r>
      <w:r>
        <w:rPr>
          <w:rFonts w:hint="eastAsia" w:ascii="宋体" w:hAnsi="宋体" w:eastAsia="宋体" w:cs="宋体"/>
          <w:color w:val="auto"/>
          <w:szCs w:val="21"/>
          <w:highlight w:val="none"/>
        </w:rPr>
        <w:t>。</w:t>
      </w:r>
    </w:p>
    <w:p>
      <w:pPr>
        <w:spacing w:line="3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pPr>
        <w:pBdr>
          <w:bottom w:val="single" w:color="auto" w:sz="8" w:space="1"/>
          <w:between w:val="single" w:color="auto" w:sz="4" w:space="1"/>
        </w:pBd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ind w:firstLine="420" w:firstLineChars="200"/>
        <w:rPr>
          <w:rFonts w:hint="eastAsia" w:ascii="宋体" w:hAnsi="宋体" w:eastAsia="宋体" w:cs="宋体"/>
          <w:color w:val="auto"/>
          <w:szCs w:val="21"/>
          <w:highlight w:val="none"/>
          <w:u w:val="single"/>
        </w:rPr>
      </w:pPr>
    </w:p>
    <w:p>
      <w:pPr>
        <w:spacing w:line="360" w:lineRule="exact"/>
        <w:rPr>
          <w:rFonts w:hint="eastAsia" w:ascii="宋体" w:hAnsi="宋体" w:eastAsia="宋体" w:cs="宋体"/>
          <w:color w:val="auto"/>
          <w:szCs w:val="21"/>
          <w:highlight w:val="none"/>
          <w:u w:val="single"/>
        </w:rPr>
      </w:pPr>
    </w:p>
    <w:p>
      <w:pPr>
        <w:adjustRightInd w:val="0"/>
        <w:spacing w:line="360" w:lineRule="exact"/>
        <w:ind w:firstLine="600" w:firstLineChars="200"/>
        <w:jc w:val="center"/>
        <w:rPr>
          <w:rFonts w:hint="eastAsia" w:ascii="宋体" w:hAnsi="宋体" w:eastAsia="宋体" w:cs="宋体"/>
          <w:color w:val="auto"/>
          <w:sz w:val="30"/>
          <w:szCs w:val="30"/>
          <w:highlight w:val="none"/>
        </w:rPr>
        <w:sectPr>
          <w:footerReference r:id="rId7" w:type="default"/>
          <w:pgSz w:w="11906" w:h="16838"/>
          <w:pgMar w:top="1440" w:right="1797" w:bottom="1440" w:left="1797" w:header="851" w:footer="992" w:gutter="0"/>
          <w:pgNumType w:fmt="decimal"/>
          <w:cols w:space="720" w:num="1"/>
          <w:docGrid w:linePitch="312" w:charSpace="0"/>
        </w:sectPr>
      </w:pPr>
    </w:p>
    <w:p>
      <w:pPr>
        <w:adjustRightInd w:val="0"/>
        <w:spacing w:line="360" w:lineRule="exact"/>
        <w:ind w:firstLine="60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t>第四部分    工程建设项目廉政责任书</w:t>
      </w:r>
    </w:p>
    <w:p>
      <w:pPr>
        <w:autoSpaceDE w:val="0"/>
        <w:autoSpaceDN w:val="0"/>
        <w:spacing w:line="360" w:lineRule="exact"/>
        <w:ind w:firstLine="482"/>
        <w:rPr>
          <w:rFonts w:hint="eastAsia" w:ascii="宋体" w:hAnsi="宋体" w:eastAsia="宋体" w:cs="宋体"/>
          <w:color w:val="auto"/>
          <w:szCs w:val="21"/>
          <w:highlight w:val="none"/>
        </w:rPr>
      </w:pPr>
    </w:p>
    <w:p>
      <w:pPr>
        <w:autoSpaceDE w:val="0"/>
        <w:autoSpaceDN w:val="0"/>
        <w:spacing w:line="360" w:lineRule="exact"/>
        <w:ind w:firstLine="48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工程项目名称：</w:t>
      </w:r>
      <w:r>
        <w:rPr>
          <w:rFonts w:hint="eastAsia" w:ascii="宋体" w:hAnsi="宋体" w:cs="宋体"/>
          <w:color w:val="auto"/>
          <w:szCs w:val="21"/>
          <w:highlight w:val="none"/>
          <w:u w:val="single"/>
          <w:lang w:eastAsia="zh-CN"/>
        </w:rPr>
        <w:t>梓林幼儿园改造项目</w:t>
      </w:r>
      <w:r>
        <w:rPr>
          <w:rFonts w:hint="eastAsia" w:ascii="宋体" w:hAnsi="宋体" w:eastAsia="宋体" w:cs="宋体"/>
          <w:color w:val="auto"/>
          <w:szCs w:val="21"/>
          <w:highlight w:val="none"/>
          <w:u w:val="single"/>
          <w:lang w:eastAsia="zh-CN"/>
        </w:rPr>
        <w:t xml:space="preserve">  </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工程项目地址：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建设单位（甲方）：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施工单位（乙方）：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第一条 甲乙双方的责任</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（一）应严格遵守国家关于市场准入、项目招标投标、工程建设、施工安装和市场活动等有关法律、法规，相关政策，以及廉政建设的各项规定。</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（二）严格执行建设工程项目承发包合同文件，自觉按合同办事。</w:t>
      </w:r>
    </w:p>
    <w:p>
      <w:pPr>
        <w:pStyle w:val="1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（四）发现对方在业务活动中有违规、违纪、违法行为的，应及时提醒对方，情节严重的，应向其上级主管部门或纪检监察、司法等有关机关举报。</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第二条 甲方的责任</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甲方的领导和从事该建设工程项目的工作人员，在工程建设的事前、事中、事后应遵守以下规定：</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（一）不准向乙方和相关单位索要或接受回扣、礼金、有价证券、贵重物品和好处费、感谢费等。</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（二）不准在乙方和相关单位报销任何应由甲方或个人支付的费用。</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（三）不准要求、暗示和接受乙方和相关单位为个人装修住房、婚丧嫁娶、配偶子女的工作安排以及出国（境）、旅游等提供方便。</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（四）不准参加有可能影响公正执行公务的乙方和相关单位的宴请和健身、娱乐等活动。</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第三条 乙方的责任</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应与甲方保持正常的业务交往，按照有关法律法规和程序开展业务工作，严格执行工程建设的有关方针、政策，尤其是有关建筑施工安装的强制性标准和规范，并遵守以下规定：</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（一）不准以任何理由向甲方、相关单位及其工作人员索要、接受或赠送礼金、有价证券、贵重物品和回扣、好处费、感谢费等。</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（二）不准以任何理由为甲方和相关单位报销应由对方或个人支付的费用。</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（三）不准接受或暗示为甲方、相关单位或个人装修住房、婚丧嫁娶、配偶子女的工作安排以及出国（境）、旅游等提供方便。</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（四）不准以任何理由为甲方、相关单位或个人组织有可能影响公正执行公务的宴请、健身、娱乐等活动。</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第四条 违约责任</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第五条 本责任书作为工程施工合同的附件，与工程施工合同具有同等法律效力。经双方签署后立即生效。</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第六条 本责任书的有效期为双方签署之日起至该工程项目竣工验收合格时止。</w:t>
      </w:r>
    </w:p>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pPr>
        <w:autoSpaceDE w:val="0"/>
        <w:autoSpaceDN w:val="0"/>
        <w:spacing w:line="360" w:lineRule="exact"/>
        <w:ind w:firstLine="482"/>
        <w:rPr>
          <w:rFonts w:hint="eastAsia" w:ascii="宋体" w:hAnsi="宋体" w:eastAsia="宋体" w:cs="宋体"/>
          <w:color w:val="auto"/>
          <w:szCs w:val="21"/>
          <w:highlight w:val="none"/>
        </w:rPr>
      </w:pPr>
    </w:p>
    <w:p>
      <w:pPr>
        <w:autoSpaceDE w:val="0"/>
        <w:autoSpaceDN w:val="0"/>
        <w:spacing w:line="360" w:lineRule="exact"/>
        <w:ind w:firstLine="482"/>
        <w:rPr>
          <w:rFonts w:hint="eastAsia" w:ascii="宋体" w:hAnsi="宋体" w:eastAsia="宋体" w:cs="宋体"/>
          <w:color w:val="auto"/>
          <w:szCs w:val="21"/>
          <w:highlight w:val="none"/>
        </w:rPr>
      </w:pP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甲方单位：（盖章）　　　　　　　　                　　　乙方单位：（盖章）</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pPr>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甲方监督单位（盖章）　　　　　　　　　               　乙方监督单位（盖章）</w:t>
      </w:r>
    </w:p>
    <w:p>
      <w:pPr>
        <w:autoSpaceDE w:val="0"/>
        <w:autoSpaceDN w:val="0"/>
        <w:spacing w:line="360" w:lineRule="exact"/>
        <w:ind w:firstLine="482"/>
        <w:rPr>
          <w:rFonts w:hint="eastAsia" w:ascii="宋体" w:hAnsi="宋体" w:eastAsia="宋体" w:cs="宋体"/>
          <w:b w:val="0"/>
          <w:bCs w:val="0"/>
          <w:color w:val="auto"/>
          <w:sz w:val="32"/>
          <w:highlight w:val="none"/>
          <w:lang w:val="en-US" w:eastAsia="zh-CN"/>
        </w:rPr>
        <w:sectPr>
          <w:pgSz w:w="11907" w:h="16840"/>
          <w:pgMar w:top="1417" w:right="1418" w:bottom="1417" w:left="1531" w:header="851" w:footer="992" w:gutter="0"/>
          <w:pgNumType w:fmt="decimal"/>
          <w:cols w:space="720" w:num="1"/>
          <w:docGrid w:type="lines" w:linePitch="312" w:charSpace="0"/>
        </w:sectPr>
      </w:pPr>
      <w:r>
        <w:rPr>
          <w:rFonts w:hint="eastAsia" w:ascii="宋体" w:hAnsi="宋体" w:eastAsia="宋体" w:cs="宋体"/>
          <w:color w:val="auto"/>
          <w:szCs w:val="21"/>
          <w:highlight w:val="none"/>
        </w:rPr>
        <w:t>年　月　日　　　　　　　　　　　　　　               　年　月　</w:t>
      </w:r>
      <w:bookmarkStart w:id="630" w:name="_Toc19046"/>
      <w:r>
        <w:rPr>
          <w:rFonts w:hint="eastAsia" w:ascii="宋体" w:hAnsi="宋体" w:eastAsia="宋体" w:cs="宋体"/>
          <w:color w:val="auto"/>
          <w:szCs w:val="21"/>
          <w:highlight w:val="none"/>
          <w:lang w:val="en-US" w:eastAsia="zh-CN"/>
        </w:rPr>
        <w:t>日</w:t>
      </w:r>
    </w:p>
    <w:bookmarkEnd w:id="87"/>
    <w:bookmarkEnd w:id="630"/>
    <w:p>
      <w:pPr>
        <w:numPr>
          <w:ilvl w:val="0"/>
          <w:numId w:val="4"/>
        </w:numPr>
        <w:spacing w:line="360" w:lineRule="auto"/>
        <w:jc w:val="center"/>
        <w:outlineLvl w:val="0"/>
        <w:rPr>
          <w:rFonts w:hint="eastAsia" w:ascii="宋体" w:hAnsi="宋体" w:eastAsia="宋体" w:cs="宋体"/>
          <w:b/>
          <w:color w:val="auto"/>
          <w:kern w:val="0"/>
          <w:sz w:val="36"/>
          <w:szCs w:val="36"/>
          <w:highlight w:val="none"/>
          <w:lang w:val="en-US" w:eastAsia="zh-CN"/>
        </w:rPr>
      </w:pPr>
      <w:bookmarkStart w:id="631" w:name="_Toc3437"/>
      <w:r>
        <w:rPr>
          <w:rFonts w:hint="eastAsia" w:ascii="宋体" w:hAnsi="宋体" w:eastAsia="宋体" w:cs="宋体"/>
          <w:b/>
          <w:color w:val="auto"/>
          <w:kern w:val="0"/>
          <w:sz w:val="36"/>
          <w:szCs w:val="36"/>
          <w:highlight w:val="none"/>
          <w:lang w:val="en-US" w:eastAsia="zh-CN"/>
        </w:rPr>
        <w:t>投标文件格式</w:t>
      </w:r>
      <w:bookmarkEnd w:id="68"/>
      <w:bookmarkEnd w:id="631"/>
    </w:p>
    <w:p>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p>
    <w:p>
      <w:pPr>
        <w:spacing w:line="360" w:lineRule="auto"/>
        <w:rPr>
          <w:rFonts w:hint="eastAsia" w:ascii="宋体" w:hAnsi="宋体" w:eastAsia="宋体" w:cs="宋体"/>
          <w:b/>
          <w:color w:val="auto"/>
          <w:sz w:val="30"/>
          <w:szCs w:val="30"/>
          <w:highlight w:val="none"/>
        </w:rPr>
      </w:pPr>
    </w:p>
    <w:p>
      <w:pPr>
        <w:jc w:val="center"/>
        <w:rPr>
          <w:rFonts w:hint="eastAsia" w:ascii="宋体" w:hAnsi="宋体" w:eastAsia="宋体" w:cs="宋体"/>
          <w:color w:val="auto"/>
          <w:sz w:val="52"/>
          <w:szCs w:val="52"/>
          <w:highlight w:val="none"/>
        </w:rPr>
      </w:pPr>
      <w:bookmarkStart w:id="632" w:name="_Toc32372_WPSOffice_Level1"/>
      <w:bookmarkStart w:id="633" w:name="_Toc19093_WPSOffice_Level1"/>
      <w:bookmarkStart w:id="634" w:name="_Toc4956_WPSOffice_Level1"/>
      <w:r>
        <w:rPr>
          <w:rFonts w:hint="eastAsia" w:ascii="宋体" w:hAnsi="宋体" w:eastAsia="宋体" w:cs="宋体"/>
          <w:color w:val="auto"/>
          <w:sz w:val="52"/>
          <w:szCs w:val="52"/>
          <w:highlight w:val="none"/>
        </w:rPr>
        <w:t>项目名称</w:t>
      </w:r>
      <w:bookmarkEnd w:id="632"/>
      <w:bookmarkEnd w:id="633"/>
      <w:bookmarkEnd w:id="634"/>
    </w:p>
    <w:p>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eastAsia="zh-CN"/>
        </w:rPr>
        <w:t>标项</w:t>
      </w:r>
      <w:r>
        <w:rPr>
          <w:rFonts w:hint="eastAsia" w:ascii="宋体" w:hAnsi="宋体" w:eastAsia="宋体" w:cs="宋体"/>
          <w:color w:val="auto"/>
          <w:sz w:val="36"/>
          <w:szCs w:val="36"/>
          <w:highlight w:val="none"/>
        </w:rPr>
        <w:t>）</w:t>
      </w:r>
    </w:p>
    <w:p>
      <w:pPr>
        <w:pStyle w:val="8"/>
        <w:rPr>
          <w:rFonts w:hint="eastAsia" w:ascii="宋体" w:hAnsi="宋体" w:eastAsia="宋体" w:cs="宋体"/>
          <w:color w:val="auto"/>
          <w:highlight w:val="none"/>
        </w:rPr>
      </w:pPr>
    </w:p>
    <w:p>
      <w:pPr>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磋</w:t>
      </w:r>
    </w:p>
    <w:p>
      <w:pPr>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商</w:t>
      </w:r>
    </w:p>
    <w:p>
      <w:pPr>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响</w:t>
      </w:r>
    </w:p>
    <w:p>
      <w:pPr>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应</w:t>
      </w: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pStyle w:val="8"/>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pPr>
        <w:pStyle w:val="8"/>
        <w:rPr>
          <w:rFonts w:hint="eastAsia" w:ascii="宋体" w:hAnsi="宋体" w:eastAsia="宋体" w:cs="宋体"/>
          <w:color w:val="auto"/>
          <w:sz w:val="28"/>
          <w:szCs w:val="28"/>
          <w:highlight w:val="none"/>
          <w:lang w:val="en-US" w:eastAsia="zh-CN"/>
        </w:rPr>
      </w:pPr>
    </w:p>
    <w:p>
      <w:pPr>
        <w:spacing w:line="360" w:lineRule="auto"/>
        <w:ind w:right="532"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供应商全称（电子印章）：</w:t>
      </w:r>
    </w:p>
    <w:p>
      <w:pPr>
        <w:spacing w:line="360" w:lineRule="auto"/>
        <w:ind w:right="532"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pPr>
        <w:spacing w:line="360" w:lineRule="auto"/>
        <w:ind w:right="532"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时    间：</w:t>
      </w:r>
    </w:p>
    <w:p>
      <w:pPr>
        <w:pStyle w:val="8"/>
        <w:rPr>
          <w:rFonts w:hint="eastAsia" w:ascii="宋体" w:hAnsi="宋体" w:eastAsia="宋体" w:cs="宋体"/>
          <w:b/>
          <w:color w:val="auto"/>
          <w:sz w:val="36"/>
          <w:szCs w:val="36"/>
          <w:highlight w:val="none"/>
        </w:rPr>
      </w:pPr>
    </w:p>
    <w:p>
      <w:pPr>
        <w:snapToGrid w:val="0"/>
        <w:spacing w:before="50" w:after="50" w:line="360" w:lineRule="auto"/>
        <w:jc w:val="center"/>
        <w:rPr>
          <w:rFonts w:hint="eastAsia" w:ascii="宋体" w:hAnsi="宋体" w:eastAsia="宋体" w:cs="宋体"/>
          <w:b/>
          <w:bCs/>
          <w:color w:val="auto"/>
          <w:sz w:val="36"/>
          <w:szCs w:val="36"/>
          <w:highlight w:val="none"/>
        </w:rPr>
      </w:pPr>
    </w:p>
    <w:p>
      <w:pPr>
        <w:snapToGrid w:val="0"/>
        <w:spacing w:before="50" w:after="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磋商响应文件目录</w:t>
      </w:r>
    </w:p>
    <w:p>
      <w:pPr>
        <w:snapToGrid w:val="0"/>
        <w:spacing w:before="50" w:after="50" w:line="42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28"/>
          <w:szCs w:val="28"/>
          <w:highlight w:val="none"/>
        </w:rPr>
        <w:t>第一部分：资格证明部分</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rPr>
      </w:pPr>
      <w:r>
        <w:rPr>
          <w:rFonts w:hint="eastAsia" w:ascii="宋体" w:hAnsi="宋体" w:eastAsia="宋体" w:cs="宋体"/>
          <w:color w:val="auto"/>
          <w:sz w:val="21"/>
          <w:szCs w:val="21"/>
          <w:highlight w:val="none"/>
          <w:lang w:val="zh-CN"/>
        </w:rPr>
        <w:t>磋商</w:t>
      </w:r>
      <w:r>
        <w:rPr>
          <w:rFonts w:hint="eastAsia" w:ascii="宋体" w:hAnsi="宋体" w:eastAsia="宋体" w:cs="宋体"/>
          <w:color w:val="auto"/>
          <w:sz w:val="21"/>
          <w:szCs w:val="21"/>
          <w:highlight w:val="none"/>
          <w:lang w:val="en-US" w:eastAsia="zh-CN"/>
        </w:rPr>
        <w:t>声明书</w:t>
      </w:r>
      <w:r>
        <w:rPr>
          <w:rFonts w:hint="eastAsia" w:ascii="宋体" w:hAnsi="宋体" w:eastAsia="宋体" w:cs="宋体"/>
          <w:color w:val="auto"/>
          <w:sz w:val="21"/>
          <w:szCs w:val="21"/>
          <w:highlight w:val="none"/>
          <w:lang w:val="zh-CN"/>
        </w:rPr>
        <w:t>(格式见附件)；</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rPr>
      </w:pPr>
      <w:r>
        <w:rPr>
          <w:rFonts w:hint="eastAsia" w:ascii="宋体" w:hAnsi="宋体" w:eastAsia="宋体" w:cs="宋体"/>
          <w:color w:val="auto"/>
          <w:sz w:val="21"/>
          <w:szCs w:val="21"/>
          <w:highlight w:val="none"/>
          <w:lang w:val="zh-CN"/>
        </w:rPr>
        <w:t>法定代表人（负责人）授权委托书(格式见附件)</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rPr>
      </w:pPr>
      <w:r>
        <w:rPr>
          <w:rFonts w:hint="eastAsia" w:ascii="宋体" w:hAnsi="宋体" w:eastAsia="宋体" w:cs="宋体"/>
          <w:color w:val="auto"/>
          <w:sz w:val="21"/>
          <w:szCs w:val="21"/>
          <w:highlight w:val="none"/>
          <w:lang w:val="zh-CN"/>
        </w:rPr>
        <w:t>提供有效的营业执照影印件；</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企业资质证书影印件或建设部四库平台、网站查询结果截图； </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安全生产许可证影印件； </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项目负责人的《项目负责人建造师注册证书》影印件和三类人员B类证书影印件。若为住房和城乡建设部同意的建设领域从业人员有关证书电子化试点的省、市，可只提供电子证书影印件或网页截图； </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浙江省省外的供应商须提供有效的《省外企业进浙承接业务备案证明》或“浙江省建筑市场监管公共服务系统”对外发布的通过审核形成的备案信息网页截图（仅指浙江省省外企业）；</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参加</w:t>
      </w:r>
      <w:r>
        <w:rPr>
          <w:rFonts w:hint="eastAsia" w:ascii="宋体" w:hAnsi="宋体" w:eastAsia="宋体" w:cs="宋体"/>
          <w:bCs/>
          <w:color w:val="auto"/>
          <w:sz w:val="24"/>
          <w:highlight w:val="none"/>
          <w:lang w:val="zh-CN" w:eastAsia="zh-CN"/>
        </w:rPr>
        <w:t>本项目活动</w:t>
      </w:r>
      <w:r>
        <w:rPr>
          <w:rFonts w:hint="eastAsia" w:ascii="宋体" w:hAnsi="宋体" w:eastAsia="宋体" w:cs="宋体"/>
          <w:bCs/>
          <w:color w:val="auto"/>
          <w:sz w:val="24"/>
          <w:highlight w:val="none"/>
          <w:lang w:val="zh-CN"/>
        </w:rPr>
        <w:t>前3年内在经营活动中没有重大违法记录的书面声明（声明书格式见附件）</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具备履行合同所必需的设备和专业技术能力的承诺函；</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lang w:val="en-US" w:eastAsia="zh-Hans"/>
        </w:rPr>
      </w:pPr>
      <w:r>
        <w:rPr>
          <w:rFonts w:hint="eastAsia" w:ascii="宋体" w:hAnsi="宋体" w:eastAsia="宋体" w:cs="宋体"/>
          <w:bCs/>
          <w:color w:val="auto"/>
          <w:sz w:val="24"/>
          <w:highlight w:val="none"/>
          <w:lang w:val="en-US" w:eastAsia="zh-Hans"/>
        </w:rPr>
        <w:t>中小企业声明函等政策采购优惠政策适用证明文件</w:t>
      </w:r>
      <w:r>
        <w:rPr>
          <w:rFonts w:hint="eastAsia" w:ascii="宋体" w:hAnsi="宋体" w:eastAsia="宋体" w:cs="宋体"/>
          <w:bCs/>
          <w:color w:val="auto"/>
          <w:sz w:val="24"/>
          <w:highlight w:val="none"/>
          <w:lang w:val="en-US" w:eastAsia="zh-CN"/>
        </w:rPr>
        <w:t>；</w:t>
      </w:r>
    </w:p>
    <w:p>
      <w:pPr>
        <w:numPr>
          <w:ilvl w:val="0"/>
          <w:numId w:val="12"/>
        </w:numPr>
        <w:snapToGrid w:val="0"/>
        <w:spacing w:line="420" w:lineRule="exact"/>
        <w:ind w:left="-50" w:leftChars="0" w:firstLine="470" w:firstLineChars="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提供采购公告中符合供应商特定条件的有效资质证书扫描件（供应商特定条件中有要求的必须提供），以及需要说明的其他资料。</w:t>
      </w:r>
    </w:p>
    <w:p>
      <w:pPr>
        <w:snapToGrid w:val="0"/>
        <w:spacing w:line="420" w:lineRule="exact"/>
        <w:ind w:firstLine="562"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28"/>
          <w:szCs w:val="28"/>
          <w:highlight w:val="none"/>
          <w:lang w:val="zh-CN"/>
        </w:rPr>
        <w:t>第二部分：商务与技术</w:t>
      </w:r>
      <w:r>
        <w:rPr>
          <w:rFonts w:hint="eastAsia" w:ascii="宋体" w:hAnsi="宋体" w:eastAsia="宋体" w:cs="宋体"/>
          <w:b/>
          <w:bCs/>
          <w:color w:val="auto"/>
          <w:sz w:val="28"/>
          <w:szCs w:val="28"/>
          <w:highlight w:val="none"/>
        </w:rPr>
        <w:t>部分</w:t>
      </w:r>
    </w:p>
    <w:p>
      <w:pPr>
        <w:keepNext w:val="0"/>
        <w:keepLines w:val="0"/>
        <w:pageBreakBefore w:val="0"/>
        <w:widowControl w:val="0"/>
        <w:numPr>
          <w:ilvl w:val="0"/>
          <w:numId w:val="13"/>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供应商情况介绍（人员与技术力量、企业规模等，格式自拟）；</w:t>
      </w:r>
    </w:p>
    <w:p>
      <w:pPr>
        <w:keepNext w:val="0"/>
        <w:keepLines w:val="0"/>
        <w:pageBreakBefore w:val="0"/>
        <w:widowControl w:val="0"/>
        <w:numPr>
          <w:ilvl w:val="0"/>
          <w:numId w:val="13"/>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商务及技术响应表</w:t>
      </w:r>
    </w:p>
    <w:p>
      <w:pPr>
        <w:keepNext w:val="0"/>
        <w:keepLines w:val="0"/>
        <w:pageBreakBefore w:val="0"/>
        <w:widowControl w:val="0"/>
        <w:numPr>
          <w:ilvl w:val="0"/>
          <w:numId w:val="13"/>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其余内容根据评标办法自拟。</w:t>
      </w:r>
    </w:p>
    <w:p>
      <w:pPr>
        <w:snapToGrid w:val="0"/>
        <w:spacing w:line="420" w:lineRule="exact"/>
        <w:ind w:firstLine="562" w:firstLineChars="200"/>
        <w:rPr>
          <w:rFonts w:hint="eastAsia" w:ascii="宋体" w:hAnsi="宋体" w:eastAsia="宋体" w:cs="宋体"/>
          <w:color w:val="auto"/>
          <w:sz w:val="24"/>
          <w:highlight w:val="none"/>
        </w:rPr>
      </w:pPr>
      <w:r>
        <w:rPr>
          <w:rFonts w:hint="eastAsia" w:ascii="宋体" w:hAnsi="宋体" w:eastAsia="宋体" w:cs="宋体"/>
          <w:b/>
          <w:bCs/>
          <w:color w:val="auto"/>
          <w:kern w:val="0"/>
          <w:sz w:val="28"/>
          <w:szCs w:val="28"/>
          <w:highlight w:val="none"/>
        </w:rPr>
        <w:t>第三部分 ：</w:t>
      </w:r>
      <w:r>
        <w:rPr>
          <w:rFonts w:hint="eastAsia" w:ascii="宋体" w:hAnsi="宋体" w:eastAsia="宋体" w:cs="宋体"/>
          <w:b/>
          <w:color w:val="auto"/>
          <w:sz w:val="28"/>
          <w:szCs w:val="28"/>
          <w:highlight w:val="none"/>
        </w:rPr>
        <w:t>报价</w:t>
      </w:r>
      <w:r>
        <w:rPr>
          <w:rFonts w:hint="eastAsia" w:ascii="宋体" w:hAnsi="宋体" w:eastAsia="宋体" w:cs="宋体"/>
          <w:b/>
          <w:bCs/>
          <w:color w:val="auto"/>
          <w:sz w:val="28"/>
          <w:szCs w:val="28"/>
          <w:highlight w:val="none"/>
        </w:rPr>
        <w:t>部分</w:t>
      </w:r>
    </w:p>
    <w:p>
      <w:pPr>
        <w:keepNext w:val="0"/>
        <w:keepLines w:val="0"/>
        <w:pageBreakBefore w:val="0"/>
        <w:widowControl w:val="0"/>
        <w:numPr>
          <w:ilvl w:val="0"/>
          <w:numId w:val="14"/>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首次报价一览表（</w:t>
      </w:r>
      <w:r>
        <w:rPr>
          <w:rFonts w:hint="eastAsia" w:ascii="宋体" w:hAnsi="宋体" w:eastAsia="宋体" w:cs="宋体"/>
          <w:color w:val="auto"/>
          <w:sz w:val="21"/>
          <w:szCs w:val="21"/>
          <w:highlight w:val="none"/>
          <w:lang w:val="zh-CN"/>
        </w:rPr>
        <w:t>格式见附件</w:t>
      </w:r>
      <w:r>
        <w:rPr>
          <w:rFonts w:hint="eastAsia" w:ascii="宋体" w:hAnsi="宋体" w:eastAsia="宋体" w:cs="宋体"/>
          <w:bCs/>
          <w:color w:val="auto"/>
          <w:sz w:val="24"/>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供应商针对报价需要说明的其他文件和说明（如有，格式自拟）。</w:t>
      </w:r>
    </w:p>
    <w:p>
      <w:pPr>
        <w:spacing w:line="360" w:lineRule="auto"/>
        <w:rPr>
          <w:rFonts w:hint="eastAsia" w:ascii="宋体" w:hAnsi="宋体" w:eastAsia="宋体" w:cs="宋体"/>
          <w:b/>
          <w:color w:val="auto"/>
          <w:sz w:val="28"/>
          <w:highlight w:val="none"/>
        </w:rPr>
      </w:pPr>
    </w:p>
    <w:p>
      <w:pPr>
        <w:pStyle w:val="15"/>
        <w:rPr>
          <w:rFonts w:hint="eastAsia" w:ascii="宋体" w:hAnsi="宋体" w:eastAsia="宋体" w:cs="宋体"/>
          <w:b/>
          <w:color w:val="auto"/>
          <w:sz w:val="28"/>
          <w:highlight w:val="none"/>
        </w:rPr>
      </w:pPr>
    </w:p>
    <w:p>
      <w:pPr>
        <w:pStyle w:val="16"/>
        <w:rPr>
          <w:rFonts w:hint="eastAsia" w:ascii="宋体" w:hAnsi="宋体" w:eastAsia="宋体" w:cs="宋体"/>
          <w:b/>
          <w:color w:val="auto"/>
          <w:sz w:val="28"/>
          <w:highlight w:val="none"/>
        </w:rPr>
      </w:pPr>
    </w:p>
    <w:p>
      <w:pPr>
        <w:rPr>
          <w:rFonts w:hint="eastAsia" w:ascii="宋体" w:hAnsi="宋体" w:eastAsia="宋体" w:cs="宋体"/>
          <w:color w:val="auto"/>
          <w:highlight w:val="none"/>
        </w:rPr>
      </w:pPr>
    </w:p>
    <w:p>
      <w:pPr>
        <w:pStyle w:val="27"/>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spacing w:line="312"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pPr>
        <w:adjustRightInd w:val="0"/>
        <w:snapToGrid w:val="0"/>
        <w:spacing w:line="312" w:lineRule="auto"/>
        <w:ind w:right="480"/>
        <w:jc w:val="center"/>
        <w:rPr>
          <w:rFonts w:hint="eastAsia" w:ascii="宋体" w:hAnsi="宋体" w:eastAsia="宋体" w:cs="宋体"/>
          <w:b/>
          <w:color w:val="auto"/>
          <w:kern w:val="0"/>
          <w:sz w:val="32"/>
          <w:szCs w:val="32"/>
          <w:highlight w:val="none"/>
          <w:lang w:val="zh-CN"/>
        </w:rPr>
      </w:pPr>
      <w:bookmarkStart w:id="635" w:name="_Toc31708_WPSOffice_Level1"/>
      <w:bookmarkStart w:id="636" w:name="_Toc30723_WPSOffice_Level1"/>
      <w:r>
        <w:rPr>
          <w:rFonts w:hint="eastAsia" w:ascii="宋体" w:hAnsi="宋体" w:eastAsia="宋体" w:cs="宋体"/>
          <w:b/>
          <w:color w:val="auto"/>
          <w:kern w:val="0"/>
          <w:sz w:val="32"/>
          <w:szCs w:val="32"/>
          <w:highlight w:val="none"/>
        </w:rPr>
        <w:t>磋商</w:t>
      </w:r>
      <w:r>
        <w:rPr>
          <w:rFonts w:hint="eastAsia" w:ascii="宋体" w:hAnsi="宋体" w:eastAsia="宋体" w:cs="宋体"/>
          <w:b/>
          <w:color w:val="auto"/>
          <w:kern w:val="0"/>
          <w:sz w:val="32"/>
          <w:szCs w:val="32"/>
          <w:highlight w:val="none"/>
          <w:lang w:val="zh-CN"/>
        </w:rPr>
        <w:t>声明书</w:t>
      </w:r>
      <w:bookmarkEnd w:id="635"/>
      <w:bookmarkEnd w:id="636"/>
    </w:p>
    <w:p>
      <w:pPr>
        <w:snapToGrid w:val="0"/>
        <w:spacing w:beforeLines="50" w:after="50" w:line="312"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val="en-US" w:eastAsia="zh-CN"/>
        </w:rPr>
        <w:t>浙江双联工程咨询有限公司</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采购组织机构名称</w:t>
      </w:r>
      <w:r>
        <w:rPr>
          <w:rFonts w:hint="eastAsia" w:ascii="宋体" w:hAnsi="宋体" w:eastAsia="宋体" w:cs="宋体"/>
          <w:color w:val="auto"/>
          <w:kern w:val="0"/>
          <w:sz w:val="24"/>
          <w:highlight w:val="none"/>
        </w:rPr>
        <w:t>）：</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（供应商名称）系中华人民共和国合法企业，经营地址。</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u w:val="single"/>
        </w:rPr>
        <w:t xml:space="preserve"> 姓名 </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供应商名称 </w:t>
      </w:r>
      <w:r>
        <w:rPr>
          <w:rFonts w:hint="eastAsia" w:ascii="宋体" w:hAnsi="宋体" w:eastAsia="宋体" w:cs="宋体"/>
          <w:color w:val="auto"/>
          <w:kern w:val="0"/>
          <w:sz w:val="24"/>
          <w:highlight w:val="none"/>
        </w:rPr>
        <w:t>）的法定代表人，我公司自愿参加贵方组织的（</w:t>
      </w:r>
      <w:r>
        <w:rPr>
          <w:rFonts w:hint="eastAsia" w:ascii="宋体" w:hAnsi="宋体" w:eastAsia="宋体" w:cs="宋体"/>
          <w:color w:val="auto"/>
          <w:kern w:val="0"/>
          <w:sz w:val="24"/>
          <w:highlight w:val="none"/>
          <w:u w:val="single"/>
          <w:lang w:val="en-US" w:eastAsia="zh-CN"/>
        </w:rPr>
        <w:t>采购</w:t>
      </w:r>
      <w:r>
        <w:rPr>
          <w:rFonts w:hint="eastAsia" w:ascii="宋体" w:hAnsi="宋体" w:eastAsia="宋体" w:cs="宋体"/>
          <w:color w:val="auto"/>
          <w:kern w:val="0"/>
          <w:sz w:val="24"/>
          <w:highlight w:val="none"/>
          <w:u w:val="single"/>
        </w:rPr>
        <w:t>项目名称</w:t>
      </w:r>
      <w:r>
        <w:rPr>
          <w:rFonts w:hint="eastAsia" w:ascii="宋体" w:hAnsi="宋体" w:eastAsia="宋体" w:cs="宋体"/>
          <w:color w:val="auto"/>
          <w:kern w:val="0"/>
          <w:sz w:val="24"/>
          <w:highlight w:val="none"/>
        </w:rPr>
        <w:t>）（编号为）的投标，为此，我公司就本次投标有关事项郑重声明如下：</w:t>
      </w:r>
    </w:p>
    <w:p>
      <w:pPr>
        <w:numPr>
          <w:ilvl w:val="0"/>
          <w:numId w:val="15"/>
        </w:num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我公司声明截止投标时间近三年以来：在政府采购领域中的项目</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rPr>
        <w:t>、投标和合同履约期间无任何不良行为记录；无重大违法记录（重大违法记录是指供应商因违法经营受到刑事处罚或者责令停产停业、吊销许可证或者执照、较大数额罚款等行政处罚）。</w:t>
      </w:r>
    </w:p>
    <w:p>
      <w:pPr>
        <w:numPr>
          <w:ilvl w:val="0"/>
          <w:numId w:val="15"/>
        </w:numPr>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我公司在参与投标前已详细审查了采购文件和所有相关资料，包括采购文件澄清或更正内容（如果有），我方完全明白并认为此采购文件没有倾向性，也没有存在排斥潜在供应商的内容，我方同意采购文件的相关条款，放弃对采购文件提出误解和质疑的一切权利。</w:t>
      </w:r>
    </w:p>
    <w:p>
      <w:pPr>
        <w:numPr>
          <w:ilvl w:val="0"/>
          <w:numId w:val="15"/>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rPr>
        <w:t>不是采购人的附属机构；</w:t>
      </w:r>
      <w:r>
        <w:rPr>
          <w:rFonts w:hint="eastAsia" w:ascii="宋体" w:hAnsi="宋体" w:eastAsia="宋体" w:cs="宋体"/>
          <w:color w:val="auto"/>
          <w:sz w:val="24"/>
          <w:highlight w:val="none"/>
        </w:rPr>
        <w:t>在获知本项目采购信息后，与采购人聘请的为此项目提供咨询服务的公司及其附属机构没有任何联系。</w:t>
      </w:r>
    </w:p>
    <w:p>
      <w:pPr>
        <w:snapToGrid w:val="0"/>
        <w:spacing w:line="360" w:lineRule="auto"/>
        <w:ind w:firstLine="480" w:firstLineChars="200"/>
        <w:rPr>
          <w:rFonts w:hint="eastAsia" w:ascii="宋体" w:hAnsi="宋体" w:eastAsia="宋体" w:cs="宋体"/>
          <w:color w:val="auto"/>
          <w:kern w:val="0"/>
          <w:sz w:val="24"/>
          <w:highlight w:val="none"/>
          <w:lang w:val="af-ZA"/>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af-ZA"/>
        </w:rPr>
        <w:t>采购人在中华人民共和国境内使用</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投标</w:t>
      </w:r>
      <w:r>
        <w:rPr>
          <w:rFonts w:hint="eastAsia" w:ascii="宋体" w:hAnsi="宋体" w:eastAsia="宋体" w:cs="宋体"/>
          <w:color w:val="auto"/>
          <w:kern w:val="0"/>
          <w:sz w:val="24"/>
          <w:highlight w:val="none"/>
          <w:lang w:val="en-US" w:eastAsia="zh-CN"/>
        </w:rPr>
        <w:t>产品</w:t>
      </w:r>
      <w:r>
        <w:rPr>
          <w:rFonts w:hint="eastAsia" w:ascii="宋体" w:hAnsi="宋体" w:eastAsia="宋体" w:cs="宋体"/>
          <w:color w:val="auto"/>
          <w:kern w:val="0"/>
          <w:sz w:val="24"/>
          <w:highlight w:val="none"/>
          <w:lang w:val="af-ZA"/>
        </w:rPr>
        <w:t>、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af-ZA"/>
        </w:rPr>
        <w:t>5、我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严格履行政府采购合同，不降低合同约定的产品质量和服务，不擅自变更、中止、终止合同，或拒绝履行合同义务；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6、以上事项如有虚假或隐瞒，我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愿意承担一切后果，并不再寻求任何旨在减轻或免除法律责任的辩解。</w:t>
      </w:r>
    </w:p>
    <w:p>
      <w:pPr>
        <w:adjustRightInd w:val="0"/>
        <w:snapToGrid w:val="0"/>
        <w:spacing w:line="360" w:lineRule="auto"/>
        <w:ind w:firstLine="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本单位若违反以上承诺，将无条件接受项目主管部门和有关监督管理部门的调查，并愿意承担取消中标资格及限制在本地区参与投标等一切法律责任。</w:t>
      </w:r>
    </w:p>
    <w:p>
      <w:pPr>
        <w:adjustRightInd w:val="0"/>
        <w:snapToGrid w:val="0"/>
        <w:spacing w:line="360" w:lineRule="auto"/>
        <w:ind w:firstLine="4680" w:firstLineChars="19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供应商名称(电子印章)：</w:t>
      </w:r>
    </w:p>
    <w:p>
      <w:pPr>
        <w:adjustRightInd w:val="0"/>
        <w:snapToGrid w:val="0"/>
        <w:spacing w:line="360" w:lineRule="auto"/>
        <w:ind w:left="5281" w:leftChars="114" w:hanging="5042" w:hangingChars="210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法定代表人或授权委托人签字或电子印章：                                       日期：</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年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月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日</w:t>
      </w:r>
    </w:p>
    <w:p>
      <w:pPr>
        <w:adjustRightInd w:val="0"/>
        <w:snapToGrid w:val="0"/>
        <w:spacing w:line="360" w:lineRule="auto"/>
        <w:ind w:right="480"/>
        <w:rPr>
          <w:rFonts w:hint="eastAsia" w:ascii="宋体" w:hAnsi="宋体" w:eastAsia="宋体" w:cs="宋体"/>
          <w:b/>
          <w:color w:val="auto"/>
          <w:sz w:val="28"/>
          <w:highlight w:val="none"/>
        </w:rPr>
      </w:pPr>
    </w:p>
    <w:p>
      <w:pPr>
        <w:adjustRightInd w:val="0"/>
        <w:snapToGrid w:val="0"/>
        <w:spacing w:line="360" w:lineRule="auto"/>
        <w:ind w:right="480"/>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pPr>
        <w:spacing w:line="360" w:lineRule="auto"/>
        <w:ind w:firstLine="321" w:firstLineChars="100"/>
        <w:jc w:val="center"/>
        <w:rPr>
          <w:rFonts w:hint="eastAsia" w:ascii="宋体" w:hAnsi="宋体" w:eastAsia="宋体" w:cs="宋体"/>
          <w:b/>
          <w:color w:val="auto"/>
          <w:sz w:val="32"/>
          <w:szCs w:val="32"/>
          <w:highlight w:val="none"/>
          <w:u w:val="single"/>
        </w:rPr>
      </w:pPr>
      <w:bookmarkStart w:id="637" w:name="_Toc24373_WPSOffice_Level1"/>
      <w:bookmarkStart w:id="638" w:name="_Toc6870_WPSOffice_Level1"/>
      <w:r>
        <w:rPr>
          <w:rFonts w:hint="eastAsia" w:ascii="宋体" w:hAnsi="宋体" w:eastAsia="宋体" w:cs="宋体"/>
          <w:b/>
          <w:color w:val="auto"/>
          <w:sz w:val="32"/>
          <w:szCs w:val="32"/>
          <w:highlight w:val="none"/>
        </w:rPr>
        <w:t>授权委托书</w:t>
      </w:r>
      <w:bookmarkEnd w:id="637"/>
      <w:bookmarkEnd w:id="638"/>
    </w:p>
    <w:p>
      <w:pPr>
        <w:snapToGrid w:val="0"/>
        <w:spacing w:beforeLines="50" w:after="50"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val="en-US" w:eastAsia="zh-CN"/>
        </w:rPr>
        <w:t>浙江双联工程咨询有限公司</w:t>
      </w:r>
      <w:r>
        <w:rPr>
          <w:rFonts w:hint="eastAsia" w:ascii="宋体" w:hAnsi="宋体" w:eastAsia="宋体" w:cs="宋体"/>
          <w:color w:val="auto"/>
          <w:kern w:val="0"/>
          <w:sz w:val="24"/>
          <w:highlight w:val="none"/>
        </w:rPr>
        <w:t>（采购代理机构名称）：</w:t>
      </w:r>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（法定代表人或营业执照中单位负责人姓名）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（全权代表姓名） </w:t>
      </w:r>
      <w:r>
        <w:rPr>
          <w:rFonts w:hint="eastAsia" w:ascii="宋体" w:hAnsi="宋体" w:eastAsia="宋体" w:cs="宋体"/>
          <w:color w:val="auto"/>
          <w:sz w:val="24"/>
          <w:highlight w:val="none"/>
        </w:rPr>
        <w:t>为全权代表，参加贵单位组织的</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项目的采购活动，并代表我方全权办理针对上述项目的磋商、签约等具体事务和签署相关文件。我方对全权代表的签字事项负全部责任。</w:t>
      </w:r>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在撤销授权的书面通知以前，本授权书一直有效。全权代表在授权委托书有效期内签署的所有文件不因授权的撤销而失效。</w:t>
      </w:r>
    </w:p>
    <w:p>
      <w:pPr>
        <w:pStyle w:val="1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全权代表无转委托权，特此委托。</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供应商全称（电子印章）：                              日期：</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color w:val="auto"/>
                <w:sz w:val="24"/>
                <w:highlight w:val="none"/>
              </w:rPr>
            </w:pPr>
          </w:p>
          <w:p>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法定代表身份证复印件粘贴处</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法定代表人姓名：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pPr>
        <w:spacing w:line="360" w:lineRule="auto"/>
        <w:rPr>
          <w:rFonts w:hint="eastAsia" w:ascii="宋体" w:hAnsi="宋体" w:eastAsia="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hint="eastAsia" w:ascii="宋体" w:hAnsi="宋体" w:eastAsia="宋体" w:cs="宋体"/>
                <w:b/>
                <w:color w:val="auto"/>
                <w:sz w:val="24"/>
                <w:highlight w:val="none"/>
              </w:rPr>
            </w:pPr>
          </w:p>
          <w:p>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全权代表身份证复印件粘贴处</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全权代表姓名：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职务：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44"/>
        <w:shd w:val="clear" w:color="auto" w:fill="FFFFFF"/>
        <w:spacing w:before="0" w:beforeAutospacing="0" w:after="0" w:afterAutospacing="0"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pPr>
        <w:pStyle w:val="44"/>
        <w:shd w:val="clear" w:color="auto" w:fill="FFFFFF"/>
        <w:spacing w:before="0" w:beforeAutospacing="0" w:after="0" w:afterAutospacing="0"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 xml:space="preserve">  </w:t>
      </w:r>
      <w:bookmarkStart w:id="639" w:name="_Toc13307_WPSOffice_Level1"/>
      <w:bookmarkStart w:id="640" w:name="_Toc14261_WPSOffice_Level1"/>
      <w:r>
        <w:rPr>
          <w:rFonts w:hint="eastAsia" w:ascii="宋体" w:hAnsi="宋体" w:eastAsia="宋体" w:cs="宋体"/>
          <w:b/>
          <w:color w:val="auto"/>
          <w:sz w:val="32"/>
          <w:szCs w:val="32"/>
          <w:highlight w:val="none"/>
        </w:rPr>
        <w:t>供应商</w:t>
      </w:r>
      <w:r>
        <w:rPr>
          <w:rFonts w:hint="eastAsia" w:ascii="宋体" w:hAnsi="宋体" w:eastAsia="宋体" w:cs="宋体"/>
          <w:b/>
          <w:bCs/>
          <w:color w:val="auto"/>
          <w:spacing w:val="21"/>
          <w:sz w:val="32"/>
          <w:szCs w:val="32"/>
          <w:highlight w:val="none"/>
        </w:rPr>
        <w:t>基本情况表</w:t>
      </w:r>
      <w:bookmarkEnd w:id="639"/>
      <w:bookmarkEnd w:id="640"/>
    </w:p>
    <w:tbl>
      <w:tblPr>
        <w:tblStyle w:val="2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3"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4098" w:type="dxa"/>
            <w:gridSpan w:val="6"/>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2001" w:type="dxa"/>
            <w:gridSpan w:val="3"/>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151"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3" w:type="dxa"/>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4098" w:type="dxa"/>
            <w:gridSpan w:val="6"/>
            <w:tcBorders>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2001" w:type="dxa"/>
            <w:gridSpan w:val="3"/>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151"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3" w:type="dxa"/>
            <w:tcBorders>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820" w:type="dxa"/>
            <w:tcBorders>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910" w:type="dxa"/>
            <w:gridSpan w:val="2"/>
            <w:tcBorders>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368" w:type="dxa"/>
            <w:gridSpan w:val="3"/>
            <w:tcBorders>
              <w:bottom w:val="single" w:color="auto" w:sz="4" w:space="0"/>
            </w:tcBorders>
            <w:vAlign w:val="center"/>
          </w:tcPr>
          <w:p>
            <w:pPr>
              <w:widowControl/>
              <w:jc w:val="center"/>
              <w:rPr>
                <w:rFonts w:hint="eastAsia" w:ascii="宋体" w:hAnsi="宋体" w:eastAsia="宋体" w:cs="宋体"/>
                <w:bCs/>
                <w:color w:val="auto"/>
                <w:spacing w:val="16"/>
                <w:kern w:val="0"/>
                <w:sz w:val="24"/>
                <w:highlight w:val="none"/>
              </w:rPr>
            </w:pPr>
          </w:p>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2001" w:type="dxa"/>
            <w:gridSpan w:val="3"/>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151"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3" w:type="dxa"/>
            <w:vMerge w:val="restart"/>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820" w:type="dxa"/>
            <w:vMerge w:val="restart"/>
            <w:tcBorders>
              <w:top w:val="nil"/>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910" w:type="dxa"/>
            <w:gridSpan w:val="2"/>
            <w:tcBorders>
              <w:top w:val="nil"/>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368" w:type="dxa"/>
            <w:gridSpan w:val="3"/>
            <w:tcBorders>
              <w:top w:val="nil"/>
              <w:bottom w:val="single" w:color="auto" w:sz="4" w:space="0"/>
            </w:tcBorders>
            <w:vAlign w:val="center"/>
          </w:tcPr>
          <w:p>
            <w:pPr>
              <w:widowControl/>
              <w:jc w:val="center"/>
              <w:rPr>
                <w:rFonts w:hint="eastAsia" w:ascii="宋体" w:hAnsi="宋体" w:eastAsia="宋体" w:cs="宋体"/>
                <w:bCs/>
                <w:color w:val="auto"/>
                <w:spacing w:val="16"/>
                <w:kern w:val="0"/>
                <w:sz w:val="24"/>
                <w:highlight w:val="none"/>
              </w:rPr>
            </w:pPr>
          </w:p>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2001" w:type="dxa"/>
            <w:gridSpan w:val="3"/>
            <w:vMerge w:val="restart"/>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151" w:type="dxa"/>
            <w:gridSpan w:val="2"/>
            <w:vMerge w:val="restart"/>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23" w:type="dxa"/>
            <w:vMerge w:val="continue"/>
            <w:tcBorders>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820" w:type="dxa"/>
            <w:vMerge w:val="continue"/>
            <w:tcBorders>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910" w:type="dxa"/>
            <w:gridSpan w:val="2"/>
            <w:tcBorders>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368" w:type="dxa"/>
            <w:gridSpan w:val="3"/>
            <w:tcBorders>
              <w:bottom w:val="single" w:color="auto" w:sz="4" w:space="0"/>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2001" w:type="dxa"/>
            <w:gridSpan w:val="3"/>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2151" w:type="dxa"/>
            <w:gridSpan w:val="2"/>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3" w:type="dxa"/>
            <w:vMerge w:val="restart"/>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highlight w:val="none"/>
              </w:rPr>
              <w:t>企</w:t>
            </w:r>
          </w:p>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highlight w:val="none"/>
              </w:rPr>
              <w:t>业</w:t>
            </w:r>
          </w:p>
          <w:p>
            <w:pPr>
              <w:pStyle w:val="44"/>
              <w:shd w:val="clear" w:color="auto" w:fill="FFFFFF"/>
              <w:spacing w:before="0" w:beforeAutospacing="0" w:after="0" w:afterAutospacing="0"/>
              <w:jc w:val="center"/>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820" w:type="dxa"/>
            <w:tcBorders>
              <w:top w:val="nil"/>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10" w:type="dxa"/>
            <w:gridSpan w:val="2"/>
            <w:tcBorders>
              <w:top w:val="nil"/>
            </w:tcBorders>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1163" w:type="dxa"/>
            <w:tcBorders>
              <w:top w:val="nil"/>
            </w:tcBorders>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205" w:type="dxa"/>
            <w:gridSpan w:val="2"/>
            <w:tcBorders>
              <w:top w:val="nil"/>
            </w:tcBorders>
            <w:vAlign w:val="center"/>
          </w:tcPr>
          <w:p>
            <w:pPr>
              <w:widowControl/>
              <w:jc w:val="center"/>
              <w:rPr>
                <w:rFonts w:hint="eastAsia" w:ascii="宋体" w:hAnsi="宋体" w:eastAsia="宋体" w:cs="宋体"/>
                <w:bCs/>
                <w:color w:val="auto"/>
                <w:spacing w:val="16"/>
                <w:kern w:val="0"/>
                <w:sz w:val="24"/>
                <w:highlight w:val="none"/>
              </w:rPr>
            </w:pPr>
          </w:p>
          <w:p>
            <w:pPr>
              <w:widowControl/>
              <w:jc w:val="center"/>
              <w:rPr>
                <w:rFonts w:hint="eastAsia" w:ascii="宋体" w:hAnsi="宋体" w:eastAsia="宋体" w:cs="宋体"/>
                <w:bCs/>
                <w:color w:val="auto"/>
                <w:spacing w:val="16"/>
                <w:kern w:val="0"/>
                <w:sz w:val="24"/>
                <w:highlight w:val="none"/>
              </w:rPr>
            </w:pPr>
          </w:p>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2001" w:type="dxa"/>
            <w:gridSpan w:val="3"/>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151"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3" w:type="dxa"/>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820"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10"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1163"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205"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□自有□租赁</w:t>
            </w:r>
          </w:p>
        </w:tc>
        <w:tc>
          <w:tcPr>
            <w:tcW w:w="2001" w:type="dxa"/>
            <w:gridSpan w:val="3"/>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151"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3" w:type="dxa"/>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820" w:type="dxa"/>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10"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1163"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3206" w:type="dxa"/>
            <w:gridSpan w:val="5"/>
            <w:vAlign w:val="center"/>
          </w:tcPr>
          <w:p>
            <w:pPr>
              <w:widowControl/>
              <w:jc w:val="center"/>
              <w:rPr>
                <w:rFonts w:hint="eastAsia" w:ascii="宋体" w:hAnsi="宋体" w:eastAsia="宋体" w:cs="宋体"/>
                <w:bCs/>
                <w:color w:val="auto"/>
                <w:kern w:val="0"/>
                <w:sz w:val="24"/>
                <w:highlight w:val="none"/>
              </w:rPr>
            </w:pPr>
          </w:p>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1218"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23" w:type="dxa"/>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820"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430" w:type="dxa"/>
            <w:gridSpan w:val="10"/>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23" w:type="dxa"/>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8250" w:type="dxa"/>
            <w:gridSpan w:val="11"/>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 w:type="dxa"/>
            <w:vMerge w:val="restart"/>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672" w:type="dxa"/>
            <w:gridSpan w:val="2"/>
            <w:vMerge w:val="restart"/>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418"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276"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1672" w:type="dxa"/>
            <w:gridSpan w:val="2"/>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1333" w:type="dxa"/>
            <w:gridSpan w:val="3"/>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1418"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1276" w:type="dxa"/>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c>
          <w:tcPr>
            <w:tcW w:w="2551" w:type="dxa"/>
            <w:gridSpan w:val="3"/>
            <w:vAlign w:val="center"/>
          </w:tcPr>
          <w:p>
            <w:pPr>
              <w:pStyle w:val="44"/>
              <w:shd w:val="clear" w:color="auto" w:fill="FFFFFF"/>
              <w:spacing w:before="0" w:beforeAutospacing="0" w:after="0" w:afterAutospacing="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3" w:type="dxa"/>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c>
          <w:tcPr>
            <w:tcW w:w="1672"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9"/>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27"/>
                <w:highlight w:val="none"/>
              </w:rPr>
            </w:pPr>
          </w:p>
        </w:tc>
        <w:tc>
          <w:tcPr>
            <w:tcW w:w="1672" w:type="dxa"/>
            <w:gridSpan w:val="2"/>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9"/>
            <w:vAlign w:val="center"/>
          </w:tcPr>
          <w:p>
            <w:pPr>
              <w:pStyle w:val="44"/>
              <w:shd w:val="clear" w:color="auto" w:fill="FFFFFF"/>
              <w:spacing w:before="0" w:beforeAutospacing="0" w:after="0" w:afterAutospacing="0"/>
              <w:jc w:val="center"/>
              <w:rPr>
                <w:rFonts w:hint="eastAsia" w:ascii="宋体" w:hAnsi="宋体" w:eastAsia="宋体" w:cs="宋体"/>
                <w:bCs/>
                <w:color w:val="auto"/>
                <w:spacing w:val="16"/>
                <w:highlight w:val="none"/>
              </w:rPr>
            </w:pPr>
          </w:p>
        </w:tc>
      </w:tr>
    </w:tbl>
    <w:p>
      <w:pPr>
        <w:pStyle w:val="44"/>
        <w:shd w:val="clear" w:color="auto" w:fill="FFFFFF"/>
        <w:spacing w:before="0" w:beforeAutospacing="0" w:after="0" w:afterAutospacing="0" w:line="360" w:lineRule="auto"/>
        <w:rPr>
          <w:rFonts w:hint="eastAsia" w:ascii="宋体" w:hAnsi="宋体" w:eastAsia="宋体" w:cs="宋体"/>
          <w:color w:val="auto"/>
          <w:highlight w:val="none"/>
        </w:rPr>
      </w:pPr>
    </w:p>
    <w:p>
      <w:pPr>
        <w:pStyle w:val="44"/>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pStyle w:val="44"/>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p>
    <w:p>
      <w:pPr>
        <w:spacing w:line="360" w:lineRule="auto"/>
        <w:rPr>
          <w:rFonts w:hint="eastAsia" w:ascii="宋体" w:hAnsi="宋体" w:eastAsia="宋体" w:cs="宋体"/>
          <w:color w:val="auto"/>
          <w:sz w:val="24"/>
          <w:highlight w:val="none"/>
        </w:rPr>
      </w:pPr>
    </w:p>
    <w:p>
      <w:pPr>
        <w:pStyle w:val="44"/>
        <w:shd w:val="clear" w:color="auto" w:fill="FFFFFF"/>
        <w:spacing w:before="0" w:beforeAutospacing="0" w:after="0" w:afterAutospacing="0" w:line="360" w:lineRule="auto"/>
        <w:ind w:firstLine="424" w:firstLineChars="177"/>
        <w:rPr>
          <w:rFonts w:hint="eastAsia" w:ascii="宋体" w:hAnsi="宋体" w:eastAsia="宋体" w:cs="宋体"/>
          <w:b/>
          <w:bCs/>
          <w:color w:val="auto"/>
          <w:spacing w:val="11"/>
          <w:highlight w:val="none"/>
        </w:rPr>
      </w:pPr>
      <w:r>
        <w:rPr>
          <w:rFonts w:hint="eastAsia" w:ascii="宋体" w:hAnsi="宋体" w:eastAsia="宋体" w:cs="宋体"/>
          <w:color w:val="auto"/>
          <w:highlight w:val="none"/>
        </w:rPr>
        <w:t>日        期：：</w:t>
      </w:r>
    </w:p>
    <w:p>
      <w:pPr>
        <w:spacing w:line="360" w:lineRule="auto"/>
        <w:rPr>
          <w:rFonts w:hint="eastAsia" w:ascii="宋体" w:hAnsi="宋体" w:eastAsia="宋体" w:cs="宋体"/>
          <w:b/>
          <w:color w:val="auto"/>
          <w:sz w:val="24"/>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napToGrid w:val="0"/>
        <w:spacing w:beforeLines="50" w:after="50" w:line="360" w:lineRule="auto"/>
        <w:jc w:val="center"/>
        <w:rPr>
          <w:rFonts w:hint="eastAsia" w:ascii="宋体" w:hAnsi="宋体" w:eastAsia="宋体" w:cs="宋体"/>
          <w:b/>
          <w:color w:val="auto"/>
          <w:sz w:val="36"/>
          <w:szCs w:val="36"/>
          <w:highlight w:val="none"/>
        </w:rPr>
      </w:pPr>
      <w:bookmarkStart w:id="641" w:name="_Toc23671_WPSOffice_Level1"/>
      <w:bookmarkStart w:id="642" w:name="_Toc20569_WPSOffice_Level1"/>
      <w:r>
        <w:rPr>
          <w:rFonts w:hint="eastAsia" w:ascii="宋体" w:hAnsi="宋体" w:eastAsia="宋体" w:cs="宋体"/>
          <w:b/>
          <w:color w:val="auto"/>
          <w:sz w:val="32"/>
          <w:szCs w:val="32"/>
          <w:highlight w:val="none"/>
        </w:rPr>
        <w:t>项目实施人员一览表（第 标）</w:t>
      </w:r>
      <w:bookmarkEnd w:id="641"/>
      <w:bookmarkEnd w:id="642"/>
    </w:p>
    <w:p>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6"/>
              <w:spacing w:line="360" w:lineRule="auto"/>
              <w:ind w:left="5250"/>
              <w:rPr>
                <w:rFonts w:hint="eastAsia" w:ascii="宋体" w:hAnsi="宋体" w:eastAsia="宋体" w:cs="宋体"/>
                <w:color w:val="auto"/>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spacing w:line="360" w:lineRule="auto"/>
        <w:ind w:left="43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在填写时，如本表格不适合投标单位的实际情况，可根据本表格式自行划表填写。</w:t>
      </w:r>
    </w:p>
    <w:p>
      <w:pPr>
        <w:pStyle w:val="45"/>
        <w:spacing w:line="360" w:lineRule="auto"/>
        <w:ind w:left="424" w:left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2.附人员证书</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w:t>
      </w:r>
    </w:p>
    <w:p>
      <w:pPr>
        <w:pStyle w:val="45"/>
        <w:spacing w:line="360" w:lineRule="auto"/>
        <w:ind w:left="424" w:hanging="424" w:hanging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　　3.出具上述人员在本单位服务的外部证明，</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近3个月社保的证明（须为加盖社保部门印章的证明文件）影印件或扫描件。</w:t>
      </w:r>
    </w:p>
    <w:p>
      <w:pPr>
        <w:snapToGrid w:val="0"/>
        <w:spacing w:before="50" w:afterLines="50" w:line="360" w:lineRule="auto"/>
        <w:jc w:val="left"/>
        <w:rPr>
          <w:rFonts w:hint="eastAsia" w:ascii="宋体" w:hAnsi="宋体" w:eastAsia="宋体" w:cs="宋体"/>
          <w:color w:val="auto"/>
          <w:sz w:val="24"/>
          <w:szCs w:val="20"/>
          <w:highlight w:val="none"/>
        </w:rPr>
      </w:pPr>
    </w:p>
    <w:p>
      <w:pPr>
        <w:snapToGrid w:val="0"/>
        <w:spacing w:before="50" w:afterLines="50" w:line="360" w:lineRule="auto"/>
        <w:jc w:val="left"/>
        <w:rPr>
          <w:rFonts w:hint="eastAsia" w:ascii="宋体" w:hAnsi="宋体" w:eastAsia="宋体" w:cs="宋体"/>
          <w:color w:val="auto"/>
          <w:sz w:val="24"/>
          <w:szCs w:val="20"/>
          <w:highlight w:val="none"/>
        </w:rPr>
      </w:pP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pacing w:beforeLines="50" w:afterLines="50" w:line="360" w:lineRule="auto"/>
        <w:ind w:right="-10"/>
        <w:jc w:val="center"/>
        <w:rPr>
          <w:rFonts w:hint="eastAsia" w:ascii="宋体" w:hAnsi="宋体" w:eastAsia="宋体" w:cs="宋体"/>
          <w:b/>
          <w:bCs/>
          <w:color w:val="auto"/>
          <w:sz w:val="32"/>
          <w:szCs w:val="32"/>
          <w:highlight w:val="none"/>
        </w:rPr>
      </w:pPr>
      <w:bookmarkStart w:id="643" w:name="_Toc23055_WPSOffice_Level1"/>
      <w:bookmarkStart w:id="644" w:name="_Toc12710_WPSOffice_Level1"/>
      <w:r>
        <w:rPr>
          <w:rFonts w:hint="eastAsia" w:ascii="宋体" w:hAnsi="宋体" w:eastAsia="宋体" w:cs="宋体"/>
          <w:b/>
          <w:bCs/>
          <w:color w:val="auto"/>
          <w:sz w:val="32"/>
          <w:szCs w:val="32"/>
          <w:highlight w:val="none"/>
        </w:rPr>
        <w:t>项目负责人简历表</w:t>
      </w:r>
      <w:bookmarkEnd w:id="643"/>
      <w:bookmarkEnd w:id="644"/>
    </w:p>
    <w:p>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highlight w:val="none"/>
        </w:rPr>
        <w:t>采购项目：                                            采购编号：</w:t>
      </w:r>
    </w:p>
    <w:tbl>
      <w:tblPr>
        <w:tblStyle w:val="28"/>
        <w:tblW w:w="8388" w:type="dxa"/>
        <w:jc w:val="center"/>
        <w:tblLayout w:type="fixed"/>
        <w:tblCellMar>
          <w:top w:w="0" w:type="dxa"/>
          <w:left w:w="108" w:type="dxa"/>
          <w:bottom w:w="0" w:type="dxa"/>
          <w:right w:w="108" w:type="dxa"/>
        </w:tblCellMar>
      </w:tblPr>
      <w:tblGrid>
        <w:gridCol w:w="1089"/>
        <w:gridCol w:w="279"/>
        <w:gridCol w:w="333"/>
        <w:gridCol w:w="331"/>
        <w:gridCol w:w="894"/>
        <w:gridCol w:w="1089"/>
        <w:gridCol w:w="1116"/>
        <w:gridCol w:w="933"/>
        <w:gridCol w:w="972"/>
        <w:gridCol w:w="1352"/>
      </w:tblGrid>
      <w:tr>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943"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专业</w:t>
            </w:r>
          </w:p>
        </w:tc>
        <w:tc>
          <w:tcPr>
            <w:tcW w:w="1352"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89" w:hRule="atLeast"/>
          <w:jc w:val="center"/>
        </w:trPr>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资质等级</w:t>
            </w:r>
          </w:p>
        </w:tc>
        <w:tc>
          <w:tcPr>
            <w:tcW w:w="1225"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学历</w:t>
            </w:r>
          </w:p>
        </w:tc>
        <w:tc>
          <w:tcPr>
            <w:tcW w:w="13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00" w:hRule="atLeast"/>
          <w:jc w:val="center"/>
        </w:trPr>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参加工作时间</w:t>
            </w:r>
          </w:p>
        </w:tc>
        <w:tc>
          <w:tcPr>
            <w:tcW w:w="2314"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137" w:right="0" w:hanging="288" w:hangingChars="120"/>
              <w:jc w:val="left"/>
              <w:rPr>
                <w:rFonts w:hint="eastAsia" w:ascii="宋体" w:hAnsi="宋体" w:eastAsia="宋体" w:cs="宋体"/>
                <w:color w:val="auto"/>
                <w:kern w:val="0"/>
                <w:sz w:val="24"/>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从事项目负责人年限</w:t>
            </w:r>
          </w:p>
        </w:tc>
        <w:tc>
          <w:tcPr>
            <w:tcW w:w="13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13" w:hRule="atLeast"/>
          <w:jc w:val="center"/>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证书号</w:t>
            </w:r>
          </w:p>
        </w:tc>
        <w:tc>
          <w:tcPr>
            <w:tcW w:w="2647" w:type="dxa"/>
            <w:gridSpan w:val="4"/>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669"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简</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历</w:t>
            </w:r>
          </w:p>
        </w:tc>
        <w:tc>
          <w:tcPr>
            <w:tcW w:w="7299"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12" w:hRule="atLeast"/>
          <w:jc w:val="center"/>
        </w:trPr>
        <w:tc>
          <w:tcPr>
            <w:tcW w:w="1089" w:type="dxa"/>
            <w:vMerge w:val="continue"/>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szCs w:val="22"/>
                <w:highlight w:val="none"/>
              </w:rPr>
            </w:pPr>
          </w:p>
        </w:tc>
        <w:tc>
          <w:tcPr>
            <w:tcW w:w="7299" w:type="dxa"/>
            <w:gridSpan w:val="9"/>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szCs w:val="22"/>
                <w:highlight w:val="none"/>
              </w:rPr>
            </w:pPr>
          </w:p>
        </w:tc>
      </w:tr>
    </w:tbl>
    <w:p>
      <w:pPr>
        <w:spacing w:line="360" w:lineRule="auto"/>
        <w:rPr>
          <w:rFonts w:hint="eastAsia" w:ascii="宋体" w:hAnsi="宋体" w:eastAsia="宋体" w:cs="宋体"/>
          <w:color w:val="auto"/>
          <w:highlight w:val="none"/>
        </w:rPr>
      </w:pPr>
    </w:p>
    <w:p>
      <w:pPr>
        <w:spacing w:line="360" w:lineRule="auto"/>
        <w:ind w:left="42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pStyle w:val="47"/>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pacing w:line="360" w:lineRule="auto"/>
        <w:jc w:val="center"/>
        <w:rPr>
          <w:rFonts w:hint="eastAsia" w:ascii="宋体" w:hAnsi="宋体" w:eastAsia="宋体" w:cs="宋体"/>
          <w:bCs/>
          <w:color w:val="auto"/>
          <w:sz w:val="28"/>
          <w:highlight w:val="none"/>
          <w:lang w:eastAsia="zh-CN"/>
        </w:rPr>
      </w:pPr>
      <w:r>
        <w:rPr>
          <w:rFonts w:hint="eastAsia" w:ascii="宋体" w:hAnsi="宋体" w:eastAsia="宋体" w:cs="宋体"/>
          <w:bCs/>
          <w:color w:val="auto"/>
          <w:sz w:val="28"/>
          <w:highlight w:val="none"/>
          <w:lang w:eastAsia="zh-CN"/>
        </w:rPr>
        <w:t xml:space="preserve"> </w:t>
      </w:r>
    </w:p>
    <w:p>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主要施工机械设备表</w:t>
      </w:r>
    </w:p>
    <w:p>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highlight w:val="none"/>
        </w:rPr>
        <w:t>采购项目：                                            采购编号：</w:t>
      </w:r>
    </w:p>
    <w:tbl>
      <w:tblPr>
        <w:tblStyle w:val="28"/>
        <w:tblW w:w="8448" w:type="dxa"/>
        <w:jc w:val="center"/>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bl>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p>
    <w:p>
      <w:pPr>
        <w:spacing w:line="360" w:lineRule="auto"/>
        <w:rPr>
          <w:rFonts w:hint="eastAsia" w:ascii="宋体" w:hAnsi="宋体" w:eastAsia="宋体" w:cs="宋体"/>
          <w:color w:val="auto"/>
          <w:sz w:val="24"/>
          <w:highlight w:val="none"/>
        </w:rPr>
      </w:pPr>
    </w:p>
    <w:p>
      <w:pPr>
        <w:pStyle w:val="44"/>
        <w:shd w:val="clear" w:color="auto" w:fill="FFFFFF"/>
        <w:spacing w:before="0" w:beforeAutospacing="0" w:after="0" w:afterAutospacing="0" w:line="360" w:lineRule="auto"/>
        <w:ind w:firstLine="424" w:firstLineChars="177"/>
        <w:rPr>
          <w:rFonts w:hint="eastAsia" w:ascii="宋体" w:hAnsi="宋体" w:eastAsia="宋体" w:cs="宋体"/>
          <w:b/>
          <w:bCs/>
          <w:color w:val="auto"/>
          <w:spacing w:val="11"/>
          <w:highlight w:val="none"/>
        </w:rPr>
      </w:pPr>
      <w:r>
        <w:rPr>
          <w:rFonts w:hint="eastAsia" w:ascii="宋体" w:hAnsi="宋体" w:eastAsia="宋体" w:cs="宋体"/>
          <w:color w:val="auto"/>
          <w:highlight w:val="none"/>
        </w:rPr>
        <w:t>日        期：：</w:t>
      </w:r>
    </w:p>
    <w:p>
      <w:pPr>
        <w:pStyle w:val="47"/>
        <w:spacing w:line="360" w:lineRule="auto"/>
        <w:jc w:val="left"/>
        <w:rPr>
          <w:rFonts w:hint="eastAsia" w:ascii="宋体" w:hAnsi="宋体" w:eastAsia="宋体" w:cs="宋体"/>
          <w:b/>
          <w:color w:val="auto"/>
          <w:sz w:val="28"/>
          <w:highlight w:val="none"/>
        </w:rPr>
      </w:pPr>
    </w:p>
    <w:p>
      <w:pPr>
        <w:pStyle w:val="47"/>
        <w:spacing w:line="360" w:lineRule="auto"/>
        <w:jc w:val="left"/>
        <w:rPr>
          <w:rFonts w:hint="eastAsia" w:ascii="宋体" w:hAnsi="宋体" w:eastAsia="宋体" w:cs="宋体"/>
          <w:b/>
          <w:color w:val="auto"/>
          <w:sz w:val="28"/>
          <w:highlight w:val="none"/>
        </w:rPr>
      </w:pPr>
    </w:p>
    <w:p>
      <w:pPr>
        <w:pStyle w:val="47"/>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派驻本工程项目管理人员一览表</w:t>
      </w:r>
    </w:p>
    <w:p>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highlight w:val="none"/>
        </w:rPr>
        <w:t>采购项目：                                            采购编号：</w:t>
      </w:r>
    </w:p>
    <w:p>
      <w:pPr>
        <w:spacing w:line="360" w:lineRule="auto"/>
        <w:jc w:val="center"/>
        <w:rPr>
          <w:rFonts w:hint="eastAsia" w:ascii="宋体" w:hAnsi="宋体" w:eastAsia="宋体" w:cs="宋体"/>
          <w:color w:val="auto"/>
          <w:sz w:val="36"/>
          <w:highlight w:val="none"/>
        </w:rPr>
      </w:pPr>
    </w:p>
    <w:tbl>
      <w:tblPr>
        <w:tblStyle w:val="28"/>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861"/>
        <w:gridCol w:w="574"/>
        <w:gridCol w:w="861"/>
        <w:gridCol w:w="861"/>
        <w:gridCol w:w="861"/>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exact"/>
        </w:trPr>
        <w:tc>
          <w:tcPr>
            <w:tcW w:w="2978"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57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本岗</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工龄</w:t>
            </w:r>
          </w:p>
        </w:tc>
        <w:tc>
          <w:tcPr>
            <w:tcW w:w="2583"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“三类人员”证书号码及身份证号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978"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7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583"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978"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7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583"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978"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安全员</w:t>
            </w: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7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583"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978"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7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583"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978"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7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583"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978"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7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583"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978" w:type="dxa"/>
            <w:noWrap/>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74"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1"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583"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备注：项目负责人和安全员必须填写“三类人员”证书号码，其他人员无须填写“三类人员”证书号码。</w:t>
      </w:r>
    </w:p>
    <w:p>
      <w:pPr>
        <w:spacing w:line="360" w:lineRule="auto"/>
        <w:ind w:firstLine="424" w:firstLineChars="177"/>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p>
    <w:p>
      <w:pPr>
        <w:spacing w:line="360" w:lineRule="auto"/>
        <w:rPr>
          <w:rFonts w:hint="eastAsia" w:ascii="宋体" w:hAnsi="宋体" w:eastAsia="宋体" w:cs="宋体"/>
          <w:color w:val="auto"/>
          <w:sz w:val="24"/>
          <w:highlight w:val="none"/>
        </w:rPr>
      </w:pPr>
    </w:p>
    <w:p>
      <w:pPr>
        <w:pStyle w:val="44"/>
        <w:shd w:val="clear" w:color="auto" w:fill="FFFFFF"/>
        <w:spacing w:before="0" w:beforeAutospacing="0" w:after="0" w:afterAutospacing="0" w:line="360" w:lineRule="auto"/>
        <w:ind w:firstLine="424" w:firstLineChars="177"/>
        <w:rPr>
          <w:rFonts w:hint="eastAsia" w:ascii="宋体" w:hAnsi="宋体" w:eastAsia="宋体" w:cs="宋体"/>
          <w:b/>
          <w:bCs/>
          <w:color w:val="auto"/>
          <w:spacing w:val="11"/>
          <w:highlight w:val="none"/>
        </w:rPr>
      </w:pPr>
      <w:r>
        <w:rPr>
          <w:rFonts w:hint="eastAsia" w:ascii="宋体" w:hAnsi="宋体" w:eastAsia="宋体" w:cs="宋体"/>
          <w:color w:val="auto"/>
          <w:highlight w:val="none"/>
        </w:rPr>
        <w:t>日        期：：</w:t>
      </w:r>
    </w:p>
    <w:p>
      <w:pPr>
        <w:pStyle w:val="47"/>
        <w:spacing w:line="360" w:lineRule="auto"/>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pPr>
        <w:pStyle w:val="48"/>
        <w:spacing w:line="360" w:lineRule="auto"/>
        <w:jc w:val="center"/>
        <w:rPr>
          <w:rFonts w:hint="eastAsia" w:ascii="宋体" w:hAnsi="宋体" w:eastAsia="宋体" w:cs="宋体"/>
          <w:b/>
          <w:color w:val="auto"/>
          <w:sz w:val="32"/>
          <w:szCs w:val="32"/>
          <w:highlight w:val="none"/>
        </w:rPr>
      </w:pPr>
      <w:bookmarkStart w:id="645" w:name="_Toc17604_WPSOffice_Level1"/>
      <w:bookmarkStart w:id="646" w:name="_Toc11030_WPSOffice_Level1"/>
      <w:r>
        <w:rPr>
          <w:rFonts w:hint="eastAsia" w:ascii="宋体" w:hAnsi="宋体" w:eastAsia="宋体" w:cs="宋体"/>
          <w:b/>
          <w:color w:val="auto"/>
          <w:sz w:val="32"/>
          <w:szCs w:val="32"/>
          <w:highlight w:val="none"/>
        </w:rPr>
        <w:t>证书一览表</w:t>
      </w:r>
      <w:bookmarkEnd w:id="645"/>
      <w:bookmarkEnd w:id="646"/>
    </w:p>
    <w:p>
      <w:pPr>
        <w:pStyle w:val="48"/>
        <w:spacing w:line="360" w:lineRule="auto"/>
        <w:jc w:val="center"/>
        <w:rPr>
          <w:rFonts w:hint="eastAsia" w:ascii="宋体" w:hAnsi="宋体" w:eastAsia="宋体" w:cs="宋体"/>
          <w:color w:val="auto"/>
          <w:sz w:val="28"/>
          <w:szCs w:val="28"/>
          <w:highlight w:val="none"/>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single" w:color="auto" w:sz="4" w:space="0"/>
              <w:bottom w:val="single" w:color="auto" w:sz="4" w:space="0"/>
            </w:tcBorders>
          </w:tcPr>
          <w:p>
            <w:pPr>
              <w:pStyle w:val="4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single" w:color="auto" w:sz="4" w:space="0"/>
              <w:bottom w:val="single" w:color="auto" w:sz="4" w:space="0"/>
            </w:tcBorders>
          </w:tcPr>
          <w:p>
            <w:pPr>
              <w:pStyle w:val="4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58" w:type="dxa"/>
            <w:tcBorders>
              <w:top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60" w:type="dxa"/>
            <w:tcBorders>
              <w:top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pPr>
              <w:pStyle w:val="4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58" w:type="dxa"/>
          </w:tcPr>
          <w:p>
            <w:pPr>
              <w:pStyle w:val="48"/>
              <w:spacing w:line="360" w:lineRule="auto"/>
              <w:jc w:val="center"/>
              <w:rPr>
                <w:rFonts w:hint="eastAsia" w:ascii="宋体" w:hAnsi="宋体" w:eastAsia="宋体" w:cs="宋体"/>
                <w:color w:val="auto"/>
                <w:szCs w:val="21"/>
                <w:highlight w:val="none"/>
              </w:rPr>
            </w:pPr>
          </w:p>
        </w:tc>
        <w:tc>
          <w:tcPr>
            <w:tcW w:w="2260" w:type="dxa"/>
          </w:tcPr>
          <w:p>
            <w:pPr>
              <w:pStyle w:val="4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4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58" w:type="dxa"/>
          </w:tcPr>
          <w:p>
            <w:pPr>
              <w:pStyle w:val="48"/>
              <w:spacing w:line="360" w:lineRule="auto"/>
              <w:jc w:val="center"/>
              <w:rPr>
                <w:rFonts w:hint="eastAsia" w:ascii="宋体" w:hAnsi="宋体" w:eastAsia="宋体" w:cs="宋体"/>
                <w:color w:val="auto"/>
                <w:szCs w:val="21"/>
                <w:highlight w:val="none"/>
              </w:rPr>
            </w:pPr>
          </w:p>
        </w:tc>
        <w:tc>
          <w:tcPr>
            <w:tcW w:w="2260" w:type="dxa"/>
          </w:tcPr>
          <w:p>
            <w:pPr>
              <w:pStyle w:val="4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4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58" w:type="dxa"/>
          </w:tcPr>
          <w:p>
            <w:pPr>
              <w:pStyle w:val="48"/>
              <w:spacing w:line="360" w:lineRule="auto"/>
              <w:jc w:val="center"/>
              <w:rPr>
                <w:rFonts w:hint="eastAsia" w:ascii="宋体" w:hAnsi="宋体" w:eastAsia="宋体" w:cs="宋体"/>
                <w:color w:val="auto"/>
                <w:szCs w:val="21"/>
                <w:highlight w:val="none"/>
              </w:rPr>
            </w:pPr>
          </w:p>
        </w:tc>
        <w:tc>
          <w:tcPr>
            <w:tcW w:w="2260" w:type="dxa"/>
          </w:tcPr>
          <w:p>
            <w:pPr>
              <w:pStyle w:val="4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4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58" w:type="dxa"/>
          </w:tcPr>
          <w:p>
            <w:pPr>
              <w:pStyle w:val="48"/>
              <w:spacing w:line="360" w:lineRule="auto"/>
              <w:jc w:val="center"/>
              <w:rPr>
                <w:rFonts w:hint="eastAsia" w:ascii="宋体" w:hAnsi="宋体" w:eastAsia="宋体" w:cs="宋体"/>
                <w:color w:val="auto"/>
                <w:szCs w:val="21"/>
                <w:highlight w:val="none"/>
              </w:rPr>
            </w:pPr>
          </w:p>
        </w:tc>
        <w:tc>
          <w:tcPr>
            <w:tcW w:w="2260" w:type="dxa"/>
          </w:tcPr>
          <w:p>
            <w:pPr>
              <w:pStyle w:val="4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4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58" w:type="dxa"/>
          </w:tcPr>
          <w:p>
            <w:pPr>
              <w:pStyle w:val="48"/>
              <w:spacing w:line="360" w:lineRule="auto"/>
              <w:jc w:val="center"/>
              <w:rPr>
                <w:rFonts w:hint="eastAsia" w:ascii="宋体" w:hAnsi="宋体" w:eastAsia="宋体" w:cs="宋体"/>
                <w:color w:val="auto"/>
                <w:szCs w:val="21"/>
                <w:highlight w:val="none"/>
              </w:rPr>
            </w:pPr>
          </w:p>
        </w:tc>
        <w:tc>
          <w:tcPr>
            <w:tcW w:w="2260" w:type="dxa"/>
          </w:tcPr>
          <w:p>
            <w:pPr>
              <w:pStyle w:val="4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4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58" w:type="dxa"/>
            <w:tcBorders>
              <w:bottom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260" w:type="dxa"/>
            <w:tcBorders>
              <w:bottom w:val="single" w:color="auto" w:sz="4" w:space="0"/>
            </w:tcBorders>
          </w:tcPr>
          <w:p>
            <w:pPr>
              <w:pStyle w:val="48"/>
              <w:spacing w:line="360" w:lineRule="auto"/>
              <w:jc w:val="center"/>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pPr>
              <w:pStyle w:val="48"/>
              <w:spacing w:line="360" w:lineRule="auto"/>
              <w:jc w:val="center"/>
              <w:rPr>
                <w:rFonts w:hint="eastAsia" w:ascii="宋体" w:hAnsi="宋体" w:eastAsia="宋体" w:cs="宋体"/>
                <w:color w:val="auto"/>
                <w:szCs w:val="21"/>
                <w:highlight w:val="none"/>
              </w:rPr>
            </w:pPr>
          </w:p>
        </w:tc>
      </w:tr>
    </w:tbl>
    <w:p>
      <w:pPr>
        <w:pStyle w:val="48"/>
        <w:tabs>
          <w:tab w:val="left" w:pos="1050"/>
        </w:tabs>
        <w:spacing w:line="360" w:lineRule="auto"/>
        <w:rPr>
          <w:rFonts w:hint="eastAsia" w:ascii="宋体" w:hAnsi="宋体" w:eastAsia="宋体" w:cs="宋体"/>
          <w:color w:val="auto"/>
          <w:sz w:val="24"/>
          <w:highlight w:val="none"/>
        </w:rPr>
      </w:pPr>
    </w:p>
    <w:p>
      <w:pPr>
        <w:pStyle w:val="48"/>
        <w:tabs>
          <w:tab w:val="left" w:pos="1050"/>
        </w:tabs>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pPr>
        <w:pStyle w:val="48"/>
        <w:tabs>
          <w:tab w:val="left" w:pos="1050"/>
        </w:tabs>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1.填写供应商获得资质、认证或企业信誉证书；</w:t>
      </w:r>
    </w:p>
    <w:p>
      <w:pPr>
        <w:pStyle w:val="48"/>
        <w:tabs>
          <w:tab w:val="left" w:pos="1050"/>
        </w:tabs>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2.附所列证书</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或其他证明材料。</w:t>
      </w:r>
    </w:p>
    <w:p>
      <w:pPr>
        <w:pStyle w:val="48"/>
        <w:tabs>
          <w:tab w:val="left" w:pos="1050"/>
        </w:tabs>
        <w:spacing w:line="360" w:lineRule="auto"/>
        <w:ind w:firstLine="720" w:firstLineChars="300"/>
        <w:rPr>
          <w:rFonts w:hint="eastAsia" w:ascii="宋体" w:hAnsi="宋体" w:eastAsia="宋体" w:cs="宋体"/>
          <w:color w:val="auto"/>
          <w:sz w:val="24"/>
          <w:highlight w:val="none"/>
        </w:rPr>
      </w:pPr>
    </w:p>
    <w:p>
      <w:pPr>
        <w:pStyle w:val="48"/>
        <w:tabs>
          <w:tab w:val="left" w:pos="1050"/>
        </w:tabs>
        <w:spacing w:line="360" w:lineRule="auto"/>
        <w:ind w:firstLine="720" w:firstLineChars="300"/>
        <w:rPr>
          <w:rFonts w:hint="eastAsia" w:ascii="宋体" w:hAnsi="宋体" w:eastAsia="宋体" w:cs="宋体"/>
          <w:color w:val="auto"/>
          <w:sz w:val="24"/>
          <w:highlight w:val="none"/>
        </w:rPr>
      </w:pPr>
    </w:p>
    <w:p>
      <w:pPr>
        <w:pStyle w:val="48"/>
        <w:tabs>
          <w:tab w:val="left" w:pos="1050"/>
        </w:tabs>
        <w:spacing w:line="360" w:lineRule="auto"/>
        <w:ind w:firstLine="720" w:firstLineChars="300"/>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p>
    <w:p>
      <w:pPr>
        <w:spacing w:line="360" w:lineRule="auto"/>
        <w:rPr>
          <w:rFonts w:hint="eastAsia" w:ascii="宋体" w:hAnsi="宋体" w:eastAsia="宋体" w:cs="宋体"/>
          <w:color w:val="auto"/>
          <w:sz w:val="24"/>
          <w:highlight w:val="none"/>
        </w:rPr>
      </w:pPr>
    </w:p>
    <w:p>
      <w:pPr>
        <w:pStyle w:val="44"/>
        <w:shd w:val="clear" w:color="auto" w:fill="FFFFFF"/>
        <w:spacing w:before="0" w:beforeAutospacing="0" w:after="0" w:afterAutospacing="0" w:line="360" w:lineRule="auto"/>
        <w:ind w:firstLine="424" w:firstLineChars="177"/>
        <w:rPr>
          <w:rFonts w:hint="eastAsia" w:ascii="宋体" w:hAnsi="宋体" w:eastAsia="宋体" w:cs="宋体"/>
          <w:b/>
          <w:bCs/>
          <w:color w:val="auto"/>
          <w:spacing w:val="11"/>
          <w:highlight w:val="none"/>
        </w:rPr>
      </w:pPr>
      <w:r>
        <w:rPr>
          <w:rFonts w:hint="eastAsia" w:ascii="宋体" w:hAnsi="宋体" w:eastAsia="宋体" w:cs="宋体"/>
          <w:color w:val="auto"/>
          <w:highlight w:val="none"/>
        </w:rPr>
        <w:t>日        期：：</w:t>
      </w: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pPr>
        <w:pStyle w:val="47"/>
        <w:spacing w:line="360" w:lineRule="auto"/>
        <w:jc w:val="center"/>
        <w:rPr>
          <w:rFonts w:hint="eastAsia" w:ascii="宋体" w:hAnsi="宋体" w:eastAsia="宋体" w:cs="宋体"/>
          <w:b/>
          <w:color w:val="auto"/>
          <w:sz w:val="32"/>
          <w:szCs w:val="32"/>
          <w:highlight w:val="none"/>
        </w:rPr>
      </w:pPr>
      <w:bookmarkStart w:id="647" w:name="_Toc7134_WPSOffice_Level1"/>
      <w:bookmarkStart w:id="648" w:name="_Toc19231_WPSOffice_Level1"/>
      <w:r>
        <w:rPr>
          <w:rFonts w:hint="eastAsia" w:ascii="宋体" w:hAnsi="宋体" w:eastAsia="宋体" w:cs="宋体"/>
          <w:b/>
          <w:color w:val="auto"/>
          <w:sz w:val="32"/>
          <w:szCs w:val="32"/>
          <w:highlight w:val="none"/>
        </w:rPr>
        <w:t>供应商类似项目</w:t>
      </w:r>
      <w:r>
        <w:rPr>
          <w:rFonts w:hint="eastAsia" w:ascii="宋体" w:hAnsi="宋体" w:eastAsia="宋体" w:cs="宋体"/>
          <w:b/>
          <w:color w:val="auto"/>
          <w:sz w:val="32"/>
          <w:szCs w:val="32"/>
          <w:highlight w:val="none"/>
          <w:lang w:val="en-US" w:eastAsia="zh-CN"/>
        </w:rPr>
        <w:t>业绩</w:t>
      </w:r>
      <w:r>
        <w:rPr>
          <w:rFonts w:hint="eastAsia" w:ascii="宋体" w:hAnsi="宋体" w:eastAsia="宋体" w:cs="宋体"/>
          <w:b/>
          <w:color w:val="auto"/>
          <w:sz w:val="32"/>
          <w:szCs w:val="32"/>
          <w:highlight w:val="none"/>
        </w:rPr>
        <w:t>一览表</w:t>
      </w:r>
      <w:bookmarkEnd w:id="647"/>
      <w:bookmarkEnd w:id="648"/>
    </w:p>
    <w:p>
      <w:pPr>
        <w:pStyle w:val="47"/>
        <w:spacing w:line="360" w:lineRule="auto"/>
        <w:jc w:val="center"/>
        <w:rPr>
          <w:rFonts w:hint="eastAsia" w:ascii="宋体" w:hAnsi="宋体" w:eastAsia="宋体" w:cs="宋体"/>
          <w:b/>
          <w:color w:val="auto"/>
          <w:sz w:val="28"/>
          <w:szCs w:val="28"/>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hint="eastAsia" w:ascii="宋体" w:hAnsi="宋体" w:eastAsia="宋体" w:cs="宋体"/>
                <w:color w:val="auto"/>
                <w:sz w:val="24"/>
                <w:highlight w:val="none"/>
              </w:rPr>
            </w:pPr>
          </w:p>
        </w:tc>
      </w:tr>
    </w:tbl>
    <w:p>
      <w:pPr>
        <w:autoSpaceDE w:val="0"/>
        <w:autoSpaceDN w:val="0"/>
        <w:adjustRightInd w:val="0"/>
        <w:spacing w:beforeLines="5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autoSpaceDE w:val="0"/>
        <w:autoSpaceDN w:val="0"/>
        <w:adjustRightInd w:val="0"/>
        <w:spacing w:before="120" w:beforeLines="50" w:line="360" w:lineRule="auto"/>
        <w:ind w:firstLine="424" w:firstLineChars="20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1.业绩证明应提供证明材料（按“第四章评标方法、评分标准”相关评审细则要求提供）。</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2.磋商供应商可按此表格式复制。</w:t>
      </w:r>
    </w:p>
    <w:p>
      <w:pPr>
        <w:spacing w:line="32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本表如跨页，需每页加盖磋商供应商电子公章。</w:t>
      </w: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p>
    <w:p>
      <w:pPr>
        <w:spacing w:line="360" w:lineRule="auto"/>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jc w:val="center"/>
        <w:rPr>
          <w:rFonts w:hint="eastAsia" w:ascii="宋体" w:hAnsi="宋体" w:eastAsia="宋体" w:cs="宋体"/>
          <w:snapToGrid w:val="0"/>
          <w:color w:val="auto"/>
          <w:kern w:val="0"/>
          <w:sz w:val="24"/>
          <w:highlight w:val="none"/>
        </w:rPr>
      </w:pPr>
    </w:p>
    <w:p>
      <w:pPr>
        <w:pStyle w:val="48"/>
        <w:tabs>
          <w:tab w:val="left" w:pos="1050"/>
        </w:tabs>
        <w:spacing w:line="360" w:lineRule="auto"/>
        <w:rPr>
          <w:rFonts w:hint="eastAsia" w:ascii="宋体" w:hAnsi="宋体" w:eastAsia="宋体" w:cs="宋体"/>
          <w:b/>
          <w:color w:val="auto"/>
          <w:sz w:val="28"/>
          <w:highlight w:val="none"/>
        </w:rPr>
      </w:pPr>
    </w:p>
    <w:p>
      <w:pPr>
        <w:pStyle w:val="48"/>
        <w:tabs>
          <w:tab w:val="left" w:pos="1050"/>
        </w:tabs>
        <w:spacing w:line="360" w:lineRule="auto"/>
        <w:rPr>
          <w:rFonts w:hint="eastAsia" w:ascii="宋体" w:hAnsi="宋体" w:eastAsia="宋体" w:cs="宋体"/>
          <w:b/>
          <w:color w:val="auto"/>
          <w:sz w:val="28"/>
          <w:highlight w:val="none"/>
        </w:rPr>
      </w:pPr>
    </w:p>
    <w:p>
      <w:pPr>
        <w:pStyle w:val="48"/>
        <w:tabs>
          <w:tab w:val="left" w:pos="1050"/>
        </w:tabs>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11</w:t>
      </w:r>
    </w:p>
    <w:p>
      <w:pPr>
        <w:pStyle w:val="15"/>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tbl>
      <w:tblPr>
        <w:tblStyle w:val="28"/>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磋商文件服务要求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磋商响应文件服务响应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商务及技术响应情况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line="360" w:lineRule="auto"/>
              <w:jc w:val="center"/>
              <w:rPr>
                <w:rFonts w:hint="eastAsia" w:ascii="宋体" w:hAnsi="宋体" w:eastAsia="宋体" w:cs="宋体"/>
                <w:color w:val="auto"/>
                <w:spacing w:val="20"/>
                <w:sz w:val="24"/>
                <w:highlight w:val="none"/>
              </w:rPr>
            </w:pPr>
          </w:p>
        </w:tc>
      </w:tr>
    </w:tbl>
    <w:p>
      <w:pPr>
        <w:pStyle w:val="15"/>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备注：供应商在填写时必须对照本磋商文件中各指标项逐条说明，写出各磋商要求的具体参数响应内容，若不填写此表，视为完全响应招标文件。</w:t>
      </w: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pStyle w:val="8"/>
        <w:rPr>
          <w:rFonts w:hint="eastAsia" w:ascii="宋体" w:hAnsi="宋体" w:eastAsia="宋体" w:cs="宋体"/>
          <w:color w:val="auto"/>
          <w:sz w:val="24"/>
          <w:highlight w:val="none"/>
          <w:u w:val="single"/>
        </w:rPr>
      </w:pPr>
    </w:p>
    <w:p>
      <w:pPr>
        <w:rPr>
          <w:rFonts w:hint="eastAsia" w:ascii="宋体" w:hAnsi="宋体" w:eastAsia="宋体" w:cs="宋体"/>
          <w:b/>
          <w:color w:val="auto"/>
          <w:sz w:val="28"/>
          <w:highlight w:val="none"/>
        </w:rPr>
      </w:pPr>
    </w:p>
    <w:p>
      <w:pPr>
        <w:pStyle w:val="27"/>
        <w:rPr>
          <w:rFonts w:hint="eastAsia" w:ascii="宋体" w:hAnsi="宋体" w:eastAsia="宋体" w:cs="宋体"/>
          <w:color w:val="auto"/>
          <w:highlight w:val="none"/>
        </w:rPr>
      </w:pPr>
    </w:p>
    <w:p>
      <w:pPr>
        <w:jc w:val="both"/>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12</w:t>
      </w:r>
    </w:p>
    <w:p>
      <w:pPr>
        <w:spacing w:line="360" w:lineRule="auto"/>
        <w:ind w:left="-2" w:hanging="2"/>
        <w:jc w:val="center"/>
        <w:rPr>
          <w:rFonts w:hint="eastAsia" w:ascii="宋体" w:hAnsi="宋体" w:eastAsia="宋体" w:cs="宋体"/>
          <w:b/>
          <w:color w:val="auto"/>
          <w:sz w:val="32"/>
          <w:szCs w:val="32"/>
          <w:highlight w:val="none"/>
        </w:rPr>
      </w:pPr>
      <w:bookmarkStart w:id="649" w:name="_Toc30363_WPSOffice_Level1"/>
      <w:bookmarkStart w:id="650" w:name="_Toc16144_WPSOffice_Level1"/>
      <w:r>
        <w:rPr>
          <w:rFonts w:hint="eastAsia" w:ascii="宋体" w:hAnsi="宋体" w:eastAsia="宋体" w:cs="宋体"/>
          <w:b/>
          <w:color w:val="auto"/>
          <w:sz w:val="32"/>
          <w:szCs w:val="32"/>
          <w:highlight w:val="none"/>
        </w:rPr>
        <w:t>首次报价一览表</w:t>
      </w:r>
      <w:bookmarkEnd w:id="649"/>
      <w:bookmarkEnd w:id="650"/>
    </w:p>
    <w:p>
      <w:pPr>
        <w:pStyle w:val="15"/>
        <w:spacing w:line="3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w:t>
      </w:r>
    </w:p>
    <w:p>
      <w:pPr>
        <w:pStyle w:val="53"/>
        <w:spacing w:line="360" w:lineRule="auto"/>
        <w:ind w:right="48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 xml:space="preserve">                                     [货币单位：人民币元]</w:t>
      </w:r>
    </w:p>
    <w:tbl>
      <w:tblPr>
        <w:tblStyle w:val="2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p>
        </w:tc>
      </w:tr>
    </w:tbl>
    <w:p>
      <w:pPr>
        <w:spacing w:line="360" w:lineRule="auto"/>
        <w:ind w:left="480"/>
        <w:rPr>
          <w:rFonts w:hint="eastAsia" w:ascii="宋体" w:hAnsi="宋体" w:eastAsia="宋体" w:cs="宋体"/>
          <w:b/>
          <w:color w:val="auto"/>
          <w:sz w:val="30"/>
          <w:highlight w:val="none"/>
        </w:rPr>
      </w:pPr>
    </w:p>
    <w:p>
      <w:pPr>
        <w:spacing w:line="360" w:lineRule="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b/>
          <w:color w:val="auto"/>
          <w:szCs w:val="21"/>
          <w:highlight w:val="none"/>
          <w:lang w:val="en-US" w:eastAsia="zh-CN"/>
        </w:rPr>
        <w:t>说明</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shd w:val="clear" w:color="auto" w:fill="FFFFFF"/>
        </w:rPr>
        <w:t>报价应包含完成本合同内容的全部费用。</w:t>
      </w:r>
    </w:p>
    <w:p>
      <w:pPr>
        <w:pStyle w:val="8"/>
        <w:numPr>
          <w:ilvl w:val="0"/>
          <w:numId w:val="0"/>
        </w:numPr>
        <w:rPr>
          <w:rFonts w:hint="eastAsia" w:ascii="宋体" w:hAnsi="宋体" w:eastAsia="宋体" w:cs="宋体"/>
          <w:color w:val="auto"/>
          <w:highlight w:val="none"/>
          <w:lang w:eastAsia="zh-CN"/>
        </w:rPr>
      </w:pPr>
    </w:p>
    <w:p>
      <w:pPr>
        <w:spacing w:line="360" w:lineRule="auto"/>
        <w:ind w:left="420"/>
        <w:rPr>
          <w:rFonts w:hint="eastAsia" w:ascii="宋体" w:hAnsi="宋体" w:eastAsia="宋体" w:cs="宋体"/>
          <w:color w:val="auto"/>
          <w:sz w:val="24"/>
          <w:highlight w:val="none"/>
        </w:rPr>
      </w:pPr>
    </w:p>
    <w:p>
      <w:pPr>
        <w:pStyle w:val="27"/>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供应商名称（电子印章）：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供应商代表签字或电子印章：</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pPr>
        <w:spacing w:line="360" w:lineRule="auto"/>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pStyle w:val="15"/>
        <w:rPr>
          <w:rFonts w:hint="eastAsia" w:ascii="宋体" w:hAnsi="宋体" w:eastAsia="宋体" w:cs="宋体"/>
          <w:b/>
          <w:color w:val="auto"/>
          <w:sz w:val="28"/>
          <w:highlight w:val="none"/>
        </w:rPr>
      </w:pPr>
    </w:p>
    <w:p>
      <w:pPr>
        <w:pStyle w:val="16"/>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15"/>
        <w:rPr>
          <w:rFonts w:hint="eastAsia" w:ascii="宋体" w:hAnsi="宋体" w:eastAsia="宋体" w:cs="宋体"/>
          <w:color w:val="auto"/>
        </w:rPr>
      </w:pPr>
    </w:p>
    <w:p>
      <w:pPr>
        <w:spacing w:line="360" w:lineRule="auto"/>
        <w:rPr>
          <w:rFonts w:hint="eastAsia" w:ascii="宋体" w:hAnsi="宋体" w:eastAsia="宋体" w:cs="宋体"/>
          <w:b/>
          <w:color w:val="auto"/>
          <w:sz w:val="28"/>
          <w:highlight w:val="none"/>
        </w:rPr>
      </w:pPr>
    </w:p>
    <w:p>
      <w:pPr>
        <w:snapToGrid w:val="0"/>
        <w:spacing w:beforeLines="50" w:after="50"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p>
    <w:p>
      <w:pPr>
        <w:pStyle w:val="54"/>
        <w:spacing w:line="360" w:lineRule="auto"/>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中小企业声明函</w:t>
      </w:r>
    </w:p>
    <w:p>
      <w:pPr>
        <w:pStyle w:val="54"/>
        <w:spacing w:line="360" w:lineRule="auto"/>
        <w:jc w:val="center"/>
        <w:rPr>
          <w:rFonts w:hint="eastAsia" w:ascii="宋体" w:hAnsi="宋体" w:eastAsia="宋体" w:cs="宋体"/>
          <w:b/>
          <w:color w:val="auto"/>
          <w:sz w:val="24"/>
          <w:highlight w:val="none"/>
          <w:lang w:val="en-GB"/>
        </w:rPr>
      </w:pPr>
    </w:p>
    <w:p>
      <w:pPr>
        <w:pStyle w:val="54"/>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54"/>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1.（标的名称），属于（采购文件中明确的所属行业）；承建（承接）企业为（企业名称），从业人员人，营业收入为万元，资产总额为万元</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pacing w:val="6"/>
          <w:sz w:val="24"/>
          <w:highlight w:val="none"/>
        </w:rPr>
        <w:t>，属于（中型企业、小型企业、微型企业）；</w:t>
      </w:r>
    </w:p>
    <w:p>
      <w:pPr>
        <w:pStyle w:val="54"/>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2.（标的名称），属于（采购文件中明确的所属行业）；承建（承接）企业为（企业名称），从业人员人，营业收入为万元，资产总额为万元，属于（中型企业、小型企业、微型企业）；</w:t>
      </w:r>
    </w:p>
    <w:p>
      <w:pPr>
        <w:pStyle w:val="54"/>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……以上企业，不属于大企业的分支机构，不存在控股股东为大企业的情形，也不存在与大企业的负责人为同一人的情形。</w:t>
      </w:r>
    </w:p>
    <w:p>
      <w:pPr>
        <w:pStyle w:val="54"/>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本企业对上述声明内容的真实性负责。如有虚假，将依法承担相应责任。</w:t>
      </w:r>
    </w:p>
    <w:p>
      <w:pPr>
        <w:pStyle w:val="5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信息查询网址为：</w:t>
      </w:r>
    </w:p>
    <w:p>
      <w:pPr>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要求：</w:t>
      </w:r>
    </w:p>
    <w:p>
      <w:pPr>
        <w:numPr>
          <w:ilvl w:val="0"/>
          <w:numId w:val="16"/>
        </w:numPr>
        <w:autoSpaceDE/>
        <w:autoSpaceDN/>
        <w:adjustRightInd/>
        <w:spacing w:line="360" w:lineRule="auto"/>
        <w:ind w:left="435"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产品由小微企业生产，则需提供中小企业声明函。</w:t>
      </w:r>
    </w:p>
    <w:p>
      <w:pPr>
        <w:numPr>
          <w:ilvl w:val="0"/>
          <w:numId w:val="16"/>
        </w:numPr>
        <w:autoSpaceDE/>
        <w:autoSpaceDN/>
        <w:adjustRightInd/>
        <w:spacing w:line="360" w:lineRule="auto"/>
        <w:ind w:left="435"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人声明为小微企业，本声明函将随</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结果同时公告，接受社会监督。</w:t>
      </w:r>
    </w:p>
    <w:p>
      <w:pPr>
        <w:pStyle w:val="54"/>
        <w:spacing w:line="360" w:lineRule="auto"/>
        <w:rPr>
          <w:rFonts w:hint="eastAsia" w:ascii="宋体" w:hAnsi="宋体" w:eastAsia="宋体" w:cs="宋体"/>
          <w:color w:val="auto"/>
          <w:spacing w:val="6"/>
          <w:sz w:val="24"/>
          <w:highlight w:val="none"/>
        </w:rPr>
      </w:pPr>
    </w:p>
    <w:p>
      <w:pPr>
        <w:pStyle w:val="54"/>
        <w:spacing w:line="360" w:lineRule="auto"/>
        <w:ind w:firstLine="5040" w:firstLineChars="20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企业名称（盖章）：</w:t>
      </w:r>
    </w:p>
    <w:p>
      <w:pPr>
        <w:pStyle w:val="54"/>
        <w:wordWrap w:val="0"/>
        <w:spacing w:line="360" w:lineRule="auto"/>
        <w:ind w:firstLine="5040" w:firstLineChars="2000"/>
        <w:jc w:val="right"/>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日期：××年××月××日</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p>
    <w:p>
      <w:pPr>
        <w:pStyle w:val="8"/>
        <w:ind w:left="0" w:leftChars="0" w:firstLine="0" w:firstLineChars="0"/>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FKqV0wAAAAYBAAAPAAAAAAAAAAEA&#10;IAAAACIAAABkcnMvZG93bnJldi54bWxQSwECFAAUAAAACACHTuJA5nQ5g9sBAACGAwAADgAAAAAA&#10;AAABACAAAAAiAQAAZHJzL2Uyb0RvYy54bWxQSwUGAAAAAAYABgBZAQAAbwUAAAAA&#10;">
                <v:fill on="f" focussize="0,0"/>
                <v:stroke weight="1.25pt" color="#000000" miterlimit="8" joinstyle="miter"/>
                <v:imagedata o:title=""/>
                <o:lock v:ext="edit" aspectratio="f"/>
              </v:line>
            </w:pict>
          </mc:Fallback>
        </mc:AlternateConten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从业人员、营业收入、资产总额填报上一年度数据，无上一年度数据的新成立企业可不填报。</w:t>
      </w:r>
    </w:p>
    <w:p>
      <w:pPr>
        <w:spacing w:line="360" w:lineRule="auto"/>
        <w:rPr>
          <w:rFonts w:hint="eastAsia" w:ascii="宋体" w:hAnsi="宋体" w:eastAsia="宋体" w:cs="宋体"/>
          <w:color w:val="auto"/>
          <w:sz w:val="24"/>
          <w:highlight w:val="none"/>
        </w:rPr>
        <w:sectPr>
          <w:headerReference r:id="rId8" w:type="default"/>
          <w:footerReference r:id="rId9" w:type="default"/>
          <w:pgSz w:w="11906" w:h="16838"/>
          <w:pgMar w:top="1440" w:right="1418" w:bottom="1440" w:left="1418" w:header="851" w:footer="851" w:gutter="0"/>
          <w:pgNumType w:fmt="decimal"/>
          <w:cols w:space="720" w:num="1"/>
          <w:docGrid w:linePitch="312" w:charSpace="0"/>
        </w:sectPr>
      </w:pPr>
    </w:p>
    <w:p>
      <w:pPr>
        <w:pStyle w:val="15"/>
        <w:spacing w:line="360" w:lineRule="auto"/>
        <w:jc w:val="center"/>
        <w:outlineLvl w:val="1"/>
        <w:rPr>
          <w:rFonts w:hint="eastAsia" w:ascii="宋体" w:hAnsi="宋体" w:eastAsia="宋体" w:cs="宋体"/>
          <w:b/>
          <w:color w:val="auto"/>
          <w:sz w:val="32"/>
          <w:szCs w:val="32"/>
          <w:highlight w:val="none"/>
          <w:lang w:val="en-GB"/>
        </w:rPr>
      </w:pPr>
      <w:bookmarkStart w:id="651" w:name="_Toc27483_WPSOffice_Level1"/>
      <w:bookmarkStart w:id="652" w:name="_Toc17646_WPSOffice_Level1"/>
      <w:r>
        <w:rPr>
          <w:rFonts w:hint="eastAsia" w:ascii="宋体" w:hAnsi="宋体" w:eastAsia="宋体" w:cs="宋体"/>
          <w:b/>
          <w:color w:val="auto"/>
          <w:sz w:val="32"/>
          <w:szCs w:val="32"/>
          <w:highlight w:val="none"/>
          <w:lang w:val="en-GB"/>
        </w:rPr>
        <w:t>残疾人福利性单位声明函</w:t>
      </w:r>
      <w:bookmarkEnd w:id="651"/>
      <w:bookmarkEnd w:id="652"/>
    </w:p>
    <w:p>
      <w:pPr>
        <w:pStyle w:val="16"/>
        <w:ind w:left="5250"/>
        <w:rPr>
          <w:rFonts w:hint="eastAsia" w:ascii="宋体" w:hAnsi="宋体" w:eastAsia="宋体" w:cs="宋体"/>
          <w:color w:val="auto"/>
          <w:sz w:val="24"/>
          <w:szCs w:val="24"/>
          <w:highlight w:val="none"/>
          <w:lang w:val="en-GB"/>
        </w:rPr>
      </w:pPr>
    </w:p>
    <w:p>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6"/>
          <w:sz w:val="24"/>
          <w:highlight w:val="none"/>
          <w:u w:val="single"/>
        </w:rPr>
        <w:t xml:space="preserve">    政府采购中心    </w:t>
      </w:r>
      <w:r>
        <w:rPr>
          <w:rFonts w:hint="eastAsia" w:ascii="宋体" w:hAnsi="宋体" w:eastAsia="宋体" w:cs="宋体"/>
          <w:color w:val="auto"/>
          <w:spacing w:val="6"/>
          <w:sz w:val="24"/>
          <w:highlight w:val="none"/>
        </w:rPr>
        <w:t>单位的</w:t>
      </w:r>
    </w:p>
    <w:p>
      <w:pPr>
        <w:spacing w:line="588"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p>
    <w:p>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p>
    <w:p>
      <w:pPr>
        <w:tabs>
          <w:tab w:val="left" w:pos="4860"/>
        </w:tabs>
        <w:spacing w:line="588" w:lineRule="exact"/>
        <w:ind w:right="1560" w:firstLine="504" w:firstLineChars="200"/>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                                  日  期  ：</w:t>
      </w: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120" w:beforeLines="50" w:after="50" w:line="360" w:lineRule="auto"/>
        <w:rPr>
          <w:rFonts w:hint="eastAsia" w:ascii="宋体" w:hAnsi="宋体" w:eastAsia="宋体" w:cs="宋体"/>
          <w:b/>
          <w:color w:val="auto"/>
          <w:sz w:val="28"/>
          <w:highlight w:val="none"/>
        </w:rPr>
      </w:pPr>
    </w:p>
    <w:p>
      <w:pPr>
        <w:snapToGrid w:val="0"/>
        <w:spacing w:beforeLines="50" w:after="50"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p>
    <w:p>
      <w:pPr>
        <w:pStyle w:val="58"/>
        <w:snapToGrid w:val="0"/>
        <w:spacing w:after="156" w:line="480" w:lineRule="exact"/>
        <w:ind w:firstLine="422" w:firstLineChars="200"/>
        <w:rPr>
          <w:rFonts w:hint="eastAsia" w:ascii="宋体" w:hAnsi="宋体" w:eastAsia="宋体" w:cs="宋体"/>
          <w:b/>
          <w:color w:val="auto"/>
          <w:szCs w:val="24"/>
          <w:highlight w:val="none"/>
          <w:lang w:val="en-GB"/>
        </w:rPr>
      </w:pPr>
      <w:r>
        <w:rPr>
          <w:rFonts w:hint="eastAsia" w:ascii="宋体" w:hAnsi="宋体" w:eastAsia="宋体" w:cs="宋体"/>
          <w:b/>
          <w:color w:val="auto"/>
          <w:szCs w:val="24"/>
          <w:highlight w:val="none"/>
        </w:rPr>
        <w:t>(参加本项目采购活动的供应商须填写“政府采购活动现场确认声明书”，并在开标后30分钟内将扫描件发送至代理机构邮箱</w:t>
      </w:r>
      <w:r>
        <w:rPr>
          <w:rFonts w:hint="eastAsia" w:ascii="宋体" w:hAnsi="宋体" w:eastAsia="宋体" w:cs="宋体"/>
          <w:b/>
          <w:color w:val="auto"/>
          <w:szCs w:val="24"/>
          <w:highlight w:val="none"/>
          <w:lang w:val="en-US" w:eastAsia="zh-CN"/>
        </w:rPr>
        <w:t>2058893351</w:t>
      </w:r>
      <w:r>
        <w:rPr>
          <w:rFonts w:hint="eastAsia" w:ascii="宋体" w:hAnsi="宋体" w:eastAsia="宋体" w:cs="宋体"/>
          <w:b/>
          <w:color w:val="auto"/>
          <w:szCs w:val="24"/>
          <w:highlight w:val="none"/>
        </w:rPr>
        <w:t>@qq.com)</w:t>
      </w:r>
    </w:p>
    <w:p>
      <w:pPr>
        <w:pStyle w:val="58"/>
        <w:snapToGrid w:val="0"/>
        <w:spacing w:after="156" w:line="4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58"/>
        <w:snapToGrid w:val="0"/>
        <w:spacing w:after="156" w:line="360" w:lineRule="exact"/>
        <w:jc w:val="both"/>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u w:val="single"/>
          <w:lang w:val="en-US" w:eastAsia="zh-CN"/>
        </w:rPr>
        <w:t>浙江双联工程咨询有限公司</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（采购组织机构名称）：</w:t>
      </w:r>
    </w:p>
    <w:p>
      <w:pPr>
        <w:pStyle w:val="58"/>
        <w:snapToGrid w:val="0"/>
        <w:spacing w:after="156" w:line="360" w:lineRule="exact"/>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 xml:space="preserve">合法授权参加（编号：）政府采购活动，经与本单位法人代表（负责人）联系确认，现就有关公平竞争事项郑重声明如下： </w:t>
      </w:r>
    </w:p>
    <w:p>
      <w:pPr>
        <w:pStyle w:val="59"/>
        <w:widowControl/>
        <w:numPr>
          <w:ilvl w:val="0"/>
          <w:numId w:val="17"/>
        </w:numPr>
        <w:snapToGrid w:val="0"/>
        <w:spacing w:line="36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p>
    <w:p>
      <w:pPr>
        <w:pStyle w:val="59"/>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59"/>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59"/>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p>
    <w:p>
      <w:pPr>
        <w:pStyle w:val="58"/>
        <w:snapToGrid w:val="0"/>
        <w:spacing w:after="156" w:line="36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p>
    <w:p>
      <w:pPr>
        <w:pStyle w:val="58"/>
        <w:snapToGrid w:val="0"/>
        <w:spacing w:after="156" w:line="360" w:lineRule="exact"/>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pPr>
        <w:pStyle w:val="58"/>
        <w:snapToGrid w:val="0"/>
        <w:spacing w:after="156" w:line="360" w:lineRule="exact"/>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pPr>
        <w:pStyle w:val="58"/>
        <w:snapToGrid w:val="0"/>
        <w:spacing w:after="156" w:line="360" w:lineRule="exact"/>
        <w:jc w:val="both"/>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pPr>
        <w:pStyle w:val="58"/>
        <w:snapToGrid w:val="0"/>
        <w:spacing w:after="156" w:line="36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pPr>
        <w:pStyle w:val="58"/>
        <w:snapToGrid w:val="0"/>
        <w:spacing w:after="156" w:line="36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pPr>
        <w:pStyle w:val="58"/>
        <w:snapToGrid w:val="0"/>
        <w:spacing w:after="156" w:line="360" w:lineRule="exact"/>
        <w:ind w:firstLine="210" w:firstLineChars="100"/>
        <w:jc w:val="both"/>
        <w:rPr>
          <w:rFonts w:hint="eastAsia" w:ascii="宋体" w:hAnsi="宋体" w:eastAsia="宋体" w:cs="宋体"/>
          <w:color w:val="auto"/>
          <w:kern w:val="0"/>
          <w:szCs w:val="21"/>
          <w:highlight w:val="none"/>
        </w:rPr>
      </w:pPr>
      <w:bookmarkStart w:id="653" w:name="_Toc20814"/>
      <w:r>
        <w:rPr>
          <w:rFonts w:hint="eastAsia" w:ascii="宋体" w:hAnsi="宋体" w:eastAsia="宋体" w:cs="宋体"/>
          <w:color w:val="auto"/>
          <w:kern w:val="0"/>
          <w:szCs w:val="21"/>
          <w:highlight w:val="none"/>
        </w:rPr>
        <w:t>G.存在共同直接或间接投资设立子公司、联营企业和合营企业情况</w:t>
      </w:r>
      <w:bookmarkEnd w:id="653"/>
    </w:p>
    <w:p>
      <w:pPr>
        <w:pStyle w:val="58"/>
        <w:snapToGrid w:val="0"/>
        <w:spacing w:after="156" w:line="360" w:lineRule="exact"/>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pPr>
        <w:pStyle w:val="58"/>
        <w:snapToGrid w:val="0"/>
        <w:spacing w:after="156" w:line="360" w:lineRule="exact"/>
        <w:jc w:val="both"/>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kern w:val="0"/>
          <w:szCs w:val="21"/>
          <w:highlight w:val="none"/>
        </w:rPr>
        <w:t>。</w:t>
      </w:r>
    </w:p>
    <w:p>
      <w:pPr>
        <w:pStyle w:val="59"/>
        <w:widowControl/>
        <w:numPr>
          <w:ilvl w:val="0"/>
          <w:numId w:val="18"/>
        </w:numPr>
        <w:snapToGrid w:val="0"/>
        <w:spacing w:line="36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59"/>
        <w:widowControl/>
        <w:numPr>
          <w:ilvl w:val="0"/>
          <w:numId w:val="18"/>
        </w:numPr>
        <w:snapToGrid w:val="0"/>
        <w:spacing w:line="36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供应商之间存在或可能存在上述第二条第项利害关系。</w:t>
      </w:r>
    </w:p>
    <w:p>
      <w:pPr>
        <w:pStyle w:val="58"/>
        <w:snapToGrid w:val="0"/>
        <w:spacing w:after="156"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58"/>
        <w:snapToGrid w:val="0"/>
        <w:spacing w:after="156" w:line="36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（供应商代表签字或盖章）                         </w:t>
      </w:r>
    </w:p>
    <w:p>
      <w:pPr>
        <w:pStyle w:val="58"/>
        <w:snapToGrid w:val="0"/>
        <w:spacing w:after="156" w:line="36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rPr>
          <w:rFonts w:hint="eastAsia" w:ascii="宋体" w:hAnsi="宋体" w:eastAsia="宋体" w:cs="宋体"/>
          <w:color w:val="auto"/>
          <w:highlight w:val="none"/>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1C6C72-2AF7-4C7D-98EE-9CE71E4BD2D2}"/>
  </w:font>
  <w:font w:name="Arial">
    <w:panose1 w:val="020B0604020202020204"/>
    <w:charset w:val="01"/>
    <w:family w:val="swiss"/>
    <w:pitch w:val="default"/>
    <w:sig w:usb0="E0002EFF" w:usb1="C000785B" w:usb2="00000009" w:usb3="00000000" w:csb0="400001FF" w:csb1="FFFF0000"/>
    <w:embedRegular r:id="rId2" w:fontKey="{405F5DA9-8119-4B50-8A17-1BCB5DC74B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B118B40-30A1-4E5F-AC21-3A25B8C6C505}"/>
  </w:font>
  <w:font w:name="仿宋_GB2312">
    <w:panose1 w:val="02010609030101010101"/>
    <w:charset w:val="86"/>
    <w:family w:val="modern"/>
    <w:pitch w:val="default"/>
    <w:sig w:usb0="00000000" w:usb1="00000000" w:usb2="00000000" w:usb3="00000000" w:csb0="00000000" w:csb1="00000000"/>
    <w:embedRegular r:id="rId4" w:fontKey="{6ADECF6C-4EAD-4133-A84D-192C0730E8EF}"/>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spacing w:before="120" w:after="120"/>
                            <w:jc w:val="center"/>
                          </w:pPr>
                          <w:r>
                            <w:fldChar w:fldCharType="begin"/>
                          </w:r>
                          <w:r>
                            <w:instrText xml:space="preserve"> PAGE   \* MERGEFORMAT </w:instrText>
                          </w:r>
                          <w:r>
                            <w:fldChar w:fldCharType="separate"/>
                          </w:r>
                          <w:r>
                            <w:rPr>
                              <w:lang w:val="zh-CN"/>
                            </w:rPr>
                            <w:t>-</w:t>
                          </w:r>
                          <w:r>
                            <w:t xml:space="preserve">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9"/>
                      <w:spacing w:before="120" w:after="120"/>
                      <w:jc w:val="center"/>
                    </w:pPr>
                    <w:r>
                      <w:fldChar w:fldCharType="begin"/>
                    </w:r>
                    <w:r>
                      <w:instrText xml:space="preserve"> PAGE   \* MERGEFORMAT </w:instrText>
                    </w:r>
                    <w:r>
                      <w:fldChar w:fldCharType="separate"/>
                    </w:r>
                    <w:r>
                      <w:rPr>
                        <w:lang w:val="zh-CN"/>
                      </w:rPr>
                      <w:t>-</w:t>
                    </w:r>
                    <w:r>
                      <w:t xml:space="preserve"> 41 -</w:t>
                    </w:r>
                    <w:r>
                      <w:fldChar w:fldCharType="end"/>
                    </w:r>
                  </w:p>
                </w:txbxContent>
              </v:textbox>
            </v:shape>
          </w:pict>
        </mc:Fallback>
      </mc:AlternateContent>
    </w:r>
  </w:p>
  <w:p>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91187791"/>
    <w:multiLevelType w:val="singleLevel"/>
    <w:tmpl w:val="91187791"/>
    <w:lvl w:ilvl="0" w:tentative="0">
      <w:start w:val="1"/>
      <w:numFmt w:val="decimal"/>
      <w:suff w:val="nothing"/>
      <w:lvlText w:val="（%1）"/>
      <w:lvlJc w:val="left"/>
    </w:lvl>
  </w:abstractNum>
  <w:abstractNum w:abstractNumId="2">
    <w:nsid w:val="95CFA382"/>
    <w:multiLevelType w:val="singleLevel"/>
    <w:tmpl w:val="95CFA382"/>
    <w:lvl w:ilvl="0" w:tentative="0">
      <w:start w:val="1"/>
      <w:numFmt w:val="decimal"/>
      <w:suff w:val="nothing"/>
      <w:lvlText w:val="%1、"/>
      <w:lvlJc w:val="left"/>
    </w:lvl>
  </w:abstractNum>
  <w:abstractNum w:abstractNumId="3">
    <w:nsid w:val="C39FC1B0"/>
    <w:multiLevelType w:val="singleLevel"/>
    <w:tmpl w:val="C39FC1B0"/>
    <w:lvl w:ilvl="0" w:tentative="0">
      <w:start w:val="2"/>
      <w:numFmt w:val="decimal"/>
      <w:suff w:val="nothing"/>
      <w:lvlText w:val="%1、"/>
      <w:lvlJc w:val="left"/>
    </w:lvl>
  </w:abstractNum>
  <w:abstractNum w:abstractNumId="4">
    <w:nsid w:val="ED96598F"/>
    <w:multiLevelType w:val="singleLevel"/>
    <w:tmpl w:val="ED96598F"/>
    <w:lvl w:ilvl="0" w:tentative="0">
      <w:start w:val="3"/>
      <w:numFmt w:val="chineseCounting"/>
      <w:suff w:val="nothing"/>
      <w:lvlText w:val="（%1）"/>
      <w:lvlJc w:val="left"/>
      <w:rPr>
        <w:rFonts w:hint="eastAsia"/>
      </w:rPr>
    </w:lvl>
  </w:abstractNum>
  <w:abstractNum w:abstractNumId="5">
    <w:nsid w:val="EDAC84BB"/>
    <w:multiLevelType w:val="singleLevel"/>
    <w:tmpl w:val="EDAC84BB"/>
    <w:lvl w:ilvl="0" w:tentative="0">
      <w:start w:val="1"/>
      <w:numFmt w:val="decimal"/>
      <w:suff w:val="nothing"/>
      <w:lvlText w:val="%1、"/>
      <w:lvlJc w:val="left"/>
      <w:pPr>
        <w:ind w:left="0" w:firstLine="0"/>
      </w:pPr>
    </w:lvl>
  </w:abstractNum>
  <w:abstractNum w:abstractNumId="6">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7">
    <w:nsid w:val="43E67F94"/>
    <w:multiLevelType w:val="singleLevel"/>
    <w:tmpl w:val="43E67F94"/>
    <w:lvl w:ilvl="0" w:tentative="0">
      <w:start w:val="1"/>
      <w:numFmt w:val="decimal"/>
      <w:suff w:val="nothing"/>
      <w:lvlText w:val="%1、"/>
      <w:lvlJc w:val="left"/>
      <w:pPr>
        <w:ind w:left="0" w:firstLine="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68D9129"/>
    <w:multiLevelType w:val="singleLevel"/>
    <w:tmpl w:val="468D9129"/>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5F0224C"/>
    <w:multiLevelType w:val="singleLevel"/>
    <w:tmpl w:val="55F0224C"/>
    <w:lvl w:ilvl="0" w:tentative="0">
      <w:start w:val="5"/>
      <w:numFmt w:val="decimal"/>
      <w:suff w:val="nothing"/>
      <w:lvlText w:val="%1．"/>
      <w:lvlJc w:val="left"/>
    </w:lvl>
  </w:abstractNum>
  <w:abstractNum w:abstractNumId="13">
    <w:nsid w:val="56BC5205"/>
    <w:multiLevelType w:val="singleLevel"/>
    <w:tmpl w:val="56BC5205"/>
    <w:lvl w:ilvl="0" w:tentative="0">
      <w:start w:val="2"/>
      <w:numFmt w:val="chineseCounting"/>
      <w:suff w:val="nothing"/>
      <w:lvlText w:val="（%1）"/>
      <w:lvlJc w:val="left"/>
      <w:rPr>
        <w:rFonts w:hint="eastAsia"/>
      </w:rPr>
    </w:lvl>
  </w:abstractNum>
  <w:abstractNum w:abstractNumId="14">
    <w:nsid w:val="5C785F96"/>
    <w:multiLevelType w:val="singleLevel"/>
    <w:tmpl w:val="5C785F96"/>
    <w:lvl w:ilvl="0" w:tentative="0">
      <w:start w:val="2"/>
      <w:numFmt w:val="decimal"/>
      <w:suff w:val="nothing"/>
      <w:lvlText w:val="（%1）"/>
      <w:lvlJc w:val="left"/>
    </w:lvl>
  </w:abstractNum>
  <w:abstractNum w:abstractNumId="15">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6">
    <w:nsid w:val="66DDD653"/>
    <w:multiLevelType w:val="singleLevel"/>
    <w:tmpl w:val="66DDD653"/>
    <w:lvl w:ilvl="0" w:tentative="0">
      <w:start w:val="1"/>
      <w:numFmt w:val="chineseCounting"/>
      <w:suff w:val="space"/>
      <w:lvlText w:val="第%1章"/>
      <w:lvlJc w:val="left"/>
      <w:rPr>
        <w:rFonts w:hint="eastAsia"/>
      </w:rPr>
    </w:lvl>
  </w:abstractNum>
  <w:abstractNum w:abstractNumId="17">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5"/>
  </w:num>
  <w:num w:numId="2">
    <w:abstractNumId w:val="6"/>
  </w:num>
  <w:num w:numId="3">
    <w:abstractNumId w:val="16"/>
  </w:num>
  <w:num w:numId="4">
    <w:abstractNumId w:val="8"/>
  </w:num>
  <w:num w:numId="5">
    <w:abstractNumId w:val="17"/>
    <w:lvlOverride w:ilvl="0">
      <w:startOverride w:val="1"/>
    </w:lvlOverride>
  </w:num>
  <w:num w:numId="6">
    <w:abstractNumId w:val="1"/>
  </w:num>
  <w:num w:numId="7">
    <w:abstractNumId w:val="3"/>
  </w:num>
  <w:num w:numId="8">
    <w:abstractNumId w:val="4"/>
  </w:num>
  <w:num w:numId="9">
    <w:abstractNumId w:val="12"/>
  </w:num>
  <w:num w:numId="10">
    <w:abstractNumId w:val="13"/>
  </w:num>
  <w:num w:numId="11">
    <w:abstractNumId w:val="14"/>
  </w:num>
  <w:num w:numId="12">
    <w:abstractNumId w:val="0"/>
  </w:num>
  <w:num w:numId="13">
    <w:abstractNumId w:val="5"/>
  </w:num>
  <w:num w:numId="14">
    <w:abstractNumId w:val="7"/>
  </w:num>
  <w:num w:numId="15">
    <w:abstractNumId w:val="2"/>
  </w:num>
  <w:num w:numId="16">
    <w:abstractNumId w:val="9"/>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DhlYWQwOGZiNTI0MjMyYzNlMTYyNTFlYmYzNWQifQ=="/>
  </w:docVars>
  <w:rsids>
    <w:rsidRoot w:val="685F2B0C"/>
    <w:rsid w:val="0007403C"/>
    <w:rsid w:val="00104467"/>
    <w:rsid w:val="0023468B"/>
    <w:rsid w:val="00267F83"/>
    <w:rsid w:val="002D298A"/>
    <w:rsid w:val="00315916"/>
    <w:rsid w:val="00366FA4"/>
    <w:rsid w:val="003E41A8"/>
    <w:rsid w:val="004A4341"/>
    <w:rsid w:val="005A5509"/>
    <w:rsid w:val="006F2372"/>
    <w:rsid w:val="0073607F"/>
    <w:rsid w:val="00791044"/>
    <w:rsid w:val="007A069B"/>
    <w:rsid w:val="007B3E3E"/>
    <w:rsid w:val="007B51ED"/>
    <w:rsid w:val="007B6F4D"/>
    <w:rsid w:val="007C4012"/>
    <w:rsid w:val="00932D08"/>
    <w:rsid w:val="00987EDA"/>
    <w:rsid w:val="00A921FD"/>
    <w:rsid w:val="00A96D55"/>
    <w:rsid w:val="00A979AB"/>
    <w:rsid w:val="00AB49B7"/>
    <w:rsid w:val="00C04262"/>
    <w:rsid w:val="00C4286B"/>
    <w:rsid w:val="00CA4AD5"/>
    <w:rsid w:val="00CC45E7"/>
    <w:rsid w:val="00D138B9"/>
    <w:rsid w:val="00ED13E1"/>
    <w:rsid w:val="00F27C47"/>
    <w:rsid w:val="010742D5"/>
    <w:rsid w:val="011F460A"/>
    <w:rsid w:val="013D69DB"/>
    <w:rsid w:val="01851778"/>
    <w:rsid w:val="01AE11E6"/>
    <w:rsid w:val="01C3757A"/>
    <w:rsid w:val="01F53A09"/>
    <w:rsid w:val="02072CC8"/>
    <w:rsid w:val="02111AF2"/>
    <w:rsid w:val="02220C8A"/>
    <w:rsid w:val="02A40196"/>
    <w:rsid w:val="02E32A3D"/>
    <w:rsid w:val="02FA6A29"/>
    <w:rsid w:val="033D3B0D"/>
    <w:rsid w:val="03400DD0"/>
    <w:rsid w:val="03AE165D"/>
    <w:rsid w:val="03B92608"/>
    <w:rsid w:val="03E6762D"/>
    <w:rsid w:val="045C047C"/>
    <w:rsid w:val="046041A0"/>
    <w:rsid w:val="04604D98"/>
    <w:rsid w:val="049D3746"/>
    <w:rsid w:val="04A0717A"/>
    <w:rsid w:val="04D80590"/>
    <w:rsid w:val="058D14E6"/>
    <w:rsid w:val="05A87DBC"/>
    <w:rsid w:val="05B01B1D"/>
    <w:rsid w:val="06525BED"/>
    <w:rsid w:val="06653EC4"/>
    <w:rsid w:val="06744624"/>
    <w:rsid w:val="0699402C"/>
    <w:rsid w:val="069C64C8"/>
    <w:rsid w:val="06A0112C"/>
    <w:rsid w:val="06C00E8D"/>
    <w:rsid w:val="06EE255D"/>
    <w:rsid w:val="07183050"/>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096390"/>
    <w:rsid w:val="092F5773"/>
    <w:rsid w:val="093D2D0F"/>
    <w:rsid w:val="0975564E"/>
    <w:rsid w:val="09E70A54"/>
    <w:rsid w:val="09F15703"/>
    <w:rsid w:val="09FA5669"/>
    <w:rsid w:val="0A8528D5"/>
    <w:rsid w:val="0A9867C9"/>
    <w:rsid w:val="0AD56F1F"/>
    <w:rsid w:val="0AEA3C8C"/>
    <w:rsid w:val="0B0B6625"/>
    <w:rsid w:val="0B1E0CF0"/>
    <w:rsid w:val="0B424B21"/>
    <w:rsid w:val="0B4C5010"/>
    <w:rsid w:val="0B7F5105"/>
    <w:rsid w:val="0BE83010"/>
    <w:rsid w:val="0BF55127"/>
    <w:rsid w:val="0C4369A5"/>
    <w:rsid w:val="0C7E2237"/>
    <w:rsid w:val="0C8A3153"/>
    <w:rsid w:val="0C991BD9"/>
    <w:rsid w:val="0CB46E5B"/>
    <w:rsid w:val="0CD24D60"/>
    <w:rsid w:val="0D3F7F2E"/>
    <w:rsid w:val="0D705EC6"/>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DD306A"/>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1F1AFD"/>
    <w:rsid w:val="12543D89"/>
    <w:rsid w:val="125F1817"/>
    <w:rsid w:val="12830723"/>
    <w:rsid w:val="12A959C9"/>
    <w:rsid w:val="12BB2C5B"/>
    <w:rsid w:val="12CF4115"/>
    <w:rsid w:val="130B6440"/>
    <w:rsid w:val="134C77A5"/>
    <w:rsid w:val="13731B39"/>
    <w:rsid w:val="13815663"/>
    <w:rsid w:val="13C30E6E"/>
    <w:rsid w:val="14230C67"/>
    <w:rsid w:val="144D2E15"/>
    <w:rsid w:val="1466198A"/>
    <w:rsid w:val="146B4F18"/>
    <w:rsid w:val="14AD51B3"/>
    <w:rsid w:val="14EA3450"/>
    <w:rsid w:val="14F767B6"/>
    <w:rsid w:val="152201E5"/>
    <w:rsid w:val="153C7B00"/>
    <w:rsid w:val="155E782B"/>
    <w:rsid w:val="157C7C50"/>
    <w:rsid w:val="158D19C4"/>
    <w:rsid w:val="15A7636A"/>
    <w:rsid w:val="15B1120C"/>
    <w:rsid w:val="15B65685"/>
    <w:rsid w:val="16031113"/>
    <w:rsid w:val="16625C32"/>
    <w:rsid w:val="16725D01"/>
    <w:rsid w:val="168E215B"/>
    <w:rsid w:val="168F227C"/>
    <w:rsid w:val="16920A48"/>
    <w:rsid w:val="169B75C4"/>
    <w:rsid w:val="16F02A1F"/>
    <w:rsid w:val="171F0861"/>
    <w:rsid w:val="173D243C"/>
    <w:rsid w:val="17534ECF"/>
    <w:rsid w:val="175E1889"/>
    <w:rsid w:val="177A680D"/>
    <w:rsid w:val="178B17FC"/>
    <w:rsid w:val="17AC754E"/>
    <w:rsid w:val="17D47161"/>
    <w:rsid w:val="181011F1"/>
    <w:rsid w:val="1827115F"/>
    <w:rsid w:val="18537282"/>
    <w:rsid w:val="19075792"/>
    <w:rsid w:val="1924523C"/>
    <w:rsid w:val="192A06DB"/>
    <w:rsid w:val="19657BF3"/>
    <w:rsid w:val="198218DD"/>
    <w:rsid w:val="19A93987"/>
    <w:rsid w:val="19D659A9"/>
    <w:rsid w:val="19DA05DB"/>
    <w:rsid w:val="19EB475E"/>
    <w:rsid w:val="19EE41FA"/>
    <w:rsid w:val="1A0538E9"/>
    <w:rsid w:val="1A447D15"/>
    <w:rsid w:val="1A5A6066"/>
    <w:rsid w:val="1A777345"/>
    <w:rsid w:val="1ABE0A6A"/>
    <w:rsid w:val="1AFA0F74"/>
    <w:rsid w:val="1AFF3C05"/>
    <w:rsid w:val="1B0079CB"/>
    <w:rsid w:val="1B061518"/>
    <w:rsid w:val="1B305FC7"/>
    <w:rsid w:val="1B486897"/>
    <w:rsid w:val="1B6A0B90"/>
    <w:rsid w:val="1B8465ED"/>
    <w:rsid w:val="1B8C6B7B"/>
    <w:rsid w:val="1B930815"/>
    <w:rsid w:val="1BA66CC3"/>
    <w:rsid w:val="1BB91038"/>
    <w:rsid w:val="1BBF65FB"/>
    <w:rsid w:val="1BD17EB2"/>
    <w:rsid w:val="1BE658B0"/>
    <w:rsid w:val="1BE91714"/>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6E37E2"/>
    <w:rsid w:val="1E7D1B4B"/>
    <w:rsid w:val="1E8140C5"/>
    <w:rsid w:val="1EC80E1D"/>
    <w:rsid w:val="1ED36885"/>
    <w:rsid w:val="1EDB21B2"/>
    <w:rsid w:val="1EE21D29"/>
    <w:rsid w:val="1EFA6533"/>
    <w:rsid w:val="1F2A4B47"/>
    <w:rsid w:val="1F2E2C97"/>
    <w:rsid w:val="1F3E1D5D"/>
    <w:rsid w:val="1F6E3177"/>
    <w:rsid w:val="1F6F04BA"/>
    <w:rsid w:val="1F786F59"/>
    <w:rsid w:val="1F870ADE"/>
    <w:rsid w:val="1FD3171B"/>
    <w:rsid w:val="1FEE47F4"/>
    <w:rsid w:val="1FFC578E"/>
    <w:rsid w:val="20027E74"/>
    <w:rsid w:val="2024650C"/>
    <w:rsid w:val="20380E59"/>
    <w:rsid w:val="20464321"/>
    <w:rsid w:val="20505BF4"/>
    <w:rsid w:val="205D6C3D"/>
    <w:rsid w:val="206C4B4F"/>
    <w:rsid w:val="20700C59"/>
    <w:rsid w:val="20797189"/>
    <w:rsid w:val="20835E3C"/>
    <w:rsid w:val="20B07511"/>
    <w:rsid w:val="214967B1"/>
    <w:rsid w:val="215C6880"/>
    <w:rsid w:val="218F0080"/>
    <w:rsid w:val="21A5390F"/>
    <w:rsid w:val="21AD66DD"/>
    <w:rsid w:val="21D4253C"/>
    <w:rsid w:val="21EE760E"/>
    <w:rsid w:val="21F83EB4"/>
    <w:rsid w:val="22547C58"/>
    <w:rsid w:val="22734646"/>
    <w:rsid w:val="229067DA"/>
    <w:rsid w:val="22963494"/>
    <w:rsid w:val="22B371B5"/>
    <w:rsid w:val="22C23296"/>
    <w:rsid w:val="22CC461B"/>
    <w:rsid w:val="230E2F31"/>
    <w:rsid w:val="233E4105"/>
    <w:rsid w:val="23666663"/>
    <w:rsid w:val="23693289"/>
    <w:rsid w:val="239147E1"/>
    <w:rsid w:val="23BB34F7"/>
    <w:rsid w:val="243B4C5D"/>
    <w:rsid w:val="24FD6DFA"/>
    <w:rsid w:val="24FE0E05"/>
    <w:rsid w:val="25A9590D"/>
    <w:rsid w:val="25AF3989"/>
    <w:rsid w:val="25B303CF"/>
    <w:rsid w:val="25C73339"/>
    <w:rsid w:val="25D43D29"/>
    <w:rsid w:val="25D62822"/>
    <w:rsid w:val="25FC409C"/>
    <w:rsid w:val="26037DA0"/>
    <w:rsid w:val="265E47E2"/>
    <w:rsid w:val="266A24B5"/>
    <w:rsid w:val="266C7CA7"/>
    <w:rsid w:val="26920C3D"/>
    <w:rsid w:val="26B424FB"/>
    <w:rsid w:val="27116F14"/>
    <w:rsid w:val="276128EB"/>
    <w:rsid w:val="27795787"/>
    <w:rsid w:val="27881ACA"/>
    <w:rsid w:val="27E92A9C"/>
    <w:rsid w:val="27F30C40"/>
    <w:rsid w:val="28482C7C"/>
    <w:rsid w:val="289A255F"/>
    <w:rsid w:val="28B54BEB"/>
    <w:rsid w:val="28D9203E"/>
    <w:rsid w:val="28E80E13"/>
    <w:rsid w:val="29127BE0"/>
    <w:rsid w:val="29196245"/>
    <w:rsid w:val="29424212"/>
    <w:rsid w:val="29554B42"/>
    <w:rsid w:val="295A4D29"/>
    <w:rsid w:val="29606A91"/>
    <w:rsid w:val="29807B6C"/>
    <w:rsid w:val="29B661A7"/>
    <w:rsid w:val="29E4351B"/>
    <w:rsid w:val="29FA460F"/>
    <w:rsid w:val="2A084E42"/>
    <w:rsid w:val="2A6D1762"/>
    <w:rsid w:val="2AA80730"/>
    <w:rsid w:val="2ABB3F5D"/>
    <w:rsid w:val="2AC017A8"/>
    <w:rsid w:val="2B05401F"/>
    <w:rsid w:val="2B14778E"/>
    <w:rsid w:val="2B421822"/>
    <w:rsid w:val="2B492F53"/>
    <w:rsid w:val="2B7F0BDE"/>
    <w:rsid w:val="2BDE00CD"/>
    <w:rsid w:val="2C232160"/>
    <w:rsid w:val="2C235700"/>
    <w:rsid w:val="2C517394"/>
    <w:rsid w:val="2C587AD3"/>
    <w:rsid w:val="2C7E6429"/>
    <w:rsid w:val="2C8206F9"/>
    <w:rsid w:val="2C963671"/>
    <w:rsid w:val="2C9D4F34"/>
    <w:rsid w:val="2C9F7276"/>
    <w:rsid w:val="2CA2073A"/>
    <w:rsid w:val="2CB57537"/>
    <w:rsid w:val="2D1C1443"/>
    <w:rsid w:val="2D2F1D9E"/>
    <w:rsid w:val="2D7723CF"/>
    <w:rsid w:val="2D84410B"/>
    <w:rsid w:val="2D8C3A4E"/>
    <w:rsid w:val="2DAB174B"/>
    <w:rsid w:val="2DAC3053"/>
    <w:rsid w:val="2E0320EB"/>
    <w:rsid w:val="2E125FC1"/>
    <w:rsid w:val="2E1B69A2"/>
    <w:rsid w:val="2E354929"/>
    <w:rsid w:val="2E6469D8"/>
    <w:rsid w:val="2E7B072C"/>
    <w:rsid w:val="2E7C01C6"/>
    <w:rsid w:val="2EF410B7"/>
    <w:rsid w:val="2F011E82"/>
    <w:rsid w:val="2F631DFD"/>
    <w:rsid w:val="2F6858EF"/>
    <w:rsid w:val="2F8F12D1"/>
    <w:rsid w:val="2FA71114"/>
    <w:rsid w:val="2FBD3EFE"/>
    <w:rsid w:val="2FDB2768"/>
    <w:rsid w:val="2FE06B43"/>
    <w:rsid w:val="2FE2003A"/>
    <w:rsid w:val="2FF93253"/>
    <w:rsid w:val="300C690E"/>
    <w:rsid w:val="3046030C"/>
    <w:rsid w:val="304C0473"/>
    <w:rsid w:val="304D28E8"/>
    <w:rsid w:val="30576C83"/>
    <w:rsid w:val="30670F4B"/>
    <w:rsid w:val="307770A8"/>
    <w:rsid w:val="30D72609"/>
    <w:rsid w:val="30FD1799"/>
    <w:rsid w:val="31AB540D"/>
    <w:rsid w:val="31B57A67"/>
    <w:rsid w:val="31F436E7"/>
    <w:rsid w:val="32413B97"/>
    <w:rsid w:val="324C0B81"/>
    <w:rsid w:val="328D576F"/>
    <w:rsid w:val="33091096"/>
    <w:rsid w:val="331C15B8"/>
    <w:rsid w:val="33232830"/>
    <w:rsid w:val="33566686"/>
    <w:rsid w:val="337230AE"/>
    <w:rsid w:val="33781EF4"/>
    <w:rsid w:val="33843CA1"/>
    <w:rsid w:val="33A45B5A"/>
    <w:rsid w:val="33B67BD6"/>
    <w:rsid w:val="33DD4134"/>
    <w:rsid w:val="33E47B88"/>
    <w:rsid w:val="33FA723C"/>
    <w:rsid w:val="341C55A4"/>
    <w:rsid w:val="3426443F"/>
    <w:rsid w:val="343828C2"/>
    <w:rsid w:val="346500C7"/>
    <w:rsid w:val="3498562E"/>
    <w:rsid w:val="34A13A37"/>
    <w:rsid w:val="34F5177C"/>
    <w:rsid w:val="35043821"/>
    <w:rsid w:val="355C4178"/>
    <w:rsid w:val="3562042D"/>
    <w:rsid w:val="35850AE6"/>
    <w:rsid w:val="35867C30"/>
    <w:rsid w:val="35DE1818"/>
    <w:rsid w:val="362D36E4"/>
    <w:rsid w:val="36787E34"/>
    <w:rsid w:val="367F3517"/>
    <w:rsid w:val="36963DEF"/>
    <w:rsid w:val="36A52258"/>
    <w:rsid w:val="36B77A33"/>
    <w:rsid w:val="36C54300"/>
    <w:rsid w:val="36FC06E4"/>
    <w:rsid w:val="372D27B8"/>
    <w:rsid w:val="37533A9C"/>
    <w:rsid w:val="37907B88"/>
    <w:rsid w:val="37930872"/>
    <w:rsid w:val="37AC0A3F"/>
    <w:rsid w:val="37BF2ED1"/>
    <w:rsid w:val="37DB78A9"/>
    <w:rsid w:val="37EE6B00"/>
    <w:rsid w:val="38053C44"/>
    <w:rsid w:val="383F153C"/>
    <w:rsid w:val="384910F0"/>
    <w:rsid w:val="38B03176"/>
    <w:rsid w:val="38D123DD"/>
    <w:rsid w:val="390169CA"/>
    <w:rsid w:val="390C1678"/>
    <w:rsid w:val="39150581"/>
    <w:rsid w:val="392F5095"/>
    <w:rsid w:val="39465433"/>
    <w:rsid w:val="39561D5A"/>
    <w:rsid w:val="395B6912"/>
    <w:rsid w:val="397F2D08"/>
    <w:rsid w:val="39BF540B"/>
    <w:rsid w:val="3A3F6C87"/>
    <w:rsid w:val="3A4275D3"/>
    <w:rsid w:val="3A9A511E"/>
    <w:rsid w:val="3AC55D59"/>
    <w:rsid w:val="3ACE2337"/>
    <w:rsid w:val="3ADF4EC5"/>
    <w:rsid w:val="3B175B2E"/>
    <w:rsid w:val="3B625CA9"/>
    <w:rsid w:val="3BA1126C"/>
    <w:rsid w:val="3BC5147E"/>
    <w:rsid w:val="3BDF7BFD"/>
    <w:rsid w:val="3BE90506"/>
    <w:rsid w:val="3BEB1160"/>
    <w:rsid w:val="3BEB6832"/>
    <w:rsid w:val="3C3667CF"/>
    <w:rsid w:val="3C40766B"/>
    <w:rsid w:val="3C530F91"/>
    <w:rsid w:val="3C692C22"/>
    <w:rsid w:val="3C930714"/>
    <w:rsid w:val="3CB16103"/>
    <w:rsid w:val="3CB2101F"/>
    <w:rsid w:val="3CBD35C8"/>
    <w:rsid w:val="3CBF1A99"/>
    <w:rsid w:val="3CC764A1"/>
    <w:rsid w:val="3CF146D1"/>
    <w:rsid w:val="3D097312"/>
    <w:rsid w:val="3D0C6691"/>
    <w:rsid w:val="3D1001E1"/>
    <w:rsid w:val="3D2F6909"/>
    <w:rsid w:val="3DAE0624"/>
    <w:rsid w:val="3DDC2A2F"/>
    <w:rsid w:val="3DE113F3"/>
    <w:rsid w:val="3DFA49EA"/>
    <w:rsid w:val="3E1E7238"/>
    <w:rsid w:val="3E6843D9"/>
    <w:rsid w:val="3EB648CC"/>
    <w:rsid w:val="3EBD28B3"/>
    <w:rsid w:val="3F506818"/>
    <w:rsid w:val="3F7D78FA"/>
    <w:rsid w:val="3F8D62EB"/>
    <w:rsid w:val="3FE36C1C"/>
    <w:rsid w:val="3FEB19D5"/>
    <w:rsid w:val="40225416"/>
    <w:rsid w:val="40323D4B"/>
    <w:rsid w:val="4036153F"/>
    <w:rsid w:val="40923879"/>
    <w:rsid w:val="40A30A33"/>
    <w:rsid w:val="40D10A68"/>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10614F"/>
    <w:rsid w:val="4478624B"/>
    <w:rsid w:val="4493367B"/>
    <w:rsid w:val="44A26554"/>
    <w:rsid w:val="44AB74B4"/>
    <w:rsid w:val="44D64ABE"/>
    <w:rsid w:val="45040706"/>
    <w:rsid w:val="451446FC"/>
    <w:rsid w:val="452905F3"/>
    <w:rsid w:val="4579070F"/>
    <w:rsid w:val="457E6F7B"/>
    <w:rsid w:val="45E470EC"/>
    <w:rsid w:val="45FD70DB"/>
    <w:rsid w:val="464C3285"/>
    <w:rsid w:val="468509D2"/>
    <w:rsid w:val="46977D08"/>
    <w:rsid w:val="46BA6241"/>
    <w:rsid w:val="46BC0687"/>
    <w:rsid w:val="46D14AE8"/>
    <w:rsid w:val="46DA670B"/>
    <w:rsid w:val="46F40267"/>
    <w:rsid w:val="470F1B5D"/>
    <w:rsid w:val="47105EA9"/>
    <w:rsid w:val="471332ED"/>
    <w:rsid w:val="47292631"/>
    <w:rsid w:val="47CC7D6B"/>
    <w:rsid w:val="47D24316"/>
    <w:rsid w:val="47D27940"/>
    <w:rsid w:val="47DE0285"/>
    <w:rsid w:val="47F77566"/>
    <w:rsid w:val="47F90DC6"/>
    <w:rsid w:val="480F670E"/>
    <w:rsid w:val="481C1F20"/>
    <w:rsid w:val="48266AF3"/>
    <w:rsid w:val="48701663"/>
    <w:rsid w:val="48801F0A"/>
    <w:rsid w:val="489C7EA5"/>
    <w:rsid w:val="48BA1F20"/>
    <w:rsid w:val="48D75037"/>
    <w:rsid w:val="48E46C3C"/>
    <w:rsid w:val="49267F46"/>
    <w:rsid w:val="493E3C2D"/>
    <w:rsid w:val="494730DF"/>
    <w:rsid w:val="494B7F85"/>
    <w:rsid w:val="497C5511"/>
    <w:rsid w:val="49B65DC9"/>
    <w:rsid w:val="49E2412D"/>
    <w:rsid w:val="49E82B6B"/>
    <w:rsid w:val="4A151D89"/>
    <w:rsid w:val="4A7674C1"/>
    <w:rsid w:val="4A812381"/>
    <w:rsid w:val="4B5F395F"/>
    <w:rsid w:val="4BBA64B1"/>
    <w:rsid w:val="4BE81CD3"/>
    <w:rsid w:val="4C3B51D7"/>
    <w:rsid w:val="4C735908"/>
    <w:rsid w:val="4C9743B6"/>
    <w:rsid w:val="4CCC503A"/>
    <w:rsid w:val="4CCE5C39"/>
    <w:rsid w:val="4CEB6172"/>
    <w:rsid w:val="4D021D86"/>
    <w:rsid w:val="4D670A85"/>
    <w:rsid w:val="4D756665"/>
    <w:rsid w:val="4D806473"/>
    <w:rsid w:val="4DB87F6B"/>
    <w:rsid w:val="4DF85FC0"/>
    <w:rsid w:val="4E46059D"/>
    <w:rsid w:val="4E50373D"/>
    <w:rsid w:val="4E7B029B"/>
    <w:rsid w:val="4ECC5D80"/>
    <w:rsid w:val="4ED61833"/>
    <w:rsid w:val="4EDA18B9"/>
    <w:rsid w:val="4EDE26E1"/>
    <w:rsid w:val="4F0153DC"/>
    <w:rsid w:val="4F16322F"/>
    <w:rsid w:val="4F1D7796"/>
    <w:rsid w:val="4F4775DA"/>
    <w:rsid w:val="4F573543"/>
    <w:rsid w:val="4F9B4CA9"/>
    <w:rsid w:val="501C4E89"/>
    <w:rsid w:val="506A1839"/>
    <w:rsid w:val="50942DAE"/>
    <w:rsid w:val="509A34B5"/>
    <w:rsid w:val="50A93C64"/>
    <w:rsid w:val="50C353BD"/>
    <w:rsid w:val="50CF1F9A"/>
    <w:rsid w:val="50DD3BA3"/>
    <w:rsid w:val="50E61CAB"/>
    <w:rsid w:val="50FB2980"/>
    <w:rsid w:val="511C6CDD"/>
    <w:rsid w:val="51AE09D9"/>
    <w:rsid w:val="51F91EC6"/>
    <w:rsid w:val="523835F9"/>
    <w:rsid w:val="52512B8D"/>
    <w:rsid w:val="526405F3"/>
    <w:rsid w:val="52713ED9"/>
    <w:rsid w:val="52C75604"/>
    <w:rsid w:val="52E04293"/>
    <w:rsid w:val="52F019E8"/>
    <w:rsid w:val="52F37A7A"/>
    <w:rsid w:val="531E2D03"/>
    <w:rsid w:val="532513E5"/>
    <w:rsid w:val="53477E2E"/>
    <w:rsid w:val="53804991"/>
    <w:rsid w:val="53AC47FA"/>
    <w:rsid w:val="53BC34C4"/>
    <w:rsid w:val="53CE29B7"/>
    <w:rsid w:val="53EC584E"/>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0A09E6"/>
    <w:rsid w:val="572A6B2A"/>
    <w:rsid w:val="57AA5D1A"/>
    <w:rsid w:val="57BB22E7"/>
    <w:rsid w:val="57F64E7F"/>
    <w:rsid w:val="57F67BD6"/>
    <w:rsid w:val="58135758"/>
    <w:rsid w:val="58372026"/>
    <w:rsid w:val="587316C8"/>
    <w:rsid w:val="58800EF9"/>
    <w:rsid w:val="5920032E"/>
    <w:rsid w:val="592233B5"/>
    <w:rsid w:val="594E58E1"/>
    <w:rsid w:val="597E3F8E"/>
    <w:rsid w:val="59AF07EA"/>
    <w:rsid w:val="59BB38EE"/>
    <w:rsid w:val="59DC1D4F"/>
    <w:rsid w:val="59FE08FA"/>
    <w:rsid w:val="5A5640E0"/>
    <w:rsid w:val="5A917527"/>
    <w:rsid w:val="5AC34C92"/>
    <w:rsid w:val="5ACF7403"/>
    <w:rsid w:val="5AD56953"/>
    <w:rsid w:val="5B46719F"/>
    <w:rsid w:val="5BA42A14"/>
    <w:rsid w:val="5BAD4F85"/>
    <w:rsid w:val="5BDF212D"/>
    <w:rsid w:val="5BF91159"/>
    <w:rsid w:val="5C1F034C"/>
    <w:rsid w:val="5C2661F8"/>
    <w:rsid w:val="5C2B5AC7"/>
    <w:rsid w:val="5C342CD9"/>
    <w:rsid w:val="5C352A17"/>
    <w:rsid w:val="5C36681F"/>
    <w:rsid w:val="5C931B3A"/>
    <w:rsid w:val="5CE51647"/>
    <w:rsid w:val="5D0B0214"/>
    <w:rsid w:val="5D1A0A42"/>
    <w:rsid w:val="5D4F1710"/>
    <w:rsid w:val="5D5D7F5C"/>
    <w:rsid w:val="5D71045F"/>
    <w:rsid w:val="5D8543BA"/>
    <w:rsid w:val="5D9E16C8"/>
    <w:rsid w:val="5DB7371B"/>
    <w:rsid w:val="5DF04321"/>
    <w:rsid w:val="5E092FDF"/>
    <w:rsid w:val="5E4A015A"/>
    <w:rsid w:val="5E700C18"/>
    <w:rsid w:val="5EE53674"/>
    <w:rsid w:val="5EF861CE"/>
    <w:rsid w:val="5F0575D1"/>
    <w:rsid w:val="5F2D2E3D"/>
    <w:rsid w:val="5F36490D"/>
    <w:rsid w:val="5F4F1CC2"/>
    <w:rsid w:val="5F5C0DD6"/>
    <w:rsid w:val="5F744EF1"/>
    <w:rsid w:val="5F7B2335"/>
    <w:rsid w:val="5FC16B77"/>
    <w:rsid w:val="5FCF362D"/>
    <w:rsid w:val="5FDA399F"/>
    <w:rsid w:val="5FEB6673"/>
    <w:rsid w:val="5FFA79ED"/>
    <w:rsid w:val="60106671"/>
    <w:rsid w:val="60252149"/>
    <w:rsid w:val="60441617"/>
    <w:rsid w:val="606D0EF6"/>
    <w:rsid w:val="60835E90"/>
    <w:rsid w:val="60B85EAE"/>
    <w:rsid w:val="60EC443C"/>
    <w:rsid w:val="60F0394C"/>
    <w:rsid w:val="61013040"/>
    <w:rsid w:val="61107F31"/>
    <w:rsid w:val="611C35B8"/>
    <w:rsid w:val="61456201"/>
    <w:rsid w:val="61AE7556"/>
    <w:rsid w:val="61D41854"/>
    <w:rsid w:val="62282B27"/>
    <w:rsid w:val="623C3740"/>
    <w:rsid w:val="624F63B5"/>
    <w:rsid w:val="625A6442"/>
    <w:rsid w:val="6280453F"/>
    <w:rsid w:val="628F2951"/>
    <w:rsid w:val="62F86A67"/>
    <w:rsid w:val="63221256"/>
    <w:rsid w:val="63495BC1"/>
    <w:rsid w:val="63622C15"/>
    <w:rsid w:val="638B4892"/>
    <w:rsid w:val="639279AF"/>
    <w:rsid w:val="63A66A42"/>
    <w:rsid w:val="63E6795E"/>
    <w:rsid w:val="641222ED"/>
    <w:rsid w:val="642B5582"/>
    <w:rsid w:val="64486B46"/>
    <w:rsid w:val="64581D25"/>
    <w:rsid w:val="64643953"/>
    <w:rsid w:val="64654D54"/>
    <w:rsid w:val="64FB2F8F"/>
    <w:rsid w:val="650D6333"/>
    <w:rsid w:val="654908E4"/>
    <w:rsid w:val="65640A91"/>
    <w:rsid w:val="6569292C"/>
    <w:rsid w:val="656A6C63"/>
    <w:rsid w:val="656D53EA"/>
    <w:rsid w:val="658C66C4"/>
    <w:rsid w:val="65B8738C"/>
    <w:rsid w:val="65F43065"/>
    <w:rsid w:val="66214EFA"/>
    <w:rsid w:val="666D65E1"/>
    <w:rsid w:val="668405BB"/>
    <w:rsid w:val="66BE059B"/>
    <w:rsid w:val="66C25FFC"/>
    <w:rsid w:val="66CB1D48"/>
    <w:rsid w:val="66EF31C1"/>
    <w:rsid w:val="66F33495"/>
    <w:rsid w:val="671A59C6"/>
    <w:rsid w:val="67340A1D"/>
    <w:rsid w:val="67404335"/>
    <w:rsid w:val="67424E02"/>
    <w:rsid w:val="674B4232"/>
    <w:rsid w:val="678218BC"/>
    <w:rsid w:val="678E3970"/>
    <w:rsid w:val="67905785"/>
    <w:rsid w:val="67D547F3"/>
    <w:rsid w:val="67E324DD"/>
    <w:rsid w:val="67FF2CF3"/>
    <w:rsid w:val="680C40CD"/>
    <w:rsid w:val="683B3D7E"/>
    <w:rsid w:val="6853772F"/>
    <w:rsid w:val="685F2B0C"/>
    <w:rsid w:val="686B3F2B"/>
    <w:rsid w:val="686E4CA0"/>
    <w:rsid w:val="686F6E6A"/>
    <w:rsid w:val="68840F3C"/>
    <w:rsid w:val="68B631F6"/>
    <w:rsid w:val="693F6786"/>
    <w:rsid w:val="69520443"/>
    <w:rsid w:val="696F522B"/>
    <w:rsid w:val="69B72806"/>
    <w:rsid w:val="69BD41F9"/>
    <w:rsid w:val="69C21FC2"/>
    <w:rsid w:val="69C52477"/>
    <w:rsid w:val="69CE3188"/>
    <w:rsid w:val="69E54E74"/>
    <w:rsid w:val="69F16456"/>
    <w:rsid w:val="69F431E5"/>
    <w:rsid w:val="6A0A0B04"/>
    <w:rsid w:val="6A3A3987"/>
    <w:rsid w:val="6A570C98"/>
    <w:rsid w:val="6AD5470C"/>
    <w:rsid w:val="6AE7435F"/>
    <w:rsid w:val="6AE944A4"/>
    <w:rsid w:val="6B4E6ABF"/>
    <w:rsid w:val="6B6150FB"/>
    <w:rsid w:val="6B8F7255"/>
    <w:rsid w:val="6BAE2EC2"/>
    <w:rsid w:val="6BBC7D3D"/>
    <w:rsid w:val="6BED42F7"/>
    <w:rsid w:val="6C253A83"/>
    <w:rsid w:val="6C256815"/>
    <w:rsid w:val="6C4C1DDE"/>
    <w:rsid w:val="6C526267"/>
    <w:rsid w:val="6C9F2B60"/>
    <w:rsid w:val="6CD24D1C"/>
    <w:rsid w:val="6CFD78A4"/>
    <w:rsid w:val="6D272E6C"/>
    <w:rsid w:val="6D73227D"/>
    <w:rsid w:val="6D886D51"/>
    <w:rsid w:val="6D9C39D1"/>
    <w:rsid w:val="6DCC4C0D"/>
    <w:rsid w:val="6E4341AC"/>
    <w:rsid w:val="6E787E69"/>
    <w:rsid w:val="6E8E457E"/>
    <w:rsid w:val="6E92348F"/>
    <w:rsid w:val="6EA77C40"/>
    <w:rsid w:val="6F0E15C8"/>
    <w:rsid w:val="6F2E3E59"/>
    <w:rsid w:val="6F436F8F"/>
    <w:rsid w:val="6F4E3774"/>
    <w:rsid w:val="6F6816AE"/>
    <w:rsid w:val="6F6C216C"/>
    <w:rsid w:val="6F6D2C38"/>
    <w:rsid w:val="6F93693C"/>
    <w:rsid w:val="6FC9214C"/>
    <w:rsid w:val="6FE16E28"/>
    <w:rsid w:val="705D1FED"/>
    <w:rsid w:val="705D36AF"/>
    <w:rsid w:val="70CC02B3"/>
    <w:rsid w:val="70D53585"/>
    <w:rsid w:val="70F2273C"/>
    <w:rsid w:val="7107296B"/>
    <w:rsid w:val="71321C7C"/>
    <w:rsid w:val="7170146E"/>
    <w:rsid w:val="717268C8"/>
    <w:rsid w:val="71802D0E"/>
    <w:rsid w:val="718C1A9B"/>
    <w:rsid w:val="718F5890"/>
    <w:rsid w:val="722F3192"/>
    <w:rsid w:val="7235573F"/>
    <w:rsid w:val="726C56B8"/>
    <w:rsid w:val="727E6C9F"/>
    <w:rsid w:val="7288771C"/>
    <w:rsid w:val="728C57EE"/>
    <w:rsid w:val="72A10412"/>
    <w:rsid w:val="72A458E1"/>
    <w:rsid w:val="72AD500E"/>
    <w:rsid w:val="72CE592F"/>
    <w:rsid w:val="72E6453D"/>
    <w:rsid w:val="73197AE0"/>
    <w:rsid w:val="73221860"/>
    <w:rsid w:val="733A4EF6"/>
    <w:rsid w:val="733D0234"/>
    <w:rsid w:val="73773239"/>
    <w:rsid w:val="73B40BD5"/>
    <w:rsid w:val="73C4175E"/>
    <w:rsid w:val="73E80D98"/>
    <w:rsid w:val="73FA14E3"/>
    <w:rsid w:val="740267E6"/>
    <w:rsid w:val="740A7F35"/>
    <w:rsid w:val="74344DA7"/>
    <w:rsid w:val="744A276A"/>
    <w:rsid w:val="74897210"/>
    <w:rsid w:val="74A45A74"/>
    <w:rsid w:val="74E52558"/>
    <w:rsid w:val="751E40FE"/>
    <w:rsid w:val="755E6626"/>
    <w:rsid w:val="75841DF5"/>
    <w:rsid w:val="758D233C"/>
    <w:rsid w:val="75970A9E"/>
    <w:rsid w:val="75DE7C00"/>
    <w:rsid w:val="75EE39E4"/>
    <w:rsid w:val="761A3089"/>
    <w:rsid w:val="762955DF"/>
    <w:rsid w:val="76373E70"/>
    <w:rsid w:val="764802D8"/>
    <w:rsid w:val="76C54839"/>
    <w:rsid w:val="76FB601C"/>
    <w:rsid w:val="77081D08"/>
    <w:rsid w:val="77440722"/>
    <w:rsid w:val="77945DEF"/>
    <w:rsid w:val="77AB41A4"/>
    <w:rsid w:val="77B46DA4"/>
    <w:rsid w:val="77D66491"/>
    <w:rsid w:val="77EB2D72"/>
    <w:rsid w:val="780776F7"/>
    <w:rsid w:val="78163522"/>
    <w:rsid w:val="785E50A2"/>
    <w:rsid w:val="78623556"/>
    <w:rsid w:val="78867CFB"/>
    <w:rsid w:val="789E3192"/>
    <w:rsid w:val="789F2C29"/>
    <w:rsid w:val="78E201F2"/>
    <w:rsid w:val="79042EE5"/>
    <w:rsid w:val="79210966"/>
    <w:rsid w:val="794321BB"/>
    <w:rsid w:val="794D51CC"/>
    <w:rsid w:val="795F47C4"/>
    <w:rsid w:val="7967171B"/>
    <w:rsid w:val="799447B2"/>
    <w:rsid w:val="79993DEC"/>
    <w:rsid w:val="799B671E"/>
    <w:rsid w:val="79B7238B"/>
    <w:rsid w:val="79D00575"/>
    <w:rsid w:val="79E656FC"/>
    <w:rsid w:val="79EB6AAC"/>
    <w:rsid w:val="79F16C5D"/>
    <w:rsid w:val="79F9227E"/>
    <w:rsid w:val="7A03141B"/>
    <w:rsid w:val="7A1817A4"/>
    <w:rsid w:val="7A470DFD"/>
    <w:rsid w:val="7A640675"/>
    <w:rsid w:val="7A9E603E"/>
    <w:rsid w:val="7B225C49"/>
    <w:rsid w:val="7B2F1C06"/>
    <w:rsid w:val="7B8340AE"/>
    <w:rsid w:val="7B8F7B53"/>
    <w:rsid w:val="7B9F467D"/>
    <w:rsid w:val="7BB151BD"/>
    <w:rsid w:val="7BF60404"/>
    <w:rsid w:val="7C42078B"/>
    <w:rsid w:val="7C457EE7"/>
    <w:rsid w:val="7CA50B86"/>
    <w:rsid w:val="7CD40CD3"/>
    <w:rsid w:val="7D6D40C6"/>
    <w:rsid w:val="7D8D1E3D"/>
    <w:rsid w:val="7DAA7D03"/>
    <w:rsid w:val="7DAE4568"/>
    <w:rsid w:val="7DF42A4B"/>
    <w:rsid w:val="7EAB2F61"/>
    <w:rsid w:val="7EC02D84"/>
    <w:rsid w:val="7EE626A2"/>
    <w:rsid w:val="7EF1767C"/>
    <w:rsid w:val="7F1747D7"/>
    <w:rsid w:val="7F2F78BB"/>
    <w:rsid w:val="7F370C17"/>
    <w:rsid w:val="7F3F6A0A"/>
    <w:rsid w:val="7F853438"/>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1">
    <w:name w:val="Default Paragraph Font"/>
    <w:link w:val="32"/>
    <w:semiHidden/>
    <w:unhideWhenUsed/>
    <w:qFormat/>
    <w:uiPriority w:val="1"/>
    <w:rPr>
      <w:rFonts w:eastAsia="仿宋_GB2312"/>
      <w:sz w:val="32"/>
      <w:szCs w:val="20"/>
    </w:rPr>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0"/>
    <w:pPr>
      <w:ind w:firstLine="200" w:firstLineChars="200"/>
    </w:pPr>
  </w:style>
  <w:style w:type="paragraph" w:styleId="13">
    <w:name w:val="Body Text Indent"/>
    <w:basedOn w:val="1"/>
    <w:next w:val="1"/>
    <w:qFormat/>
    <w:uiPriority w:val="0"/>
    <w:pPr>
      <w:spacing w:after="120"/>
      <w:ind w:left="420" w:leftChars="200"/>
    </w:pPr>
  </w:style>
  <w:style w:type="paragraph" w:styleId="14">
    <w:name w:val="Block Text"/>
    <w:basedOn w:val="1"/>
    <w:next w:val="6"/>
    <w:unhideWhenUsed/>
    <w:qFormat/>
    <w:uiPriority w:val="99"/>
    <w:pPr>
      <w:adjustRightInd w:val="0"/>
      <w:spacing w:line="300" w:lineRule="auto"/>
      <w:ind w:left="958" w:right="-120" w:rightChars="-120"/>
      <w:jc w:val="left"/>
    </w:pPr>
    <w:rPr>
      <w:rFonts w:ascii="宋体" w:hAnsi="宋体"/>
      <w:sz w:val="28"/>
    </w:rPr>
  </w:style>
  <w:style w:type="paragraph" w:styleId="15">
    <w:name w:val="Plain Text"/>
    <w:basedOn w:val="1"/>
    <w:next w:val="16"/>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63"/>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next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qFormat/>
    <w:uiPriority w:val="0"/>
    <w:pPr>
      <w:snapToGrid w:val="0"/>
      <w:jc w:val="left"/>
    </w:pPr>
    <w:rPr>
      <w:rFonts w:eastAsia="仿宋_GB2312"/>
      <w:sz w:val="18"/>
      <w:szCs w:val="20"/>
    </w:rPr>
  </w:style>
  <w:style w:type="paragraph" w:styleId="22">
    <w:name w:val="toc 6"/>
    <w:basedOn w:val="1"/>
    <w:next w:val="1"/>
    <w:qFormat/>
    <w:uiPriority w:val="0"/>
    <w:pPr>
      <w:widowControl w:val="0"/>
      <w:ind w:left="1050"/>
      <w:jc w:val="left"/>
    </w:pPr>
    <w:rPr>
      <w:rFonts w:ascii="Times New Roman" w:hAnsi="Times New Roman" w:eastAsia="宋体" w:cs="Times New Roman"/>
      <w:kern w:val="2"/>
      <w:sz w:val="18"/>
      <w:szCs w:val="18"/>
      <w:lang w:val="en-US" w:eastAsia="zh-CN" w:bidi="ar-SA"/>
    </w:rPr>
  </w:style>
  <w:style w:type="paragraph" w:styleId="23">
    <w:name w:val="Body Text Indent 3"/>
    <w:basedOn w:val="1"/>
    <w:qFormat/>
    <w:uiPriority w:val="0"/>
    <w:pPr>
      <w:ind w:left="420" w:leftChars="200"/>
    </w:pPr>
    <w:rPr>
      <w:sz w:val="16"/>
      <w:szCs w:val="16"/>
    </w:rPr>
  </w:style>
  <w:style w:type="paragraph" w:styleId="2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Body Text First Indent 2"/>
    <w:basedOn w:val="13"/>
    <w:next w:val="1"/>
    <w:qFormat/>
    <w:uiPriority w:val="0"/>
    <w:pPr>
      <w:ind w:firstLine="420"/>
    </w:pPr>
  </w:style>
  <w:style w:type="table" w:styleId="29">
    <w:name w:val="Table Grid"/>
    <w:basedOn w:val="28"/>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30">
    <w:name w:val="Table Theme"/>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 Char2"/>
    <w:basedOn w:val="1"/>
    <w:link w:val="31"/>
    <w:qFormat/>
    <w:uiPriority w:val="0"/>
    <w:rPr>
      <w:rFonts w:eastAsia="仿宋_GB2312"/>
      <w:sz w:val="32"/>
      <w:szCs w:val="20"/>
    </w:rPr>
  </w:style>
  <w:style w:type="character" w:styleId="33">
    <w:name w:val="Strong"/>
    <w:qFormat/>
    <w:uiPriority w:val="99"/>
    <w:rPr>
      <w:b/>
    </w:rPr>
  </w:style>
  <w:style w:type="character" w:styleId="34">
    <w:name w:val="Hyperlink"/>
    <w:basedOn w:val="31"/>
    <w:qFormat/>
    <w:uiPriority w:val="0"/>
    <w:rPr>
      <w:color w:val="0000FF"/>
      <w:u w:val="single"/>
    </w:rPr>
  </w:style>
  <w:style w:type="character" w:styleId="35">
    <w:name w:val="annotation reference"/>
    <w:basedOn w:val="31"/>
    <w:qFormat/>
    <w:uiPriority w:val="0"/>
    <w:rPr>
      <w:sz w:val="21"/>
      <w:szCs w:val="21"/>
    </w:rPr>
  </w:style>
  <w:style w:type="character" w:styleId="36">
    <w:name w:val="footnote reference"/>
    <w:qFormat/>
    <w:uiPriority w:val="0"/>
    <w:rPr>
      <w:vertAlign w:val="superscript"/>
    </w:rPr>
  </w:style>
  <w:style w:type="paragraph" w:customStyle="1" w:styleId="37">
    <w:name w:val="签发人"/>
    <w:basedOn w:val="1"/>
    <w:qFormat/>
    <w:uiPriority w:val="0"/>
    <w:rPr>
      <w:rFonts w:eastAsia="楷体"/>
      <w:sz w:val="32"/>
    </w:rPr>
  </w:style>
  <w:style w:type="paragraph" w:customStyle="1" w:styleId="38">
    <w:name w:val="文章正文"/>
    <w:basedOn w:val="1"/>
    <w:next w:val="39"/>
    <w:qFormat/>
    <w:uiPriority w:val="0"/>
    <w:pPr>
      <w:spacing w:line="360" w:lineRule="auto"/>
      <w:ind w:firstLine="200" w:firstLineChars="200"/>
    </w:pPr>
    <w:rPr>
      <w:rFonts w:ascii="Calibri" w:hAnsi="Calibri" w:cs="Times New Roman"/>
      <w:snapToGrid/>
      <w:sz w:val="24"/>
      <w:szCs w:val="24"/>
    </w:rPr>
  </w:style>
  <w:style w:type="paragraph" w:customStyle="1" w:styleId="39">
    <w:name w:val="公式样式 变量"/>
    <w:qFormat/>
    <w:uiPriority w:val="0"/>
    <w:rPr>
      <w:rFonts w:ascii="Times New Roman" w:hAnsi="Times New Roman" w:eastAsia="宋体" w:cs="Times New Roman"/>
      <w:i/>
      <w:lang w:val="en-US" w:eastAsia="zh-CN" w:bidi="ar-SA"/>
    </w:rPr>
  </w:style>
  <w:style w:type="paragraph" w:customStyle="1" w:styleId="4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qFormat/>
    <w:uiPriority w:val="0"/>
    <w:rPr>
      <w:rFonts w:ascii="Times New Roman" w:hAnsi="Times New Roman" w:eastAsia="宋体" w:cs="Times New Roman"/>
      <w:sz w:val="21"/>
      <w:szCs w:val="22"/>
      <w:lang w:val="en-US" w:eastAsia="zh-CN" w:bidi="ar-SA"/>
    </w:rPr>
  </w:style>
  <w:style w:type="paragraph" w:customStyle="1" w:styleId="4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qFormat/>
    <w:uiPriority w:val="0"/>
    <w:pPr>
      <w:widowControl/>
      <w:jc w:val="left"/>
    </w:pPr>
    <w:rPr>
      <w:rFonts w:ascii="宋体" w:hAnsi="Courier New" w:eastAsiaTheme="minorEastAsia" w:cstheme="minorBidi"/>
      <w:szCs w:val="21"/>
    </w:rPr>
  </w:style>
  <w:style w:type="paragraph" w:customStyle="1" w:styleId="51">
    <w:name w:val="纯文本_0_1"/>
    <w:basedOn w:val="1"/>
    <w:qFormat/>
    <w:uiPriority w:val="0"/>
    <w:pPr>
      <w:widowControl/>
      <w:jc w:val="left"/>
    </w:pPr>
    <w:rPr>
      <w:rFonts w:ascii="宋体" w:hAnsi="Courier New" w:eastAsiaTheme="minorEastAsia" w:cstheme="minorBidi"/>
      <w:szCs w:val="21"/>
    </w:rPr>
  </w:style>
  <w:style w:type="paragraph" w:customStyle="1" w:styleId="5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font21"/>
    <w:basedOn w:val="31"/>
    <w:qFormat/>
    <w:uiPriority w:val="0"/>
    <w:rPr>
      <w:rFonts w:hint="default" w:ascii="Arial" w:hAnsi="Arial" w:cs="Arial"/>
      <w:color w:val="000000"/>
      <w:sz w:val="20"/>
      <w:szCs w:val="20"/>
      <w:u w:val="none"/>
    </w:rPr>
  </w:style>
  <w:style w:type="character" w:customStyle="1" w:styleId="57">
    <w:name w:val="font01"/>
    <w:basedOn w:val="31"/>
    <w:qFormat/>
    <w:uiPriority w:val="0"/>
    <w:rPr>
      <w:rFonts w:hint="eastAsia" w:ascii="宋体" w:hAnsi="宋体" w:eastAsia="宋体" w:cs="宋体"/>
      <w:color w:val="000000"/>
      <w:sz w:val="20"/>
      <w:szCs w:val="20"/>
      <w:u w:val="none"/>
    </w:rPr>
  </w:style>
  <w:style w:type="paragraph" w:customStyle="1" w:styleId="58">
    <w:name w:val="纯文本1"/>
    <w:basedOn w:val="59"/>
    <w:qFormat/>
    <w:uiPriority w:val="0"/>
    <w:pPr>
      <w:widowControl/>
      <w:jc w:val="left"/>
    </w:pPr>
    <w:rPr>
      <w:rFonts w:ascii="宋体" w:hAnsi="Courier New"/>
    </w:rPr>
  </w:style>
  <w:style w:type="paragraph" w:customStyle="1" w:styleId="5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
    <w:name w:val="Table Paragraph"/>
    <w:basedOn w:val="1"/>
    <w:qFormat/>
    <w:uiPriority w:val="1"/>
    <w:rPr>
      <w:rFonts w:ascii="宋体" w:hAnsi="宋体" w:cs="宋体"/>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character" w:customStyle="1" w:styleId="63">
    <w:name w:val="批注框文本 Char"/>
    <w:basedOn w:val="31"/>
    <w:link w:val="18"/>
    <w:qFormat/>
    <w:uiPriority w:val="0"/>
    <w:rPr>
      <w:kern w:val="2"/>
      <w:sz w:val="18"/>
      <w:szCs w:val="18"/>
    </w:rPr>
  </w:style>
  <w:style w:type="paragraph" w:customStyle="1" w:styleId="64">
    <w:name w:val="_Style 3"/>
    <w:qFormat/>
    <w:uiPriority w:val="1"/>
    <w:pPr>
      <w:widowControl w:val="0"/>
      <w:jc w:val="both"/>
    </w:pPr>
    <w:rPr>
      <w:rFonts w:ascii="方正书宋简体" w:hAnsi="方正书宋简体" w:eastAsia="黑体" w:cs="方正书宋简体"/>
      <w:kern w:val="2"/>
      <w:sz w:val="21"/>
      <w:szCs w:val="22"/>
      <w:lang w:val="en-US" w:eastAsia="zh-CN" w:bidi="ar-SA"/>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67">
    <w:name w:val="样式 标题 3 + Arial"/>
    <w:basedOn w:val="5"/>
    <w:qFormat/>
    <w:uiPriority w:val="0"/>
    <w:pPr>
      <w:spacing w:beforeLines="100" w:after="0" w:line="360" w:lineRule="auto"/>
    </w:pPr>
    <w:rPr>
      <w:rFonts w:ascii="Arial" w:hAnsi="Arial"/>
      <w:sz w:val="24"/>
    </w:rPr>
  </w:style>
  <w:style w:type="paragraph" w:customStyle="1" w:styleId="6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9">
    <w:name w:val="正文ok"/>
    <w:basedOn w:val="1"/>
    <w:qFormat/>
    <w:uiPriority w:val="0"/>
    <w:pPr>
      <w:widowControl/>
      <w:spacing w:line="360" w:lineRule="auto"/>
      <w:ind w:firstLine="200" w:firstLineChars="200"/>
      <w:jc w:val="left"/>
    </w:pPr>
    <w:rPr>
      <w:rFonts w:hint="eastAsia"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41066</Words>
  <Characters>43619</Characters>
  <Lines>152</Lines>
  <Paragraphs>42</Paragraphs>
  <TotalTime>19</TotalTime>
  <ScaleCrop>false</ScaleCrop>
  <LinksUpToDate>false</LinksUpToDate>
  <CharactersWithSpaces>49412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大海 </cp:lastModifiedBy>
  <dcterms:modified xsi:type="dcterms:W3CDTF">2024-06-13T08:08:13Z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5856A570F96545D68D1071A0FDBC3CC7_13</vt:lpwstr>
  </property>
</Properties>
</file>