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5DD4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044" w:firstLineChars="200"/>
        <w:jc w:val="center"/>
        <w:rPr>
          <w:rFonts w:ascii="宋体"/>
          <w:b/>
          <w:color w:val="auto"/>
          <w:kern w:val="0"/>
          <w:sz w:val="52"/>
          <w:szCs w:val="52"/>
          <w:highlight w:val="none"/>
        </w:rPr>
      </w:pPr>
      <w:r>
        <w:rPr>
          <w:rFonts w:hint="eastAsia" w:ascii="宋体"/>
          <w:b/>
          <w:color w:val="auto"/>
          <w:kern w:val="0"/>
          <w:sz w:val="52"/>
          <w:szCs w:val="52"/>
          <w:highlight w:val="none"/>
        </w:rPr>
        <w:t xml:space="preserve">                                                                                                                                              </w:t>
      </w:r>
    </w:p>
    <w:p w14:paraId="2F76B0C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040"/>
        <w:jc w:val="center"/>
        <w:rPr>
          <w:rFonts w:ascii="宋体"/>
          <w:b/>
          <w:color w:val="auto"/>
          <w:kern w:val="0"/>
          <w:sz w:val="52"/>
          <w:szCs w:val="52"/>
          <w:highlight w:val="none"/>
        </w:rPr>
      </w:pPr>
    </w:p>
    <w:p w14:paraId="7767AC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044" w:firstLineChars="200"/>
        <w:jc w:val="center"/>
        <w:rPr>
          <w:rFonts w:ascii="宋体"/>
          <w:b/>
          <w:color w:val="auto"/>
          <w:kern w:val="0"/>
          <w:sz w:val="52"/>
          <w:szCs w:val="52"/>
          <w:highlight w:val="none"/>
        </w:rPr>
      </w:pPr>
      <w:r>
        <w:rPr>
          <w:rFonts w:hint="eastAsia" w:ascii="宋体"/>
          <w:b/>
          <w:color w:val="auto"/>
          <w:kern w:val="0"/>
          <w:sz w:val="52"/>
          <w:szCs w:val="52"/>
          <w:highlight w:val="none"/>
        </w:rPr>
        <w:t>台州市政府采购招标文件</w:t>
      </w:r>
    </w:p>
    <w:p w14:paraId="5F4953F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firstLine="560" w:firstLineChars="200"/>
        <w:jc w:val="center"/>
        <w:rPr>
          <w:rFonts w:hint="eastAsia" w:ascii="宋体" w:hAnsi="宋体" w:cs="Calibri Light"/>
          <w:color w:val="auto"/>
          <w:kern w:val="0"/>
          <w:sz w:val="28"/>
          <w:szCs w:val="28"/>
          <w:highlight w:val="none"/>
        </w:rPr>
      </w:pPr>
      <w:r>
        <w:rPr>
          <w:rFonts w:hint="eastAsia" w:ascii="宋体" w:hAnsi="宋体" w:cs="Calibri Light"/>
          <w:color w:val="auto"/>
          <w:kern w:val="0"/>
          <w:sz w:val="28"/>
          <w:szCs w:val="28"/>
          <w:highlight w:val="none"/>
        </w:rPr>
        <w:t>采购编号：台财采确临[2024]9288号</w:t>
      </w:r>
    </w:p>
    <w:p w14:paraId="1B2831A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firstLine="723" w:firstLineChars="200"/>
        <w:jc w:val="center"/>
        <w:rPr>
          <w:rFonts w:ascii="宋体"/>
          <w:b/>
          <w:color w:val="auto"/>
          <w:kern w:val="0"/>
          <w:sz w:val="32"/>
          <w:highlight w:val="none"/>
        </w:rPr>
      </w:pPr>
      <w:r>
        <w:rPr>
          <w:rFonts w:hint="eastAsia" w:ascii="宋体" w:hAnsi="宋体"/>
          <w:b/>
          <w:color w:val="auto"/>
          <w:sz w:val="36"/>
          <w:highlight w:val="none"/>
        </w:rPr>
        <w:t>（线上电子招投标）</w:t>
      </w:r>
    </w:p>
    <w:p w14:paraId="7004DF1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482"/>
        <w:jc w:val="center"/>
        <w:rPr>
          <w:rFonts w:ascii="宋体"/>
          <w:color w:val="auto"/>
          <w:kern w:val="0"/>
          <w:sz w:val="24"/>
          <w:highlight w:val="none"/>
        </w:rPr>
      </w:pPr>
    </w:p>
    <w:p w14:paraId="05EEEA32">
      <w:pPr>
        <w:autoSpaceDE w:val="0"/>
        <w:autoSpaceDN w:val="0"/>
        <w:adjustRightInd w:val="0"/>
        <w:spacing w:line="360" w:lineRule="auto"/>
        <w:ind w:firstLine="1040"/>
        <w:rPr>
          <w:rFonts w:ascii="宋体"/>
          <w:b/>
          <w:color w:val="auto"/>
          <w:kern w:val="0"/>
          <w:sz w:val="52"/>
          <w:szCs w:val="52"/>
          <w:highlight w:val="none"/>
        </w:rPr>
      </w:pPr>
    </w:p>
    <w:p w14:paraId="399B313E">
      <w:pPr>
        <w:autoSpaceDE w:val="0"/>
        <w:autoSpaceDN w:val="0"/>
        <w:adjustRightInd w:val="0"/>
        <w:spacing w:line="360" w:lineRule="auto"/>
        <w:ind w:firstLine="1797" w:firstLineChars="642"/>
        <w:jc w:val="left"/>
        <w:rPr>
          <w:rFonts w:ascii="宋体"/>
          <w:color w:val="auto"/>
          <w:kern w:val="0"/>
          <w:sz w:val="28"/>
          <w:highlight w:val="none"/>
        </w:rPr>
      </w:pPr>
    </w:p>
    <w:p w14:paraId="11BCF064">
      <w:pPr>
        <w:autoSpaceDE w:val="0"/>
        <w:autoSpaceDN w:val="0"/>
        <w:adjustRightInd w:val="0"/>
        <w:spacing w:line="360" w:lineRule="auto"/>
        <w:jc w:val="left"/>
        <w:rPr>
          <w:rFonts w:ascii="宋体"/>
          <w:color w:val="auto"/>
          <w:kern w:val="0"/>
          <w:sz w:val="28"/>
          <w:highlight w:val="none"/>
        </w:rPr>
      </w:pPr>
    </w:p>
    <w:p w14:paraId="185EF024">
      <w:pPr>
        <w:autoSpaceDE w:val="0"/>
        <w:autoSpaceDN w:val="0"/>
        <w:adjustRightInd w:val="0"/>
        <w:spacing w:line="360" w:lineRule="auto"/>
        <w:jc w:val="left"/>
        <w:rPr>
          <w:rFonts w:ascii="宋体"/>
          <w:color w:val="auto"/>
          <w:kern w:val="0"/>
          <w:sz w:val="28"/>
          <w:highlight w:val="none"/>
        </w:rPr>
      </w:pPr>
    </w:p>
    <w:p w14:paraId="0D2F5751">
      <w:pPr>
        <w:autoSpaceDE w:val="0"/>
        <w:autoSpaceDN w:val="0"/>
        <w:adjustRightInd w:val="0"/>
        <w:spacing w:line="360" w:lineRule="auto"/>
        <w:jc w:val="left"/>
        <w:rPr>
          <w:rFonts w:ascii="宋体"/>
          <w:color w:val="auto"/>
          <w:kern w:val="0"/>
          <w:sz w:val="28"/>
          <w:highlight w:val="none"/>
        </w:rPr>
      </w:pPr>
    </w:p>
    <w:p w14:paraId="6C3587C7">
      <w:pPr>
        <w:autoSpaceDE w:val="0"/>
        <w:autoSpaceDN w:val="0"/>
        <w:adjustRightInd w:val="0"/>
        <w:spacing w:line="360" w:lineRule="auto"/>
        <w:ind w:right="-197" w:rightChars="-94" w:firstLine="560" w:firstLineChars="200"/>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台州市海防无人机管控系统项目</w:t>
      </w:r>
    </w:p>
    <w:p w14:paraId="5CA6D6D3">
      <w:pPr>
        <w:autoSpaceDE w:val="0"/>
        <w:autoSpaceDN w:val="0"/>
        <w:adjustRightInd w:val="0"/>
        <w:spacing w:line="360" w:lineRule="auto"/>
        <w:ind w:firstLine="560" w:firstLineChars="200"/>
        <w:jc w:val="center"/>
        <w:rPr>
          <w:rFonts w:ascii="宋体"/>
          <w:color w:val="auto"/>
          <w:kern w:val="0"/>
          <w:sz w:val="28"/>
          <w:highlight w:val="none"/>
        </w:rPr>
      </w:pPr>
      <w:r>
        <w:rPr>
          <w:rFonts w:hint="eastAsia" w:ascii="宋体"/>
          <w:color w:val="auto"/>
          <w:kern w:val="0"/>
          <w:sz w:val="28"/>
          <w:highlight w:val="none"/>
        </w:rPr>
        <w:t>采购人：台州市公安局（盖章）</w:t>
      </w:r>
    </w:p>
    <w:p w14:paraId="078C4E79">
      <w:pPr>
        <w:autoSpaceDE w:val="0"/>
        <w:autoSpaceDN w:val="0"/>
        <w:adjustRightInd w:val="0"/>
        <w:spacing w:line="360" w:lineRule="auto"/>
        <w:rPr>
          <w:rFonts w:ascii="宋体"/>
          <w:color w:val="auto"/>
          <w:kern w:val="0"/>
          <w:sz w:val="28"/>
          <w:highlight w:val="none"/>
        </w:rPr>
      </w:pPr>
    </w:p>
    <w:p w14:paraId="2CAB28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jc w:val="center"/>
        <w:rPr>
          <w:rFonts w:ascii="宋体"/>
          <w:color w:val="auto"/>
          <w:kern w:val="0"/>
          <w:sz w:val="32"/>
          <w:highlight w:val="none"/>
        </w:rPr>
      </w:pPr>
    </w:p>
    <w:p w14:paraId="3D2CB8D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43"/>
        <w:rPr>
          <w:rFonts w:ascii="宋体"/>
          <w:color w:val="auto"/>
          <w:kern w:val="0"/>
          <w:sz w:val="32"/>
          <w:highlight w:val="none"/>
        </w:rPr>
      </w:pPr>
    </w:p>
    <w:p w14:paraId="77BAFCF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43"/>
        <w:rPr>
          <w:rFonts w:ascii="宋体"/>
          <w:color w:val="auto"/>
          <w:kern w:val="0"/>
          <w:sz w:val="32"/>
          <w:highlight w:val="none"/>
        </w:rPr>
      </w:pPr>
    </w:p>
    <w:p w14:paraId="5B86B3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560" w:firstLineChars="200"/>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浙江百和工程咨询有限公司（盖章）</w:t>
      </w:r>
    </w:p>
    <w:p w14:paraId="59A691C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firstLine="560" w:firstLineChars="200"/>
        <w:jc w:val="center"/>
        <w:rPr>
          <w:rFonts w:hint="eastAsia" w:ascii="宋体" w:hAnsi="宋体" w:cs="宋体"/>
          <w:color w:val="auto"/>
          <w:kern w:val="0"/>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0</w:t>
      </w:r>
      <w:r>
        <w:rPr>
          <w:rFonts w:hint="eastAsia" w:ascii="宋体" w:hAnsi="宋体"/>
          <w:color w:val="auto"/>
          <w:sz w:val="28"/>
          <w:szCs w:val="28"/>
          <w:highlight w:val="none"/>
        </w:rPr>
        <w:t>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rPr>
        <w:t>月</w:t>
      </w:r>
    </w:p>
    <w:p w14:paraId="6633CBD8">
      <w:pPr>
        <w:spacing w:line="360" w:lineRule="auto"/>
        <w:rPr>
          <w:color w:val="auto"/>
          <w:highlight w:val="none"/>
        </w:rPr>
      </w:pPr>
    </w:p>
    <w:p w14:paraId="6C201906">
      <w:pPr>
        <w:spacing w:line="360" w:lineRule="auto"/>
        <w:ind w:firstLine="720"/>
        <w:jc w:val="center"/>
        <w:rPr>
          <w:rFonts w:hint="eastAsia" w:ascii="宋体" w:hAnsi="宋体" w:cs="Arial"/>
          <w:b/>
          <w:bCs/>
          <w:color w:val="auto"/>
          <w:sz w:val="36"/>
          <w:szCs w:val="36"/>
          <w:highlight w:val="none"/>
        </w:rPr>
      </w:pPr>
    </w:p>
    <w:p w14:paraId="266CE92D">
      <w:pPr>
        <w:spacing w:line="360" w:lineRule="auto"/>
        <w:ind w:firstLine="723" w:firstLineChars="200"/>
        <w:jc w:val="center"/>
        <w:rPr>
          <w:rFonts w:hint="eastAsia"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3B3A2FB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720"/>
        <w:jc w:val="left"/>
        <w:rPr>
          <w:rFonts w:hint="eastAsia" w:ascii="宋体" w:hAnsi="宋体"/>
          <w:b/>
          <w:color w:val="auto"/>
          <w:sz w:val="36"/>
          <w:highlight w:val="none"/>
        </w:rPr>
      </w:pPr>
    </w:p>
    <w:p w14:paraId="4244C363">
      <w:pPr>
        <w:spacing w:line="360" w:lineRule="auto"/>
        <w:rPr>
          <w:rFonts w:hint="eastAsia" w:ascii="新宋体" w:hAnsi="新宋体" w:eastAsia="新宋体"/>
          <w:color w:val="auto"/>
          <w:sz w:val="28"/>
          <w:szCs w:val="28"/>
          <w:highlight w:val="none"/>
        </w:rPr>
      </w:pPr>
    </w:p>
    <w:p w14:paraId="6308933D">
      <w:pPr>
        <w:numPr>
          <w:ilvl w:val="0"/>
          <w:numId w:val="2"/>
        </w:numPr>
        <w:spacing w:line="360" w:lineRule="auto"/>
        <w:ind w:firstLine="562"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14:paraId="5B05890A">
      <w:pPr>
        <w:numPr>
          <w:ilvl w:val="0"/>
          <w:numId w:val="2"/>
        </w:numPr>
        <w:spacing w:line="360" w:lineRule="auto"/>
        <w:ind w:firstLine="562"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14:paraId="7E672476">
      <w:pPr>
        <w:numPr>
          <w:ilvl w:val="0"/>
          <w:numId w:val="2"/>
        </w:numPr>
        <w:spacing w:line="360" w:lineRule="auto"/>
        <w:ind w:firstLine="562"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14:paraId="55EECF48">
      <w:pPr>
        <w:numPr>
          <w:ilvl w:val="0"/>
          <w:numId w:val="2"/>
        </w:numPr>
        <w:spacing w:line="360" w:lineRule="auto"/>
        <w:ind w:firstLine="562"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14:paraId="4592E648">
      <w:pPr>
        <w:numPr>
          <w:ilvl w:val="0"/>
          <w:numId w:val="2"/>
        </w:numPr>
        <w:spacing w:line="360" w:lineRule="auto"/>
        <w:ind w:firstLine="562"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w:t>
      </w:r>
    </w:p>
    <w:p w14:paraId="2F992BED">
      <w:pPr>
        <w:numPr>
          <w:ilvl w:val="0"/>
          <w:numId w:val="2"/>
        </w:numPr>
        <w:spacing w:line="360" w:lineRule="auto"/>
        <w:ind w:firstLine="562"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14:paraId="2236FFC9">
      <w:pPr>
        <w:spacing w:line="360" w:lineRule="auto"/>
        <w:rPr>
          <w:color w:val="auto"/>
          <w:highlight w:val="none"/>
        </w:rPr>
      </w:pPr>
    </w:p>
    <w:p w14:paraId="32FF8FF2">
      <w:pPr>
        <w:spacing w:line="360" w:lineRule="auto"/>
        <w:rPr>
          <w:color w:val="auto"/>
          <w:highlight w:val="none"/>
        </w:rPr>
      </w:pPr>
    </w:p>
    <w:p w14:paraId="11420D29">
      <w:pPr>
        <w:spacing w:line="360" w:lineRule="auto"/>
        <w:rPr>
          <w:color w:val="auto"/>
          <w:highlight w:val="none"/>
        </w:rPr>
      </w:pPr>
    </w:p>
    <w:p w14:paraId="2DFF93FF">
      <w:pPr>
        <w:spacing w:line="360" w:lineRule="auto"/>
        <w:rPr>
          <w:color w:val="auto"/>
          <w:highlight w:val="none"/>
        </w:rPr>
      </w:pPr>
    </w:p>
    <w:p w14:paraId="40DD56A8">
      <w:pPr>
        <w:spacing w:line="360" w:lineRule="auto"/>
        <w:rPr>
          <w:color w:val="auto"/>
          <w:highlight w:val="none"/>
        </w:rPr>
      </w:pPr>
    </w:p>
    <w:p w14:paraId="06524DA4">
      <w:pPr>
        <w:spacing w:line="360" w:lineRule="auto"/>
        <w:rPr>
          <w:color w:val="auto"/>
          <w:highlight w:val="none"/>
        </w:rPr>
      </w:pPr>
    </w:p>
    <w:p w14:paraId="1E79418E">
      <w:pPr>
        <w:spacing w:line="360" w:lineRule="auto"/>
        <w:rPr>
          <w:color w:val="auto"/>
          <w:highlight w:val="none"/>
        </w:rPr>
      </w:pPr>
    </w:p>
    <w:p w14:paraId="2CD4A82C">
      <w:pPr>
        <w:spacing w:line="360" w:lineRule="auto"/>
        <w:rPr>
          <w:color w:val="auto"/>
          <w:highlight w:val="none"/>
        </w:rPr>
      </w:pPr>
    </w:p>
    <w:p w14:paraId="754473AD">
      <w:pPr>
        <w:spacing w:line="360" w:lineRule="auto"/>
        <w:rPr>
          <w:color w:val="auto"/>
          <w:highlight w:val="none"/>
        </w:rPr>
      </w:pPr>
    </w:p>
    <w:p w14:paraId="5E16AFED">
      <w:pPr>
        <w:spacing w:line="360" w:lineRule="auto"/>
        <w:rPr>
          <w:color w:val="auto"/>
          <w:highlight w:val="none"/>
        </w:rPr>
      </w:pPr>
    </w:p>
    <w:p w14:paraId="27680F82">
      <w:pPr>
        <w:spacing w:line="360" w:lineRule="auto"/>
        <w:rPr>
          <w:color w:val="auto"/>
          <w:highlight w:val="none"/>
        </w:rPr>
      </w:pPr>
    </w:p>
    <w:p w14:paraId="5E27C418">
      <w:pPr>
        <w:spacing w:line="360" w:lineRule="auto"/>
        <w:rPr>
          <w:color w:val="auto"/>
          <w:highlight w:val="none"/>
        </w:rPr>
      </w:pPr>
    </w:p>
    <w:p w14:paraId="369AACB4">
      <w:pPr>
        <w:spacing w:line="360" w:lineRule="auto"/>
        <w:rPr>
          <w:color w:val="auto"/>
          <w:highlight w:val="none"/>
        </w:rPr>
      </w:pPr>
    </w:p>
    <w:p w14:paraId="66E04304">
      <w:pPr>
        <w:spacing w:line="360" w:lineRule="auto"/>
        <w:rPr>
          <w:color w:val="auto"/>
          <w:highlight w:val="none"/>
        </w:rPr>
      </w:pPr>
    </w:p>
    <w:p w14:paraId="4477D130">
      <w:pPr>
        <w:spacing w:line="360" w:lineRule="auto"/>
        <w:rPr>
          <w:color w:val="auto"/>
          <w:highlight w:val="none"/>
        </w:rPr>
      </w:pPr>
    </w:p>
    <w:p w14:paraId="0C9F253C">
      <w:pPr>
        <w:tabs>
          <w:tab w:val="left" w:pos="180"/>
          <w:tab w:val="left" w:pos="360"/>
          <w:tab w:val="left" w:pos="540"/>
          <w:tab w:val="left" w:pos="8280"/>
        </w:tabs>
        <w:autoSpaceDE w:val="0"/>
        <w:autoSpaceDN w:val="0"/>
        <w:adjustRightInd w:val="0"/>
        <w:spacing w:line="360" w:lineRule="auto"/>
        <w:ind w:right="23" w:firstLine="720"/>
        <w:jc w:val="center"/>
        <w:rPr>
          <w:rFonts w:hint="eastAsia" w:asciiTheme="majorEastAsia" w:hAnsiTheme="majorEastAsia" w:eastAsiaTheme="majorEastAsia"/>
          <w:b/>
          <w:color w:val="auto"/>
          <w:kern w:val="0"/>
          <w:sz w:val="36"/>
          <w:szCs w:val="36"/>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E7ECEB4">
      <w:pPr>
        <w:tabs>
          <w:tab w:val="left" w:pos="180"/>
          <w:tab w:val="left" w:pos="360"/>
          <w:tab w:val="left" w:pos="540"/>
          <w:tab w:val="left" w:pos="8280"/>
        </w:tabs>
        <w:autoSpaceDE w:val="0"/>
        <w:autoSpaceDN w:val="0"/>
        <w:adjustRightInd w:val="0"/>
        <w:spacing w:after="156" w:afterLines="50" w:line="360" w:lineRule="auto"/>
        <w:ind w:right="23" w:firstLine="723" w:firstLineChars="200"/>
        <w:jc w:val="center"/>
        <w:rPr>
          <w:rFonts w:hint="eastAsia"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14:paraId="31CC99B8">
      <w:pPr>
        <w:tabs>
          <w:tab w:val="left" w:pos="180"/>
          <w:tab w:val="left" w:pos="360"/>
          <w:tab w:val="left" w:pos="540"/>
          <w:tab w:val="left" w:pos="8280"/>
        </w:tabs>
        <w:autoSpaceDE w:val="0"/>
        <w:autoSpaceDN w:val="0"/>
        <w:adjustRightInd w:val="0"/>
        <w:spacing w:line="360" w:lineRule="auto"/>
        <w:ind w:right="23" w:firstLine="480" w:firstLineChars="200"/>
        <w:jc w:val="left"/>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受采购人委托，现就</w:t>
      </w:r>
      <w:r>
        <w:rPr>
          <w:rFonts w:hint="eastAsia" w:asciiTheme="minorEastAsia" w:hAnsiTheme="minorEastAsia" w:eastAsiaTheme="minorEastAsia"/>
          <w:color w:val="auto"/>
          <w:sz w:val="24"/>
          <w:highlight w:val="none"/>
          <w:u w:val="single"/>
        </w:rPr>
        <w:t>台州市公安局</w:t>
      </w:r>
      <w:r>
        <w:rPr>
          <w:rFonts w:hint="eastAsia" w:asciiTheme="minorEastAsia" w:hAnsiTheme="minorEastAsia" w:eastAsiaTheme="minorEastAsia"/>
          <w:color w:val="auto"/>
          <w:sz w:val="24"/>
          <w:highlight w:val="none"/>
        </w:rPr>
        <w:t>（单位</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的</w:t>
      </w:r>
      <w:r>
        <w:rPr>
          <w:rFonts w:hint="eastAsia" w:asciiTheme="minorEastAsia" w:hAnsiTheme="minorEastAsia" w:eastAsiaTheme="minorEastAsia"/>
          <w:color w:val="auto"/>
          <w:sz w:val="24"/>
          <w:highlight w:val="none"/>
          <w:u w:val="single"/>
          <w:lang w:eastAsia="zh-CN"/>
        </w:rPr>
        <w:t>台州市海防无人机管控系统项目</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进行公开招标采购，欢迎合格供应商前来投标。</w:t>
      </w:r>
    </w:p>
    <w:p w14:paraId="113208E1">
      <w:pPr>
        <w:numPr>
          <w:ilvl w:val="0"/>
          <w:numId w:val="0"/>
        </w:numPr>
        <w:tabs>
          <w:tab w:val="left" w:pos="180"/>
          <w:tab w:val="left" w:pos="360"/>
          <w:tab w:val="left" w:pos="540"/>
          <w:tab w:val="left" w:pos="8280"/>
        </w:tabs>
        <w:autoSpaceDE w:val="0"/>
        <w:autoSpaceDN w:val="0"/>
        <w:adjustRightInd w:val="0"/>
        <w:spacing w:line="360" w:lineRule="auto"/>
        <w:ind w:right="23" w:rightChars="0" w:firstLine="482" w:firstLineChars="200"/>
        <w:jc w:val="left"/>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lang w:eastAsia="zh-CN"/>
        </w:rPr>
        <w:t>一、</w:t>
      </w:r>
      <w:r>
        <w:rPr>
          <w:rFonts w:hint="eastAsia" w:asciiTheme="minorEastAsia" w:hAnsiTheme="minorEastAsia" w:eastAsiaTheme="minorEastAsia"/>
          <w:b/>
          <w:color w:val="auto"/>
          <w:kern w:val="0"/>
          <w:sz w:val="24"/>
          <w:highlight w:val="none"/>
        </w:rPr>
        <w:t>项目编号：台财采确临[2024]9288号</w:t>
      </w:r>
    </w:p>
    <w:p w14:paraId="478B5BD5">
      <w:pPr>
        <w:tabs>
          <w:tab w:val="left" w:pos="180"/>
          <w:tab w:val="left" w:pos="360"/>
          <w:tab w:val="left" w:pos="540"/>
          <w:tab w:val="left" w:pos="8280"/>
        </w:tabs>
        <w:autoSpaceDE w:val="0"/>
        <w:autoSpaceDN w:val="0"/>
        <w:adjustRightInd w:val="0"/>
        <w:spacing w:line="360" w:lineRule="auto"/>
        <w:ind w:right="23" w:firstLine="482"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36"/>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73"/>
        <w:gridCol w:w="1114"/>
        <w:gridCol w:w="796"/>
        <w:gridCol w:w="796"/>
        <w:gridCol w:w="1288"/>
        <w:gridCol w:w="1466"/>
        <w:gridCol w:w="2296"/>
      </w:tblGrid>
      <w:tr w14:paraId="3F88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16178ED7">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1673" w:type="dxa"/>
            <w:vAlign w:val="center"/>
          </w:tcPr>
          <w:p w14:paraId="6F337279">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标项内容</w:t>
            </w:r>
          </w:p>
        </w:tc>
        <w:tc>
          <w:tcPr>
            <w:tcW w:w="1114" w:type="dxa"/>
            <w:vAlign w:val="center"/>
          </w:tcPr>
          <w:p w14:paraId="415B40D0">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kern w:val="0"/>
                <w:sz w:val="24"/>
                <w:highlight w:val="none"/>
              </w:rPr>
              <w:t>简要技术要求</w:t>
            </w:r>
          </w:p>
        </w:tc>
        <w:tc>
          <w:tcPr>
            <w:tcW w:w="796" w:type="dxa"/>
            <w:vAlign w:val="center"/>
          </w:tcPr>
          <w:p w14:paraId="69E20C94">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96" w:type="dxa"/>
            <w:vAlign w:val="center"/>
          </w:tcPr>
          <w:p w14:paraId="292E150B">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88" w:type="dxa"/>
            <w:vAlign w:val="center"/>
          </w:tcPr>
          <w:p w14:paraId="5F21915B">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预算金额（万元）</w:t>
            </w:r>
          </w:p>
        </w:tc>
        <w:tc>
          <w:tcPr>
            <w:tcW w:w="1466" w:type="dxa"/>
            <w:vAlign w:val="center"/>
          </w:tcPr>
          <w:p w14:paraId="2D63349C">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最高限价</w:t>
            </w:r>
          </w:p>
          <w:p w14:paraId="7F19D8B5">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2296" w:type="dxa"/>
            <w:vAlign w:val="center"/>
          </w:tcPr>
          <w:p w14:paraId="62CC8CCB">
            <w:pPr>
              <w:tabs>
                <w:tab w:val="left" w:pos="8280"/>
              </w:tabs>
              <w:autoSpaceDE w:val="0"/>
              <w:autoSpaceDN w:val="0"/>
              <w:adjustRightInd w:val="0"/>
              <w:spacing w:line="360" w:lineRule="auto"/>
              <w:ind w:right="25" w:firstLine="240"/>
              <w:jc w:val="center"/>
              <w:rPr>
                <w:rFonts w:ascii="宋体" w:hAnsi="宋体" w:cs="宋体"/>
                <w:b/>
                <w:color w:val="auto"/>
                <w:sz w:val="24"/>
                <w:highlight w:val="none"/>
              </w:rPr>
            </w:pPr>
            <w:r>
              <w:rPr>
                <w:rFonts w:hint="eastAsia" w:ascii="宋体" w:hAnsi="宋体" w:cs="宋体"/>
                <w:b/>
                <w:color w:val="auto"/>
                <w:sz w:val="24"/>
                <w:highlight w:val="none"/>
              </w:rPr>
              <w:t>交付期</w:t>
            </w:r>
          </w:p>
        </w:tc>
      </w:tr>
      <w:tr w14:paraId="5C5E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9" w:type="dxa"/>
            <w:vAlign w:val="center"/>
          </w:tcPr>
          <w:p w14:paraId="5C9B3C48">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1</w:t>
            </w:r>
          </w:p>
        </w:tc>
        <w:tc>
          <w:tcPr>
            <w:tcW w:w="1673" w:type="dxa"/>
            <w:vAlign w:val="center"/>
          </w:tcPr>
          <w:p w14:paraId="3D6E94F6">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台州市海防无人机管控系统项目</w:t>
            </w:r>
          </w:p>
        </w:tc>
        <w:tc>
          <w:tcPr>
            <w:tcW w:w="1114" w:type="dxa"/>
            <w:vAlign w:val="center"/>
          </w:tcPr>
          <w:p w14:paraId="46B6AD10">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796" w:type="dxa"/>
            <w:vAlign w:val="center"/>
          </w:tcPr>
          <w:p w14:paraId="1DCC9E81">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1</w:t>
            </w:r>
          </w:p>
        </w:tc>
        <w:tc>
          <w:tcPr>
            <w:tcW w:w="796" w:type="dxa"/>
            <w:vAlign w:val="center"/>
          </w:tcPr>
          <w:p w14:paraId="52FD40AE">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项</w:t>
            </w:r>
          </w:p>
        </w:tc>
        <w:tc>
          <w:tcPr>
            <w:tcW w:w="1288" w:type="dxa"/>
            <w:vAlign w:val="center"/>
          </w:tcPr>
          <w:p w14:paraId="7F19EDFA">
            <w:pPr>
              <w:tabs>
                <w:tab w:val="left" w:pos="8280"/>
              </w:tabs>
              <w:autoSpaceDE w:val="0"/>
              <w:autoSpaceDN w:val="0"/>
              <w:adjustRightIn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712</w:t>
            </w:r>
          </w:p>
        </w:tc>
        <w:tc>
          <w:tcPr>
            <w:tcW w:w="1466" w:type="dxa"/>
            <w:vAlign w:val="center"/>
          </w:tcPr>
          <w:p w14:paraId="0976E465">
            <w:pPr>
              <w:tabs>
                <w:tab w:val="left" w:pos="8280"/>
              </w:tabs>
              <w:autoSpaceDE w:val="0"/>
              <w:autoSpaceDN w:val="0"/>
              <w:adjustRightInd w:val="0"/>
              <w:spacing w:line="360" w:lineRule="auto"/>
              <w:jc w:val="center"/>
              <w:rPr>
                <w:rFonts w:ascii="宋体" w:hAnsi="宋体" w:cs="宋体"/>
                <w:color w:val="auto"/>
                <w:sz w:val="24"/>
                <w:highlight w:val="none"/>
              </w:rPr>
            </w:pPr>
            <w:r>
              <w:rPr>
                <w:rFonts w:hint="eastAsia" w:ascii="宋体" w:hAnsi="宋体"/>
                <w:sz w:val="24"/>
                <w:highlight w:val="none"/>
                <w:lang w:val="en-US" w:eastAsia="zh-CN"/>
              </w:rPr>
              <w:t>655.3</w:t>
            </w:r>
            <w:r>
              <w:rPr>
                <w:rFonts w:hint="eastAsia" w:ascii="宋体" w:hAnsi="宋体"/>
                <w:sz w:val="24"/>
                <w:highlight w:val="none"/>
              </w:rPr>
              <w:t>568</w:t>
            </w:r>
          </w:p>
        </w:tc>
        <w:tc>
          <w:tcPr>
            <w:tcW w:w="2296" w:type="dxa"/>
            <w:vAlign w:val="center"/>
          </w:tcPr>
          <w:p w14:paraId="414D6BF5">
            <w:pPr>
              <w:tabs>
                <w:tab w:val="left" w:pos="8280"/>
              </w:tabs>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合同签订后10个月内完成项目验收。</w:t>
            </w:r>
          </w:p>
        </w:tc>
      </w:tr>
    </w:tbl>
    <w:p w14:paraId="04AAD8AA">
      <w:pPr>
        <w:tabs>
          <w:tab w:val="left" w:pos="180"/>
          <w:tab w:val="left" w:pos="360"/>
          <w:tab w:val="left" w:pos="540"/>
          <w:tab w:val="left" w:pos="8280"/>
        </w:tabs>
        <w:autoSpaceDE w:val="0"/>
        <w:autoSpaceDN w:val="0"/>
        <w:adjustRightInd w:val="0"/>
        <w:spacing w:line="360" w:lineRule="auto"/>
        <w:ind w:right="23" w:firstLine="482" w:firstLineChars="200"/>
        <w:jc w:val="left"/>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三、合格投标人的资格条件：</w:t>
      </w:r>
    </w:p>
    <w:p w14:paraId="29469341">
      <w:pPr>
        <w:pStyle w:val="52"/>
        <w:adjustRightInd w:val="0"/>
        <w:spacing w:before="0" w:line="360" w:lineRule="auto"/>
        <w:ind w:left="102" w:right="102" w:firstLine="480" w:firstLineChars="200"/>
        <w:rPr>
          <w:rFonts w:hint="eastAsia" w:ascii="宋体" w:eastAsia="宋体" w:cs="宋体"/>
          <w:color w:val="auto"/>
          <w:sz w:val="24"/>
          <w:szCs w:val="24"/>
          <w:highlight w:val="none"/>
        </w:rPr>
      </w:pPr>
      <w:r>
        <w:rPr>
          <w:rFonts w:hint="eastAsia" w:ascii="宋体" w:eastAsia="宋体"/>
          <w:color w:val="auto"/>
          <w:sz w:val="24"/>
          <w:szCs w:val="24"/>
          <w:highlight w:val="none"/>
        </w:rPr>
        <w:t>（</w:t>
      </w:r>
      <w:r>
        <w:rPr>
          <w:rFonts w:hint="eastAsia" w:ascii="宋体" w:eastAsia="宋体" w:cs="宋体"/>
          <w:color w:val="auto"/>
          <w:sz w:val="24"/>
          <w:szCs w:val="24"/>
          <w:highlight w:val="none"/>
        </w:rPr>
        <w:t>一）符合《中华人民共和国政府采购法》第二十二条规定的投标人资格条件。</w:t>
      </w:r>
    </w:p>
    <w:p w14:paraId="138BDF83">
      <w:pPr>
        <w:pStyle w:val="52"/>
        <w:adjustRightInd w:val="0"/>
        <w:spacing w:before="0" w:line="360" w:lineRule="auto"/>
        <w:ind w:left="102" w:right="102" w:firstLine="480" w:firstLineChars="200"/>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rPr>
        <w:t>（二）未被“信用中国”（www.creditchina.gov.cn）、中国政府采购网（www.ccgp.gov.cn）列入失信被执行人、重大税收违法失信主体、政府采购严重违法失信行为记录名单</w:t>
      </w:r>
      <w:r>
        <w:rPr>
          <w:rFonts w:hint="eastAsia" w:ascii="宋体" w:eastAsia="宋体" w:cs="宋体"/>
          <w:color w:val="auto"/>
          <w:sz w:val="24"/>
          <w:szCs w:val="24"/>
          <w:highlight w:val="none"/>
          <w:lang w:eastAsia="zh-CN"/>
        </w:rPr>
        <w:t>，未在军队采购网（www.plap.mil.cn）军队采购暂停名单处罚范围内或军队采购失信名单禁入处罚期和处罚范围内。</w:t>
      </w:r>
    </w:p>
    <w:p w14:paraId="2D21CD1F">
      <w:pPr>
        <w:tabs>
          <w:tab w:val="left" w:pos="180"/>
          <w:tab w:val="left" w:pos="360"/>
          <w:tab w:val="left" w:pos="540"/>
          <w:tab w:val="left" w:pos="8280"/>
        </w:tabs>
        <w:spacing w:line="360" w:lineRule="auto"/>
        <w:ind w:right="23" w:firstLine="480"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（三）</w:t>
      </w:r>
      <w:r>
        <w:rPr>
          <w:rFonts w:hint="eastAsia" w:ascii="宋体" w:hAnsi="宋体" w:cs="宋体"/>
          <w:b w:val="0"/>
          <w:bCs w:val="0"/>
          <w:color w:val="auto"/>
          <w:sz w:val="24"/>
          <w:highlight w:val="none"/>
          <w:lang w:eastAsia="zh-CN"/>
        </w:rPr>
        <w:t>本项目不</w:t>
      </w:r>
      <w:r>
        <w:rPr>
          <w:rFonts w:hint="eastAsia" w:ascii="宋体" w:hAnsi="宋体" w:cs="宋体"/>
          <w:b w:val="0"/>
          <w:bCs w:val="0"/>
          <w:color w:val="auto"/>
          <w:sz w:val="24"/>
          <w:highlight w:val="none"/>
        </w:rPr>
        <w:t>专门面向中小企业</w:t>
      </w:r>
      <w:r>
        <w:rPr>
          <w:rFonts w:hint="eastAsia" w:ascii="宋体" w:hAnsi="宋体" w:cs="宋体"/>
          <w:b w:val="0"/>
          <w:bCs w:val="0"/>
          <w:color w:val="auto"/>
          <w:sz w:val="24"/>
          <w:highlight w:val="none"/>
          <w:lang w:eastAsia="zh-CN"/>
        </w:rPr>
        <w:t>；</w:t>
      </w:r>
    </w:p>
    <w:p w14:paraId="3E8E251C">
      <w:pPr>
        <w:tabs>
          <w:tab w:val="left" w:pos="180"/>
          <w:tab w:val="left" w:pos="360"/>
          <w:tab w:val="left" w:pos="540"/>
          <w:tab w:val="left" w:pos="8280"/>
        </w:tabs>
        <w:spacing w:line="360" w:lineRule="auto"/>
        <w:ind w:right="23" w:firstLine="480" w:firstLineChars="200"/>
        <w:jc w:val="left"/>
        <w:textAlignment w:val="baseline"/>
        <w:rPr>
          <w:rFonts w:hint="eastAsia"/>
          <w:color w:val="auto"/>
          <w:sz w:val="24"/>
          <w:highlight w:val="none"/>
          <w:lang w:eastAsia="zh-CN"/>
        </w:rPr>
      </w:pPr>
      <w:r>
        <w:rPr>
          <w:rFonts w:hint="eastAsia" w:ascii="宋体" w:hAnsi="宋体" w:cs="宋体"/>
          <w:color w:val="auto"/>
          <w:kern w:val="0"/>
          <w:sz w:val="24"/>
          <w:highlight w:val="none"/>
          <w:lang w:bidi="ar"/>
        </w:rPr>
        <w:t>（四）</w:t>
      </w:r>
      <w:r>
        <w:rPr>
          <w:rFonts w:hint="eastAsia"/>
          <w:color w:val="auto"/>
          <w:sz w:val="24"/>
          <w:highlight w:val="none"/>
        </w:rPr>
        <w:t>本项目不接受联合体投标</w:t>
      </w:r>
      <w:r>
        <w:rPr>
          <w:rFonts w:hint="eastAsia"/>
          <w:color w:val="auto"/>
          <w:sz w:val="24"/>
          <w:highlight w:val="none"/>
          <w:lang w:eastAsia="zh-CN"/>
        </w:rPr>
        <w:t>；</w:t>
      </w:r>
    </w:p>
    <w:p w14:paraId="6E32701F">
      <w:pPr>
        <w:tabs>
          <w:tab w:val="left" w:pos="180"/>
          <w:tab w:val="left" w:pos="360"/>
          <w:tab w:val="left" w:pos="540"/>
          <w:tab w:val="left" w:pos="8280"/>
        </w:tabs>
        <w:autoSpaceDE w:val="0"/>
        <w:autoSpaceDN w:val="0"/>
        <w:adjustRightInd w:val="0"/>
        <w:spacing w:line="360" w:lineRule="auto"/>
        <w:ind w:right="23" w:firstLine="482" w:firstLineChars="200"/>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p>
    <w:p w14:paraId="20044402">
      <w:pPr>
        <w:widowControl/>
        <w:spacing w:line="360" w:lineRule="auto"/>
        <w:ind w:firstLine="480" w:firstLineChars="200"/>
        <w:jc w:val="left"/>
        <w:rPr>
          <w:rFonts w:hint="eastAsia" w:ascii="宋体" w:hAnsi="宋体" w:cs="宋体"/>
          <w:color w:val="auto"/>
          <w:kern w:val="0"/>
          <w:sz w:val="27"/>
          <w:szCs w:val="27"/>
          <w:highlight w:val="none"/>
        </w:rPr>
      </w:pPr>
      <w:r>
        <w:rPr>
          <w:rFonts w:hint="eastAsia" w:ascii="宋体" w:hAnsi="宋体" w:cs="宋体"/>
          <w:color w:val="auto"/>
          <w:kern w:val="0"/>
          <w:sz w:val="24"/>
          <w:highlight w:val="none"/>
        </w:rPr>
        <w:t>1.本项目招标文件实行“政府采购云平台”在线获取，不提供招标文件纸质版。供应商获取招标文件前应先完成“政府采购云平台”的账号注册；</w:t>
      </w:r>
    </w:p>
    <w:p w14:paraId="5EB1C62F">
      <w:pPr>
        <w:widowControl/>
        <w:spacing w:line="360" w:lineRule="auto"/>
        <w:ind w:firstLine="480" w:firstLineChars="200"/>
        <w:jc w:val="left"/>
        <w:rPr>
          <w:rFonts w:hint="eastAsia" w:ascii="宋体" w:hAnsi="宋体" w:cs="宋体"/>
          <w:color w:val="auto"/>
          <w:kern w:val="0"/>
          <w:sz w:val="27"/>
          <w:szCs w:val="27"/>
          <w:highlight w:val="none"/>
        </w:rPr>
      </w:pPr>
      <w:r>
        <w:rPr>
          <w:rFonts w:hint="eastAsia" w:ascii="宋体" w:hAnsi="宋体" w:cs="宋体"/>
          <w:color w:val="auto"/>
          <w:kern w:val="0"/>
          <w:sz w:val="24"/>
          <w:highlight w:val="none"/>
        </w:rPr>
        <w:t>2.地点：</w:t>
      </w:r>
    </w:p>
    <w:p w14:paraId="650CE186">
      <w:pPr>
        <w:widowControl/>
        <w:tabs>
          <w:tab w:val="right" w:pos="8306"/>
        </w:tabs>
        <w:spacing w:line="360" w:lineRule="auto"/>
        <w:ind w:firstLine="480" w:firstLineChars="200"/>
        <w:jc w:val="left"/>
        <w:rPr>
          <w:rFonts w:hint="eastAsia" w:ascii="宋体" w:hAnsi="宋体" w:cs="宋体"/>
          <w:color w:val="auto"/>
          <w:kern w:val="0"/>
          <w:sz w:val="27"/>
          <w:szCs w:val="27"/>
          <w:highlight w:val="none"/>
        </w:rPr>
      </w:pPr>
      <w:r>
        <w:rPr>
          <w:rFonts w:hint="eastAsia" w:ascii="宋体" w:hAnsi="宋体" w:cs="宋体"/>
          <w:color w:val="auto"/>
          <w:kern w:val="0"/>
          <w:sz w:val="24"/>
          <w:highlight w:val="none"/>
        </w:rPr>
        <w:t>（1）政采云平台（http://zfcg.czt.zj.gov.cn）；</w:t>
      </w:r>
      <w:r>
        <w:rPr>
          <w:rFonts w:ascii="宋体" w:hAnsi="宋体" w:cs="宋体"/>
          <w:color w:val="auto"/>
          <w:kern w:val="0"/>
          <w:sz w:val="24"/>
          <w:highlight w:val="none"/>
        </w:rPr>
        <w:tab/>
      </w:r>
    </w:p>
    <w:p w14:paraId="3A34B376">
      <w:pPr>
        <w:widowControl/>
        <w:spacing w:line="360" w:lineRule="auto"/>
        <w:ind w:firstLine="480" w:firstLineChars="200"/>
        <w:jc w:val="left"/>
        <w:rPr>
          <w:rFonts w:hint="eastAsia" w:ascii="宋体" w:hAnsi="宋体" w:cs="宋体"/>
          <w:color w:val="auto"/>
          <w:kern w:val="0"/>
          <w:sz w:val="27"/>
          <w:szCs w:val="27"/>
          <w:highlight w:val="none"/>
        </w:rPr>
      </w:pPr>
      <w:r>
        <w:rPr>
          <w:rFonts w:hint="eastAsia" w:ascii="宋体" w:hAnsi="宋体" w:cs="宋体"/>
          <w:color w:val="auto"/>
          <w:kern w:val="0"/>
          <w:sz w:val="24"/>
          <w:highlight w:val="none"/>
        </w:rPr>
        <w:t>（2）供应商网上报名操作指南：“浙江政府采购网-办事指南-省采中心-网上报名”（http://zfcg.czt.zj.gov.cn/bs_other/2018-03-30/12002.html）。</w:t>
      </w:r>
    </w:p>
    <w:p w14:paraId="12D59148">
      <w:pPr>
        <w:widowControl/>
        <w:spacing w:line="360" w:lineRule="auto"/>
        <w:ind w:firstLine="480" w:firstLineChars="200"/>
        <w:jc w:val="left"/>
        <w:rPr>
          <w:rFonts w:hint="eastAsia" w:ascii="宋体" w:hAnsi="宋体" w:cs="宋体"/>
          <w:color w:val="auto"/>
          <w:kern w:val="0"/>
          <w:sz w:val="27"/>
          <w:szCs w:val="27"/>
          <w:highlight w:val="none"/>
        </w:rPr>
      </w:pPr>
      <w:r>
        <w:rPr>
          <w:rFonts w:hint="eastAsia" w:ascii="宋体" w:hAnsi="宋体" w:cs="宋体"/>
          <w:color w:val="auto"/>
          <w:kern w:val="0"/>
          <w:sz w:val="24"/>
          <w:highlight w:val="none"/>
        </w:rPr>
        <w:t>3.方式：潜在供应商登陆政采云平台，在线申请获取招标文件（进入“项目采购”应用，在获取招标文件菜单中选择项目，申请获取招标文件，本项目招标文件不收取工本费；</w:t>
      </w:r>
      <w:r>
        <w:rPr>
          <w:rFonts w:hint="eastAsia" w:ascii="宋体" w:hAnsi="宋体" w:cs="宋体"/>
          <w:color w:val="auto"/>
          <w:kern w:val="0"/>
          <w:sz w:val="24"/>
          <w:highlight w:val="none"/>
          <w:u w:val="single"/>
        </w:rPr>
        <w:t>仅需浏览招标文件的供应商可点击“游客，浏览招标文件”直接下载招标文件浏览</w:t>
      </w:r>
      <w:r>
        <w:rPr>
          <w:rFonts w:hint="eastAsia" w:ascii="宋体" w:hAnsi="宋体" w:cs="宋体"/>
          <w:color w:val="auto"/>
          <w:kern w:val="0"/>
          <w:sz w:val="24"/>
          <w:highlight w:val="none"/>
        </w:rPr>
        <w:t>）；</w:t>
      </w:r>
    </w:p>
    <w:p w14:paraId="263341B6">
      <w:pPr>
        <w:widowControl/>
        <w:spacing w:line="360" w:lineRule="auto"/>
        <w:ind w:firstLine="480" w:firstLineChars="200"/>
        <w:jc w:val="left"/>
        <w:rPr>
          <w:rFonts w:hint="eastAsia" w:ascii="宋体" w:hAnsi="宋体" w:cs="宋体"/>
          <w:color w:val="auto"/>
          <w:kern w:val="0"/>
          <w:sz w:val="27"/>
          <w:szCs w:val="27"/>
          <w:highlight w:val="none"/>
        </w:rPr>
      </w:pPr>
      <w:r>
        <w:rPr>
          <w:rFonts w:hint="eastAsia" w:ascii="宋体" w:hAnsi="宋体" w:cs="宋体"/>
          <w:color w:val="auto"/>
          <w:kern w:val="0"/>
          <w:sz w:val="24"/>
          <w:highlight w:val="none"/>
        </w:rPr>
        <w:t>4.供应商获取招标文件时须提交的文件资料：无；</w:t>
      </w:r>
    </w:p>
    <w:p w14:paraId="176CB2B2">
      <w:pPr>
        <w:widowControl/>
        <w:spacing w:line="360" w:lineRule="auto"/>
        <w:ind w:firstLine="480" w:firstLineChars="200"/>
        <w:jc w:val="left"/>
        <w:rPr>
          <w:rFonts w:hint="eastAsia" w:ascii="宋体" w:hAnsi="宋体" w:cs="宋体"/>
          <w:color w:val="auto"/>
          <w:kern w:val="0"/>
          <w:sz w:val="27"/>
          <w:szCs w:val="27"/>
          <w:highlight w:val="none"/>
        </w:rPr>
      </w:pPr>
      <w:r>
        <w:rPr>
          <w:rFonts w:hint="eastAsia" w:ascii="宋体" w:hAnsi="宋体" w:cs="宋体"/>
          <w:color w:val="auto"/>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0100665">
      <w:pPr>
        <w:spacing w:line="360" w:lineRule="auto"/>
        <w:ind w:firstLine="480" w:firstLineChars="200"/>
        <w:rPr>
          <w:rFonts w:hint="eastAsia" w:ascii="宋体" w:hAnsi="宋体" w:cs="仿宋"/>
          <w:color w:val="auto"/>
          <w:sz w:val="24"/>
          <w:highlight w:val="none"/>
        </w:rPr>
      </w:pPr>
      <w:r>
        <w:rPr>
          <w:rFonts w:hint="eastAsia" w:ascii="宋体" w:hAnsi="宋体" w:cs="宋体"/>
          <w:color w:val="auto"/>
          <w:kern w:val="0"/>
          <w:sz w:val="24"/>
          <w:highlight w:val="none"/>
        </w:rPr>
        <w:t>注：请供应商按上述要求获取招标文件，如未在“政采云”系统内完成相关流程，引起的投标无效责任自负。</w:t>
      </w:r>
    </w:p>
    <w:p w14:paraId="41D21F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2" w:firstLineChars="200"/>
        <w:jc w:val="left"/>
        <w:rPr>
          <w:rFonts w:hint="eastAsia" w:ascii="宋体" w:hAnsi="宋体"/>
          <w:b/>
          <w:color w:val="auto"/>
          <w:kern w:val="0"/>
          <w:sz w:val="24"/>
          <w:highlight w:val="none"/>
        </w:rPr>
      </w:pPr>
      <w:r>
        <w:rPr>
          <w:rFonts w:hint="eastAsia" w:ascii="宋体" w:hAnsi="宋体" w:cs="Calibri Light"/>
          <w:b/>
          <w:color w:val="auto"/>
          <w:sz w:val="24"/>
          <w:highlight w:val="none"/>
        </w:rPr>
        <w:t>五、电子</w:t>
      </w:r>
      <w:r>
        <w:rPr>
          <w:rFonts w:hint="eastAsia" w:ascii="宋体" w:hAnsi="宋体"/>
          <w:b/>
          <w:color w:val="auto"/>
          <w:kern w:val="0"/>
          <w:sz w:val="24"/>
          <w:highlight w:val="none"/>
        </w:rPr>
        <w:t>投标文件递交截止时间及开标时间、地点：</w:t>
      </w:r>
    </w:p>
    <w:p w14:paraId="3504689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1.电子投标文件递交截止时间及开标时间：详见公告；</w:t>
      </w:r>
    </w:p>
    <w:p w14:paraId="052DE42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2.开标地点及电子投标文件提交地点：通过“政府采购云平台（www.zcygov.cn）”实行在线投标响应；</w:t>
      </w:r>
    </w:p>
    <w:p w14:paraId="4C9701A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2" w:firstLineChars="200"/>
        <w:jc w:val="left"/>
        <w:rPr>
          <w:rFonts w:hint="eastAsia" w:ascii="宋体" w:hAnsi="宋体" w:cs="Calibri Light"/>
          <w:color w:val="auto"/>
          <w:kern w:val="0"/>
          <w:sz w:val="24"/>
          <w:highlight w:val="none"/>
        </w:rPr>
      </w:pPr>
      <w:r>
        <w:rPr>
          <w:rFonts w:hint="eastAsia" w:ascii="宋体" w:hAnsi="宋体" w:cs="Calibri Light"/>
          <w:b/>
          <w:bCs/>
          <w:color w:val="auto"/>
          <w:sz w:val="24"/>
          <w:highlight w:val="none"/>
        </w:rPr>
        <w:t>六、投标保证金</w:t>
      </w:r>
      <w:r>
        <w:rPr>
          <w:rFonts w:hint="eastAsia" w:ascii="宋体" w:hAnsi="宋体" w:cs="Calibri Light"/>
          <w:b/>
          <w:color w:val="auto"/>
          <w:sz w:val="24"/>
          <w:highlight w:val="none"/>
        </w:rPr>
        <w:t>：</w:t>
      </w:r>
    </w:p>
    <w:p w14:paraId="5826B702">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无</w:t>
      </w:r>
    </w:p>
    <w:p w14:paraId="6047BE09">
      <w:pPr>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rPr>
        <w:t>七、在线投标响应（电子投标）说明：</w:t>
      </w:r>
    </w:p>
    <w:p w14:paraId="3B525834">
      <w:pPr>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610EA32C">
      <w:pPr>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0996B87D">
      <w:pPr>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76303D4B">
      <w:pPr>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3.投标供应商应当在投标截止时间前，将生成的“电子加密投标文件”上传递交至“政府采购云平台”。投标截止时间以后上传递交的投标文件将被“政府采购云平台”拒收。</w:t>
      </w:r>
    </w:p>
    <w:p w14:paraId="33AC54B1">
      <w:pPr>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4.投标供应商在“政府采购云平台”完成“电子加密投标文件”的上传递交后，还可以（EMS邮寄或顺丰邮寄形式）在投标截止时间前递交以介质（U盘）存储的数据电文形式的“备份投标文件”，“备份投标文件”应当密封包装，标注投标项目名称，以不记名形式（在外包装上不加盖公章、不出现投标单位名称）递交或邮寄。没有密封包装或者逾期邮寄（以收到邮件时间为准）送达至投标地点的将不予接收。</w:t>
      </w:r>
    </w:p>
    <w:p w14:paraId="7539DA3F">
      <w:pPr>
        <w:spacing w:line="360" w:lineRule="auto"/>
        <w:ind w:firstLine="480" w:firstLineChars="200"/>
        <w:rPr>
          <w:rFonts w:hint="eastAsia" w:cs="Arial" w:asciiTheme="minorEastAsia" w:hAnsiTheme="minorEastAsia" w:eastAsiaTheme="minorEastAsia"/>
          <w:color w:val="auto"/>
          <w:sz w:val="24"/>
          <w:highlight w:val="none"/>
        </w:rPr>
      </w:pPr>
      <w:r>
        <w:rPr>
          <w:rFonts w:hint="eastAsia" w:ascii="宋体" w:hAnsi="宋体" w:cs="Calibri Light"/>
          <w:color w:val="auto"/>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7769BD2">
      <w:pPr>
        <w:spacing w:line="360" w:lineRule="auto"/>
        <w:ind w:firstLine="482" w:firstLineChars="200"/>
        <w:rPr>
          <w:rFonts w:hint="eastAsia"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14:paraId="2C44A7B9">
      <w:pPr>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60E33547">
      <w:pPr>
        <w:numPr>
          <w:ilvl w:val="0"/>
          <w:numId w:val="3"/>
        </w:num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联系方式：</w:t>
      </w:r>
    </w:p>
    <w:p w14:paraId="077FD32B">
      <w:pPr>
        <w:pStyle w:val="30"/>
        <w:spacing w:line="360" w:lineRule="auto"/>
        <w:textAlignment w:val="baseline"/>
        <w:rPr>
          <w:rFonts w:hint="eastAsia" w:ascii="宋体" w:hAnsi="宋体" w:cs="宋体"/>
          <w:color w:val="auto"/>
          <w:highlight w:val="none"/>
        </w:rPr>
      </w:pPr>
      <w:r>
        <w:rPr>
          <w:rFonts w:hint="eastAsia" w:ascii="宋体" w:hAnsi="宋体" w:cs="宋体"/>
          <w:b/>
          <w:bCs/>
          <w:color w:val="auto"/>
          <w:highlight w:val="none"/>
        </w:rPr>
        <w:t xml:space="preserve">（一）采购人 </w:t>
      </w:r>
    </w:p>
    <w:p w14:paraId="4DD4BB16">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采购人名称：台州市公安局</w:t>
      </w:r>
    </w:p>
    <w:p w14:paraId="751A2A1C">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联系人：朱先生</w:t>
      </w:r>
    </w:p>
    <w:p w14:paraId="07CE5C53">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联系电话：13566650526</w:t>
      </w:r>
    </w:p>
    <w:p w14:paraId="12B8A237">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采购人地址：台州市椒江区康平路2号</w:t>
      </w:r>
    </w:p>
    <w:p w14:paraId="5033C516">
      <w:pPr>
        <w:pStyle w:val="30"/>
        <w:spacing w:line="360" w:lineRule="auto"/>
        <w:textAlignment w:val="baseline"/>
        <w:rPr>
          <w:rFonts w:hint="eastAsia" w:ascii="宋体" w:hAnsi="宋体" w:cs="宋体"/>
          <w:b/>
          <w:bCs/>
          <w:color w:val="auto"/>
          <w:highlight w:val="none"/>
        </w:rPr>
      </w:pPr>
      <w:r>
        <w:rPr>
          <w:rFonts w:hint="eastAsia" w:ascii="宋体" w:hAnsi="宋体" w:cs="宋体"/>
          <w:b/>
          <w:bCs/>
          <w:color w:val="auto"/>
          <w:highlight w:val="none"/>
        </w:rPr>
        <w:t>（二）采购组织机构</w:t>
      </w:r>
    </w:p>
    <w:p w14:paraId="6D1CC42B">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名称：浙江百和工程咨询有限公司</w:t>
      </w:r>
    </w:p>
    <w:p w14:paraId="039E84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联系人：吴女士、陈女士　</w:t>
      </w:r>
    </w:p>
    <w:p w14:paraId="733BFBA6">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联系电话：15825475513 、15257699929    </w:t>
      </w:r>
    </w:p>
    <w:p w14:paraId="5F31F9DA">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kern w:val="0"/>
          <w:sz w:val="24"/>
          <w:highlight w:val="none"/>
        </w:rPr>
        <w:t>台州市椒江区白云山西路铂晶国际花园北2门旁18栋2单元二层</w:t>
      </w:r>
    </w:p>
    <w:p w14:paraId="1B4B056D">
      <w:pPr>
        <w:pStyle w:val="30"/>
        <w:spacing w:line="360" w:lineRule="auto"/>
        <w:textAlignment w:val="baseline"/>
        <w:rPr>
          <w:rFonts w:hint="eastAsia" w:ascii="宋体" w:hAnsi="宋体" w:cs="宋体"/>
          <w:b/>
          <w:bCs/>
          <w:color w:val="auto"/>
          <w:highlight w:val="none"/>
        </w:rPr>
      </w:pPr>
      <w:r>
        <w:rPr>
          <w:rFonts w:hint="eastAsia" w:ascii="宋体" w:hAnsi="宋体" w:cs="宋体"/>
          <w:b/>
          <w:bCs/>
          <w:color w:val="auto"/>
          <w:highlight w:val="none"/>
        </w:rPr>
        <w:t>（三）质疑受理</w:t>
      </w:r>
    </w:p>
    <w:p w14:paraId="281BE949">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采购人书面质疑接收人：杨警官</w:t>
      </w:r>
    </w:p>
    <w:p w14:paraId="51D16252">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联系电话：0576-88212531　</w:t>
      </w:r>
    </w:p>
    <w:p w14:paraId="68B5C498">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书面质疑接收地址：浙江省台州市椒江区康平路2号　</w:t>
      </w:r>
    </w:p>
    <w:p w14:paraId="2043EF23">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代理机构质疑受理联系人：徐工</w:t>
      </w:r>
    </w:p>
    <w:p w14:paraId="6939C51D">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联系电话：13566655825</w:t>
      </w:r>
    </w:p>
    <w:p w14:paraId="684BDA9A">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书面质疑接收地址：台州市椒江区白云山西路铂晶国际花园北2门旁18栋2单元二层</w:t>
      </w:r>
    </w:p>
    <w:p w14:paraId="410E2375">
      <w:pPr>
        <w:pStyle w:val="30"/>
        <w:spacing w:line="360" w:lineRule="auto"/>
        <w:textAlignment w:val="baseline"/>
        <w:rPr>
          <w:rFonts w:hint="eastAsia" w:ascii="宋体" w:hAnsi="宋体" w:cs="宋体"/>
          <w:b/>
          <w:bCs/>
          <w:color w:val="auto"/>
          <w:highlight w:val="none"/>
        </w:rPr>
      </w:pPr>
      <w:r>
        <w:rPr>
          <w:rFonts w:hint="eastAsia" w:ascii="宋体" w:hAnsi="宋体" w:cs="宋体"/>
          <w:b/>
          <w:bCs/>
          <w:color w:val="auto"/>
          <w:highlight w:val="none"/>
        </w:rPr>
        <w:t>（四）同级政府采购监管机构</w:t>
      </w:r>
    </w:p>
    <w:p w14:paraId="56730D5A">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名 称：台州市财政局政府采监处 　</w:t>
      </w:r>
    </w:p>
    <w:p w14:paraId="16D42B56">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联系人：陈女士、李工</w:t>
      </w:r>
    </w:p>
    <w:p w14:paraId="648F3C76">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监督投诉电话：0576-88206705.0576-88206731</w:t>
      </w:r>
    </w:p>
    <w:p w14:paraId="660F59E0">
      <w:pPr>
        <w:pStyle w:val="30"/>
        <w:spacing w:line="360" w:lineRule="auto"/>
        <w:textAlignment w:val="baseline"/>
        <w:rPr>
          <w:rFonts w:hint="eastAsia" w:ascii="宋体" w:hAnsi="宋体" w:cs="宋体"/>
          <w:color w:val="auto"/>
          <w:highlight w:val="none"/>
        </w:rPr>
      </w:pPr>
      <w:r>
        <w:rPr>
          <w:rFonts w:hint="eastAsia" w:ascii="宋体" w:hAnsi="宋体" w:cs="宋体"/>
          <w:color w:val="auto"/>
          <w:highlight w:val="none"/>
        </w:rPr>
        <w:t xml:space="preserve">地址：台州市椒江区纬一路66号 　   　 </w:t>
      </w:r>
    </w:p>
    <w:p w14:paraId="75F7CC80">
      <w:pPr>
        <w:pStyle w:val="30"/>
        <w:spacing w:line="360" w:lineRule="auto"/>
        <w:textAlignment w:val="baseline"/>
        <w:rPr>
          <w:rFonts w:hint="eastAsia" w:ascii="宋体" w:hAnsi="宋体" w:cs="宋体"/>
          <w:b/>
          <w:bCs/>
          <w:color w:val="auto"/>
          <w:highlight w:val="none"/>
        </w:rPr>
      </w:pPr>
      <w:r>
        <w:rPr>
          <w:rFonts w:hint="eastAsia" w:ascii="宋体" w:hAnsi="宋体" w:cs="宋体"/>
          <w:b/>
          <w:bCs/>
          <w:color w:val="auto"/>
          <w:highlight w:val="none"/>
        </w:rPr>
        <w:t>（五）政采云平台</w:t>
      </w:r>
    </w:p>
    <w:p w14:paraId="11E15240">
      <w:pPr>
        <w:pStyle w:val="30"/>
        <w:spacing w:line="360" w:lineRule="auto"/>
        <w:textAlignment w:val="baseline"/>
        <w:rPr>
          <w:rFonts w:hint="eastAsia" w:ascii="宋体" w:hAnsi="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s="宋体"/>
          <w:color w:val="auto"/>
          <w:highlight w:val="none"/>
        </w:rPr>
        <w:t>联系电话：95763</w:t>
      </w:r>
    </w:p>
    <w:p w14:paraId="7F67E946">
      <w:pPr>
        <w:numPr>
          <w:ilvl w:val="0"/>
          <w:numId w:val="4"/>
        </w:numPr>
        <w:spacing w:line="360" w:lineRule="auto"/>
        <w:ind w:firstLine="723" w:firstLineChars="200"/>
        <w:jc w:val="cente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14:paraId="506D15AB">
      <w:pPr>
        <w:spacing w:line="360" w:lineRule="auto"/>
        <w:ind w:firstLine="482" w:firstLineChars="20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3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67"/>
        <w:gridCol w:w="6209"/>
      </w:tblGrid>
      <w:tr w14:paraId="330E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006FC5">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2267" w:type="dxa"/>
            <w:tcBorders>
              <w:top w:val="single" w:color="auto" w:sz="4" w:space="0"/>
              <w:left w:val="single" w:color="auto" w:sz="4" w:space="0"/>
              <w:bottom w:val="single" w:color="auto" w:sz="4" w:space="0"/>
              <w:right w:val="single" w:color="auto" w:sz="4" w:space="0"/>
            </w:tcBorders>
            <w:vAlign w:val="center"/>
          </w:tcPr>
          <w:p w14:paraId="620DEBED">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209" w:type="dxa"/>
            <w:tcBorders>
              <w:top w:val="single" w:color="auto" w:sz="4" w:space="0"/>
              <w:left w:val="single" w:color="auto" w:sz="4" w:space="0"/>
              <w:bottom w:val="single" w:color="auto" w:sz="4" w:space="0"/>
              <w:right w:val="single" w:color="auto" w:sz="4" w:space="0"/>
            </w:tcBorders>
            <w:vAlign w:val="center"/>
          </w:tcPr>
          <w:p w14:paraId="600B7C55">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14:paraId="0A34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09C4C82">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267" w:type="dxa"/>
            <w:tcBorders>
              <w:top w:val="single" w:color="auto" w:sz="4" w:space="0"/>
              <w:left w:val="single" w:color="auto" w:sz="4" w:space="0"/>
              <w:bottom w:val="single" w:color="auto" w:sz="4" w:space="0"/>
              <w:right w:val="single" w:color="auto" w:sz="4" w:space="0"/>
            </w:tcBorders>
            <w:vAlign w:val="center"/>
          </w:tcPr>
          <w:p w14:paraId="78D9784B">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209" w:type="dxa"/>
            <w:tcBorders>
              <w:top w:val="single" w:color="auto" w:sz="4" w:space="0"/>
              <w:left w:val="single" w:color="auto" w:sz="4" w:space="0"/>
              <w:bottom w:val="single" w:color="auto" w:sz="4" w:space="0"/>
              <w:right w:val="single" w:color="auto" w:sz="4" w:space="0"/>
            </w:tcBorders>
            <w:vAlign w:val="center"/>
          </w:tcPr>
          <w:p w14:paraId="54640059">
            <w:pPr>
              <w:keepNext w:val="0"/>
              <w:keepLines w:val="0"/>
              <w:pageBreakBefore w:val="0"/>
              <w:widowControl w:val="0"/>
              <w:kinsoku/>
              <w:wordWrap/>
              <w:overflowPunct/>
              <w:topLinePunct w:val="0"/>
              <w:bidi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符合招标公告资格要求的供应商。</w:t>
            </w:r>
          </w:p>
        </w:tc>
      </w:tr>
      <w:tr w14:paraId="5F5D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59D55BC">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2267" w:type="dxa"/>
            <w:tcBorders>
              <w:top w:val="single" w:color="auto" w:sz="4" w:space="0"/>
              <w:left w:val="single" w:color="auto" w:sz="4" w:space="0"/>
              <w:bottom w:val="single" w:color="auto" w:sz="4" w:space="0"/>
              <w:right w:val="single" w:color="auto" w:sz="4" w:space="0"/>
            </w:tcBorders>
            <w:vAlign w:val="center"/>
          </w:tcPr>
          <w:p w14:paraId="7A9C355F">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209" w:type="dxa"/>
            <w:tcBorders>
              <w:top w:val="single" w:color="auto" w:sz="4" w:space="0"/>
              <w:left w:val="single" w:color="auto" w:sz="4" w:space="0"/>
              <w:bottom w:val="single" w:color="auto" w:sz="4" w:space="0"/>
              <w:right w:val="single" w:color="auto" w:sz="4" w:space="0"/>
            </w:tcBorders>
            <w:vAlign w:val="center"/>
          </w:tcPr>
          <w:p w14:paraId="1C78AF2D">
            <w:pPr>
              <w:keepNext w:val="0"/>
              <w:keepLines w:val="0"/>
              <w:pageBreakBefore w:val="0"/>
              <w:widowControl w:val="0"/>
              <w:kinsoku/>
              <w:wordWrap/>
              <w:overflowPunct/>
              <w:topLinePunct w:val="0"/>
              <w:bidi w:val="0"/>
              <w:snapToGrid/>
              <w:spacing w:line="300" w:lineRule="auto"/>
              <w:rPr>
                <w:rFonts w:asciiTheme="majorEastAsia" w:hAnsiTheme="majorEastAsia" w:eastAsiaTheme="minorEastAsia" w:cstheme="majorEastAsia"/>
                <w:color w:val="auto"/>
                <w:sz w:val="24"/>
                <w:highlight w:val="none"/>
              </w:rPr>
            </w:pPr>
            <w:r>
              <w:rPr>
                <w:rFonts w:hint="eastAsia" w:cs="Arial" w:asciiTheme="minorEastAsia" w:hAnsiTheme="minorEastAsia" w:eastAsiaTheme="minorEastAsia"/>
                <w:color w:val="auto"/>
                <w:sz w:val="24"/>
                <w:highlight w:val="none"/>
              </w:rPr>
              <w:t>本项目不组织答疑会或现场踏勘</w:t>
            </w:r>
            <w:r>
              <w:rPr>
                <w:rFonts w:hint="eastAsia" w:ascii="宋体" w:hAnsi="宋体" w:cs="宋体"/>
                <w:color w:val="auto"/>
                <w:sz w:val="24"/>
                <w:highlight w:val="none"/>
              </w:rPr>
              <w:t>。</w:t>
            </w:r>
          </w:p>
        </w:tc>
      </w:tr>
      <w:tr w14:paraId="435D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142EA87">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2267" w:type="dxa"/>
            <w:tcBorders>
              <w:top w:val="single" w:color="auto" w:sz="4" w:space="0"/>
              <w:left w:val="single" w:color="auto" w:sz="4" w:space="0"/>
              <w:bottom w:val="single" w:color="auto" w:sz="4" w:space="0"/>
              <w:right w:val="single" w:color="auto" w:sz="4" w:space="0"/>
            </w:tcBorders>
            <w:vAlign w:val="center"/>
          </w:tcPr>
          <w:p w14:paraId="206E4799">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投标文件的编制</w:t>
            </w:r>
          </w:p>
        </w:tc>
        <w:tc>
          <w:tcPr>
            <w:tcW w:w="6209" w:type="dxa"/>
            <w:tcBorders>
              <w:top w:val="single" w:color="auto" w:sz="4" w:space="0"/>
              <w:left w:val="single" w:color="auto" w:sz="4" w:space="0"/>
              <w:bottom w:val="single" w:color="auto" w:sz="4" w:space="0"/>
              <w:right w:val="single" w:color="auto" w:sz="4" w:space="0"/>
            </w:tcBorders>
            <w:vAlign w:val="center"/>
          </w:tcPr>
          <w:p w14:paraId="662AB813">
            <w:pPr>
              <w:keepNext w:val="0"/>
              <w:keepLines w:val="0"/>
              <w:pageBreakBefore w:val="0"/>
              <w:widowControl w:val="0"/>
              <w:kinsoku/>
              <w:wordWrap/>
              <w:overflowPunct/>
              <w:topLinePunct w:val="0"/>
              <w:bidi w:val="0"/>
              <w:snapToGrid/>
              <w:spacing w:line="300" w:lineRule="auto"/>
              <w:rPr>
                <w:color w:val="auto"/>
                <w:highlight w:val="none"/>
              </w:rPr>
            </w:pPr>
            <w:r>
              <w:rPr>
                <w:rFonts w:hint="eastAsia"/>
                <w:color w:val="auto"/>
                <w:sz w:val="24"/>
                <w:highlight w:val="none"/>
              </w:rPr>
              <w:t>一、供应商应先安装“政采云电子交易客户端”，并按照本招标文件和“政府采购云平台”的要求，通过“政采云电子交易客户端”编制并加密投标文件。</w:t>
            </w:r>
          </w:p>
        </w:tc>
      </w:tr>
      <w:tr w14:paraId="6AB9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B53BC7">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r>
              <w:rPr>
                <w:rFonts w:hint="eastAsia" w:ascii="宋体" w:hAnsi="宋体" w:cs="Calibri Light"/>
                <w:color w:val="auto"/>
                <w:sz w:val="24"/>
                <w:highlight w:val="none"/>
              </w:rPr>
              <w:t>4</w:t>
            </w:r>
          </w:p>
        </w:tc>
        <w:tc>
          <w:tcPr>
            <w:tcW w:w="2267" w:type="dxa"/>
            <w:tcBorders>
              <w:top w:val="single" w:color="auto" w:sz="4" w:space="0"/>
              <w:left w:val="single" w:color="auto" w:sz="4" w:space="0"/>
              <w:bottom w:val="single" w:color="auto" w:sz="4" w:space="0"/>
              <w:right w:val="single" w:color="auto" w:sz="4" w:space="0"/>
            </w:tcBorders>
            <w:vAlign w:val="center"/>
          </w:tcPr>
          <w:p w14:paraId="1D622A63">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r>
              <w:rPr>
                <w:rFonts w:hint="eastAsia" w:ascii="宋体" w:hAnsi="宋体" w:cs="宋体"/>
                <w:color w:val="auto"/>
                <w:sz w:val="24"/>
                <w:highlight w:val="none"/>
              </w:rPr>
              <w:t>投标文件的签章</w:t>
            </w:r>
          </w:p>
        </w:tc>
        <w:tc>
          <w:tcPr>
            <w:tcW w:w="6209" w:type="dxa"/>
            <w:tcBorders>
              <w:top w:val="single" w:color="auto" w:sz="4" w:space="0"/>
              <w:left w:val="single" w:color="auto" w:sz="4" w:space="0"/>
              <w:bottom w:val="single" w:color="auto" w:sz="4" w:space="0"/>
              <w:right w:val="single" w:color="auto" w:sz="4" w:space="0"/>
            </w:tcBorders>
            <w:vAlign w:val="center"/>
          </w:tcPr>
          <w:p w14:paraId="15684F45">
            <w:pPr>
              <w:keepNext w:val="0"/>
              <w:keepLines w:val="0"/>
              <w:pageBreakBefore w:val="0"/>
              <w:widowControl w:val="0"/>
              <w:kinsoku/>
              <w:wordWrap/>
              <w:overflowPunct/>
              <w:topLinePunct w:val="0"/>
              <w:bidi w:val="0"/>
              <w:snapToGrid/>
              <w:spacing w:line="300" w:lineRule="auto"/>
              <w:rPr>
                <w:rFonts w:ascii="宋体" w:hAnsi="宋体" w:cs="Calibri Light"/>
                <w:color w:val="auto"/>
                <w:sz w:val="24"/>
                <w:highlight w:val="none"/>
              </w:rPr>
            </w:pPr>
            <w:r>
              <w:rPr>
                <w:rFonts w:hint="eastAsia" w:ascii="宋体" w:hAnsi="宋体" w:cs="宋体"/>
                <w:color w:val="auto"/>
                <w:sz w:val="24"/>
                <w:highlight w:val="none"/>
              </w:rPr>
              <w:t>电子签章。</w:t>
            </w:r>
          </w:p>
        </w:tc>
      </w:tr>
      <w:tr w14:paraId="6E3E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3B29CC">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r>
              <w:rPr>
                <w:rFonts w:hint="eastAsia" w:ascii="宋体" w:hAnsi="宋体" w:cs="Calibri Light"/>
                <w:color w:val="auto"/>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14:paraId="65BA5733">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r>
              <w:rPr>
                <w:rFonts w:hint="eastAsia" w:ascii="宋体" w:hAnsi="宋体" w:cs="宋体"/>
                <w:color w:val="auto"/>
                <w:sz w:val="24"/>
                <w:highlight w:val="none"/>
              </w:rPr>
              <w:t>投标文件的形式</w:t>
            </w:r>
          </w:p>
        </w:tc>
        <w:tc>
          <w:tcPr>
            <w:tcW w:w="6209" w:type="dxa"/>
            <w:tcBorders>
              <w:top w:val="single" w:color="auto" w:sz="4" w:space="0"/>
              <w:left w:val="single" w:color="auto" w:sz="4" w:space="0"/>
              <w:bottom w:val="single" w:color="auto" w:sz="4" w:space="0"/>
              <w:right w:val="single" w:color="auto" w:sz="4" w:space="0"/>
            </w:tcBorders>
            <w:vAlign w:val="center"/>
          </w:tcPr>
          <w:p w14:paraId="6284759C">
            <w:pPr>
              <w:keepNext w:val="0"/>
              <w:keepLines w:val="0"/>
              <w:pageBreakBefore w:val="0"/>
              <w:widowControl w:val="0"/>
              <w:kinsoku/>
              <w:wordWrap/>
              <w:overflowPunct/>
              <w:topLinePunct w:val="0"/>
              <w:bidi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☑电子投标文件（包括“电子加密投标文件”和“备份投标文件”，在投标文件编制完成后同时生成）；</w:t>
            </w:r>
          </w:p>
          <w:p w14:paraId="7DB61EB4">
            <w:pPr>
              <w:keepNext w:val="0"/>
              <w:keepLines w:val="0"/>
              <w:pageBreakBefore w:val="0"/>
              <w:widowControl w:val="0"/>
              <w:kinsoku/>
              <w:wordWrap/>
              <w:overflowPunct/>
              <w:topLinePunct w:val="0"/>
              <w:bidi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（1）“电子加密投标文件”是指通过“政采云电子交易客户端”完成投标文件编制后生成并加密的数据电文形式的投标文件。</w:t>
            </w:r>
          </w:p>
          <w:p w14:paraId="790B2FDC">
            <w:pPr>
              <w:keepNext w:val="0"/>
              <w:keepLines w:val="0"/>
              <w:pageBreakBefore w:val="0"/>
              <w:widowControl w:val="0"/>
              <w:kinsoku/>
              <w:wordWrap/>
              <w:overflowPunct/>
              <w:topLinePunct w:val="0"/>
              <w:bidi w:val="0"/>
              <w:snapToGrid/>
              <w:spacing w:line="300" w:lineRule="auto"/>
              <w:rPr>
                <w:rFonts w:eastAsiaTheme="majorEastAsia"/>
                <w:color w:val="auto"/>
                <w:highlight w:val="none"/>
              </w:rPr>
            </w:pPr>
            <w:r>
              <w:rPr>
                <w:rFonts w:hint="eastAsia" w:asciiTheme="majorEastAsia" w:hAnsiTheme="majorEastAsia" w:eastAsiaTheme="majorEastAsia" w:cstheme="majorEastAsia"/>
                <w:color w:val="auto"/>
                <w:sz w:val="24"/>
                <w:highlight w:val="none"/>
              </w:rPr>
              <w:t>（2）“备份投标文件”是指与“电子加密投标文件”同时生成的数据电文形式的电子文件（备份标书），其他方式编制的备份投标文件视为无效备份投标文件。</w:t>
            </w:r>
          </w:p>
          <w:p w14:paraId="142AB932">
            <w:pPr>
              <w:keepNext w:val="0"/>
              <w:keepLines w:val="0"/>
              <w:pageBreakBefore w:val="0"/>
              <w:widowControl w:val="0"/>
              <w:kinsoku/>
              <w:wordWrap/>
              <w:overflowPunct/>
              <w:topLinePunct w:val="0"/>
              <w:bidi w:val="0"/>
              <w:snapToGrid/>
              <w:spacing w:line="300" w:lineRule="auto"/>
              <w:rPr>
                <w:rFonts w:eastAsiaTheme="minorEastAsia"/>
                <w:color w:val="auto"/>
                <w:highlight w:val="none"/>
              </w:rPr>
            </w:pPr>
            <w:r>
              <w:rPr>
                <w:rFonts w:hint="eastAsia" w:asciiTheme="majorEastAsia" w:hAnsiTheme="majorEastAsia" w:eastAsiaTheme="majorEastAsia" w:cstheme="majorEastAsia"/>
                <w:color w:val="auto"/>
                <w:sz w:val="24"/>
                <w:highlight w:val="none"/>
              </w:rPr>
              <w:t>（3）中标后需提供纸质投标文件给招标代理机构作为备案存档，纸质投标文件系电子投标文件纸质版，两者内容应一致；数量为：资格证明文件</w:t>
            </w: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color w:val="auto"/>
                <w:sz w:val="24"/>
                <w:highlight w:val="none"/>
              </w:rPr>
              <w:t>份；商务与技术文件</w:t>
            </w: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color w:val="auto"/>
                <w:sz w:val="24"/>
                <w:highlight w:val="none"/>
              </w:rPr>
              <w:t>份；报价文件</w:t>
            </w: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color w:val="auto"/>
                <w:sz w:val="24"/>
                <w:highlight w:val="none"/>
              </w:rPr>
              <w:t>份。邮寄到台州市椒江区白云山西路铂晶国际花园北2门旁18栋2单元二层。</w:t>
            </w:r>
          </w:p>
        </w:tc>
      </w:tr>
      <w:tr w14:paraId="211E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4EF5E28">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r>
              <w:rPr>
                <w:rFonts w:hint="eastAsia" w:asciiTheme="majorEastAsia" w:hAnsiTheme="majorEastAsia" w:eastAsiaTheme="majorEastAsia" w:cstheme="majorEastAsia"/>
                <w:color w:val="auto"/>
                <w:sz w:val="24"/>
                <w:highlight w:val="none"/>
              </w:rPr>
              <w:t>6</w:t>
            </w:r>
          </w:p>
        </w:tc>
        <w:tc>
          <w:tcPr>
            <w:tcW w:w="2267" w:type="dxa"/>
            <w:tcBorders>
              <w:top w:val="single" w:color="auto" w:sz="4" w:space="0"/>
              <w:left w:val="single" w:color="auto" w:sz="4" w:space="0"/>
              <w:bottom w:val="single" w:color="auto" w:sz="4" w:space="0"/>
              <w:right w:val="single" w:color="auto" w:sz="4" w:space="0"/>
            </w:tcBorders>
            <w:vAlign w:val="center"/>
          </w:tcPr>
          <w:p w14:paraId="0B931238">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r>
              <w:rPr>
                <w:rFonts w:hint="eastAsia" w:ascii="宋体" w:hAnsi="宋体" w:cs="宋体"/>
                <w:color w:val="auto"/>
                <w:sz w:val="24"/>
                <w:highlight w:val="none"/>
              </w:rPr>
              <w:t>投标文件份数</w:t>
            </w:r>
          </w:p>
        </w:tc>
        <w:tc>
          <w:tcPr>
            <w:tcW w:w="6209" w:type="dxa"/>
            <w:tcBorders>
              <w:top w:val="single" w:color="auto" w:sz="4" w:space="0"/>
              <w:left w:val="single" w:color="auto" w:sz="4" w:space="0"/>
              <w:bottom w:val="single" w:color="auto" w:sz="4" w:space="0"/>
              <w:right w:val="single" w:color="auto" w:sz="4" w:space="0"/>
            </w:tcBorders>
            <w:vAlign w:val="center"/>
          </w:tcPr>
          <w:p w14:paraId="43844E57">
            <w:pPr>
              <w:keepNext w:val="0"/>
              <w:keepLines w:val="0"/>
              <w:pageBreakBefore w:val="0"/>
              <w:widowControl w:val="0"/>
              <w:kinsoku/>
              <w:wordWrap/>
              <w:overflowPunct/>
              <w:topLinePunct w:val="0"/>
              <w:bidi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（1）“电子加密投标文件”：在线上传递交、一份。</w:t>
            </w:r>
          </w:p>
          <w:p w14:paraId="60668091">
            <w:pPr>
              <w:keepNext w:val="0"/>
              <w:keepLines w:val="0"/>
              <w:pageBreakBefore w:val="0"/>
              <w:widowControl w:val="0"/>
              <w:kinsoku/>
              <w:wordWrap/>
              <w:overflowPunct/>
              <w:topLinePunct w:val="0"/>
              <w:bidi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 “备份投标文件”：密封包装后于投标截止时间前邮寄至招标代理处一份。</w:t>
            </w:r>
          </w:p>
          <w:p w14:paraId="60117FB7">
            <w:pPr>
              <w:keepNext w:val="0"/>
              <w:keepLines w:val="0"/>
              <w:pageBreakBefore w:val="0"/>
              <w:widowControl w:val="0"/>
              <w:kinsoku/>
              <w:wordWrap/>
              <w:overflowPunct/>
              <w:topLinePunct w:val="0"/>
              <w:bidi w:val="0"/>
              <w:snapToGrid/>
              <w:spacing w:line="300" w:lineRule="auto"/>
              <w:rPr>
                <w:color w:val="auto"/>
                <w:highlight w:val="none"/>
              </w:rPr>
            </w:pPr>
            <w:r>
              <w:rPr>
                <w:rFonts w:hint="eastAsia" w:asciiTheme="majorEastAsia" w:hAnsiTheme="majorEastAsia" w:eastAsiaTheme="majorEastAsia" w:cstheme="majorEastAsia"/>
                <w:b/>
                <w:bCs/>
                <w:color w:val="auto"/>
                <w:sz w:val="24"/>
                <w:highlight w:val="none"/>
              </w:rPr>
              <w:t>（3）本项目评标办法中有演示内容，演示内容以U盘形式存储，密封包装后于投标截止时间前邮寄或送达至招标代理处一份（如有）。</w:t>
            </w:r>
          </w:p>
        </w:tc>
      </w:tr>
      <w:tr w14:paraId="287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42263FF">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r>
              <w:rPr>
                <w:rFonts w:hint="eastAsia" w:ascii="宋体" w:hAnsi="宋体" w:cs="Calibri Light"/>
                <w:color w:val="auto"/>
                <w:sz w:val="24"/>
                <w:highlight w:val="none"/>
              </w:rPr>
              <w:t>7</w:t>
            </w:r>
          </w:p>
        </w:tc>
        <w:tc>
          <w:tcPr>
            <w:tcW w:w="2267" w:type="dxa"/>
            <w:tcBorders>
              <w:top w:val="single" w:color="auto" w:sz="4" w:space="0"/>
              <w:left w:val="single" w:color="auto" w:sz="4" w:space="0"/>
              <w:bottom w:val="single" w:color="auto" w:sz="4" w:space="0"/>
              <w:right w:val="single" w:color="auto" w:sz="4" w:space="0"/>
            </w:tcBorders>
            <w:vAlign w:val="center"/>
          </w:tcPr>
          <w:p w14:paraId="0BFD4CA5">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r>
              <w:rPr>
                <w:rFonts w:hint="eastAsia" w:ascii="宋体" w:hAnsi="宋体" w:cs="宋体"/>
                <w:color w:val="auto"/>
                <w:sz w:val="24"/>
                <w:highlight w:val="none"/>
              </w:rPr>
              <w:t>投标文件的上传和递交</w:t>
            </w:r>
          </w:p>
        </w:tc>
        <w:tc>
          <w:tcPr>
            <w:tcW w:w="6209" w:type="dxa"/>
            <w:tcBorders>
              <w:top w:val="single" w:color="auto" w:sz="4" w:space="0"/>
              <w:left w:val="single" w:color="auto" w:sz="4" w:space="0"/>
              <w:bottom w:val="single" w:color="auto" w:sz="4" w:space="0"/>
              <w:right w:val="single" w:color="auto" w:sz="4" w:space="0"/>
            </w:tcBorders>
            <w:vAlign w:val="center"/>
          </w:tcPr>
          <w:p w14:paraId="671EEF4B">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14:paraId="08E4F0FC">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a.投标供应商应在投标截止时间前将“电子加密投标文件”成功上传递交至“政府采购云平台”，否则投标无效。</w:t>
            </w:r>
          </w:p>
          <w:p w14:paraId="75573B15">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14:paraId="5FFA2B97">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（2）“演示内容”和“备份投标文件”的密封包装、递交：</w:t>
            </w:r>
          </w:p>
          <w:p w14:paraId="5EC42ACE">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a.“演示内容”和“备份投标文件”以U盘的形式存储（U盘或文件命名注明投标单位名称），并密封包装，标注投标项目名称，以不记名形式（在外包装上不加盖公章、不出现投标单位名称）递交或邮寄。没有密封包装或者逾期邮寄（以收到邮件时间为准）送达至投标地点的将不予接收；</w:t>
            </w:r>
          </w:p>
          <w:p w14:paraId="35C76E4A">
            <w:pPr>
              <w:keepNext w:val="0"/>
              <w:keepLines w:val="0"/>
              <w:pageBreakBefore w:val="0"/>
              <w:widowControl w:val="0"/>
              <w:kinsoku/>
              <w:wordWrap/>
              <w:overflowPunct/>
              <w:topLinePunct w:val="0"/>
              <w:bidi w:val="0"/>
              <w:snapToGrid/>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6E0F95D">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（3）如递交的备份文件无法读取或因投标人未按采购文件要求制作而导致无法确认投标人信息的，视同未递交或备份文件。</w:t>
            </w:r>
          </w:p>
          <w:p w14:paraId="5EB410EF">
            <w:pPr>
              <w:keepNext w:val="0"/>
              <w:keepLines w:val="0"/>
              <w:pageBreakBefore w:val="0"/>
              <w:widowControl w:val="0"/>
              <w:kinsoku/>
              <w:wordWrap/>
              <w:overflowPunct/>
              <w:topLinePunct w:val="0"/>
              <w:bidi w:val="0"/>
              <w:snapToGrid/>
              <w:spacing w:line="300" w:lineRule="auto"/>
              <w:rPr>
                <w:rFonts w:ascii="宋体" w:hAnsi="宋体" w:cs="宋体"/>
                <w:b/>
                <w:bCs/>
                <w:color w:val="auto"/>
                <w:sz w:val="24"/>
                <w:highlight w:val="none"/>
              </w:rPr>
            </w:pPr>
            <w:r>
              <w:rPr>
                <w:rFonts w:hint="eastAsia" w:ascii="宋体" w:hAnsi="宋体" w:cs="宋体"/>
                <w:b/>
                <w:bCs/>
                <w:color w:val="auto"/>
                <w:sz w:val="24"/>
                <w:highlight w:val="none"/>
              </w:rPr>
              <w:t xml:space="preserve">注： </w:t>
            </w:r>
          </w:p>
          <w:p w14:paraId="537E7910">
            <w:pPr>
              <w:keepNext w:val="0"/>
              <w:keepLines w:val="0"/>
              <w:pageBreakBefore w:val="0"/>
              <w:widowControl w:val="0"/>
              <w:kinsoku/>
              <w:wordWrap/>
              <w:overflowPunct/>
              <w:topLinePunct w:val="0"/>
              <w:bidi w:val="0"/>
              <w:snapToGrid/>
              <w:spacing w:line="300" w:lineRule="auto"/>
              <w:rPr>
                <w:rFonts w:ascii="宋体" w:hAnsi="宋体" w:cs="Calibri Light"/>
                <w:b/>
                <w:bCs/>
                <w:color w:val="auto"/>
                <w:sz w:val="24"/>
                <w:highlight w:val="none"/>
              </w:rPr>
            </w:pPr>
            <w:r>
              <w:rPr>
                <w:rFonts w:hint="eastAsia" w:ascii="宋体" w:hAnsi="宋体" w:cs="Calibri Light"/>
                <w:b/>
                <w:bCs/>
                <w:color w:val="auto"/>
                <w:sz w:val="24"/>
                <w:highlight w:val="none"/>
              </w:rPr>
              <w:t>邮寄地址：台州市椒江区白云山西路铂晶国际花园北2门旁18栋2单元二层；</w:t>
            </w:r>
          </w:p>
          <w:p w14:paraId="685CF2CB">
            <w:pPr>
              <w:keepNext w:val="0"/>
              <w:keepLines w:val="0"/>
              <w:pageBreakBefore w:val="0"/>
              <w:widowControl w:val="0"/>
              <w:kinsoku/>
              <w:wordWrap/>
              <w:overflowPunct/>
              <w:topLinePunct w:val="0"/>
              <w:bidi w:val="0"/>
              <w:snapToGrid/>
              <w:spacing w:line="300" w:lineRule="auto"/>
              <w:rPr>
                <w:rFonts w:ascii="宋体" w:hAnsi="宋体" w:cs="Calibri Light"/>
                <w:b/>
                <w:bCs/>
                <w:color w:val="auto"/>
                <w:sz w:val="24"/>
                <w:highlight w:val="none"/>
              </w:rPr>
            </w:pPr>
            <w:r>
              <w:rPr>
                <w:rFonts w:hint="eastAsia" w:ascii="宋体" w:hAnsi="宋体" w:cs="Calibri Light"/>
                <w:b/>
                <w:bCs/>
                <w:color w:val="auto"/>
                <w:sz w:val="24"/>
                <w:highlight w:val="none"/>
              </w:rPr>
              <w:t>收件人：陈女士</w:t>
            </w:r>
          </w:p>
          <w:p w14:paraId="7DC02DB6">
            <w:pPr>
              <w:keepNext w:val="0"/>
              <w:keepLines w:val="0"/>
              <w:pageBreakBefore w:val="0"/>
              <w:widowControl w:val="0"/>
              <w:kinsoku/>
              <w:wordWrap/>
              <w:overflowPunct/>
              <w:topLinePunct w:val="0"/>
              <w:bidi w:val="0"/>
              <w:snapToGrid/>
              <w:spacing w:line="300" w:lineRule="auto"/>
              <w:rPr>
                <w:rFonts w:ascii="宋体" w:hAnsi="宋体" w:cs="Calibri Light"/>
                <w:b/>
                <w:bCs/>
                <w:color w:val="auto"/>
                <w:sz w:val="24"/>
                <w:highlight w:val="none"/>
              </w:rPr>
            </w:pPr>
            <w:r>
              <w:rPr>
                <w:rFonts w:hint="eastAsia" w:ascii="宋体" w:hAnsi="宋体" w:cs="Calibri Light"/>
                <w:b/>
                <w:bCs/>
                <w:color w:val="auto"/>
                <w:sz w:val="24"/>
                <w:highlight w:val="none"/>
              </w:rPr>
              <w:t>联系电话：15257699929</w:t>
            </w:r>
          </w:p>
        </w:tc>
      </w:tr>
      <w:tr w14:paraId="6EA6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A4E9AF3">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r>
              <w:rPr>
                <w:rFonts w:hint="eastAsia" w:ascii="宋体" w:hAnsi="宋体" w:cs="Calibri Light"/>
                <w:color w:val="auto"/>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14:paraId="3E103CCD">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电子加密投标文件的解密和异常情况处理</w:t>
            </w:r>
          </w:p>
          <w:p w14:paraId="4C20AED3">
            <w:pPr>
              <w:keepNext w:val="0"/>
              <w:keepLines w:val="0"/>
              <w:pageBreakBefore w:val="0"/>
              <w:widowControl w:val="0"/>
              <w:kinsoku/>
              <w:wordWrap/>
              <w:overflowPunct/>
              <w:topLinePunct w:val="0"/>
              <w:bidi w:val="0"/>
              <w:snapToGrid/>
              <w:spacing w:line="300" w:lineRule="auto"/>
              <w:jc w:val="center"/>
              <w:rPr>
                <w:rFonts w:ascii="宋体" w:hAnsi="宋体" w:cs="Calibri Light"/>
                <w:color w:val="auto"/>
                <w:sz w:val="24"/>
                <w:highlight w:val="none"/>
              </w:rPr>
            </w:pPr>
          </w:p>
        </w:tc>
        <w:tc>
          <w:tcPr>
            <w:tcW w:w="6209" w:type="dxa"/>
            <w:tcBorders>
              <w:top w:val="single" w:color="auto" w:sz="4" w:space="0"/>
              <w:left w:val="single" w:color="auto" w:sz="4" w:space="0"/>
              <w:bottom w:val="single" w:color="auto" w:sz="4" w:space="0"/>
              <w:right w:val="single" w:color="auto" w:sz="4" w:space="0"/>
            </w:tcBorders>
            <w:vAlign w:val="center"/>
          </w:tcPr>
          <w:p w14:paraId="18EF152D">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6B94DF3A">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0089226">
            <w:pPr>
              <w:keepNext w:val="0"/>
              <w:keepLines w:val="0"/>
              <w:pageBreakBefore w:val="0"/>
              <w:widowControl w:val="0"/>
              <w:kinsoku/>
              <w:wordWrap/>
              <w:overflowPunct/>
              <w:topLinePunct w:val="0"/>
              <w:bidi w:val="0"/>
              <w:snapToGrid/>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（3）投标截止时间前，投标供应商仅递交了“备份投标文件”而未将电子加密投标文件上传至“政府采购云平台”的，投标无效。</w:t>
            </w:r>
          </w:p>
          <w:p w14:paraId="482DF823">
            <w:pPr>
              <w:keepNext w:val="0"/>
              <w:keepLines w:val="0"/>
              <w:pageBreakBefore w:val="0"/>
              <w:widowControl w:val="0"/>
              <w:kinsoku/>
              <w:wordWrap/>
              <w:overflowPunct/>
              <w:topLinePunct w:val="0"/>
              <w:bidi w:val="0"/>
              <w:snapToGrid/>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（4）如递交的演示文件或备份文件无法读取或因投标人未按采购文件要求制作而导致无法确认投标人信息的，视同未递交演示文件或备份文件。</w:t>
            </w:r>
          </w:p>
          <w:p w14:paraId="2FDE8EA8">
            <w:pPr>
              <w:keepNext w:val="0"/>
              <w:keepLines w:val="0"/>
              <w:pageBreakBefore w:val="0"/>
              <w:widowControl w:val="0"/>
              <w:kinsoku/>
              <w:wordWrap/>
              <w:overflowPunct/>
              <w:topLinePunct w:val="0"/>
              <w:bidi w:val="0"/>
              <w:snapToGrid/>
              <w:spacing w:line="300" w:lineRule="auto"/>
              <w:textAlignment w:val="baseline"/>
              <w:rPr>
                <w:rFonts w:ascii="宋体" w:hAnsi="宋体" w:cs="Calibri Light"/>
                <w:color w:val="auto"/>
                <w:sz w:val="24"/>
                <w:highlight w:val="none"/>
              </w:rPr>
            </w:pPr>
            <w:r>
              <w:rPr>
                <w:rFonts w:hint="eastAsia" w:ascii="宋体" w:hAnsi="宋体" w:cs="Calibri Light"/>
                <w:b/>
                <w:bCs/>
                <w:color w:val="auto"/>
                <w:sz w:val="24"/>
                <w:highlight w:val="none"/>
              </w:rPr>
              <w:t>注：供应商在使用系统进行投标的过程中遇到涉及平台使用的任何问题，可致电政采云平台技术支持热线咨询，联系方式：</w:t>
            </w:r>
            <w:r>
              <w:rPr>
                <w:rFonts w:ascii="宋体" w:hAnsi="宋体" w:cs="Calibri Light"/>
                <w:b/>
                <w:bCs/>
                <w:color w:val="auto"/>
                <w:sz w:val="24"/>
                <w:highlight w:val="none"/>
              </w:rPr>
              <w:t>95763</w:t>
            </w:r>
            <w:r>
              <w:rPr>
                <w:rFonts w:hint="eastAsia" w:ascii="宋体" w:hAnsi="宋体" w:cs="Calibri Light"/>
                <w:b/>
                <w:bCs/>
                <w:color w:val="auto"/>
                <w:sz w:val="24"/>
                <w:highlight w:val="none"/>
              </w:rPr>
              <w:t>。</w:t>
            </w:r>
          </w:p>
        </w:tc>
      </w:tr>
      <w:tr w14:paraId="7BA9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DAAE61B">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9</w:t>
            </w:r>
          </w:p>
        </w:tc>
        <w:tc>
          <w:tcPr>
            <w:tcW w:w="2267" w:type="dxa"/>
            <w:tcBorders>
              <w:top w:val="single" w:color="auto" w:sz="4" w:space="0"/>
              <w:left w:val="single" w:color="auto" w:sz="4" w:space="0"/>
              <w:bottom w:val="single" w:color="auto" w:sz="4" w:space="0"/>
              <w:right w:val="single" w:color="auto" w:sz="4" w:space="0"/>
            </w:tcBorders>
            <w:vAlign w:val="center"/>
          </w:tcPr>
          <w:p w14:paraId="3CA73C45">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209" w:type="dxa"/>
            <w:tcBorders>
              <w:top w:val="single" w:color="auto" w:sz="4" w:space="0"/>
              <w:left w:val="single" w:color="auto" w:sz="4" w:space="0"/>
              <w:bottom w:val="single" w:color="auto" w:sz="4" w:space="0"/>
              <w:right w:val="single" w:color="auto" w:sz="4" w:space="0"/>
            </w:tcBorders>
            <w:vAlign w:val="center"/>
          </w:tcPr>
          <w:p w14:paraId="19F19E05">
            <w:pPr>
              <w:keepNext w:val="0"/>
              <w:keepLines w:val="0"/>
              <w:pageBreakBefore w:val="0"/>
              <w:widowControl w:val="0"/>
              <w:kinsoku/>
              <w:wordWrap/>
              <w:overflowPunct/>
              <w:topLinePunct w:val="0"/>
              <w:bidi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14:paraId="7477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5FC0FA">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10</w:t>
            </w:r>
          </w:p>
        </w:tc>
        <w:tc>
          <w:tcPr>
            <w:tcW w:w="2267" w:type="dxa"/>
            <w:tcBorders>
              <w:top w:val="single" w:color="auto" w:sz="4" w:space="0"/>
              <w:left w:val="single" w:color="auto" w:sz="4" w:space="0"/>
              <w:bottom w:val="single" w:color="auto" w:sz="4" w:space="0"/>
              <w:right w:val="single" w:color="auto" w:sz="4" w:space="0"/>
            </w:tcBorders>
            <w:vAlign w:val="center"/>
          </w:tcPr>
          <w:p w14:paraId="2E42BA2E">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209" w:type="dxa"/>
            <w:tcBorders>
              <w:top w:val="single" w:color="auto" w:sz="4" w:space="0"/>
              <w:left w:val="single" w:color="auto" w:sz="4" w:space="0"/>
              <w:bottom w:val="single" w:color="auto" w:sz="4" w:space="0"/>
              <w:right w:val="single" w:color="auto" w:sz="4" w:space="0"/>
            </w:tcBorders>
            <w:vAlign w:val="center"/>
          </w:tcPr>
          <w:p w14:paraId="031B1190">
            <w:pPr>
              <w:keepNext w:val="0"/>
              <w:keepLines w:val="0"/>
              <w:pageBreakBefore w:val="0"/>
              <w:widowControl w:val="0"/>
              <w:kinsoku/>
              <w:wordWrap/>
              <w:overflowPunct/>
              <w:topLinePunct w:val="0"/>
              <w:bidi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详见公告</w:t>
            </w:r>
          </w:p>
        </w:tc>
      </w:tr>
      <w:tr w14:paraId="5F29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4878189">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11</w:t>
            </w:r>
          </w:p>
        </w:tc>
        <w:tc>
          <w:tcPr>
            <w:tcW w:w="2267" w:type="dxa"/>
            <w:tcBorders>
              <w:top w:val="single" w:color="auto" w:sz="4" w:space="0"/>
              <w:left w:val="single" w:color="auto" w:sz="4" w:space="0"/>
              <w:bottom w:val="single" w:color="auto" w:sz="4" w:space="0"/>
              <w:right w:val="single" w:color="auto" w:sz="4" w:space="0"/>
            </w:tcBorders>
            <w:vAlign w:val="center"/>
          </w:tcPr>
          <w:p w14:paraId="1DD787D2">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209" w:type="dxa"/>
            <w:tcBorders>
              <w:top w:val="single" w:color="auto" w:sz="4" w:space="0"/>
              <w:left w:val="single" w:color="auto" w:sz="4" w:space="0"/>
              <w:bottom w:val="single" w:color="auto" w:sz="4" w:space="0"/>
              <w:right w:val="single" w:color="auto" w:sz="4" w:space="0"/>
            </w:tcBorders>
            <w:vAlign w:val="center"/>
          </w:tcPr>
          <w:p w14:paraId="017400B9">
            <w:pPr>
              <w:keepNext w:val="0"/>
              <w:keepLines w:val="0"/>
              <w:pageBreakBefore w:val="0"/>
              <w:widowControl w:val="0"/>
              <w:kinsoku/>
              <w:wordWrap/>
              <w:overflowPunct/>
              <w:topLinePunct w:val="0"/>
              <w:bidi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详见公告</w:t>
            </w:r>
          </w:p>
        </w:tc>
      </w:tr>
      <w:tr w14:paraId="10E5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F4FDEF">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12</w:t>
            </w:r>
          </w:p>
        </w:tc>
        <w:tc>
          <w:tcPr>
            <w:tcW w:w="2267" w:type="dxa"/>
            <w:tcBorders>
              <w:top w:val="single" w:color="auto" w:sz="4" w:space="0"/>
              <w:left w:val="single" w:color="auto" w:sz="4" w:space="0"/>
              <w:bottom w:val="single" w:color="auto" w:sz="4" w:space="0"/>
              <w:right w:val="single" w:color="auto" w:sz="4" w:space="0"/>
            </w:tcBorders>
            <w:vAlign w:val="center"/>
          </w:tcPr>
          <w:p w14:paraId="2616D47D">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投标保证金</w:t>
            </w:r>
          </w:p>
        </w:tc>
        <w:tc>
          <w:tcPr>
            <w:tcW w:w="6209" w:type="dxa"/>
            <w:tcBorders>
              <w:top w:val="single" w:color="auto" w:sz="4" w:space="0"/>
              <w:left w:val="single" w:color="auto" w:sz="4" w:space="0"/>
              <w:bottom w:val="single" w:color="auto" w:sz="4" w:space="0"/>
              <w:right w:val="single" w:color="auto" w:sz="4" w:space="0"/>
            </w:tcBorders>
            <w:vAlign w:val="center"/>
          </w:tcPr>
          <w:p w14:paraId="425FC81B">
            <w:pPr>
              <w:keepNext w:val="0"/>
              <w:keepLines w:val="0"/>
              <w:pageBreakBefore w:val="0"/>
              <w:widowControl w:val="0"/>
              <w:kinsoku/>
              <w:wordWrap/>
              <w:overflowPunct/>
              <w:topLinePunct w:val="0"/>
              <w:bidi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无</w:t>
            </w:r>
          </w:p>
        </w:tc>
      </w:tr>
      <w:tr w14:paraId="5E8B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D5FF54D">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13</w:t>
            </w:r>
          </w:p>
        </w:tc>
        <w:tc>
          <w:tcPr>
            <w:tcW w:w="2267" w:type="dxa"/>
            <w:tcBorders>
              <w:top w:val="single" w:color="auto" w:sz="4" w:space="0"/>
              <w:left w:val="single" w:color="auto" w:sz="4" w:space="0"/>
              <w:bottom w:val="single" w:color="auto" w:sz="4" w:space="0"/>
              <w:right w:val="single" w:color="auto" w:sz="4" w:space="0"/>
            </w:tcBorders>
            <w:vAlign w:val="center"/>
          </w:tcPr>
          <w:p w14:paraId="66D7CFAA">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209" w:type="dxa"/>
            <w:tcBorders>
              <w:top w:val="single" w:color="auto" w:sz="4" w:space="0"/>
              <w:left w:val="single" w:color="auto" w:sz="4" w:space="0"/>
              <w:bottom w:val="single" w:color="auto" w:sz="4" w:space="0"/>
              <w:right w:val="single" w:color="auto" w:sz="4" w:space="0"/>
            </w:tcBorders>
            <w:vAlign w:val="center"/>
          </w:tcPr>
          <w:p w14:paraId="7D1C614A">
            <w:pPr>
              <w:pStyle w:val="15"/>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履约保证金为合同金额的1%，成交供应商自签订合同后3个工作日内向采购人提交（履约保证金可采用网上银行转账、保函、支票、汇票、本票等形式），验收合格后5个工作日无息退还。</w:t>
            </w:r>
          </w:p>
        </w:tc>
      </w:tr>
      <w:tr w14:paraId="6774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A0CBC1C">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14</w:t>
            </w:r>
          </w:p>
        </w:tc>
        <w:tc>
          <w:tcPr>
            <w:tcW w:w="2267" w:type="dxa"/>
            <w:tcBorders>
              <w:top w:val="single" w:color="auto" w:sz="4" w:space="0"/>
              <w:left w:val="single" w:color="auto" w:sz="4" w:space="0"/>
              <w:bottom w:val="single" w:color="auto" w:sz="4" w:space="0"/>
              <w:right w:val="single" w:color="auto" w:sz="4" w:space="0"/>
            </w:tcBorders>
            <w:vAlign w:val="center"/>
          </w:tcPr>
          <w:p w14:paraId="71F370E0">
            <w:pPr>
              <w:keepNext w:val="0"/>
              <w:keepLines w:val="0"/>
              <w:pageBreakBefore w:val="0"/>
              <w:widowControl w:val="0"/>
              <w:kinsoku/>
              <w:wordWrap/>
              <w:overflowPunct/>
              <w:topLinePunct w:val="0"/>
              <w:autoSpaceDE w:val="0"/>
              <w:autoSpaceDN w:val="0"/>
              <w:bidi w:val="0"/>
              <w:adjustRightInd w:val="0"/>
              <w:snapToGrid/>
              <w:spacing w:line="30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209" w:type="dxa"/>
            <w:tcBorders>
              <w:top w:val="single" w:color="auto" w:sz="4" w:space="0"/>
              <w:left w:val="single" w:color="auto" w:sz="4" w:space="0"/>
              <w:bottom w:val="single" w:color="auto" w:sz="4" w:space="0"/>
              <w:right w:val="single" w:color="auto" w:sz="4" w:space="0"/>
            </w:tcBorders>
            <w:vAlign w:val="center"/>
          </w:tcPr>
          <w:p w14:paraId="40FE1914">
            <w:pPr>
              <w:keepNext w:val="0"/>
              <w:keepLines w:val="0"/>
              <w:pageBreakBefore w:val="0"/>
              <w:widowControl w:val="0"/>
              <w:kinsoku/>
              <w:wordWrap/>
              <w:overflowPunct/>
              <w:topLinePunct w:val="0"/>
              <w:autoSpaceDE w:val="0"/>
              <w:autoSpaceDN w:val="0"/>
              <w:bidi w:val="0"/>
              <w:adjustRightInd w:val="0"/>
              <w:snapToGrid/>
              <w:spacing w:line="300" w:lineRule="auto"/>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▲”的条款是实质性条款，投标文件须作出实质性响应，否则作无效投标处理。</w:t>
            </w:r>
          </w:p>
        </w:tc>
      </w:tr>
      <w:tr w14:paraId="56DF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FE7690B">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asciiTheme="majorEastAsia" w:hAnsiTheme="majorEastAsia" w:eastAsiaTheme="majorEastAsia" w:cstheme="majorEastAsia"/>
                <w:color w:val="auto"/>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14:paraId="3FDE2DB4">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中小企业适用行业</w:t>
            </w:r>
          </w:p>
        </w:tc>
        <w:tc>
          <w:tcPr>
            <w:tcW w:w="6209" w:type="dxa"/>
            <w:tcBorders>
              <w:top w:val="single" w:color="auto" w:sz="4" w:space="0"/>
              <w:left w:val="single" w:color="auto" w:sz="4" w:space="0"/>
              <w:bottom w:val="single" w:color="auto" w:sz="4" w:space="0"/>
              <w:right w:val="single" w:color="auto" w:sz="4" w:space="0"/>
            </w:tcBorders>
            <w:vAlign w:val="center"/>
          </w:tcPr>
          <w:p w14:paraId="3C96A8A7">
            <w:pPr>
              <w:keepNext w:val="0"/>
              <w:keepLines w:val="0"/>
              <w:pageBreakBefore w:val="0"/>
              <w:widowControl w:val="0"/>
              <w:kinsoku/>
              <w:wordWrap/>
              <w:overflowPunct/>
              <w:topLinePunct w:val="0"/>
              <w:bidi w:val="0"/>
              <w:snapToGrid/>
              <w:spacing w:line="30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根据《关于印发中小企业划型标准规定的通知》（公信联企业﹝2</w:t>
            </w:r>
            <w:r>
              <w:rPr>
                <w:rFonts w:asciiTheme="majorEastAsia" w:hAnsiTheme="majorEastAsia" w:eastAsiaTheme="majorEastAsia" w:cstheme="majorEastAsia"/>
                <w:color w:val="auto"/>
                <w:sz w:val="24"/>
                <w:highlight w:val="none"/>
              </w:rPr>
              <w:t>011</w:t>
            </w:r>
            <w:r>
              <w:rPr>
                <w:rFonts w:hint="eastAsia" w:asciiTheme="majorEastAsia" w:hAnsiTheme="majorEastAsia" w:eastAsiaTheme="majorEastAsia" w:cstheme="majorEastAsia"/>
                <w:color w:val="auto"/>
                <w:sz w:val="24"/>
                <w:highlight w:val="none"/>
              </w:rPr>
              <w:t>﹞3</w:t>
            </w:r>
            <w:r>
              <w:rPr>
                <w:rFonts w:asciiTheme="majorEastAsia" w:hAnsiTheme="majorEastAsia" w:eastAsiaTheme="majorEastAsia" w:cstheme="majorEastAsia"/>
                <w:color w:val="auto"/>
                <w:sz w:val="24"/>
                <w:highlight w:val="none"/>
              </w:rPr>
              <w:t>00</w:t>
            </w:r>
            <w:r>
              <w:rPr>
                <w:rFonts w:hint="eastAsia" w:asciiTheme="majorEastAsia" w:hAnsiTheme="majorEastAsia" w:eastAsiaTheme="majorEastAsia" w:cstheme="majorEastAsia"/>
                <w:color w:val="auto"/>
                <w:sz w:val="24"/>
                <w:highlight w:val="none"/>
              </w:rPr>
              <w:t>号），本项目属于</w:t>
            </w:r>
            <w:r>
              <w:rPr>
                <w:rFonts w:hint="eastAsia" w:asciiTheme="majorEastAsia" w:hAnsiTheme="majorEastAsia" w:eastAsiaTheme="majorEastAsia" w:cstheme="majorEastAsia"/>
                <w:color w:val="auto"/>
                <w:sz w:val="24"/>
                <w:highlight w:val="none"/>
                <w:lang w:eastAsia="zh-CN"/>
              </w:rPr>
              <w:t>工业</w:t>
            </w:r>
            <w:r>
              <w:rPr>
                <w:rFonts w:hint="eastAsia" w:asciiTheme="majorEastAsia" w:hAnsiTheme="majorEastAsia" w:eastAsiaTheme="majorEastAsia" w:cstheme="majorEastAsia"/>
                <w:color w:val="auto"/>
                <w:sz w:val="24"/>
                <w:highlight w:val="none"/>
              </w:rPr>
              <w:t>。</w:t>
            </w:r>
          </w:p>
        </w:tc>
      </w:tr>
      <w:tr w14:paraId="3329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7191677">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16</w:t>
            </w:r>
          </w:p>
        </w:tc>
        <w:tc>
          <w:tcPr>
            <w:tcW w:w="2267" w:type="dxa"/>
            <w:tcBorders>
              <w:top w:val="single" w:color="auto" w:sz="4" w:space="0"/>
              <w:left w:val="single" w:color="auto" w:sz="4" w:space="0"/>
              <w:bottom w:val="single" w:color="auto" w:sz="4" w:space="0"/>
              <w:right w:val="single" w:color="auto" w:sz="4" w:space="0"/>
            </w:tcBorders>
            <w:vAlign w:val="center"/>
          </w:tcPr>
          <w:p w14:paraId="45685921">
            <w:pPr>
              <w:keepNext w:val="0"/>
              <w:keepLines w:val="0"/>
              <w:pageBreakBefore w:val="0"/>
              <w:widowControl w:val="0"/>
              <w:kinsoku/>
              <w:wordWrap/>
              <w:overflowPunct/>
              <w:topLinePunct w:val="0"/>
              <w:autoSpaceDE w:val="0"/>
              <w:autoSpaceDN w:val="0"/>
              <w:bidi w:val="0"/>
              <w:adjustRightInd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209" w:type="dxa"/>
            <w:tcBorders>
              <w:top w:val="single" w:color="auto" w:sz="4" w:space="0"/>
              <w:left w:val="single" w:color="auto" w:sz="4" w:space="0"/>
              <w:bottom w:val="single" w:color="auto" w:sz="4" w:space="0"/>
              <w:right w:val="single" w:color="auto" w:sz="4" w:space="0"/>
            </w:tcBorders>
            <w:vAlign w:val="center"/>
          </w:tcPr>
          <w:p w14:paraId="615BE821">
            <w:pPr>
              <w:keepNext w:val="0"/>
              <w:keepLines w:val="0"/>
              <w:pageBreakBefore w:val="0"/>
              <w:widowControl w:val="0"/>
              <w:kinsoku/>
              <w:wordWrap/>
              <w:overflowPunct/>
              <w:topLinePunct w:val="0"/>
              <w:autoSpaceDE w:val="0"/>
              <w:autoSpaceDN w:val="0"/>
              <w:bidi w:val="0"/>
              <w:adjustRightInd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p>
        </w:tc>
      </w:tr>
      <w:tr w14:paraId="4661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05EB360">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17</w:t>
            </w:r>
          </w:p>
        </w:tc>
        <w:tc>
          <w:tcPr>
            <w:tcW w:w="2267" w:type="dxa"/>
            <w:tcBorders>
              <w:top w:val="single" w:color="auto" w:sz="4" w:space="0"/>
              <w:left w:val="single" w:color="auto" w:sz="4" w:space="0"/>
              <w:bottom w:val="single" w:color="auto" w:sz="4" w:space="0"/>
              <w:right w:val="single" w:color="auto" w:sz="4" w:space="0"/>
            </w:tcBorders>
            <w:vAlign w:val="center"/>
          </w:tcPr>
          <w:p w14:paraId="56C4D739">
            <w:pPr>
              <w:keepNext w:val="0"/>
              <w:keepLines w:val="0"/>
              <w:pageBreakBefore w:val="0"/>
              <w:widowControl w:val="0"/>
              <w:kinsoku/>
              <w:wordWrap/>
              <w:overflowPunct/>
              <w:topLinePunct w:val="0"/>
              <w:autoSpaceDE w:val="0"/>
              <w:autoSpaceDN w:val="0"/>
              <w:bidi w:val="0"/>
              <w:adjustRightInd w:val="0"/>
              <w:snapToGrid/>
              <w:spacing w:line="30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招标代理费</w:t>
            </w:r>
          </w:p>
        </w:tc>
        <w:tc>
          <w:tcPr>
            <w:tcW w:w="6209" w:type="dxa"/>
            <w:tcBorders>
              <w:top w:val="single" w:color="auto" w:sz="4" w:space="0"/>
              <w:left w:val="single" w:color="auto" w:sz="4" w:space="0"/>
              <w:bottom w:val="single" w:color="auto" w:sz="4" w:space="0"/>
              <w:right w:val="single" w:color="auto" w:sz="4" w:space="0"/>
            </w:tcBorders>
            <w:vAlign w:val="center"/>
          </w:tcPr>
          <w:p w14:paraId="7BED3042">
            <w:pPr>
              <w:keepNext w:val="0"/>
              <w:keepLines w:val="0"/>
              <w:pageBreakBefore w:val="0"/>
              <w:widowControl w:val="0"/>
              <w:kinsoku/>
              <w:wordWrap/>
              <w:overflowPunct/>
              <w:topLinePunct w:val="0"/>
              <w:autoSpaceDE w:val="0"/>
              <w:autoSpaceDN w:val="0"/>
              <w:bidi w:val="0"/>
              <w:adjustRightInd w:val="0"/>
              <w:snapToGrid/>
              <w:spacing w:line="30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以中标价为基数，按计价格〔2002〕1980号文件、发改办价格〔2003〕857号、发改价格〔2011〕534号收费标准的70%计取，不足6000元的，按6000元计取。由中标人在领取中标通知书时一次性支付给招标代理机构。</w:t>
            </w:r>
          </w:p>
        </w:tc>
      </w:tr>
      <w:tr w14:paraId="4AC0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447A8CB">
            <w:pPr>
              <w:keepNext w:val="0"/>
              <w:keepLines w:val="0"/>
              <w:pageBreakBefore w:val="0"/>
              <w:widowControl w:val="0"/>
              <w:kinsoku/>
              <w:wordWrap/>
              <w:overflowPunct/>
              <w:topLinePunct w:val="0"/>
              <w:bidi w:val="0"/>
              <w:snapToGrid/>
              <w:spacing w:line="300" w:lineRule="auto"/>
              <w:jc w:val="center"/>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14:paraId="41D022E3">
            <w:pPr>
              <w:keepNext w:val="0"/>
              <w:keepLines w:val="0"/>
              <w:pageBreakBefore w:val="0"/>
              <w:widowControl w:val="0"/>
              <w:kinsoku/>
              <w:wordWrap/>
              <w:overflowPunct/>
              <w:topLinePunct w:val="0"/>
              <w:autoSpaceDE w:val="0"/>
              <w:autoSpaceDN w:val="0"/>
              <w:bidi w:val="0"/>
              <w:adjustRightInd w:val="0"/>
              <w:snapToGrid/>
              <w:spacing w:line="300" w:lineRule="auto"/>
              <w:jc w:val="center"/>
              <w:rPr>
                <w:rFonts w:ascii="宋体" w:hAnsi="宋体" w:cs="宋体"/>
                <w:color w:val="auto"/>
                <w:sz w:val="24"/>
                <w:highlight w:val="none"/>
              </w:rPr>
            </w:pPr>
            <w:r>
              <w:rPr>
                <w:rFonts w:hint="eastAsia" w:ascii="宋体" w:hAnsi="宋体" w:cs="宋体"/>
                <w:color w:val="auto"/>
                <w:sz w:val="24"/>
                <w:highlight w:val="none"/>
              </w:rPr>
              <w:t>其他</w:t>
            </w:r>
            <w:r>
              <w:rPr>
                <w:rFonts w:ascii="宋体" w:hAnsi="宋体" w:cs="宋体"/>
                <w:color w:val="auto"/>
                <w:sz w:val="24"/>
                <w:highlight w:val="none"/>
              </w:rPr>
              <w:t>事项</w:t>
            </w:r>
          </w:p>
        </w:tc>
        <w:tc>
          <w:tcPr>
            <w:tcW w:w="6209" w:type="dxa"/>
            <w:tcBorders>
              <w:top w:val="single" w:color="auto" w:sz="4" w:space="0"/>
              <w:left w:val="single" w:color="auto" w:sz="4" w:space="0"/>
              <w:bottom w:val="single" w:color="auto" w:sz="4" w:space="0"/>
              <w:right w:val="single" w:color="auto" w:sz="4" w:space="0"/>
            </w:tcBorders>
            <w:vAlign w:val="center"/>
          </w:tcPr>
          <w:p w14:paraId="1E8D031E">
            <w:pPr>
              <w:keepNext w:val="0"/>
              <w:keepLines w:val="0"/>
              <w:pageBreakBefore w:val="0"/>
              <w:widowControl w:val="0"/>
              <w:kinsoku/>
              <w:wordWrap/>
              <w:overflowPunct/>
              <w:topLinePunct w:val="0"/>
              <w:bidi w:val="0"/>
              <w:snapToGrid/>
              <w:spacing w:line="300" w:lineRule="auto"/>
              <w:rPr>
                <w:rFonts w:ascii="宋体" w:hAnsi="宋体" w:cs="宋体"/>
                <w:color w:val="auto"/>
                <w:sz w:val="24"/>
                <w:highlight w:val="none"/>
              </w:rPr>
            </w:pPr>
            <w:r>
              <w:rPr>
                <w:rFonts w:hint="eastAsia" w:ascii="宋体" w:hAnsi="宋体" w:cs="宋体"/>
                <w:color w:val="auto"/>
                <w:sz w:val="24"/>
                <w:highlight w:val="none"/>
              </w:rPr>
              <w:t>中标供应商如有融资需求，可使用以下银行的政采贷服务。</w:t>
            </w:r>
          </w:p>
          <w:tbl>
            <w:tblPr>
              <w:tblStyle w:val="37"/>
              <w:tblW w:w="5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227"/>
              <w:gridCol w:w="1090"/>
              <w:gridCol w:w="1499"/>
            </w:tblGrid>
            <w:tr w14:paraId="365A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66096A56">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p>
              </w:tc>
              <w:tc>
                <w:tcPr>
                  <w:tcW w:w="1227" w:type="dxa"/>
                  <w:vAlign w:val="center"/>
                </w:tcPr>
                <w:p w14:paraId="75DB115D">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贷款年利率</w:t>
                  </w:r>
                </w:p>
              </w:tc>
              <w:tc>
                <w:tcPr>
                  <w:tcW w:w="1090" w:type="dxa"/>
                  <w:vAlign w:val="center"/>
                </w:tcPr>
                <w:p w14:paraId="235C8FEE">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联系人</w:t>
                  </w:r>
                </w:p>
              </w:tc>
              <w:tc>
                <w:tcPr>
                  <w:tcW w:w="1499" w:type="dxa"/>
                  <w:vAlign w:val="center"/>
                </w:tcPr>
                <w:p w14:paraId="35CC90CB">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联系电话</w:t>
                  </w:r>
                </w:p>
              </w:tc>
            </w:tr>
            <w:tr w14:paraId="34EE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82" w:type="dxa"/>
                  <w:vAlign w:val="center"/>
                </w:tcPr>
                <w:p w14:paraId="6D4D393E">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中国工商银行</w:t>
                  </w:r>
                </w:p>
              </w:tc>
              <w:tc>
                <w:tcPr>
                  <w:tcW w:w="1227" w:type="dxa"/>
                  <w:vAlign w:val="center"/>
                </w:tcPr>
                <w:p w14:paraId="22807167">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3.8%起</w:t>
                  </w:r>
                </w:p>
              </w:tc>
              <w:tc>
                <w:tcPr>
                  <w:tcW w:w="1090" w:type="dxa"/>
                  <w:vAlign w:val="center"/>
                </w:tcPr>
                <w:p w14:paraId="341BBFE1">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卢嘉诚</w:t>
                  </w:r>
                </w:p>
              </w:tc>
              <w:tc>
                <w:tcPr>
                  <w:tcW w:w="1499" w:type="dxa"/>
                  <w:vAlign w:val="center"/>
                </w:tcPr>
                <w:p w14:paraId="582509EC">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13867658508</w:t>
                  </w:r>
                </w:p>
              </w:tc>
            </w:tr>
            <w:tr w14:paraId="0D9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6596626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中国农业银行</w:t>
                  </w:r>
                </w:p>
              </w:tc>
              <w:tc>
                <w:tcPr>
                  <w:tcW w:w="1227" w:type="dxa"/>
                  <w:vAlign w:val="center"/>
                </w:tcPr>
                <w:p w14:paraId="44EFA8ED">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3.8%起</w:t>
                  </w:r>
                </w:p>
              </w:tc>
              <w:tc>
                <w:tcPr>
                  <w:tcW w:w="1090" w:type="dxa"/>
                  <w:vAlign w:val="center"/>
                </w:tcPr>
                <w:p w14:paraId="45D1EC8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龚盛</w:t>
                  </w:r>
                </w:p>
              </w:tc>
              <w:tc>
                <w:tcPr>
                  <w:tcW w:w="1499" w:type="dxa"/>
                  <w:vAlign w:val="center"/>
                </w:tcPr>
                <w:p w14:paraId="4597DA1D">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15858682216</w:t>
                  </w:r>
                </w:p>
              </w:tc>
            </w:tr>
            <w:tr w14:paraId="6D22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020E4D6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中国建设银行</w:t>
                  </w:r>
                </w:p>
              </w:tc>
              <w:tc>
                <w:tcPr>
                  <w:tcW w:w="1227" w:type="dxa"/>
                  <w:vAlign w:val="center"/>
                </w:tcPr>
                <w:p w14:paraId="4537A543">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3.8%起</w:t>
                  </w:r>
                </w:p>
              </w:tc>
              <w:tc>
                <w:tcPr>
                  <w:tcW w:w="1090" w:type="dxa"/>
                  <w:vAlign w:val="center"/>
                </w:tcPr>
                <w:p w14:paraId="1351D789">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梅晶晶</w:t>
                  </w:r>
                </w:p>
              </w:tc>
              <w:tc>
                <w:tcPr>
                  <w:tcW w:w="1499" w:type="dxa"/>
                  <w:vAlign w:val="center"/>
                </w:tcPr>
                <w:p w14:paraId="730D8800">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88525339</w:t>
                  </w:r>
                </w:p>
                <w:p w14:paraId="22D200A0">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13736585303</w:t>
                  </w:r>
                </w:p>
              </w:tc>
            </w:tr>
            <w:tr w14:paraId="18D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40A71E0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中国银行</w:t>
                  </w:r>
                </w:p>
              </w:tc>
              <w:tc>
                <w:tcPr>
                  <w:tcW w:w="1227" w:type="dxa"/>
                  <w:vAlign w:val="center"/>
                </w:tcPr>
                <w:p w14:paraId="602DD4E2">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3.75%起</w:t>
                  </w:r>
                </w:p>
              </w:tc>
              <w:tc>
                <w:tcPr>
                  <w:tcW w:w="1090" w:type="dxa"/>
                  <w:vAlign w:val="center"/>
                </w:tcPr>
                <w:p w14:paraId="1C435DA8">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王海</w:t>
                  </w:r>
                </w:p>
              </w:tc>
              <w:tc>
                <w:tcPr>
                  <w:tcW w:w="1499" w:type="dxa"/>
                  <w:vAlign w:val="center"/>
                </w:tcPr>
                <w:p w14:paraId="682D7506">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13857677798</w:t>
                  </w:r>
                </w:p>
              </w:tc>
            </w:tr>
            <w:tr w14:paraId="1E8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535A9ED3">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浦发银行台州分行</w:t>
                  </w:r>
                </w:p>
              </w:tc>
              <w:tc>
                <w:tcPr>
                  <w:tcW w:w="1227" w:type="dxa"/>
                  <w:vAlign w:val="center"/>
                </w:tcPr>
                <w:p w14:paraId="288CFB1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4.05%起</w:t>
                  </w:r>
                </w:p>
              </w:tc>
              <w:tc>
                <w:tcPr>
                  <w:tcW w:w="1090" w:type="dxa"/>
                  <w:vAlign w:val="center"/>
                </w:tcPr>
                <w:p w14:paraId="75C7912D">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王渊</w:t>
                  </w:r>
                </w:p>
              </w:tc>
              <w:tc>
                <w:tcPr>
                  <w:tcW w:w="1499" w:type="dxa"/>
                  <w:vAlign w:val="center"/>
                </w:tcPr>
                <w:p w14:paraId="25D2A880">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13616676319</w:t>
                  </w:r>
                </w:p>
              </w:tc>
            </w:tr>
            <w:tr w14:paraId="4AF2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213A21FE">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浦发银行椒江分行</w:t>
                  </w:r>
                </w:p>
              </w:tc>
              <w:tc>
                <w:tcPr>
                  <w:tcW w:w="1227" w:type="dxa"/>
                  <w:vAlign w:val="center"/>
                </w:tcPr>
                <w:p w14:paraId="5F7506F4">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4.05%起</w:t>
                  </w:r>
                </w:p>
              </w:tc>
              <w:tc>
                <w:tcPr>
                  <w:tcW w:w="1090" w:type="dxa"/>
                  <w:vAlign w:val="center"/>
                </w:tcPr>
                <w:p w14:paraId="13C37320">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孙瑞华</w:t>
                  </w:r>
                </w:p>
              </w:tc>
              <w:tc>
                <w:tcPr>
                  <w:tcW w:w="1499" w:type="dxa"/>
                  <w:vAlign w:val="center"/>
                </w:tcPr>
                <w:p w14:paraId="67EA2BA9">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13857688081</w:t>
                  </w:r>
                </w:p>
              </w:tc>
            </w:tr>
            <w:tr w14:paraId="0AC6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D04B051">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交通银行台州分行</w:t>
                  </w:r>
                </w:p>
              </w:tc>
              <w:tc>
                <w:tcPr>
                  <w:tcW w:w="1227" w:type="dxa"/>
                  <w:vAlign w:val="center"/>
                </w:tcPr>
                <w:p w14:paraId="7122C4E4">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3.75%起</w:t>
                  </w:r>
                </w:p>
              </w:tc>
              <w:tc>
                <w:tcPr>
                  <w:tcW w:w="1090" w:type="dxa"/>
                  <w:vAlign w:val="center"/>
                </w:tcPr>
                <w:p w14:paraId="3301989E">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周翔宇</w:t>
                  </w:r>
                </w:p>
              </w:tc>
              <w:tc>
                <w:tcPr>
                  <w:tcW w:w="1499" w:type="dxa"/>
                  <w:vAlign w:val="center"/>
                </w:tcPr>
                <w:p w14:paraId="710EE974">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13867697018</w:t>
                  </w:r>
                </w:p>
              </w:tc>
            </w:tr>
            <w:tr w14:paraId="019F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182" w:type="dxa"/>
                  <w:vAlign w:val="center"/>
                </w:tcPr>
                <w:p w14:paraId="65417CFB">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招商银行台州分行</w:t>
                  </w:r>
                </w:p>
              </w:tc>
              <w:tc>
                <w:tcPr>
                  <w:tcW w:w="1227" w:type="dxa"/>
                  <w:vAlign w:val="center"/>
                </w:tcPr>
                <w:p w14:paraId="480C3955">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4.32%起</w:t>
                  </w:r>
                </w:p>
              </w:tc>
              <w:tc>
                <w:tcPr>
                  <w:tcW w:w="1090" w:type="dxa"/>
                  <w:vAlign w:val="center"/>
                </w:tcPr>
                <w:p w14:paraId="6C7222C1">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王海玲</w:t>
                  </w:r>
                </w:p>
              </w:tc>
              <w:tc>
                <w:tcPr>
                  <w:tcW w:w="1499" w:type="dxa"/>
                  <w:vAlign w:val="center"/>
                </w:tcPr>
                <w:p w14:paraId="3CB2ACAE">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13566413827</w:t>
                  </w:r>
                </w:p>
              </w:tc>
            </w:tr>
            <w:tr w14:paraId="0606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168B18C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浙商银行台州分行</w:t>
                  </w:r>
                </w:p>
              </w:tc>
              <w:tc>
                <w:tcPr>
                  <w:tcW w:w="1227" w:type="dxa"/>
                  <w:vAlign w:val="center"/>
                </w:tcPr>
                <w:p w14:paraId="7BAD4AE2">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5.01%起</w:t>
                  </w:r>
                </w:p>
              </w:tc>
              <w:tc>
                <w:tcPr>
                  <w:tcW w:w="1090" w:type="dxa"/>
                  <w:vAlign w:val="center"/>
                </w:tcPr>
                <w:p w14:paraId="75DDCFF8">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章涉漪</w:t>
                  </w:r>
                </w:p>
              </w:tc>
              <w:tc>
                <w:tcPr>
                  <w:tcW w:w="1499" w:type="dxa"/>
                  <w:vAlign w:val="center"/>
                </w:tcPr>
                <w:p w14:paraId="4F1D3038">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81880185</w:t>
                  </w:r>
                </w:p>
                <w:p w14:paraId="4E52C13F">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13606681262</w:t>
                  </w:r>
                </w:p>
              </w:tc>
            </w:tr>
            <w:tr w14:paraId="3E80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4EE92211">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中信银行台州分行</w:t>
                  </w:r>
                </w:p>
              </w:tc>
              <w:tc>
                <w:tcPr>
                  <w:tcW w:w="1227" w:type="dxa"/>
                  <w:vAlign w:val="center"/>
                </w:tcPr>
                <w:p w14:paraId="151D5AD4">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4.15%起</w:t>
                  </w:r>
                </w:p>
              </w:tc>
              <w:tc>
                <w:tcPr>
                  <w:tcW w:w="1090" w:type="dxa"/>
                  <w:vAlign w:val="center"/>
                </w:tcPr>
                <w:p w14:paraId="194A9628">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陈金园</w:t>
                  </w:r>
                </w:p>
              </w:tc>
              <w:tc>
                <w:tcPr>
                  <w:tcW w:w="1499" w:type="dxa"/>
                  <w:vAlign w:val="center"/>
                </w:tcPr>
                <w:p w14:paraId="6748D414">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13586052161</w:t>
                  </w:r>
                </w:p>
              </w:tc>
            </w:tr>
            <w:tr w14:paraId="59AE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157E3F20">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华夏银行台州分行</w:t>
                  </w:r>
                </w:p>
              </w:tc>
              <w:tc>
                <w:tcPr>
                  <w:tcW w:w="1227" w:type="dxa"/>
                  <w:vAlign w:val="center"/>
                </w:tcPr>
                <w:p w14:paraId="23CD79AC">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4.5%起</w:t>
                  </w:r>
                </w:p>
              </w:tc>
              <w:tc>
                <w:tcPr>
                  <w:tcW w:w="1090" w:type="dxa"/>
                  <w:vAlign w:val="center"/>
                </w:tcPr>
                <w:p w14:paraId="23B6D0D6">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邱明达</w:t>
                  </w:r>
                </w:p>
              </w:tc>
              <w:tc>
                <w:tcPr>
                  <w:tcW w:w="1499" w:type="dxa"/>
                  <w:vAlign w:val="center"/>
                </w:tcPr>
                <w:p w14:paraId="6AA929A3">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81871518</w:t>
                  </w:r>
                </w:p>
                <w:p w14:paraId="0546008B">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13736252233</w:t>
                  </w:r>
                </w:p>
              </w:tc>
            </w:tr>
            <w:tr w14:paraId="22D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CEC0AFF">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泰隆银行开发区支行</w:t>
                  </w:r>
                </w:p>
              </w:tc>
              <w:tc>
                <w:tcPr>
                  <w:tcW w:w="1227" w:type="dxa"/>
                  <w:vAlign w:val="center"/>
                </w:tcPr>
                <w:p w14:paraId="708F67A4">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5.6%起</w:t>
                  </w:r>
                </w:p>
              </w:tc>
              <w:tc>
                <w:tcPr>
                  <w:tcW w:w="1090" w:type="dxa"/>
                  <w:vAlign w:val="center"/>
                </w:tcPr>
                <w:p w14:paraId="5BB8B3CB">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梁宛莉</w:t>
                  </w:r>
                </w:p>
              </w:tc>
              <w:tc>
                <w:tcPr>
                  <w:tcW w:w="1499" w:type="dxa"/>
                  <w:vAlign w:val="center"/>
                </w:tcPr>
                <w:p w14:paraId="44EB89AB">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13306869100</w:t>
                  </w:r>
                </w:p>
              </w:tc>
            </w:tr>
            <w:tr w14:paraId="3DDE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56E5CF35">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民泰银行椒江支行</w:t>
                  </w:r>
                </w:p>
              </w:tc>
              <w:tc>
                <w:tcPr>
                  <w:tcW w:w="1227" w:type="dxa"/>
                  <w:vAlign w:val="center"/>
                </w:tcPr>
                <w:p w14:paraId="0DBB1155">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5.8%起</w:t>
                  </w:r>
                </w:p>
              </w:tc>
              <w:tc>
                <w:tcPr>
                  <w:tcW w:w="1090" w:type="dxa"/>
                  <w:vAlign w:val="center"/>
                </w:tcPr>
                <w:p w14:paraId="71D2395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陈慧珠</w:t>
                  </w:r>
                </w:p>
              </w:tc>
              <w:tc>
                <w:tcPr>
                  <w:tcW w:w="1499" w:type="dxa"/>
                  <w:vAlign w:val="center"/>
                </w:tcPr>
                <w:p w14:paraId="2E6409D7">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13857699669</w:t>
                  </w:r>
                </w:p>
              </w:tc>
            </w:tr>
            <w:tr w14:paraId="5704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13006795">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绍兴银行台州分行</w:t>
                  </w:r>
                </w:p>
              </w:tc>
              <w:tc>
                <w:tcPr>
                  <w:tcW w:w="1227" w:type="dxa"/>
                  <w:vAlign w:val="center"/>
                </w:tcPr>
                <w:p w14:paraId="19735AD3">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5.1%起</w:t>
                  </w:r>
                </w:p>
              </w:tc>
              <w:tc>
                <w:tcPr>
                  <w:tcW w:w="1090" w:type="dxa"/>
                  <w:vAlign w:val="center"/>
                </w:tcPr>
                <w:p w14:paraId="4BB05406">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郭庭斌</w:t>
                  </w:r>
                </w:p>
              </w:tc>
              <w:tc>
                <w:tcPr>
                  <w:tcW w:w="1499" w:type="dxa"/>
                  <w:vAlign w:val="center"/>
                </w:tcPr>
                <w:p w14:paraId="797327B9">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15958633119</w:t>
                  </w:r>
                </w:p>
              </w:tc>
            </w:tr>
            <w:tr w14:paraId="2598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24F56EB">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温州银行台州分行</w:t>
                  </w:r>
                </w:p>
              </w:tc>
              <w:tc>
                <w:tcPr>
                  <w:tcW w:w="1227" w:type="dxa"/>
                  <w:vAlign w:val="center"/>
                </w:tcPr>
                <w:p w14:paraId="27517D6F">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4.55%起</w:t>
                  </w:r>
                </w:p>
              </w:tc>
              <w:tc>
                <w:tcPr>
                  <w:tcW w:w="1090" w:type="dxa"/>
                  <w:vAlign w:val="center"/>
                </w:tcPr>
                <w:p w14:paraId="3BE71774">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王晓波</w:t>
                  </w:r>
                </w:p>
              </w:tc>
              <w:tc>
                <w:tcPr>
                  <w:tcW w:w="1499" w:type="dxa"/>
                  <w:vAlign w:val="center"/>
                </w:tcPr>
                <w:p w14:paraId="781F2BBC">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15824005475</w:t>
                  </w:r>
                </w:p>
              </w:tc>
            </w:tr>
            <w:tr w14:paraId="5098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2609E7F6">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平安银行台州分行</w:t>
                  </w:r>
                </w:p>
              </w:tc>
              <w:tc>
                <w:tcPr>
                  <w:tcW w:w="1227" w:type="dxa"/>
                  <w:vAlign w:val="center"/>
                </w:tcPr>
                <w:p w14:paraId="6375697C">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6.53%起</w:t>
                  </w:r>
                </w:p>
              </w:tc>
              <w:tc>
                <w:tcPr>
                  <w:tcW w:w="1090" w:type="dxa"/>
                  <w:vAlign w:val="center"/>
                </w:tcPr>
                <w:p w14:paraId="40651E0F">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李俊丽</w:t>
                  </w:r>
                </w:p>
              </w:tc>
              <w:tc>
                <w:tcPr>
                  <w:tcW w:w="1499" w:type="dxa"/>
                  <w:vAlign w:val="center"/>
                </w:tcPr>
                <w:p w14:paraId="299CC216">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15906861025</w:t>
                  </w:r>
                </w:p>
              </w:tc>
            </w:tr>
            <w:tr w14:paraId="0B89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1A3528A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宁波银行台州分行</w:t>
                  </w:r>
                </w:p>
              </w:tc>
              <w:tc>
                <w:tcPr>
                  <w:tcW w:w="1227" w:type="dxa"/>
                  <w:vAlign w:val="center"/>
                </w:tcPr>
                <w:p w14:paraId="0B55B573">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4.35%起</w:t>
                  </w:r>
                </w:p>
              </w:tc>
              <w:tc>
                <w:tcPr>
                  <w:tcW w:w="1090" w:type="dxa"/>
                  <w:vAlign w:val="center"/>
                </w:tcPr>
                <w:p w14:paraId="6BC529D7">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戴莉丽</w:t>
                  </w:r>
                </w:p>
              </w:tc>
              <w:tc>
                <w:tcPr>
                  <w:tcW w:w="1499" w:type="dxa"/>
                  <w:vAlign w:val="center"/>
                </w:tcPr>
                <w:p w14:paraId="2D1DEC8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13566627207</w:t>
                  </w:r>
                </w:p>
              </w:tc>
            </w:tr>
            <w:tr w14:paraId="3022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11D9E030">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金华银行台州分行</w:t>
                  </w:r>
                </w:p>
              </w:tc>
              <w:tc>
                <w:tcPr>
                  <w:tcW w:w="1227" w:type="dxa"/>
                  <w:vAlign w:val="center"/>
                </w:tcPr>
                <w:p w14:paraId="4B81FD22">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4.05%起</w:t>
                  </w:r>
                </w:p>
              </w:tc>
              <w:tc>
                <w:tcPr>
                  <w:tcW w:w="1090" w:type="dxa"/>
                  <w:vAlign w:val="center"/>
                </w:tcPr>
                <w:p w14:paraId="202577B5">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金雪婷</w:t>
                  </w:r>
                </w:p>
              </w:tc>
              <w:tc>
                <w:tcPr>
                  <w:tcW w:w="1499" w:type="dxa"/>
                  <w:vAlign w:val="center"/>
                </w:tcPr>
                <w:p w14:paraId="327EC33F">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81886670</w:t>
                  </w:r>
                </w:p>
                <w:p w14:paraId="63A6BAC3">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15968661569</w:t>
                  </w:r>
                </w:p>
              </w:tc>
            </w:tr>
            <w:tr w14:paraId="3800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FCB4A00">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台州银行</w:t>
                  </w:r>
                </w:p>
              </w:tc>
              <w:tc>
                <w:tcPr>
                  <w:tcW w:w="1227" w:type="dxa"/>
                  <w:vAlign w:val="center"/>
                </w:tcPr>
                <w:p w14:paraId="0670B774">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5.6%起</w:t>
                  </w:r>
                </w:p>
              </w:tc>
              <w:tc>
                <w:tcPr>
                  <w:tcW w:w="1090" w:type="dxa"/>
                  <w:vAlign w:val="center"/>
                </w:tcPr>
                <w:p w14:paraId="3BC6FF8F">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洪婷</w:t>
                  </w:r>
                </w:p>
              </w:tc>
              <w:tc>
                <w:tcPr>
                  <w:tcW w:w="1499" w:type="dxa"/>
                  <w:vAlign w:val="center"/>
                </w:tcPr>
                <w:p w14:paraId="17B0BD7B">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15858624999</w:t>
                  </w:r>
                </w:p>
              </w:tc>
            </w:tr>
            <w:tr w14:paraId="167F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45A42471">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邮储银行台州分行</w:t>
                  </w:r>
                </w:p>
              </w:tc>
              <w:tc>
                <w:tcPr>
                  <w:tcW w:w="1227" w:type="dxa"/>
                  <w:vAlign w:val="center"/>
                </w:tcPr>
                <w:p w14:paraId="610B5BB5">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3.85%起</w:t>
                  </w:r>
                </w:p>
              </w:tc>
              <w:tc>
                <w:tcPr>
                  <w:tcW w:w="1090" w:type="dxa"/>
                  <w:vAlign w:val="center"/>
                </w:tcPr>
                <w:p w14:paraId="2A29FE92">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董庆</w:t>
                  </w:r>
                </w:p>
              </w:tc>
              <w:tc>
                <w:tcPr>
                  <w:tcW w:w="1499" w:type="dxa"/>
                  <w:vAlign w:val="center"/>
                </w:tcPr>
                <w:p w14:paraId="1C7307FA">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81888982</w:t>
                  </w:r>
                </w:p>
                <w:p w14:paraId="1D24DB08">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18957683735</w:t>
                  </w:r>
                </w:p>
              </w:tc>
            </w:tr>
          </w:tbl>
          <w:p w14:paraId="22D132E8">
            <w:pPr>
              <w:keepNext w:val="0"/>
              <w:keepLines w:val="0"/>
              <w:pageBreakBefore w:val="0"/>
              <w:widowControl w:val="0"/>
              <w:kinsoku/>
              <w:wordWrap/>
              <w:overflowPunct/>
              <w:topLinePunct w:val="0"/>
              <w:bidi w:val="0"/>
              <w:snapToGrid/>
              <w:spacing w:line="300" w:lineRule="auto"/>
              <w:rPr>
                <w:color w:val="auto"/>
                <w:sz w:val="32"/>
                <w:szCs w:val="32"/>
                <w:highlight w:val="none"/>
              </w:rPr>
            </w:pPr>
            <w:r>
              <w:rPr>
                <w:rFonts w:hint="eastAsia" w:ascii="宋体" w:hAnsi="宋体" w:cs="宋体"/>
                <w:color w:val="auto"/>
                <w:sz w:val="24"/>
                <w:highlight w:val="none"/>
              </w:rPr>
              <w:t>中标供应商如有合同履约保函需求，可使用以下联系方式：</w:t>
            </w:r>
          </w:p>
          <w:tbl>
            <w:tblPr>
              <w:tblStyle w:val="3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5"/>
              <w:gridCol w:w="1500"/>
              <w:gridCol w:w="867"/>
              <w:gridCol w:w="1117"/>
            </w:tblGrid>
            <w:tr w14:paraId="124DE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2415" w:type="dxa"/>
                  <w:vAlign w:val="center"/>
                </w:tcPr>
                <w:p w14:paraId="5797485E">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保险公司名称</w:t>
                  </w:r>
                </w:p>
              </w:tc>
              <w:tc>
                <w:tcPr>
                  <w:tcW w:w="1500" w:type="dxa"/>
                  <w:vAlign w:val="center"/>
                </w:tcPr>
                <w:p w14:paraId="142CB04C">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保费率</w:t>
                  </w:r>
                </w:p>
              </w:tc>
              <w:tc>
                <w:tcPr>
                  <w:tcW w:w="867" w:type="dxa"/>
                  <w:vAlign w:val="center"/>
                </w:tcPr>
                <w:p w14:paraId="1878CF34">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联系人</w:t>
                  </w:r>
                </w:p>
              </w:tc>
              <w:tc>
                <w:tcPr>
                  <w:tcW w:w="1117" w:type="dxa"/>
                  <w:vAlign w:val="center"/>
                </w:tcPr>
                <w:p w14:paraId="308325C2">
                  <w:pPr>
                    <w:keepNext w:val="0"/>
                    <w:keepLines w:val="0"/>
                    <w:pageBreakBefore w:val="0"/>
                    <w:widowControl w:val="0"/>
                    <w:kinsoku/>
                    <w:wordWrap/>
                    <w:overflowPunct/>
                    <w:topLinePunct w:val="0"/>
                    <w:bidi w:val="0"/>
                    <w:snapToGrid/>
                    <w:spacing w:line="300" w:lineRule="auto"/>
                    <w:jc w:val="center"/>
                    <w:rPr>
                      <w:rFonts w:ascii="Calibri" w:hAnsi="Calibri"/>
                      <w:color w:val="auto"/>
                      <w:szCs w:val="21"/>
                      <w:highlight w:val="none"/>
                    </w:rPr>
                  </w:pPr>
                  <w:r>
                    <w:rPr>
                      <w:rFonts w:hint="eastAsia" w:ascii="Calibri" w:hAnsi="Calibri"/>
                      <w:color w:val="auto"/>
                      <w:szCs w:val="21"/>
                      <w:highlight w:val="none"/>
                    </w:rPr>
                    <w:t>联系电话</w:t>
                  </w:r>
                </w:p>
              </w:tc>
            </w:tr>
            <w:tr w14:paraId="131A60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076BC79C">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中国人寿财产保险股份有限公司台州中心支公司</w:t>
                  </w:r>
                </w:p>
              </w:tc>
              <w:tc>
                <w:tcPr>
                  <w:tcW w:w="1500" w:type="dxa"/>
                </w:tcPr>
                <w:p w14:paraId="046AC613">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年费率1%，最低保费500元</w:t>
                  </w:r>
                </w:p>
              </w:tc>
              <w:tc>
                <w:tcPr>
                  <w:tcW w:w="867" w:type="dxa"/>
                </w:tcPr>
                <w:p w14:paraId="39C1257E">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徐凌</w:t>
                  </w:r>
                </w:p>
              </w:tc>
              <w:tc>
                <w:tcPr>
                  <w:tcW w:w="1117" w:type="dxa"/>
                </w:tcPr>
                <w:p w14:paraId="7A59ACC0">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ascii="Calibri" w:hAnsi="Calibri"/>
                      <w:color w:val="auto"/>
                      <w:szCs w:val="21"/>
                      <w:highlight w:val="none"/>
                    </w:rPr>
                    <w:t>13905168070</w:t>
                  </w:r>
                </w:p>
              </w:tc>
            </w:tr>
            <w:tr w14:paraId="1932A6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75D1D1F4">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永诚财产保险股份有限公司台州分公司</w:t>
                  </w:r>
                </w:p>
              </w:tc>
              <w:tc>
                <w:tcPr>
                  <w:tcW w:w="1500" w:type="dxa"/>
                </w:tcPr>
                <w:p w14:paraId="31615F91">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年费率1%，最低保费1000元</w:t>
                  </w:r>
                </w:p>
              </w:tc>
              <w:tc>
                <w:tcPr>
                  <w:tcW w:w="867" w:type="dxa"/>
                </w:tcPr>
                <w:p w14:paraId="69CF6A34">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尹刚强</w:t>
                  </w:r>
                </w:p>
              </w:tc>
              <w:tc>
                <w:tcPr>
                  <w:tcW w:w="1117" w:type="dxa"/>
                </w:tcPr>
                <w:p w14:paraId="3044B899">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ascii="Calibri" w:hAnsi="Calibri"/>
                      <w:color w:val="auto"/>
                      <w:szCs w:val="21"/>
                      <w:highlight w:val="none"/>
                    </w:rPr>
                    <w:t>13750668184</w:t>
                  </w:r>
                </w:p>
              </w:tc>
            </w:tr>
            <w:tr w14:paraId="2AE288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3984F089">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华泰财产保险有限公司台州中心支公司</w:t>
                  </w:r>
                </w:p>
              </w:tc>
              <w:tc>
                <w:tcPr>
                  <w:tcW w:w="1500" w:type="dxa"/>
                </w:tcPr>
                <w:p w14:paraId="2F6C575C">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年费率0.5%，最低保费1000元</w:t>
                  </w:r>
                </w:p>
              </w:tc>
              <w:tc>
                <w:tcPr>
                  <w:tcW w:w="867" w:type="dxa"/>
                </w:tcPr>
                <w:p w14:paraId="47447791">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王灵芳</w:t>
                  </w:r>
                </w:p>
              </w:tc>
              <w:tc>
                <w:tcPr>
                  <w:tcW w:w="1117" w:type="dxa"/>
                </w:tcPr>
                <w:p w14:paraId="01D10CE2">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ascii="Calibri" w:hAnsi="Calibri"/>
                      <w:color w:val="auto"/>
                      <w:szCs w:val="21"/>
                      <w:highlight w:val="none"/>
                    </w:rPr>
                    <w:t>88869818 13586123199</w:t>
                  </w:r>
                </w:p>
              </w:tc>
            </w:tr>
            <w:tr w14:paraId="533014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0F9963D3">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中国大地财产保险股份有限公司台州中心支公司</w:t>
                  </w:r>
                </w:p>
              </w:tc>
              <w:tc>
                <w:tcPr>
                  <w:tcW w:w="1500" w:type="dxa"/>
                </w:tcPr>
                <w:p w14:paraId="3BF66394">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年费率1.5%，最低保费1000元</w:t>
                  </w:r>
                </w:p>
              </w:tc>
              <w:tc>
                <w:tcPr>
                  <w:tcW w:w="867" w:type="dxa"/>
                </w:tcPr>
                <w:p w14:paraId="0AC36BEE">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徐小明</w:t>
                  </w:r>
                </w:p>
              </w:tc>
              <w:tc>
                <w:tcPr>
                  <w:tcW w:w="1117" w:type="dxa"/>
                </w:tcPr>
                <w:p w14:paraId="4E76540E">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ascii="Calibri" w:hAnsi="Calibri"/>
                      <w:color w:val="auto"/>
                      <w:szCs w:val="21"/>
                      <w:highlight w:val="none"/>
                    </w:rPr>
                    <w:t>88552788      13968603112</w:t>
                  </w:r>
                </w:p>
              </w:tc>
            </w:tr>
            <w:tr w14:paraId="19817A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7EB6AB4E">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阳光保险台州中心支公司</w:t>
                  </w:r>
                </w:p>
              </w:tc>
              <w:tc>
                <w:tcPr>
                  <w:tcW w:w="1500" w:type="dxa"/>
                </w:tcPr>
                <w:p w14:paraId="334A93D3">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年费率1%，最低保费500元</w:t>
                  </w:r>
                </w:p>
              </w:tc>
              <w:tc>
                <w:tcPr>
                  <w:tcW w:w="867" w:type="dxa"/>
                </w:tcPr>
                <w:p w14:paraId="339048D4">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林高明</w:t>
                  </w:r>
                </w:p>
              </w:tc>
              <w:tc>
                <w:tcPr>
                  <w:tcW w:w="1117" w:type="dxa"/>
                </w:tcPr>
                <w:p w14:paraId="09094109">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ascii="Calibri" w:hAnsi="Calibri"/>
                      <w:color w:val="auto"/>
                      <w:szCs w:val="21"/>
                      <w:highlight w:val="none"/>
                    </w:rPr>
                    <w:t>15888682693</w:t>
                  </w:r>
                </w:p>
              </w:tc>
            </w:tr>
            <w:tr w14:paraId="7D0F1D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4C05A7B7">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中华联合财产保险股份有限公司台州中心支公司</w:t>
                  </w:r>
                </w:p>
              </w:tc>
              <w:tc>
                <w:tcPr>
                  <w:tcW w:w="1500" w:type="dxa"/>
                </w:tcPr>
                <w:p w14:paraId="741BF1E8">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年费率2%，最低保费500元</w:t>
                  </w:r>
                </w:p>
              </w:tc>
              <w:tc>
                <w:tcPr>
                  <w:tcW w:w="867" w:type="dxa"/>
                </w:tcPr>
                <w:p w14:paraId="6F9FF535">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王仙高</w:t>
                  </w:r>
                </w:p>
              </w:tc>
              <w:tc>
                <w:tcPr>
                  <w:tcW w:w="1117" w:type="dxa"/>
                </w:tcPr>
                <w:p w14:paraId="15657F76">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ascii="Calibri" w:hAnsi="Calibri"/>
                      <w:color w:val="auto"/>
                      <w:szCs w:val="21"/>
                      <w:highlight w:val="none"/>
                    </w:rPr>
                    <w:t>13858600221</w:t>
                  </w:r>
                </w:p>
              </w:tc>
            </w:tr>
            <w:tr w14:paraId="2CE0FF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1CBFA1E7">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中国人民财产保险股份有限公司台州中心支公司</w:t>
                  </w:r>
                </w:p>
              </w:tc>
              <w:tc>
                <w:tcPr>
                  <w:tcW w:w="1500" w:type="dxa"/>
                </w:tcPr>
                <w:p w14:paraId="3A500B58">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年费率0.3%，最低保费1000元</w:t>
                  </w:r>
                </w:p>
              </w:tc>
              <w:tc>
                <w:tcPr>
                  <w:tcW w:w="867" w:type="dxa"/>
                </w:tcPr>
                <w:p w14:paraId="1A9BA46B">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hint="eastAsia" w:ascii="Calibri" w:hAnsi="Calibri"/>
                      <w:color w:val="auto"/>
                      <w:szCs w:val="21"/>
                      <w:highlight w:val="none"/>
                    </w:rPr>
                    <w:t>王仙春</w:t>
                  </w:r>
                </w:p>
              </w:tc>
              <w:tc>
                <w:tcPr>
                  <w:tcW w:w="1117" w:type="dxa"/>
                </w:tcPr>
                <w:p w14:paraId="15FE280A">
                  <w:pPr>
                    <w:keepNext w:val="0"/>
                    <w:keepLines w:val="0"/>
                    <w:pageBreakBefore w:val="0"/>
                    <w:widowControl w:val="0"/>
                    <w:kinsoku/>
                    <w:wordWrap/>
                    <w:overflowPunct/>
                    <w:topLinePunct w:val="0"/>
                    <w:bidi w:val="0"/>
                    <w:snapToGrid/>
                    <w:spacing w:line="300" w:lineRule="auto"/>
                    <w:rPr>
                      <w:rFonts w:ascii="Calibri" w:hAnsi="Calibri"/>
                      <w:color w:val="auto"/>
                      <w:szCs w:val="21"/>
                      <w:highlight w:val="none"/>
                    </w:rPr>
                  </w:pPr>
                  <w:r>
                    <w:rPr>
                      <w:rFonts w:ascii="Calibri" w:hAnsi="Calibri"/>
                      <w:color w:val="auto"/>
                      <w:szCs w:val="21"/>
                      <w:highlight w:val="none"/>
                    </w:rPr>
                    <w:t>13515769179</w:t>
                  </w:r>
                </w:p>
              </w:tc>
            </w:tr>
            <w:tr w14:paraId="206C6E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415" w:type="dxa"/>
                </w:tcPr>
                <w:p w14:paraId="2B24F302">
                  <w:pPr>
                    <w:keepNext w:val="0"/>
                    <w:keepLines w:val="0"/>
                    <w:pageBreakBefore w:val="0"/>
                    <w:widowControl w:val="0"/>
                    <w:kinsoku/>
                    <w:wordWrap/>
                    <w:overflowPunct/>
                    <w:topLinePunct w:val="0"/>
                    <w:bidi w:val="0"/>
                    <w:snapToGrid/>
                    <w:spacing w:line="300" w:lineRule="auto"/>
                    <w:jc w:val="left"/>
                    <w:rPr>
                      <w:rFonts w:ascii="Calibri" w:hAnsi="Calibri"/>
                      <w:color w:val="auto"/>
                      <w:szCs w:val="21"/>
                      <w:highlight w:val="none"/>
                    </w:rPr>
                  </w:pPr>
                  <w:r>
                    <w:rPr>
                      <w:rFonts w:hint="eastAsia" w:ascii="Calibri" w:hAnsi="Calibri"/>
                      <w:color w:val="auto"/>
                      <w:szCs w:val="21"/>
                      <w:highlight w:val="none"/>
                    </w:rPr>
                    <w:t>永安财产保险股份有限公司台州中心支公司</w:t>
                  </w:r>
                </w:p>
              </w:tc>
              <w:tc>
                <w:tcPr>
                  <w:tcW w:w="1500" w:type="dxa"/>
                </w:tcPr>
                <w:p w14:paraId="7A02B38C">
                  <w:pPr>
                    <w:keepNext w:val="0"/>
                    <w:keepLines w:val="0"/>
                    <w:pageBreakBefore w:val="0"/>
                    <w:widowControl w:val="0"/>
                    <w:kinsoku/>
                    <w:wordWrap/>
                    <w:overflowPunct/>
                    <w:topLinePunct w:val="0"/>
                    <w:bidi w:val="0"/>
                    <w:snapToGrid/>
                    <w:spacing w:line="300" w:lineRule="auto"/>
                    <w:jc w:val="left"/>
                    <w:rPr>
                      <w:rFonts w:ascii="Calibri" w:hAnsi="Calibri"/>
                      <w:color w:val="auto"/>
                      <w:szCs w:val="21"/>
                      <w:highlight w:val="none"/>
                    </w:rPr>
                  </w:pPr>
                  <w:r>
                    <w:rPr>
                      <w:rFonts w:hint="eastAsia" w:ascii="Calibri" w:hAnsi="Calibri"/>
                      <w:color w:val="auto"/>
                      <w:szCs w:val="21"/>
                      <w:highlight w:val="none"/>
                    </w:rPr>
                    <w:t>年费率0.3%，最低保费1000</w:t>
                  </w:r>
                </w:p>
              </w:tc>
              <w:tc>
                <w:tcPr>
                  <w:tcW w:w="867" w:type="dxa"/>
                </w:tcPr>
                <w:p w14:paraId="592647DB">
                  <w:pPr>
                    <w:keepNext w:val="0"/>
                    <w:keepLines w:val="0"/>
                    <w:pageBreakBefore w:val="0"/>
                    <w:widowControl w:val="0"/>
                    <w:kinsoku/>
                    <w:wordWrap/>
                    <w:overflowPunct/>
                    <w:topLinePunct w:val="0"/>
                    <w:bidi w:val="0"/>
                    <w:snapToGrid/>
                    <w:spacing w:line="300" w:lineRule="auto"/>
                    <w:jc w:val="left"/>
                    <w:rPr>
                      <w:rFonts w:ascii="Calibri" w:hAnsi="Calibri"/>
                      <w:color w:val="auto"/>
                      <w:szCs w:val="21"/>
                      <w:highlight w:val="none"/>
                    </w:rPr>
                  </w:pPr>
                  <w:r>
                    <w:rPr>
                      <w:rFonts w:hint="eastAsia" w:ascii="Calibri" w:hAnsi="Calibri"/>
                      <w:color w:val="auto"/>
                      <w:szCs w:val="21"/>
                      <w:highlight w:val="none"/>
                    </w:rPr>
                    <w:t>王春宇</w:t>
                  </w:r>
                </w:p>
              </w:tc>
              <w:tc>
                <w:tcPr>
                  <w:tcW w:w="1117" w:type="dxa"/>
                </w:tcPr>
                <w:p w14:paraId="4A198105">
                  <w:pPr>
                    <w:keepNext w:val="0"/>
                    <w:keepLines w:val="0"/>
                    <w:pageBreakBefore w:val="0"/>
                    <w:widowControl w:val="0"/>
                    <w:kinsoku/>
                    <w:wordWrap/>
                    <w:overflowPunct/>
                    <w:topLinePunct w:val="0"/>
                    <w:bidi w:val="0"/>
                    <w:snapToGrid/>
                    <w:spacing w:line="300" w:lineRule="auto"/>
                    <w:jc w:val="left"/>
                    <w:rPr>
                      <w:rFonts w:ascii="Calibri" w:hAnsi="Calibri"/>
                      <w:color w:val="auto"/>
                      <w:szCs w:val="21"/>
                      <w:highlight w:val="none"/>
                    </w:rPr>
                  </w:pPr>
                  <w:r>
                    <w:rPr>
                      <w:rFonts w:ascii="Calibri" w:hAnsi="Calibri"/>
                      <w:color w:val="auto"/>
                      <w:szCs w:val="21"/>
                      <w:highlight w:val="none"/>
                    </w:rPr>
                    <w:t>13676675331</w:t>
                  </w:r>
                </w:p>
              </w:tc>
            </w:tr>
          </w:tbl>
          <w:p w14:paraId="7CA28AD9">
            <w:pPr>
              <w:keepNext w:val="0"/>
              <w:keepLines w:val="0"/>
              <w:pageBreakBefore w:val="0"/>
              <w:widowControl w:val="0"/>
              <w:kinsoku/>
              <w:wordWrap/>
              <w:overflowPunct/>
              <w:topLinePunct w:val="0"/>
              <w:bidi w:val="0"/>
              <w:snapToGrid/>
              <w:spacing w:line="300" w:lineRule="auto"/>
              <w:jc w:val="center"/>
              <w:rPr>
                <w:color w:val="auto"/>
                <w:sz w:val="32"/>
                <w:szCs w:val="32"/>
                <w:highlight w:val="none"/>
              </w:rPr>
            </w:pPr>
          </w:p>
          <w:p w14:paraId="28F89A43">
            <w:pPr>
              <w:keepNext w:val="0"/>
              <w:keepLines w:val="0"/>
              <w:pageBreakBefore w:val="0"/>
              <w:widowControl w:val="0"/>
              <w:kinsoku/>
              <w:wordWrap/>
              <w:overflowPunct/>
              <w:topLinePunct w:val="0"/>
              <w:bidi w:val="0"/>
              <w:snapToGrid/>
              <w:spacing w:line="300" w:lineRule="auto"/>
              <w:rPr>
                <w:color w:val="auto"/>
                <w:sz w:val="32"/>
                <w:szCs w:val="32"/>
                <w:highlight w:val="none"/>
              </w:rPr>
            </w:pPr>
            <w:r>
              <w:rPr>
                <w:rFonts w:hint="eastAsia" w:ascii="宋体" w:hAnsi="宋体" w:cs="宋体"/>
                <w:color w:val="auto"/>
                <w:sz w:val="24"/>
                <w:highlight w:val="none"/>
              </w:rPr>
              <w:t>中标供应商如有预付款保函需求，可使用以下联系方式：</w:t>
            </w:r>
          </w:p>
          <w:tbl>
            <w:tblPr>
              <w:tblStyle w:val="3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4"/>
              <w:gridCol w:w="1671"/>
              <w:gridCol w:w="856"/>
              <w:gridCol w:w="1026"/>
            </w:tblGrid>
            <w:tr w14:paraId="3C9321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2404" w:type="dxa"/>
                  <w:vAlign w:val="center"/>
                </w:tcPr>
                <w:p w14:paraId="5596D0B6">
                  <w:pPr>
                    <w:keepNext w:val="0"/>
                    <w:keepLines w:val="0"/>
                    <w:pageBreakBefore w:val="0"/>
                    <w:widowControl w:val="0"/>
                    <w:kinsoku/>
                    <w:wordWrap/>
                    <w:overflowPunct/>
                    <w:topLinePunct w:val="0"/>
                    <w:bidi w:val="0"/>
                    <w:snapToGrid/>
                    <w:spacing w:line="300" w:lineRule="auto"/>
                    <w:jc w:val="center"/>
                    <w:rPr>
                      <w:rFonts w:ascii="Calibri" w:hAnsi="Calibri"/>
                      <w:color w:val="auto"/>
                      <w:sz w:val="24"/>
                      <w:highlight w:val="none"/>
                    </w:rPr>
                  </w:pPr>
                  <w:r>
                    <w:rPr>
                      <w:rFonts w:hint="eastAsia" w:ascii="Calibri" w:hAnsi="Calibri"/>
                      <w:color w:val="auto"/>
                      <w:sz w:val="24"/>
                      <w:highlight w:val="none"/>
                    </w:rPr>
                    <w:t>保险公司名称</w:t>
                  </w:r>
                </w:p>
              </w:tc>
              <w:tc>
                <w:tcPr>
                  <w:tcW w:w="1671" w:type="dxa"/>
                  <w:vAlign w:val="center"/>
                </w:tcPr>
                <w:p w14:paraId="05425F1C">
                  <w:pPr>
                    <w:keepNext w:val="0"/>
                    <w:keepLines w:val="0"/>
                    <w:pageBreakBefore w:val="0"/>
                    <w:widowControl w:val="0"/>
                    <w:kinsoku/>
                    <w:wordWrap/>
                    <w:overflowPunct/>
                    <w:topLinePunct w:val="0"/>
                    <w:bidi w:val="0"/>
                    <w:snapToGrid/>
                    <w:spacing w:line="300" w:lineRule="auto"/>
                    <w:jc w:val="center"/>
                    <w:rPr>
                      <w:rFonts w:ascii="Calibri" w:hAnsi="Calibri"/>
                      <w:color w:val="auto"/>
                      <w:highlight w:val="none"/>
                    </w:rPr>
                  </w:pPr>
                  <w:r>
                    <w:rPr>
                      <w:rFonts w:hint="eastAsia" w:ascii="Calibri" w:hAnsi="Calibri"/>
                      <w:color w:val="auto"/>
                      <w:highlight w:val="none"/>
                    </w:rPr>
                    <w:t>保费率</w:t>
                  </w:r>
                </w:p>
              </w:tc>
              <w:tc>
                <w:tcPr>
                  <w:tcW w:w="856" w:type="dxa"/>
                  <w:vAlign w:val="center"/>
                </w:tcPr>
                <w:p w14:paraId="169B6D76">
                  <w:pPr>
                    <w:keepNext w:val="0"/>
                    <w:keepLines w:val="0"/>
                    <w:pageBreakBefore w:val="0"/>
                    <w:widowControl w:val="0"/>
                    <w:kinsoku/>
                    <w:wordWrap/>
                    <w:overflowPunct/>
                    <w:topLinePunct w:val="0"/>
                    <w:bidi w:val="0"/>
                    <w:snapToGrid/>
                    <w:spacing w:line="300" w:lineRule="auto"/>
                    <w:jc w:val="center"/>
                    <w:rPr>
                      <w:rFonts w:ascii="Calibri" w:hAnsi="Calibri"/>
                      <w:color w:val="auto"/>
                      <w:highlight w:val="none"/>
                    </w:rPr>
                  </w:pPr>
                  <w:r>
                    <w:rPr>
                      <w:rFonts w:hint="eastAsia" w:ascii="Calibri" w:hAnsi="Calibri"/>
                      <w:color w:val="auto"/>
                      <w:highlight w:val="none"/>
                    </w:rPr>
                    <w:t>联系人</w:t>
                  </w:r>
                </w:p>
              </w:tc>
              <w:tc>
                <w:tcPr>
                  <w:tcW w:w="1026" w:type="dxa"/>
                  <w:vAlign w:val="center"/>
                </w:tcPr>
                <w:p w14:paraId="40CB2F87">
                  <w:pPr>
                    <w:keepNext w:val="0"/>
                    <w:keepLines w:val="0"/>
                    <w:pageBreakBefore w:val="0"/>
                    <w:widowControl w:val="0"/>
                    <w:kinsoku/>
                    <w:wordWrap/>
                    <w:overflowPunct/>
                    <w:topLinePunct w:val="0"/>
                    <w:bidi w:val="0"/>
                    <w:snapToGrid/>
                    <w:spacing w:line="300" w:lineRule="auto"/>
                    <w:jc w:val="center"/>
                    <w:rPr>
                      <w:rFonts w:ascii="Calibri" w:hAnsi="Calibri"/>
                      <w:color w:val="auto"/>
                      <w:highlight w:val="none"/>
                    </w:rPr>
                  </w:pPr>
                  <w:r>
                    <w:rPr>
                      <w:rFonts w:hint="eastAsia" w:ascii="Calibri" w:hAnsi="Calibri"/>
                      <w:color w:val="auto"/>
                      <w:highlight w:val="none"/>
                    </w:rPr>
                    <w:t>联系电话</w:t>
                  </w:r>
                </w:p>
              </w:tc>
            </w:tr>
            <w:tr w14:paraId="09AB9B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1F98F708">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中国人寿财产保险股份有限公司台州中心支公司</w:t>
                  </w:r>
                </w:p>
              </w:tc>
              <w:tc>
                <w:tcPr>
                  <w:tcW w:w="1671" w:type="dxa"/>
                </w:tcPr>
                <w:p w14:paraId="0CBB8761">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年费率3%，最低保费500元</w:t>
                  </w:r>
                </w:p>
              </w:tc>
              <w:tc>
                <w:tcPr>
                  <w:tcW w:w="856" w:type="dxa"/>
                </w:tcPr>
                <w:p w14:paraId="657F5299">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徐凌</w:t>
                  </w:r>
                </w:p>
              </w:tc>
              <w:tc>
                <w:tcPr>
                  <w:tcW w:w="1026" w:type="dxa"/>
                </w:tcPr>
                <w:p w14:paraId="3323B92E">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ascii="Calibri" w:hAnsi="Calibri"/>
                      <w:color w:val="auto"/>
                      <w:highlight w:val="none"/>
                    </w:rPr>
                    <w:t>13905168070</w:t>
                  </w:r>
                </w:p>
              </w:tc>
            </w:tr>
            <w:tr w14:paraId="28EDC0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0ED8DEF0">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阳光保险台州中心支公司</w:t>
                  </w:r>
                </w:p>
              </w:tc>
              <w:tc>
                <w:tcPr>
                  <w:tcW w:w="1671" w:type="dxa"/>
                </w:tcPr>
                <w:p w14:paraId="0D4D5862">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年费率1%，最低保费500元</w:t>
                  </w:r>
                </w:p>
              </w:tc>
              <w:tc>
                <w:tcPr>
                  <w:tcW w:w="856" w:type="dxa"/>
                </w:tcPr>
                <w:p w14:paraId="4D67832B">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林高明</w:t>
                  </w:r>
                </w:p>
              </w:tc>
              <w:tc>
                <w:tcPr>
                  <w:tcW w:w="1026" w:type="dxa"/>
                </w:tcPr>
                <w:p w14:paraId="61200C31">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ascii="Calibri" w:hAnsi="Calibri"/>
                      <w:color w:val="auto"/>
                      <w:highlight w:val="none"/>
                    </w:rPr>
                    <w:t>15888682693</w:t>
                  </w:r>
                </w:p>
              </w:tc>
            </w:tr>
            <w:tr w14:paraId="709EA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2404" w:type="dxa"/>
                </w:tcPr>
                <w:p w14:paraId="566B2B8F">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天安财产保险股份有限公司台州中心支公司</w:t>
                  </w:r>
                </w:p>
              </w:tc>
              <w:tc>
                <w:tcPr>
                  <w:tcW w:w="1671" w:type="dxa"/>
                </w:tcPr>
                <w:p w14:paraId="1CD94E31">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年费率1%-2%，最低保费500元</w:t>
                  </w:r>
                </w:p>
              </w:tc>
              <w:tc>
                <w:tcPr>
                  <w:tcW w:w="856" w:type="dxa"/>
                </w:tcPr>
                <w:p w14:paraId="30DC2558">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罗赛</w:t>
                  </w:r>
                </w:p>
              </w:tc>
              <w:tc>
                <w:tcPr>
                  <w:tcW w:w="1026" w:type="dxa"/>
                </w:tcPr>
                <w:p w14:paraId="68B7E989">
                  <w:pPr>
                    <w:keepNext w:val="0"/>
                    <w:keepLines w:val="0"/>
                    <w:pageBreakBefore w:val="0"/>
                    <w:widowControl w:val="0"/>
                    <w:kinsoku/>
                    <w:wordWrap/>
                    <w:overflowPunct/>
                    <w:topLinePunct w:val="0"/>
                    <w:bidi w:val="0"/>
                    <w:snapToGrid/>
                    <w:spacing w:line="300" w:lineRule="auto"/>
                    <w:rPr>
                      <w:rFonts w:ascii="Calibri" w:hAnsi="Calibri"/>
                      <w:color w:val="auto"/>
                      <w:highlight w:val="none"/>
                    </w:rPr>
                  </w:pPr>
                  <w:r>
                    <w:rPr>
                      <w:rFonts w:hint="eastAsia" w:ascii="Calibri" w:hAnsi="Calibri"/>
                      <w:color w:val="auto"/>
                      <w:highlight w:val="none"/>
                    </w:rPr>
                    <w:t>13736605643</w:t>
                  </w:r>
                </w:p>
              </w:tc>
            </w:tr>
          </w:tbl>
          <w:p w14:paraId="02B98C34">
            <w:pPr>
              <w:keepNext w:val="0"/>
              <w:keepLines w:val="0"/>
              <w:pageBreakBefore w:val="0"/>
              <w:widowControl w:val="0"/>
              <w:kinsoku/>
              <w:wordWrap/>
              <w:overflowPunct/>
              <w:topLinePunct w:val="0"/>
              <w:bidi w:val="0"/>
              <w:snapToGrid/>
              <w:spacing w:line="300" w:lineRule="auto"/>
              <w:rPr>
                <w:color w:val="auto"/>
                <w:highlight w:val="none"/>
              </w:rPr>
            </w:pPr>
          </w:p>
          <w:p w14:paraId="0501B06F">
            <w:pPr>
              <w:keepNext w:val="0"/>
              <w:keepLines w:val="0"/>
              <w:pageBreakBefore w:val="0"/>
              <w:widowControl w:val="0"/>
              <w:kinsoku/>
              <w:wordWrap/>
              <w:overflowPunct/>
              <w:topLinePunct w:val="0"/>
              <w:autoSpaceDE w:val="0"/>
              <w:autoSpaceDN w:val="0"/>
              <w:bidi w:val="0"/>
              <w:adjustRightInd w:val="0"/>
              <w:snapToGrid/>
              <w:spacing w:line="300" w:lineRule="auto"/>
              <w:rPr>
                <w:rFonts w:ascii="宋体" w:hAnsi="宋体" w:cs="宋体"/>
                <w:color w:val="auto"/>
                <w:sz w:val="24"/>
                <w:highlight w:val="none"/>
              </w:rPr>
            </w:pPr>
          </w:p>
        </w:tc>
      </w:tr>
    </w:tbl>
    <w:p w14:paraId="4186866B">
      <w:pPr>
        <w:pStyle w:val="23"/>
        <w:snapToGrid w:val="0"/>
        <w:spacing w:before="120" w:after="120"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14:paraId="60DF8744">
      <w:pPr>
        <w:snapToGrid w:val="0"/>
        <w:spacing w:line="360" w:lineRule="auto"/>
        <w:ind w:firstLine="482" w:firstLineChars="200"/>
        <w:jc w:val="left"/>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14:paraId="7A553815">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32556B8D">
      <w:pPr>
        <w:snapToGrid w:val="0"/>
        <w:spacing w:before="156" w:beforeLines="50" w:line="360" w:lineRule="auto"/>
        <w:ind w:firstLine="482" w:firstLineChars="200"/>
        <w:jc w:val="left"/>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14:paraId="120BC5AF">
      <w:pPr>
        <w:pStyle w:val="5"/>
        <w:keepNext w:val="0"/>
        <w:keepLines w:val="0"/>
        <w:tabs>
          <w:tab w:val="left" w:pos="0"/>
          <w:tab w:val="left" w:pos="851"/>
        </w:tabs>
        <w:autoSpaceDE w:val="0"/>
        <w:autoSpaceDN w:val="0"/>
        <w:adjustRightInd w:val="0"/>
        <w:snapToGrid w:val="0"/>
        <w:spacing w:before="0" w:after="0" w:line="360" w:lineRule="auto"/>
        <w:ind w:firstLine="480" w:firstLineChars="200"/>
        <w:jc w:val="left"/>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14:paraId="68AB8CA9">
      <w:pPr>
        <w:snapToGri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14:paraId="1840112E">
      <w:pPr>
        <w:snapToGrid w:val="0"/>
        <w:spacing w:line="360" w:lineRule="auto"/>
        <w:ind w:left="424" w:leftChars="202"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/投标供应商：是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14:paraId="6CDFC6C2">
      <w:pPr>
        <w:snapToGrid w:val="0"/>
        <w:spacing w:line="360" w:lineRule="auto"/>
        <w:ind w:left="424" w:leftChars="202"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14:paraId="5FD8F164">
      <w:pPr>
        <w:snapToGrid w:val="0"/>
        <w:spacing w:line="360" w:lineRule="auto"/>
        <w:ind w:firstLine="480" w:firstLineChars="200"/>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14:paraId="20B17F58">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14:paraId="546F09AA">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14:paraId="42D2AF86">
      <w:pPr>
        <w:snapToGrid w:val="0"/>
        <w:spacing w:before="156" w:beforeLines="50" w:line="360" w:lineRule="auto"/>
        <w:ind w:firstLine="482" w:firstLineChars="200"/>
        <w:jc w:val="left"/>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14:paraId="27A48FAF">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14:paraId="6F28E48B">
      <w:pPr>
        <w:pStyle w:val="23"/>
        <w:snapToGrid w:val="0"/>
        <w:spacing w:line="360" w:lineRule="auto"/>
        <w:ind w:left="2" w:leftChars="1" w:firstLine="482" w:firstLineChars="200"/>
        <w:rPr>
          <w:rFonts w:hint="eastAsia" w:hAnsi="宋体"/>
          <w:b/>
          <w:color w:val="auto"/>
          <w:sz w:val="24"/>
          <w:highlight w:val="none"/>
        </w:rPr>
      </w:pPr>
      <w:r>
        <w:rPr>
          <w:rFonts w:hint="eastAsia" w:hAnsi="宋体"/>
          <w:b/>
          <w:color w:val="auto"/>
          <w:sz w:val="24"/>
          <w:highlight w:val="none"/>
        </w:rPr>
        <w:t>（四）特别说明</w:t>
      </w:r>
    </w:p>
    <w:p w14:paraId="0ED49CA3">
      <w:pPr>
        <w:pStyle w:val="23"/>
        <w:snapToGrid w:val="0"/>
        <w:spacing w:line="360" w:lineRule="auto"/>
        <w:ind w:left="2" w:leftChars="1"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14:paraId="0D89E1AD">
      <w:pPr>
        <w:spacing w:line="360" w:lineRule="auto"/>
        <w:ind w:firstLine="480" w:firstLineChars="20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14:paraId="7DA34FC2">
      <w:pPr>
        <w:pStyle w:val="53"/>
        <w:snapToGrid w:val="0"/>
        <w:spacing w:line="360" w:lineRule="auto"/>
        <w:ind w:firstLine="480" w:firstLineChars="200"/>
        <w:rPr>
          <w:rFonts w:hint="eastAsia"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14:paraId="7D37C23B">
      <w:pPr>
        <w:pStyle w:val="5"/>
        <w:keepNext w:val="0"/>
        <w:keepLines w:val="0"/>
        <w:tabs>
          <w:tab w:val="left" w:pos="851"/>
        </w:tabs>
        <w:autoSpaceDE w:val="0"/>
        <w:autoSpaceDN w:val="0"/>
        <w:adjustRightInd w:val="0"/>
        <w:snapToGrid w:val="0"/>
        <w:spacing w:before="0" w:after="0" w:line="360" w:lineRule="auto"/>
        <w:ind w:firstLine="480" w:firstLineChars="200"/>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F233BE8">
      <w:pPr>
        <w:pStyle w:val="5"/>
        <w:keepNext w:val="0"/>
        <w:keepLines w:val="0"/>
        <w:tabs>
          <w:tab w:val="left" w:pos="851"/>
        </w:tabs>
        <w:autoSpaceDE w:val="0"/>
        <w:autoSpaceDN w:val="0"/>
        <w:adjustRightInd w:val="0"/>
        <w:snapToGrid w:val="0"/>
        <w:spacing w:before="0" w:after="0" w:line="360" w:lineRule="auto"/>
        <w:ind w:firstLine="480" w:firstLineChars="200"/>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14:paraId="65BE1177">
      <w:pPr>
        <w:pStyle w:val="5"/>
        <w:keepNext w:val="0"/>
        <w:keepLines w:val="0"/>
        <w:tabs>
          <w:tab w:val="left" w:pos="851"/>
        </w:tabs>
        <w:autoSpaceDE w:val="0"/>
        <w:autoSpaceDN w:val="0"/>
        <w:adjustRightInd w:val="0"/>
        <w:snapToGrid w:val="0"/>
        <w:spacing w:before="0" w:after="0" w:line="360" w:lineRule="auto"/>
        <w:ind w:firstLine="480" w:firstLineChars="200"/>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14:paraId="47B0E86F">
      <w:pPr>
        <w:pStyle w:val="5"/>
        <w:keepNext w:val="0"/>
        <w:keepLines w:val="0"/>
        <w:tabs>
          <w:tab w:val="left" w:pos="851"/>
        </w:tabs>
        <w:autoSpaceDE w:val="0"/>
        <w:autoSpaceDN w:val="0"/>
        <w:adjustRightInd w:val="0"/>
        <w:snapToGrid w:val="0"/>
        <w:spacing w:before="0" w:after="0" w:line="360" w:lineRule="auto"/>
        <w:ind w:firstLine="480" w:firstLineChars="200"/>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14:paraId="68D1BADF">
      <w:pPr>
        <w:pStyle w:val="5"/>
        <w:keepNext w:val="0"/>
        <w:keepLines w:val="0"/>
        <w:tabs>
          <w:tab w:val="left" w:pos="851"/>
        </w:tabs>
        <w:autoSpaceDE w:val="0"/>
        <w:autoSpaceDN w:val="0"/>
        <w:adjustRightInd w:val="0"/>
        <w:snapToGrid w:val="0"/>
        <w:spacing w:before="0" w:after="0" w:line="360" w:lineRule="auto"/>
        <w:ind w:firstLine="480" w:firstLineChars="200"/>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w:t>
      </w:r>
      <w:r>
        <w:rPr>
          <w:rFonts w:hint="eastAsia" w:asciiTheme="minorEastAsia" w:hAnsiTheme="minorEastAsia" w:eastAsiaTheme="minorEastAsia"/>
          <w:b w:val="0"/>
          <w:bCs w:val="0"/>
          <w:color w:val="auto"/>
          <w:sz w:val="24"/>
          <w:szCs w:val="24"/>
          <w:highlight w:val="none"/>
          <w:lang w:val="en-US" w:eastAsia="zh-CN"/>
        </w:rPr>
        <w:t>本项目不允许分包。</w:t>
      </w:r>
    </w:p>
    <w:p w14:paraId="50FAE0F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2" w:firstLineChars="200"/>
        <w:jc w:val="left"/>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14:paraId="43954969">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14:paraId="512E0747">
      <w:pPr>
        <w:autoSpaceDE w:val="0"/>
        <w:autoSpaceDN w:val="0"/>
        <w:adjustRightInd w:val="0"/>
        <w:spacing w:line="360" w:lineRule="auto"/>
        <w:ind w:firstLine="720" w:firstLineChars="3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14:paraId="6DDA093B">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0A0FF7D">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14:paraId="1B763D59">
      <w:pPr>
        <w:tabs>
          <w:tab w:val="left" w:pos="1418"/>
        </w:tabs>
        <w:autoSpaceDE w:val="0"/>
        <w:autoSpaceDN w:val="0"/>
        <w:adjustRightInd w:val="0"/>
        <w:spacing w:line="360" w:lineRule="auto"/>
        <w:ind w:firstLine="482" w:firstLineChars="200"/>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14:paraId="221C3821">
      <w:pPr>
        <w:autoSpaceDE w:val="0"/>
        <w:autoSpaceDN w:val="0"/>
        <w:adjustRightInd w:val="0"/>
        <w:spacing w:line="360" w:lineRule="auto"/>
        <w:ind w:firstLine="482" w:firstLineChars="200"/>
        <w:rPr>
          <w:rFonts w:hint="eastAsia"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14:paraId="2FA217B1">
      <w:pPr>
        <w:snapToGrid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 xml:space="preserve">  投标人接到招标文件后，按照采购组织机构的要求提供：资格证明文件、商务与技术文件和报价文件。</w:t>
      </w:r>
    </w:p>
    <w:p w14:paraId="7873A2A3">
      <w:pPr>
        <w:snapToGrid w:val="0"/>
        <w:spacing w:line="360" w:lineRule="auto"/>
        <w:ind w:firstLine="482" w:firstLineChars="200"/>
        <w:rPr>
          <w:rFonts w:hint="eastAsia"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0733300B">
      <w:pPr>
        <w:widowControl/>
        <w:spacing w:line="360" w:lineRule="auto"/>
        <w:ind w:right="60"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（1）投标声明书（格式附后）；</w:t>
      </w:r>
    </w:p>
    <w:p w14:paraId="51C6CDF7">
      <w:pPr>
        <w:widowControl/>
        <w:spacing w:line="360" w:lineRule="auto"/>
        <w:ind w:right="60"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（2）授权委托书（格式附后）（法定代表人亲自办理投标事宜的，则无需提交）；</w:t>
      </w:r>
    </w:p>
    <w:p w14:paraId="52D870DE">
      <w:pPr>
        <w:widowControl/>
        <w:spacing w:line="360" w:lineRule="auto"/>
        <w:ind w:right="60"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546EE351">
      <w:pPr>
        <w:widowControl/>
        <w:spacing w:line="360" w:lineRule="auto"/>
        <w:ind w:right="60"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（4）提供符合资格条件的声明函（声明函格式附后）或同时提供以下四项相关材料：①财务状况报告；②依法缴纳税收；③依法缴纳社会保障资金；④具备履行合同所必需的设备和专业技术能力的证明材料。</w:t>
      </w:r>
    </w:p>
    <w:p w14:paraId="3000F3A0">
      <w:pPr>
        <w:snapToGrid w:val="0"/>
        <w:spacing w:line="360" w:lineRule="auto"/>
        <w:ind w:firstLine="482" w:firstLineChars="200"/>
        <w:rPr>
          <w:rFonts w:hint="eastAsia"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2F8F0469">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（1）供应商基本情况表</w:t>
      </w:r>
      <w:r>
        <w:rPr>
          <w:rFonts w:hint="eastAsia" w:ascii="宋体" w:hAnsi="宋体" w:cs="宋体"/>
          <w:color w:val="auto"/>
          <w:sz w:val="24"/>
          <w:highlight w:val="none"/>
        </w:rPr>
        <w:t>（格式附后）</w:t>
      </w:r>
      <w:r>
        <w:rPr>
          <w:rFonts w:hint="eastAsia" w:ascii="宋体" w:hAnsi="宋体"/>
          <w:bCs/>
          <w:color w:val="auto"/>
          <w:sz w:val="24"/>
          <w:highlight w:val="none"/>
        </w:rPr>
        <w:t>；</w:t>
      </w:r>
    </w:p>
    <w:p w14:paraId="1CA90E55">
      <w:pPr>
        <w:pStyle w:val="46"/>
        <w:spacing w:line="360" w:lineRule="auto"/>
        <w:ind w:firstLine="480" w:firstLineChars="20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（2）</w:t>
      </w:r>
      <w:r>
        <w:rPr>
          <w:rFonts w:ascii="宋体" w:hAnsi="宋体" w:eastAsia="宋体" w:cs="Times New Roman"/>
          <w:bCs/>
          <w:color w:val="auto"/>
          <w:kern w:val="2"/>
          <w:sz w:val="24"/>
          <w:szCs w:val="24"/>
          <w:highlight w:val="none"/>
        </w:rPr>
        <w:t>商务及技术需求响应表</w:t>
      </w:r>
      <w:r>
        <w:rPr>
          <w:rFonts w:hint="eastAsia" w:ascii="宋体" w:hAnsi="宋体" w:eastAsia="宋体" w:cs="Times New Roman"/>
          <w:bCs/>
          <w:color w:val="auto"/>
          <w:kern w:val="2"/>
          <w:sz w:val="24"/>
          <w:szCs w:val="24"/>
          <w:highlight w:val="none"/>
        </w:rPr>
        <w:t>（格式附后）</w:t>
      </w:r>
      <w:r>
        <w:rPr>
          <w:rFonts w:ascii="宋体" w:hAnsi="宋体" w:eastAsia="宋体" w:cs="Times New Roman"/>
          <w:bCs/>
          <w:color w:val="auto"/>
          <w:kern w:val="2"/>
          <w:sz w:val="24"/>
          <w:szCs w:val="24"/>
          <w:highlight w:val="none"/>
        </w:rPr>
        <w:t>；</w:t>
      </w:r>
    </w:p>
    <w:p w14:paraId="1C9792B8">
      <w:pPr>
        <w:pStyle w:val="46"/>
        <w:spacing w:line="360" w:lineRule="auto"/>
        <w:ind w:firstLine="480" w:firstLineChars="20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（3）供货清单（格式附后）；</w:t>
      </w:r>
    </w:p>
    <w:p w14:paraId="3244FD5D">
      <w:pPr>
        <w:pStyle w:val="46"/>
        <w:spacing w:line="360" w:lineRule="auto"/>
        <w:ind w:firstLine="480" w:firstLineChars="20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lang w:eastAsia="zh-CN"/>
        </w:rPr>
        <w:t>（</w:t>
      </w:r>
      <w:r>
        <w:rPr>
          <w:rFonts w:hint="eastAsia" w:ascii="宋体" w:hAnsi="宋体" w:eastAsia="宋体" w:cs="Times New Roman"/>
          <w:bCs/>
          <w:color w:val="auto"/>
          <w:kern w:val="2"/>
          <w:sz w:val="24"/>
          <w:szCs w:val="24"/>
          <w:highlight w:val="none"/>
          <w:lang w:val="en-US" w:eastAsia="zh-CN"/>
        </w:rPr>
        <w:t>4</w:t>
      </w:r>
      <w:r>
        <w:rPr>
          <w:rFonts w:hint="eastAsia" w:ascii="宋体" w:hAnsi="宋体" w:eastAsia="宋体" w:cs="Times New Roman"/>
          <w:bCs/>
          <w:color w:val="auto"/>
          <w:kern w:val="2"/>
          <w:sz w:val="24"/>
          <w:szCs w:val="24"/>
          <w:highlight w:val="none"/>
          <w:lang w:eastAsia="zh-CN"/>
        </w:rPr>
        <w:t>）</w:t>
      </w:r>
      <w:r>
        <w:rPr>
          <w:rFonts w:hint="eastAsia" w:ascii="宋体" w:hAnsi="宋体" w:eastAsia="宋体" w:cs="Times New Roman"/>
          <w:bCs/>
          <w:color w:val="auto"/>
          <w:kern w:val="2"/>
          <w:sz w:val="24"/>
          <w:szCs w:val="24"/>
          <w:highlight w:val="none"/>
        </w:rPr>
        <w:t>采购文件中标注“▲”内容的相关承诺或响应；</w:t>
      </w:r>
    </w:p>
    <w:p w14:paraId="7DE46D63">
      <w:pPr>
        <w:pStyle w:val="46"/>
        <w:spacing w:line="360" w:lineRule="auto"/>
        <w:ind w:firstLine="480" w:firstLineChars="20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w:t>
      </w:r>
      <w:r>
        <w:rPr>
          <w:rFonts w:hint="eastAsia" w:ascii="宋体" w:hAnsi="宋体" w:eastAsia="宋体" w:cs="Times New Roman"/>
          <w:bCs/>
          <w:color w:val="auto"/>
          <w:kern w:val="2"/>
          <w:sz w:val="24"/>
          <w:szCs w:val="24"/>
          <w:highlight w:val="none"/>
          <w:lang w:val="en-US" w:eastAsia="zh-CN"/>
        </w:rPr>
        <w:t>5</w:t>
      </w:r>
      <w:r>
        <w:rPr>
          <w:rFonts w:hint="eastAsia" w:ascii="宋体" w:hAnsi="宋体" w:eastAsia="宋体" w:cs="Times New Roman"/>
          <w:bCs/>
          <w:color w:val="auto"/>
          <w:kern w:val="2"/>
          <w:sz w:val="24"/>
          <w:szCs w:val="24"/>
          <w:highlight w:val="none"/>
        </w:rPr>
        <w:t>）项目实施人员一览表（格式附后）、项目负责人资格情况表（格式附后）、证书一览表（格式附后）、投标人类似项目实施情况一览表（格式附后）、售后服务情况表（格式附后）（如有）；</w:t>
      </w:r>
    </w:p>
    <w:p w14:paraId="3F457948">
      <w:pPr>
        <w:pStyle w:val="46"/>
        <w:spacing w:line="360" w:lineRule="auto"/>
        <w:ind w:firstLine="480" w:firstLineChars="20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w:t>
      </w:r>
      <w:r>
        <w:rPr>
          <w:rFonts w:hint="eastAsia" w:ascii="宋体" w:hAnsi="宋体" w:eastAsia="宋体" w:cs="Times New Roman"/>
          <w:bCs/>
          <w:color w:val="auto"/>
          <w:kern w:val="2"/>
          <w:sz w:val="24"/>
          <w:szCs w:val="24"/>
          <w:highlight w:val="none"/>
          <w:lang w:val="en-US" w:eastAsia="zh-CN"/>
        </w:rPr>
        <w:t>6</w:t>
      </w:r>
      <w:r>
        <w:rPr>
          <w:rFonts w:hint="eastAsia" w:ascii="宋体" w:hAnsi="宋体" w:eastAsia="宋体" w:cs="Times New Roman"/>
          <w:bCs/>
          <w:color w:val="auto"/>
          <w:kern w:val="2"/>
          <w:sz w:val="24"/>
          <w:szCs w:val="24"/>
          <w:highlight w:val="none"/>
        </w:rPr>
        <w:t>）其余内容根据评标办法自拟。</w:t>
      </w:r>
    </w:p>
    <w:p w14:paraId="674AA4FB">
      <w:pPr>
        <w:pStyle w:val="6"/>
        <w:widowControl/>
        <w:adjustRightInd w:val="0"/>
        <w:snapToGrid w:val="0"/>
        <w:spacing w:line="360" w:lineRule="auto"/>
        <w:ind w:left="218" w:leftChars="104" w:firstLine="482" w:firstLineChars="200"/>
        <w:rPr>
          <w:rFonts w:hint="eastAsia" w:ascii="宋体" w:hAnsi="宋体" w:cs="宋体"/>
          <w:color w:val="auto"/>
          <w:sz w:val="24"/>
          <w:szCs w:val="24"/>
          <w:highlight w:val="none"/>
        </w:rPr>
      </w:pPr>
      <w:r>
        <w:rPr>
          <w:rFonts w:hint="eastAsia" w:ascii="宋体"/>
          <w:b/>
          <w:color w:val="auto"/>
          <w:kern w:val="0"/>
          <w:sz w:val="24"/>
          <w:highlight w:val="none"/>
        </w:rPr>
        <w:t>招标需求中要求提供的相关证明材料及根据评标办法提供的证明材料均需在投标文件中提供扫描件。</w:t>
      </w:r>
    </w:p>
    <w:p w14:paraId="35A82B9E">
      <w:pPr>
        <w:autoSpaceDE w:val="0"/>
        <w:autoSpaceDN w:val="0"/>
        <w:adjustRightInd w:val="0"/>
        <w:spacing w:line="360" w:lineRule="auto"/>
        <w:ind w:left="426" w:firstLine="482" w:firstLineChars="200"/>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14:paraId="0F9E1E99">
      <w:pPr>
        <w:autoSpaceDE w:val="0"/>
        <w:autoSpaceDN w:val="0"/>
        <w:adjustRightInd w:val="0"/>
        <w:spacing w:line="360" w:lineRule="auto"/>
        <w:ind w:firstLine="482" w:firstLineChars="200"/>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（1）报价文件由开标一览表、报价明细表以及供应商认为其他需要说明的内容</w:t>
      </w:r>
      <w:r>
        <w:rPr>
          <w:rFonts w:hint="eastAsia" w:asciiTheme="minorEastAsia" w:hAnsiTheme="minorEastAsia" w:eastAsiaTheme="minorEastAsia"/>
          <w:b/>
          <w:color w:val="auto"/>
          <w:kern w:val="0"/>
          <w:sz w:val="24"/>
          <w:highlight w:val="none"/>
          <w:lang w:eastAsia="zh-CN"/>
        </w:rPr>
        <w:t>如</w:t>
      </w:r>
      <w:r>
        <w:rPr>
          <w:rFonts w:hint="eastAsia" w:ascii="宋体" w:hAnsi="宋体" w:cs="宋体"/>
          <w:b/>
          <w:bCs/>
          <w:color w:val="auto"/>
          <w:sz w:val="24"/>
          <w:highlight w:val="none"/>
        </w:rPr>
        <w:t>《中小企业声明函》（格式附后）</w:t>
      </w:r>
      <w:r>
        <w:rPr>
          <w:rFonts w:hint="eastAsia" w:ascii="宋体" w:hAnsi="宋体" w:cs="宋体"/>
          <w:b/>
          <w:bCs/>
          <w:color w:val="auto"/>
          <w:sz w:val="24"/>
          <w:highlight w:val="none"/>
          <w:lang w:eastAsia="zh-CN"/>
        </w:rPr>
        <w:t>等组成</w:t>
      </w:r>
      <w:r>
        <w:rPr>
          <w:rFonts w:hint="eastAsia" w:asciiTheme="minorEastAsia" w:hAnsiTheme="minorEastAsia" w:eastAsiaTheme="minorEastAsia"/>
          <w:b/>
          <w:bCs/>
          <w:color w:val="auto"/>
          <w:kern w:val="0"/>
          <w:sz w:val="24"/>
          <w:highlight w:val="none"/>
        </w:rPr>
        <w:t>。</w:t>
      </w:r>
    </w:p>
    <w:p w14:paraId="40089106">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（二）报价说明</w:t>
      </w:r>
    </w:p>
    <w:p w14:paraId="23B06AEC">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（1）此报价为投标人一次性报出唯一的最终价格，包含其它一切所要涉及到的费用，有选择的报价将被拒绝。</w:t>
      </w:r>
    </w:p>
    <w:p w14:paraId="4202AE1C">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highlight w:val="none"/>
          <w:lang w:val="zh-CN"/>
        </w:rPr>
        <w:t>）</w:t>
      </w:r>
      <w:r>
        <w:rPr>
          <w:rFonts w:hint="eastAsia" w:ascii="宋体"/>
          <w:color w:val="auto"/>
          <w:kern w:val="0"/>
          <w:sz w:val="24"/>
          <w:highlight w:val="none"/>
        </w:rPr>
        <w:t>所有产品均采用人民币报价。</w:t>
      </w:r>
      <w:r>
        <w:rPr>
          <w:rFonts w:hint="eastAsia" w:hAnsi="宋体" w:cs="宋体"/>
          <w:color w:val="auto"/>
          <w:kern w:val="0"/>
          <w:sz w:val="24"/>
          <w:szCs w:val="21"/>
          <w:highlight w:val="none"/>
        </w:rPr>
        <w:t>投标报价应是招标文件所确定的招标范围内全部工作内容的价格表现。其应</w:t>
      </w:r>
      <w:r>
        <w:rPr>
          <w:rFonts w:hint="eastAsia" w:ascii="宋体" w:hAnsi="宋体" w:cs="宋体"/>
          <w:bCs/>
          <w:color w:val="auto"/>
          <w:sz w:val="24"/>
          <w:highlight w:val="none"/>
        </w:rPr>
        <w:t>包含实现采购需求的所有功能及安全保障工作，采购人不再另外增加费用，</w:t>
      </w:r>
      <w:r>
        <w:rPr>
          <w:rFonts w:hint="eastAsia" w:ascii="宋体" w:hAnsi="宋体" w:cs="宋体"/>
          <w:color w:val="auto"/>
          <w:kern w:val="0"/>
          <w:sz w:val="24"/>
          <w:szCs w:val="21"/>
          <w:highlight w:val="none"/>
        </w:rPr>
        <w:t>其应包括（但不限于）本项目全部功能开发完善、全部所投货物及其标准配件费用、税费及包装、运至最终目的地的运输、保险、技术支持与培训、辅材、专用工具等整套设备及运行维护、第三方检测、验收、质保，管理、税金等，对于其他招标文件未列明、且是本项目配套所必需的文件、资料、设备等，或投标供应商认为必需的费用，投标供应商也应综合考虑，</w:t>
      </w:r>
      <w:r>
        <w:rPr>
          <w:rFonts w:hint="eastAsia" w:ascii="宋体" w:hAnsi="宋体" w:cs="宋体"/>
          <w:color w:val="auto"/>
          <w:sz w:val="24"/>
          <w:highlight w:val="none"/>
        </w:rPr>
        <w:t>包含在投标报价中。</w:t>
      </w:r>
    </w:p>
    <w:p w14:paraId="7BDE41DC">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（3）投标报价单不得涂改和增删，如有错漏必须修改，修改处须由同一签署人签字或盖章。由于字迹模糊或表达不清引起的后果由投标人负责。</w:t>
      </w:r>
    </w:p>
    <w:p w14:paraId="18917F06">
      <w:pPr>
        <w:autoSpaceDE w:val="0"/>
        <w:autoSpaceDN w:val="0"/>
        <w:adjustRightIn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投标报价应按招标文件中相关附表格式填写。</w:t>
      </w:r>
    </w:p>
    <w:p w14:paraId="20C2C473">
      <w:pPr>
        <w:spacing w:line="360" w:lineRule="auto"/>
        <w:ind w:left="140" w:firstLine="482" w:firstLineChars="200"/>
        <w:rPr>
          <w:rFonts w:hint="eastAsia"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（三）投标文件的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14:paraId="6AF73D40">
      <w:pPr>
        <w:autoSpaceDE w:val="0"/>
        <w:autoSpaceDN w:val="0"/>
        <w:adjustRightInd w:val="0"/>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14:paraId="29F5B969">
      <w:pPr>
        <w:spacing w:line="360" w:lineRule="auto"/>
        <w:ind w:firstLine="480" w:firstLineChars="200"/>
        <w:rPr>
          <w:rFonts w:hint="eastAsia" w:ascii="宋体" w:hAnsi="宋体" w:cs="Arial"/>
          <w:color w:val="auto"/>
          <w:sz w:val="24"/>
          <w:highlight w:val="none"/>
        </w:rPr>
      </w:pPr>
      <w:r>
        <w:rPr>
          <w:rFonts w:hint="eastAsia" w:asciiTheme="minorEastAsia" w:hAnsiTheme="minorEastAsia"/>
          <w:color w:val="auto"/>
          <w:sz w:val="24"/>
          <w:highlight w:val="none"/>
        </w:rPr>
        <w:t>（</w:t>
      </w:r>
      <w:r>
        <w:rPr>
          <w:rFonts w:asciiTheme="minorEastAsia" w:hAnsiTheme="minorEastAsia"/>
          <w:color w:val="auto"/>
          <w:sz w:val="24"/>
          <w:highlight w:val="none"/>
        </w:rPr>
        <w:t>1）</w:t>
      </w:r>
      <w:r>
        <w:rPr>
          <w:rFonts w:hint="eastAsia" w:ascii="宋体" w:hAnsi="宋体" w:cs="Arial"/>
          <w:color w:val="auto"/>
          <w:sz w:val="24"/>
          <w:highlight w:val="none"/>
        </w:rPr>
        <w:t>本项目通过“政府采购云平台（</w:t>
      </w:r>
      <w:r>
        <w:rPr>
          <w:rFonts w:ascii="宋体" w:hAnsi="宋体" w:cs="Arial"/>
          <w:color w:val="auto"/>
          <w:sz w:val="24"/>
          <w:highlight w:val="none"/>
        </w:rPr>
        <w:t>www.</w:t>
      </w:r>
      <w:r>
        <w:rPr>
          <w:rFonts w:hint="eastAsia" w:ascii="宋体" w:hAnsi="宋体" w:cs="Arial"/>
          <w:color w:val="auto"/>
          <w:sz w:val="24"/>
          <w:highlight w:val="none"/>
        </w:rPr>
        <w:t>zcy</w:t>
      </w:r>
      <w:r>
        <w:rPr>
          <w:rFonts w:ascii="宋体" w:hAnsi="宋体" w:cs="Arial"/>
          <w:color w:val="auto"/>
          <w:sz w:val="24"/>
          <w:highlight w:val="none"/>
        </w:rPr>
        <w:t>gov.cn</w:t>
      </w:r>
      <w:r>
        <w:rPr>
          <w:rFonts w:hint="eastAsia" w:ascii="宋体" w:hAnsi="宋体" w:cs="Arial"/>
          <w:color w:val="auto"/>
          <w:sz w:val="24"/>
          <w:highlight w:val="none"/>
        </w:rPr>
        <w:t>）”实行在线投标响应（电子投标）。供应商应通过“政采云电子交易客户端”，并按照本招标文件和“政府采购云平台”的要求编制并加密投标文件。</w:t>
      </w:r>
    </w:p>
    <w:p w14:paraId="52D6C00B">
      <w:pPr>
        <w:spacing w:line="360" w:lineRule="auto"/>
        <w:ind w:firstLine="480" w:firstLineChars="200"/>
        <w:rPr>
          <w:rFonts w:hint="eastAsia" w:ascii="宋体" w:hAnsi="宋体" w:cs="Arial"/>
          <w:color w:val="auto"/>
          <w:kern w:val="0"/>
          <w:sz w:val="24"/>
          <w:highlight w:val="none"/>
        </w:rPr>
      </w:pPr>
      <w:r>
        <w:rPr>
          <w:rFonts w:hint="eastAsia" w:ascii="宋体" w:hAnsi="宋体" w:cs="Arial"/>
          <w:color w:val="auto"/>
          <w:kern w:val="0"/>
          <w:sz w:val="24"/>
          <w:highlight w:val="none"/>
        </w:rPr>
        <w:t>（2）投标供应商应当按照</w:t>
      </w:r>
      <w:r>
        <w:rPr>
          <w:rFonts w:ascii="宋体" w:hAnsi="宋体" w:cs="Arial"/>
          <w:color w:val="auto"/>
          <w:kern w:val="0"/>
          <w:sz w:val="24"/>
          <w:highlight w:val="none"/>
        </w:rPr>
        <w:t>本</w:t>
      </w:r>
      <w:r>
        <w:rPr>
          <w:rFonts w:hint="eastAsia" w:ascii="宋体" w:hAnsi="宋体" w:cs="Arial"/>
          <w:color w:val="auto"/>
          <w:kern w:val="0"/>
          <w:sz w:val="24"/>
          <w:highlight w:val="none"/>
        </w:rPr>
        <w:t>章节 “投标文件组成”规定的内容及顺序在“政采云电子交易客户端”编制投标文件。其中《资格证明文件》和《商务与技术文件》中不得出现本项目投标报价，如因投标人原因提前泄露投标报价，是投标人的责任。</w:t>
      </w:r>
    </w:p>
    <w:p w14:paraId="13924A1A">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（3）</w:t>
      </w:r>
      <w:r>
        <w:rPr>
          <w:rFonts w:hint="eastAsia" w:cs="宋体"/>
          <w:bCs/>
          <w:color w:val="auto"/>
          <w:sz w:val="24"/>
          <w:highlight w:val="none"/>
        </w:rPr>
        <w:t>本文件《第六章  投标文件格式附件》</w:t>
      </w:r>
      <w:r>
        <w:rPr>
          <w:rFonts w:hint="eastAsia" w:ascii="宋体" w:hAnsi="宋体"/>
          <w:bCs/>
          <w:color w:val="auto"/>
          <w:sz w:val="24"/>
          <w:highlight w:val="none"/>
        </w:rPr>
        <w:t>中有</w:t>
      </w:r>
      <w:r>
        <w:rPr>
          <w:rFonts w:ascii="宋体" w:hAnsi="宋体"/>
          <w:bCs/>
          <w:color w:val="auto"/>
          <w:sz w:val="24"/>
          <w:highlight w:val="none"/>
        </w:rPr>
        <w:t>提供格式的，投标</w:t>
      </w:r>
      <w:r>
        <w:rPr>
          <w:rFonts w:hint="eastAsia" w:ascii="宋体" w:hAnsi="宋体"/>
          <w:bCs/>
          <w:color w:val="auto"/>
          <w:sz w:val="24"/>
          <w:highlight w:val="none"/>
        </w:rPr>
        <w:t>供应商须参</w:t>
      </w:r>
      <w:r>
        <w:rPr>
          <w:rFonts w:ascii="宋体" w:hAnsi="宋体"/>
          <w:bCs/>
          <w:color w:val="auto"/>
          <w:sz w:val="24"/>
          <w:highlight w:val="none"/>
        </w:rPr>
        <w:t>照格式</w:t>
      </w:r>
      <w:r>
        <w:rPr>
          <w:rFonts w:hint="eastAsia" w:ascii="宋体" w:hAnsi="宋体"/>
          <w:bCs/>
          <w:color w:val="auto"/>
          <w:sz w:val="24"/>
          <w:highlight w:val="none"/>
        </w:rPr>
        <w:t>进行编制（格式中要求提供相关证明材料的还需后附相关证明材料），并按格式要求在指定位置根据要求进行电子签章，否则视为未提供；</w:t>
      </w:r>
      <w:r>
        <w:rPr>
          <w:rFonts w:hint="eastAsia" w:cs="宋体"/>
          <w:bCs/>
          <w:color w:val="auto"/>
          <w:sz w:val="24"/>
          <w:highlight w:val="none"/>
        </w:rPr>
        <w:t>本文件《第六章  投标文件格式附件》</w:t>
      </w:r>
      <w:r>
        <w:rPr>
          <w:rFonts w:ascii="宋体" w:hAnsi="宋体"/>
          <w:bCs/>
          <w:color w:val="auto"/>
          <w:sz w:val="24"/>
          <w:highlight w:val="none"/>
        </w:rPr>
        <w:t>未提供格式的，请各投标单位自行拟定格式</w:t>
      </w:r>
      <w:r>
        <w:rPr>
          <w:rFonts w:hint="eastAsia" w:ascii="宋体" w:hAnsi="宋体"/>
          <w:color w:val="auto"/>
          <w:sz w:val="24"/>
          <w:highlight w:val="none"/>
        </w:rPr>
        <w:t>。</w:t>
      </w:r>
    </w:p>
    <w:p w14:paraId="6E3194B2">
      <w:pPr>
        <w:autoSpaceDE w:val="0"/>
        <w:autoSpaceDN w:val="0"/>
        <w:adjustRightInd w:val="0"/>
        <w:spacing w:line="360" w:lineRule="auto"/>
        <w:ind w:firstLine="480" w:firstLineChars="200"/>
        <w:rPr>
          <w:rFonts w:hint="eastAsia" w:ascii="宋体" w:hAnsi="宋体"/>
          <w:color w:val="auto"/>
          <w:kern w:val="0"/>
          <w:sz w:val="24"/>
          <w:highlight w:val="none"/>
          <w:lang w:val="zh-CN"/>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）供应商应对所提供的全部资料的真实性承担法律责任。</w:t>
      </w:r>
    </w:p>
    <w:p w14:paraId="7F2254E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5</w:t>
      </w:r>
      <w:r>
        <w:rPr>
          <w:rFonts w:hint="eastAsia" w:ascii="宋体" w:hAnsi="宋体"/>
          <w:color w:val="auto"/>
          <w:kern w:val="0"/>
          <w:sz w:val="24"/>
          <w:highlight w:val="none"/>
          <w:lang w:val="zh-CN"/>
        </w:rPr>
        <w:t>）</w:t>
      </w:r>
      <w:r>
        <w:rPr>
          <w:rFonts w:hint="eastAsia" w:ascii="宋体" w:hAnsi="宋体"/>
          <w:color w:val="auto"/>
          <w:sz w:val="24"/>
          <w:highlight w:val="none"/>
        </w:rPr>
        <w:t>投标文件</w:t>
      </w:r>
      <w:r>
        <w:rPr>
          <w:rFonts w:ascii="宋体" w:hAnsi="宋体"/>
          <w:color w:val="auto"/>
          <w:sz w:val="24"/>
          <w:highlight w:val="none"/>
        </w:rPr>
        <w:t>以及</w:t>
      </w:r>
      <w:r>
        <w:rPr>
          <w:rFonts w:hint="eastAsia" w:ascii="宋体" w:hAnsi="宋体"/>
          <w:color w:val="auto"/>
          <w:sz w:val="24"/>
          <w:highlight w:val="none"/>
        </w:rPr>
        <w:t>投标供应商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招投标</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w:t>
      </w:r>
      <w:r>
        <w:rPr>
          <w:rFonts w:hint="eastAsia" w:ascii="宋体" w:hAnsi="宋体"/>
          <w:color w:val="auto"/>
          <w:sz w:val="24"/>
          <w:highlight w:val="none"/>
        </w:rPr>
        <w:t>投标文件</w:t>
      </w:r>
      <w:r>
        <w:rPr>
          <w:rFonts w:ascii="宋体" w:hAnsi="宋体"/>
          <w:color w:val="auto"/>
          <w:sz w:val="24"/>
          <w:highlight w:val="none"/>
        </w:rPr>
        <w:t>视同未提供。</w:t>
      </w:r>
    </w:p>
    <w:p w14:paraId="632096B5">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）投标</w:t>
      </w:r>
      <w:r>
        <w:rPr>
          <w:rFonts w:ascii="宋体" w:hAnsi="宋体"/>
          <w:color w:val="auto"/>
          <w:sz w:val="24"/>
          <w:highlight w:val="none"/>
        </w:rPr>
        <w:t>计量单位，</w:t>
      </w:r>
      <w:r>
        <w:rPr>
          <w:rFonts w:hint="eastAsia" w:ascii="宋体" w:hAnsi="宋体"/>
          <w:bCs/>
          <w:color w:val="auto"/>
          <w:sz w:val="24"/>
          <w:highlight w:val="none"/>
        </w:rPr>
        <w:t>采购文件</w:t>
      </w:r>
      <w:r>
        <w:rPr>
          <w:rFonts w:ascii="宋体" w:hAnsi="宋体"/>
          <w:color w:val="auto"/>
          <w:sz w:val="24"/>
          <w:highlight w:val="none"/>
        </w:rPr>
        <w:t>已有明确规定的，使用</w:t>
      </w:r>
      <w:r>
        <w:rPr>
          <w:rFonts w:hint="eastAsia" w:ascii="宋体" w:hAnsi="宋体"/>
          <w:bCs/>
          <w:color w:val="auto"/>
          <w:sz w:val="24"/>
          <w:highlight w:val="none"/>
        </w:rPr>
        <w:t>采购文件</w:t>
      </w:r>
      <w:r>
        <w:rPr>
          <w:rFonts w:ascii="宋体" w:hAnsi="宋体"/>
          <w:color w:val="auto"/>
          <w:sz w:val="24"/>
          <w:highlight w:val="none"/>
        </w:rPr>
        <w:t>规定的计量单位；</w:t>
      </w:r>
      <w:r>
        <w:rPr>
          <w:rFonts w:hint="eastAsia" w:ascii="宋体" w:hAnsi="宋体"/>
          <w:bCs/>
          <w:color w:val="auto"/>
          <w:sz w:val="24"/>
          <w:highlight w:val="none"/>
        </w:rPr>
        <w:t>采购文件</w:t>
      </w:r>
      <w:r>
        <w:rPr>
          <w:rFonts w:ascii="宋体" w:hAnsi="宋体"/>
          <w:color w:val="auto"/>
          <w:sz w:val="24"/>
          <w:highlight w:val="none"/>
        </w:rPr>
        <w:t>没有规定的，应采用中华人民共和国法定计量单位（货币单位：人民币元），否则视同未响应。</w:t>
      </w:r>
    </w:p>
    <w:p w14:paraId="744287C6">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若</w:t>
      </w:r>
      <w:r>
        <w:rPr>
          <w:rFonts w:hint="eastAsia" w:ascii="宋体" w:hAnsi="宋体"/>
          <w:color w:val="auto"/>
          <w:sz w:val="24"/>
          <w:highlight w:val="none"/>
        </w:rPr>
        <w:t>投标供应商</w:t>
      </w:r>
      <w:r>
        <w:rPr>
          <w:rFonts w:ascii="宋体" w:hAnsi="宋体"/>
          <w:color w:val="auto"/>
          <w:sz w:val="24"/>
          <w:highlight w:val="none"/>
        </w:rPr>
        <w:t>不按采购文件的要求提供资格审查材料，其风险由</w:t>
      </w:r>
      <w:r>
        <w:rPr>
          <w:rFonts w:hint="eastAsia" w:ascii="宋体" w:hAnsi="宋体"/>
          <w:color w:val="auto"/>
          <w:sz w:val="24"/>
          <w:highlight w:val="none"/>
        </w:rPr>
        <w:t>投标供应商</w:t>
      </w:r>
      <w:r>
        <w:rPr>
          <w:rFonts w:ascii="宋体" w:hAnsi="宋体"/>
          <w:color w:val="auto"/>
          <w:sz w:val="24"/>
          <w:highlight w:val="none"/>
        </w:rPr>
        <w:t>自行承担。</w:t>
      </w:r>
    </w:p>
    <w:p w14:paraId="375FB7F5">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8</w:t>
      </w:r>
      <w:r>
        <w:rPr>
          <w:rFonts w:hint="eastAsia" w:ascii="宋体" w:hAnsi="宋体"/>
          <w:color w:val="auto"/>
          <w:kern w:val="0"/>
          <w:sz w:val="24"/>
          <w:highlight w:val="none"/>
        </w:rPr>
        <w:t>）</w:t>
      </w:r>
      <w:r>
        <w:rPr>
          <w:rFonts w:hint="eastAsia" w:ascii="宋体" w:hAnsi="宋体"/>
          <w:color w:val="auto"/>
          <w:sz w:val="24"/>
          <w:highlight w:val="none"/>
        </w:rPr>
        <w:t>与本次投标无关的内容请不要制作在内，确保投标文件有针对性、简洁明了。</w:t>
      </w:r>
    </w:p>
    <w:p w14:paraId="6E2103C0">
      <w:pPr>
        <w:autoSpaceDE w:val="0"/>
        <w:autoSpaceDN w:val="0"/>
        <w:adjustRightInd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2.投标文件的签章</w:t>
      </w:r>
    </w:p>
    <w:p w14:paraId="0399BD1D">
      <w:pPr>
        <w:spacing w:line="360" w:lineRule="auto"/>
        <w:ind w:firstLine="480" w:firstLineChars="200"/>
        <w:rPr>
          <w:rFonts w:hint="eastAsia" w:ascii="宋体" w:hAnsi="宋体" w:cs="Arial"/>
          <w:bCs/>
          <w:color w:val="auto"/>
          <w:kern w:val="0"/>
          <w:sz w:val="24"/>
          <w:highlight w:val="none"/>
        </w:rPr>
      </w:pPr>
      <w:r>
        <w:rPr>
          <w:rFonts w:hint="eastAsia" w:ascii="宋体" w:hAnsi="宋体" w:cs="Arial"/>
          <w:bCs/>
          <w:color w:val="auto"/>
          <w:kern w:val="0"/>
          <w:sz w:val="24"/>
          <w:highlight w:val="none"/>
        </w:rPr>
        <w:t>（1）《</w:t>
      </w:r>
      <w:r>
        <w:rPr>
          <w:rFonts w:ascii="宋体" w:hAnsi="宋体" w:cs="Arial"/>
          <w:bCs/>
          <w:color w:val="auto"/>
          <w:kern w:val="0"/>
          <w:sz w:val="24"/>
          <w:highlight w:val="none"/>
        </w:rPr>
        <w:t>投标文件</w:t>
      </w:r>
      <w:r>
        <w:rPr>
          <w:rFonts w:hint="eastAsia" w:ascii="宋体" w:hAnsi="宋体" w:cs="Arial"/>
          <w:bCs/>
          <w:color w:val="auto"/>
          <w:kern w:val="0"/>
          <w:sz w:val="24"/>
          <w:highlight w:val="none"/>
        </w:rPr>
        <w:t>》的签章：</w:t>
      </w:r>
      <w:r>
        <w:rPr>
          <w:rFonts w:hint="eastAsia" w:ascii="宋体" w:hAnsi="宋体"/>
          <w:bCs/>
          <w:color w:val="auto"/>
          <w:sz w:val="24"/>
          <w:highlight w:val="none"/>
        </w:rPr>
        <w:t>见《前附表》；</w:t>
      </w:r>
    </w:p>
    <w:p w14:paraId="3BF8A56D">
      <w:pPr>
        <w:spacing w:line="360" w:lineRule="auto"/>
        <w:ind w:firstLine="480" w:firstLineChars="200"/>
        <w:rPr>
          <w:rFonts w:hint="eastAsia" w:ascii="宋体" w:hAnsi="宋体" w:cs="Arial"/>
          <w:bCs/>
          <w:color w:val="auto"/>
          <w:kern w:val="0"/>
          <w:sz w:val="24"/>
          <w:highlight w:val="none"/>
        </w:rPr>
      </w:pPr>
      <w:r>
        <w:rPr>
          <w:rFonts w:hint="eastAsia" w:ascii="宋体" w:hAnsi="宋体" w:cs="Arial"/>
          <w:bCs/>
          <w:color w:val="auto"/>
          <w:kern w:val="0"/>
          <w:sz w:val="24"/>
          <w:highlight w:val="none"/>
        </w:rPr>
        <w:t>（2） 《</w:t>
      </w:r>
      <w:r>
        <w:rPr>
          <w:rFonts w:ascii="宋体" w:hAnsi="宋体" w:cs="Arial"/>
          <w:bCs/>
          <w:color w:val="auto"/>
          <w:kern w:val="0"/>
          <w:sz w:val="24"/>
          <w:highlight w:val="none"/>
        </w:rPr>
        <w:t>投标文件</w:t>
      </w:r>
      <w:r>
        <w:rPr>
          <w:rFonts w:hint="eastAsia" w:ascii="宋体" w:hAnsi="宋体" w:cs="Arial"/>
          <w:bCs/>
          <w:color w:val="auto"/>
          <w:kern w:val="0"/>
          <w:sz w:val="24"/>
          <w:highlight w:val="none"/>
        </w:rPr>
        <w:t>》应由投标供应商法定代表人或其授权代表签字（或签章），并时加盖投标供应商公章。</w:t>
      </w:r>
    </w:p>
    <w:p w14:paraId="4CEF20A9">
      <w:pPr>
        <w:autoSpaceDE w:val="0"/>
        <w:autoSpaceDN w:val="0"/>
        <w:adjustRightInd w:val="0"/>
        <w:spacing w:line="360" w:lineRule="auto"/>
        <w:ind w:firstLine="480" w:firstLineChars="200"/>
        <w:rPr>
          <w:rFonts w:hint="eastAsia" w:ascii="宋体" w:hAnsi="宋体"/>
          <w:color w:val="auto"/>
          <w:kern w:val="0"/>
          <w:sz w:val="24"/>
          <w:highlight w:val="none"/>
          <w:lang w:val="zh-CN"/>
        </w:rPr>
      </w:pPr>
      <w:r>
        <w:rPr>
          <w:rFonts w:hint="eastAsia" w:ascii="宋体" w:hAnsi="宋体" w:cs="Arial"/>
          <w:bCs/>
          <w:color w:val="auto"/>
          <w:kern w:val="0"/>
          <w:sz w:val="24"/>
          <w:highlight w:val="none"/>
        </w:rPr>
        <w:t>（</w:t>
      </w:r>
      <w:r>
        <w:rPr>
          <w:rFonts w:ascii="宋体" w:hAnsi="宋体" w:cs="Arial"/>
          <w:bCs/>
          <w:color w:val="auto"/>
          <w:kern w:val="0"/>
          <w:sz w:val="24"/>
          <w:highlight w:val="none"/>
        </w:rPr>
        <w:t>3</w:t>
      </w:r>
      <w:r>
        <w:rPr>
          <w:rFonts w:hint="eastAsia" w:ascii="宋体" w:hAnsi="宋体" w:cs="Arial"/>
          <w:bCs/>
          <w:color w:val="auto"/>
          <w:kern w:val="0"/>
          <w:sz w:val="24"/>
          <w:highlight w:val="none"/>
        </w:rPr>
        <w:t>）电子签章操作指南详见</w:t>
      </w:r>
      <w:r>
        <w:rPr>
          <w:rFonts w:hint="eastAsia" w:ascii="宋体" w:hAnsi="宋体" w:cs="Arial"/>
          <w:bCs/>
          <w:color w:val="auto"/>
          <w:sz w:val="24"/>
          <w:highlight w:val="none"/>
        </w:rPr>
        <w:t>《供应商项目采购-电子招投标操作指南》。</w:t>
      </w:r>
    </w:p>
    <w:p w14:paraId="0CC4D9FA">
      <w:pPr>
        <w:autoSpaceDE w:val="0"/>
        <w:autoSpaceDN w:val="0"/>
        <w:adjustRightInd w:val="0"/>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3.投标文件的形式</w:t>
      </w:r>
    </w:p>
    <w:p w14:paraId="76EAF27B">
      <w:pPr>
        <w:spacing w:line="360" w:lineRule="auto"/>
        <w:ind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（1）投标文件的形式：</w:t>
      </w:r>
      <w:r>
        <w:rPr>
          <w:rFonts w:hint="eastAsia" w:ascii="宋体" w:hAnsi="宋体"/>
          <w:bCs/>
          <w:color w:val="auto"/>
          <w:sz w:val="24"/>
          <w:highlight w:val="none"/>
        </w:rPr>
        <w:t>见《前附表》；</w:t>
      </w:r>
    </w:p>
    <w:p w14:paraId="2E654E66">
      <w:pPr>
        <w:spacing w:line="360" w:lineRule="auto"/>
        <w:ind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（2）“电子加密投标文件”：“电子加密投标文件”是指通过“政采云电子交易客户端”完成投标文件编制后生成并加密的数据电文形式的投标文件。</w:t>
      </w:r>
    </w:p>
    <w:p w14:paraId="7F7D6050">
      <w:pPr>
        <w:autoSpaceDE w:val="0"/>
        <w:autoSpaceDN w:val="0"/>
        <w:adjustRightInd w:val="0"/>
        <w:spacing w:line="360" w:lineRule="auto"/>
        <w:ind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（3）“备份投标文件”：“备份投标文件”是指与“电子加密投标文件”同时生成的数据电文形式的电子文件（备份标书），其他方式编制的“备份投标文件”视为无效的“备份投标文件”。</w:t>
      </w:r>
    </w:p>
    <w:p w14:paraId="07E4E549">
      <w:pPr>
        <w:autoSpaceDE w:val="0"/>
        <w:autoSpaceDN w:val="0"/>
        <w:adjustRightInd w:val="0"/>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4.投标文件的份数</w:t>
      </w:r>
    </w:p>
    <w:p w14:paraId="733CDDAF">
      <w:pPr>
        <w:autoSpaceDE w:val="0"/>
        <w:autoSpaceDN w:val="0"/>
        <w:adjustRightIn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（1）投标文件的份数：见《前附表》。</w:t>
      </w:r>
    </w:p>
    <w:p w14:paraId="01117D50">
      <w:pPr>
        <w:tabs>
          <w:tab w:val="left" w:pos="1898"/>
        </w:tabs>
        <w:autoSpaceDE w:val="0"/>
        <w:autoSpaceDN w:val="0"/>
        <w:adjustRightInd w:val="0"/>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5.投标文件的补充、修改和撤回。</w:t>
      </w:r>
    </w:p>
    <w:p w14:paraId="1701078F">
      <w:pPr>
        <w:tabs>
          <w:tab w:val="left" w:pos="960"/>
          <w:tab w:val="left" w:pos="1418"/>
        </w:tabs>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D8BB3D9">
      <w:pPr>
        <w:tabs>
          <w:tab w:val="left" w:pos="1418"/>
        </w:tabs>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宋体" w:hAnsi="宋体"/>
          <w:color w:val="auto"/>
          <w:kern w:val="0"/>
          <w:sz w:val="24"/>
          <w:highlight w:val="none"/>
        </w:rPr>
        <w:t>投标截止时间后，投标供应商不得撤回、修改《投标文件》。</w:t>
      </w:r>
    </w:p>
    <w:p w14:paraId="137F41F9">
      <w:pPr>
        <w:tabs>
          <w:tab w:val="left" w:pos="1898"/>
        </w:tabs>
        <w:autoSpaceDE w:val="0"/>
        <w:autoSpaceDN w:val="0"/>
        <w:adjustRightInd w:val="0"/>
        <w:spacing w:line="360" w:lineRule="auto"/>
        <w:ind w:firstLine="482" w:firstLineChars="200"/>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（四）投标文件的有效期</w:t>
      </w:r>
    </w:p>
    <w:p w14:paraId="141296C8">
      <w:pPr>
        <w:pStyle w:val="13"/>
        <w:tabs>
          <w:tab w:val="left" w:pos="454"/>
          <w:tab w:val="left" w:pos="720"/>
          <w:tab w:val="left" w:pos="1200"/>
        </w:tabs>
        <w:snapToGrid w:val="0"/>
        <w:spacing w:line="360" w:lineRule="auto"/>
        <w:ind w:left="0" w:firstLine="480" w:firstLineChars="200"/>
        <w:rPr>
          <w:rFonts w:hint="eastAsia"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14:paraId="282F4406">
      <w:pPr>
        <w:pStyle w:val="13"/>
        <w:tabs>
          <w:tab w:val="left" w:pos="454"/>
          <w:tab w:val="left" w:pos="720"/>
          <w:tab w:val="left" w:pos="1200"/>
        </w:tabs>
        <w:snapToGrid w:val="0"/>
        <w:spacing w:line="360" w:lineRule="auto"/>
        <w:ind w:left="0" w:firstLine="480" w:firstLineChars="200"/>
        <w:rPr>
          <w:rFonts w:hint="eastAsia"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14:paraId="38514F58">
      <w:pPr>
        <w:pStyle w:val="13"/>
        <w:numPr>
          <w:ilvl w:val="0"/>
          <w:numId w:val="0"/>
        </w:numPr>
        <w:tabs>
          <w:tab w:val="left" w:pos="0"/>
          <w:tab w:val="left" w:pos="720"/>
          <w:tab w:val="left" w:pos="1200"/>
          <w:tab w:val="clear" w:pos="360"/>
        </w:tabs>
        <w:snapToGrid w:val="0"/>
        <w:spacing w:line="360" w:lineRule="auto"/>
        <w:ind w:firstLine="480" w:firstLineChars="200"/>
        <w:rPr>
          <w:rFonts w:hint="eastAsia" w:asciiTheme="minorEastAsia" w:hAnsiTheme="minorEastAsia" w:eastAsiaTheme="minorEastAsia"/>
          <w:color w:val="auto"/>
          <w:sz w:val="24"/>
          <w:highlight w:val="none"/>
        </w:rPr>
      </w:pPr>
      <w:r>
        <w:rPr>
          <w:rFonts w:hint="eastAsia" w:ascii="宋体" w:hAnsi="宋体"/>
          <w:color w:val="auto"/>
          <w:sz w:val="24"/>
          <w:highlight w:val="none"/>
        </w:rPr>
        <w:t>3.</w:t>
      </w:r>
      <w:r>
        <w:rPr>
          <w:rFonts w:asciiTheme="minorEastAsia" w:hAnsiTheme="minorEastAsia" w:eastAsiaTheme="minorEastAsia"/>
          <w:color w:val="auto"/>
          <w:sz w:val="24"/>
          <w:highlight w:val="none"/>
        </w:rPr>
        <w:t>中标人的投标文件自开标之日起至合同履行完毕均应保持有效。</w:t>
      </w:r>
    </w:p>
    <w:p w14:paraId="225DA4CC">
      <w:pPr>
        <w:snapToGrid w:val="0"/>
        <w:spacing w:line="360" w:lineRule="auto"/>
        <w:ind w:firstLine="482" w:firstLineChars="200"/>
        <w:jc w:val="left"/>
        <w:outlineLvl w:val="0"/>
        <w:rPr>
          <w:rFonts w:hint="eastAsia" w:ascii="宋体" w:hAnsi="宋体"/>
          <w:b/>
          <w:color w:val="auto"/>
          <w:kern w:val="0"/>
          <w:sz w:val="24"/>
          <w:highlight w:val="none"/>
        </w:rPr>
      </w:pPr>
      <w:r>
        <w:rPr>
          <w:rFonts w:hint="eastAsia" w:ascii="宋体" w:hAnsi="宋体"/>
          <w:b/>
          <w:color w:val="auto"/>
          <w:kern w:val="0"/>
          <w:sz w:val="24"/>
          <w:highlight w:val="none"/>
        </w:rPr>
        <w:t>（五）投标文件的备选方案</w:t>
      </w:r>
    </w:p>
    <w:p w14:paraId="7D87DC5B">
      <w:pPr>
        <w:tabs>
          <w:tab w:val="left" w:pos="1418"/>
        </w:tabs>
        <w:autoSpaceDE w:val="0"/>
        <w:autoSpaceDN w:val="0"/>
        <w:adjustRightInd w:val="0"/>
        <w:spacing w:line="360" w:lineRule="auto"/>
        <w:ind w:firstLine="480" w:firstLineChars="200"/>
        <w:rPr>
          <w:rFonts w:hint="eastAsia" w:ascii="宋体" w:hAnsi="宋体"/>
          <w:b/>
          <w:bCs/>
          <w:color w:val="auto"/>
          <w:kern w:val="0"/>
          <w:sz w:val="24"/>
          <w:highlight w:val="none"/>
        </w:rPr>
      </w:pPr>
      <w:r>
        <w:rPr>
          <w:rFonts w:hint="eastAsia" w:ascii="宋体" w:hAnsi="宋体"/>
          <w:color w:val="auto"/>
          <w:kern w:val="0"/>
          <w:sz w:val="24"/>
          <w:highlight w:val="none"/>
        </w:rPr>
        <w:t>1.投标供应商不得递交任何的投标备选（替代）方案，否则其投标文件将作无效标处理。</w:t>
      </w:r>
      <w:r>
        <w:rPr>
          <w:rFonts w:hint="eastAsia" w:ascii="宋体" w:hAnsi="宋体"/>
          <w:b/>
          <w:bCs/>
          <w:color w:val="auto"/>
          <w:kern w:val="0"/>
          <w:sz w:val="24"/>
          <w:highlight w:val="none"/>
        </w:rPr>
        <w:t>与“电子加密投标文件”同时生成的“备份投标文件”不是投标备选（替代）方案。</w:t>
      </w:r>
    </w:p>
    <w:p w14:paraId="601D7C61">
      <w:pPr>
        <w:tabs>
          <w:tab w:val="left" w:pos="1418"/>
        </w:tabs>
        <w:autoSpaceDE w:val="0"/>
        <w:autoSpaceDN w:val="0"/>
        <w:adjustRightInd w:val="0"/>
        <w:spacing w:line="360" w:lineRule="auto"/>
        <w:ind w:firstLine="482" w:firstLineChars="200"/>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四、投标保证金</w:t>
      </w:r>
    </w:p>
    <w:p w14:paraId="66396FAD">
      <w:pPr>
        <w:tabs>
          <w:tab w:val="left" w:pos="1418"/>
        </w:tabs>
        <w:autoSpaceDE w:val="0"/>
        <w:autoSpaceDN w:val="0"/>
        <w:adjustRightInd w:val="0"/>
        <w:spacing w:line="360" w:lineRule="auto"/>
        <w:ind w:firstLine="480" w:firstLineChars="200"/>
        <w:rPr>
          <w:rFonts w:hint="eastAsia" w:ascii="宋体" w:hAnsi="宋体"/>
          <w:bCs/>
          <w:color w:val="auto"/>
          <w:sz w:val="24"/>
          <w:highlight w:val="none"/>
        </w:rPr>
      </w:pPr>
      <w:r>
        <w:rPr>
          <w:rFonts w:hint="eastAsia" w:asciiTheme="minorEastAsia" w:hAnsiTheme="minorEastAsia" w:eastAsiaTheme="minorEastAsia"/>
          <w:color w:val="auto"/>
          <w:kern w:val="0"/>
          <w:sz w:val="24"/>
          <w:highlight w:val="none"/>
        </w:rPr>
        <w:t>无</w:t>
      </w:r>
    </w:p>
    <w:p w14:paraId="447E22E7">
      <w:pPr>
        <w:snapToGrid w:val="0"/>
        <w:spacing w:line="360" w:lineRule="auto"/>
        <w:ind w:firstLine="482" w:firstLineChars="200"/>
        <w:jc w:val="left"/>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360DD6B4">
      <w:pPr>
        <w:pStyle w:val="5"/>
        <w:spacing w:before="0" w:after="0" w:line="360" w:lineRule="auto"/>
        <w:ind w:left="720" w:firstLine="482" w:firstLineChars="200"/>
        <w:rPr>
          <w:rFonts w:hint="eastAsia"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开标</w:t>
      </w:r>
      <w:r>
        <w:rPr>
          <w:rFonts w:hint="eastAsia" w:ascii="宋体" w:hAnsi="宋体" w:cs="宋体"/>
          <w:color w:val="auto"/>
          <w:sz w:val="24"/>
          <w:szCs w:val="24"/>
          <w:highlight w:val="none"/>
        </w:rPr>
        <w:t>形式</w:t>
      </w:r>
    </w:p>
    <w:p w14:paraId="4BF2889D">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 采购组织机构将按照招标文件规定的时间通过“政府采购云平台”组织开标、开启投标文件，所有供应商均应当准时在线参加。</w:t>
      </w:r>
    </w:p>
    <w:p w14:paraId="326FC4FB">
      <w:pPr>
        <w:pStyle w:val="5"/>
        <w:spacing w:before="0" w:after="0" w:line="360" w:lineRule="auto"/>
        <w:ind w:left="720" w:firstLine="482" w:firstLineChars="200"/>
        <w:rPr>
          <w:rFonts w:hint="eastAsia" w:ascii="宋体" w:hAnsi="宋体"/>
          <w:color w:val="auto"/>
          <w:sz w:val="24"/>
          <w:szCs w:val="24"/>
          <w:highlight w:val="none"/>
        </w:rPr>
      </w:pPr>
      <w:r>
        <w:rPr>
          <w:rFonts w:hint="eastAsia" w:ascii="宋体" w:hAnsi="宋体" w:cs="宋体"/>
          <w:color w:val="auto"/>
          <w:sz w:val="24"/>
          <w:szCs w:val="24"/>
          <w:highlight w:val="none"/>
        </w:rPr>
        <w:t>（二）</w:t>
      </w:r>
      <w:r>
        <w:rPr>
          <w:rFonts w:ascii="宋体" w:hAnsi="宋体"/>
          <w:color w:val="auto"/>
          <w:sz w:val="24"/>
          <w:szCs w:val="24"/>
          <w:highlight w:val="none"/>
        </w:rPr>
        <w:t>开标</w:t>
      </w:r>
      <w:r>
        <w:rPr>
          <w:rFonts w:hint="eastAsia" w:ascii="宋体" w:hAnsi="宋体"/>
          <w:color w:val="auto"/>
          <w:sz w:val="24"/>
          <w:szCs w:val="24"/>
          <w:highlight w:val="none"/>
        </w:rPr>
        <w:t>说明</w:t>
      </w:r>
    </w:p>
    <w:p w14:paraId="04E491C7">
      <w:pPr>
        <w:spacing w:line="360" w:lineRule="auto"/>
        <w:ind w:firstLine="480" w:firstLineChars="200"/>
        <w:rPr>
          <w:rFonts w:hint="eastAsia"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.1开标的准备工作由采购组织机构负责落实；</w:t>
      </w:r>
    </w:p>
    <w:p w14:paraId="4FB9226F">
      <w:pPr>
        <w:spacing w:line="360" w:lineRule="auto"/>
        <w:ind w:firstLine="480" w:firstLineChars="200"/>
        <w:rPr>
          <w:rFonts w:hint="eastAsia"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.2</w:t>
      </w:r>
      <w:r>
        <w:rPr>
          <w:rFonts w:hint="eastAsia" w:ascii="宋体" w:hAnsi="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，同时投标供应商因未在线参加开标而导致投标文件无法按时解密等一切后果由供应商自己承担。</w:t>
      </w:r>
    </w:p>
    <w:p w14:paraId="0C6ADD6F">
      <w:pPr>
        <w:pStyle w:val="5"/>
        <w:spacing w:before="0" w:after="0" w:line="360" w:lineRule="auto"/>
        <w:ind w:left="720" w:firstLine="482" w:firstLineChars="200"/>
        <w:rPr>
          <w:rFonts w:hint="eastAsia" w:ascii="宋体" w:hAnsi="宋体"/>
          <w:color w:val="auto"/>
          <w:sz w:val="24"/>
          <w:szCs w:val="24"/>
          <w:highlight w:val="none"/>
        </w:rPr>
      </w:pPr>
      <w:r>
        <w:rPr>
          <w:rFonts w:hint="eastAsia" w:ascii="宋体" w:hAnsi="宋体" w:cs="宋体"/>
          <w:color w:val="auto"/>
          <w:sz w:val="24"/>
          <w:szCs w:val="24"/>
          <w:highlight w:val="none"/>
        </w:rPr>
        <w:t>（三）</w:t>
      </w:r>
      <w:r>
        <w:rPr>
          <w:rFonts w:ascii="宋体" w:hAnsi="宋体"/>
          <w:color w:val="auto"/>
          <w:sz w:val="24"/>
          <w:szCs w:val="24"/>
          <w:highlight w:val="none"/>
        </w:rPr>
        <w:t>开标</w:t>
      </w:r>
      <w:r>
        <w:rPr>
          <w:rFonts w:hint="eastAsia" w:ascii="宋体" w:hAnsi="宋体"/>
          <w:color w:val="auto"/>
          <w:sz w:val="24"/>
          <w:szCs w:val="24"/>
          <w:highlight w:val="none"/>
        </w:rPr>
        <w:t>流程（两阶段）</w:t>
      </w:r>
    </w:p>
    <w:p w14:paraId="7ABDAE62">
      <w:pPr>
        <w:spacing w:line="360" w:lineRule="auto"/>
        <w:ind w:firstLine="482" w:firstLineChars="200"/>
        <w:jc w:val="left"/>
        <w:rPr>
          <w:rFonts w:hint="eastAsia" w:ascii="宋体" w:hAnsi="宋体" w:cs="Arial"/>
          <w:b/>
          <w:color w:val="auto"/>
          <w:kern w:val="0"/>
          <w:sz w:val="24"/>
          <w:highlight w:val="none"/>
        </w:rPr>
      </w:pPr>
      <w:r>
        <w:rPr>
          <w:rFonts w:hint="eastAsia" w:ascii="宋体" w:hAnsi="宋体" w:cs="Arial"/>
          <w:b/>
          <w:color w:val="auto"/>
          <w:kern w:val="0"/>
          <w:sz w:val="24"/>
          <w:highlight w:val="none"/>
        </w:rPr>
        <w:t>3.1开标第一阶段</w:t>
      </w:r>
    </w:p>
    <w:p w14:paraId="59D7D53E">
      <w:pPr>
        <w:spacing w:line="360" w:lineRule="auto"/>
        <w:ind w:firstLine="480" w:firstLineChars="200"/>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81C9E3D">
      <w:pPr>
        <w:spacing w:line="360" w:lineRule="auto"/>
        <w:ind w:firstLine="480" w:firstLineChars="200"/>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）投标文件解密结束，通过邮件形式发送各投标人组织签署《政府采购活动现场确认声明书》；</w:t>
      </w:r>
    </w:p>
    <w:p w14:paraId="0CEF6786">
      <w:pPr>
        <w:spacing w:line="360" w:lineRule="auto"/>
        <w:ind w:firstLine="480" w:firstLineChars="200"/>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）开启投标文件，</w:t>
      </w:r>
      <w:r>
        <w:rPr>
          <w:rFonts w:hint="eastAsia" w:ascii="宋体" w:hAnsi="宋体" w:cs="Arial"/>
          <w:b/>
          <w:color w:val="auto"/>
          <w:kern w:val="0"/>
          <w:sz w:val="24"/>
          <w:highlight w:val="none"/>
        </w:rPr>
        <w:t>依法对投标供应商的资格进行审查</w:t>
      </w:r>
      <w:r>
        <w:rPr>
          <w:rFonts w:hint="eastAsia" w:ascii="宋体" w:hAnsi="宋体" w:cs="Arial"/>
          <w:color w:val="auto"/>
          <w:kern w:val="0"/>
          <w:sz w:val="24"/>
          <w:highlight w:val="none"/>
        </w:rPr>
        <w:t>；</w:t>
      </w:r>
      <w:r>
        <w:rPr>
          <w:rFonts w:ascii="宋体" w:hAnsi="宋体"/>
          <w:color w:val="auto"/>
          <w:sz w:val="24"/>
          <w:highlight w:val="none"/>
        </w:rPr>
        <w:t>如发现投标</w:t>
      </w:r>
      <w:r>
        <w:rPr>
          <w:rFonts w:hint="eastAsia" w:ascii="宋体" w:hAnsi="宋体"/>
          <w:color w:val="auto"/>
          <w:sz w:val="24"/>
          <w:highlight w:val="none"/>
        </w:rPr>
        <w:t>供应商</w:t>
      </w:r>
      <w:r>
        <w:rPr>
          <w:rFonts w:ascii="宋体" w:hAnsi="宋体"/>
          <w:color w:val="auto"/>
          <w:sz w:val="24"/>
          <w:highlight w:val="none"/>
        </w:rPr>
        <w:t>所提</w:t>
      </w:r>
      <w:r>
        <w:rPr>
          <w:rFonts w:hint="eastAsia" w:ascii="宋体" w:hAnsi="宋体"/>
          <w:color w:val="auto"/>
          <w:sz w:val="24"/>
          <w:highlight w:val="none"/>
        </w:rPr>
        <w:t>交</w:t>
      </w:r>
      <w:r>
        <w:rPr>
          <w:rFonts w:ascii="宋体" w:hAnsi="宋体"/>
          <w:color w:val="auto"/>
          <w:sz w:val="24"/>
          <w:highlight w:val="none"/>
        </w:rPr>
        <w:t>的资格证明材料不合法或</w:t>
      </w:r>
      <w:r>
        <w:rPr>
          <w:rFonts w:hint="eastAsia" w:ascii="宋体" w:hAnsi="宋体"/>
          <w:color w:val="auto"/>
          <w:sz w:val="24"/>
          <w:highlight w:val="none"/>
        </w:rPr>
        <w:t>与事实不符</w:t>
      </w:r>
      <w:r>
        <w:rPr>
          <w:rFonts w:ascii="宋体" w:hAnsi="宋体"/>
          <w:color w:val="auto"/>
          <w:sz w:val="24"/>
          <w:highlight w:val="none"/>
        </w:rPr>
        <w:t>，采购人可取消</w:t>
      </w:r>
      <w:r>
        <w:rPr>
          <w:rFonts w:hint="eastAsia" w:ascii="宋体" w:hAnsi="宋体"/>
          <w:color w:val="auto"/>
          <w:sz w:val="24"/>
          <w:highlight w:val="none"/>
        </w:rPr>
        <w:t>其</w:t>
      </w:r>
      <w:r>
        <w:rPr>
          <w:rFonts w:ascii="宋体" w:hAnsi="宋体"/>
          <w:color w:val="auto"/>
          <w:sz w:val="24"/>
          <w:highlight w:val="none"/>
        </w:rPr>
        <w:t>中标资格并追究投标</w:t>
      </w:r>
      <w:r>
        <w:rPr>
          <w:rFonts w:hint="eastAsia" w:ascii="宋体" w:hAnsi="宋体"/>
          <w:color w:val="auto"/>
          <w:sz w:val="24"/>
          <w:highlight w:val="none"/>
        </w:rPr>
        <w:t>供应商</w:t>
      </w:r>
      <w:r>
        <w:rPr>
          <w:rFonts w:ascii="宋体" w:hAnsi="宋体"/>
          <w:color w:val="auto"/>
          <w:sz w:val="24"/>
          <w:highlight w:val="none"/>
        </w:rPr>
        <w:t>的法律责任。</w:t>
      </w:r>
      <w:r>
        <w:rPr>
          <w:rFonts w:hint="eastAsia" w:ascii="宋体" w:hAnsi="宋体"/>
          <w:b/>
          <w:color w:val="auto"/>
          <w:sz w:val="24"/>
          <w:highlight w:val="none"/>
        </w:rPr>
        <w:t>如投标供应商提交的资格证明材料无法证明其符合招标文件规定的“投标供应商资格要求”的，则其</w:t>
      </w:r>
      <w:r>
        <w:rPr>
          <w:rFonts w:hint="eastAsia" w:ascii="宋体" w:hAnsi="宋体" w:cs="Arial"/>
          <w:b/>
          <w:color w:val="auto"/>
          <w:kern w:val="0"/>
          <w:sz w:val="24"/>
          <w:highlight w:val="none"/>
        </w:rPr>
        <w:t>资格审查不通过，按无效投标处理，并不进行后续评审。</w:t>
      </w:r>
    </w:p>
    <w:p w14:paraId="57633F98">
      <w:pPr>
        <w:spacing w:line="360" w:lineRule="auto"/>
        <w:ind w:firstLine="480" w:firstLineChars="200"/>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）资格审查通过的投标供应商，由</w:t>
      </w:r>
      <w:r>
        <w:rPr>
          <w:rFonts w:ascii="宋体" w:hAnsi="宋体" w:cs="Arial"/>
          <w:color w:val="auto"/>
          <w:kern w:val="0"/>
          <w:sz w:val="24"/>
          <w:highlight w:val="none"/>
        </w:rPr>
        <w:t>评标委员会对</w:t>
      </w:r>
      <w:r>
        <w:rPr>
          <w:rFonts w:hint="eastAsia" w:ascii="宋体" w:hAnsi="宋体" w:cs="Arial"/>
          <w:color w:val="auto"/>
          <w:kern w:val="0"/>
          <w:sz w:val="24"/>
          <w:highlight w:val="none"/>
        </w:rPr>
        <w:t>其商务与技术文件的符合性审查、商务技术评审；</w:t>
      </w:r>
    </w:p>
    <w:p w14:paraId="158B81BD">
      <w:pPr>
        <w:spacing w:line="360" w:lineRule="auto"/>
        <w:ind w:firstLine="480" w:firstLineChars="200"/>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5</w:t>
      </w:r>
      <w:r>
        <w:rPr>
          <w:rFonts w:hint="eastAsia" w:ascii="宋体" w:hAnsi="宋体" w:cs="Arial"/>
          <w:color w:val="auto"/>
          <w:kern w:val="0"/>
          <w:sz w:val="24"/>
          <w:highlight w:val="none"/>
        </w:rPr>
        <w:t>）第一阶段开标结束。</w:t>
      </w:r>
    </w:p>
    <w:p w14:paraId="23FCE922">
      <w:pPr>
        <w:spacing w:line="360" w:lineRule="auto"/>
        <w:ind w:firstLine="482" w:firstLineChars="200"/>
        <w:jc w:val="left"/>
        <w:rPr>
          <w:rFonts w:hint="eastAsia" w:ascii="宋体" w:hAnsi="宋体" w:cs="Arial"/>
          <w:b/>
          <w:color w:val="auto"/>
          <w:kern w:val="0"/>
          <w:sz w:val="24"/>
          <w:highlight w:val="none"/>
        </w:rPr>
      </w:pPr>
      <w:r>
        <w:rPr>
          <w:rFonts w:hint="eastAsia" w:ascii="宋体" w:hAnsi="宋体" w:cs="Arial"/>
          <w:b/>
          <w:color w:val="auto"/>
          <w:kern w:val="0"/>
          <w:sz w:val="24"/>
          <w:highlight w:val="none"/>
        </w:rPr>
        <w:t>3.2开标大会第二阶段</w:t>
      </w:r>
    </w:p>
    <w:p w14:paraId="38887D0B">
      <w:pPr>
        <w:spacing w:line="360" w:lineRule="auto"/>
        <w:ind w:firstLine="480" w:firstLineChars="200"/>
        <w:jc w:val="left"/>
        <w:rPr>
          <w:rFonts w:hint="eastAsia" w:ascii="宋体" w:hAnsi="宋体" w:cs="Arial"/>
          <w:color w:val="auto"/>
          <w:kern w:val="0"/>
          <w:sz w:val="24"/>
          <w:highlight w:val="none"/>
        </w:rPr>
      </w:pPr>
      <w:r>
        <w:rPr>
          <w:rFonts w:hint="eastAsia" w:ascii="宋体" w:hAnsi="宋体" w:cs="Arial"/>
          <w:color w:val="auto"/>
          <w:kern w:val="0"/>
          <w:sz w:val="24"/>
          <w:highlight w:val="none"/>
        </w:rPr>
        <w:t>（1）首先公布符合性审查、商务技术评审无效供应商名称及理由</w:t>
      </w:r>
      <w:r>
        <w:rPr>
          <w:rFonts w:ascii="宋体" w:hAnsi="宋体" w:cs="Arial"/>
          <w:color w:val="auto"/>
          <w:kern w:val="0"/>
          <w:sz w:val="24"/>
          <w:highlight w:val="none"/>
        </w:rPr>
        <w:t>；公布经商务技术评审</w:t>
      </w:r>
      <w:r>
        <w:rPr>
          <w:rFonts w:hint="eastAsia" w:ascii="宋体" w:hAnsi="宋体" w:cs="Arial"/>
          <w:color w:val="auto"/>
          <w:kern w:val="0"/>
          <w:sz w:val="24"/>
          <w:highlight w:val="none"/>
        </w:rPr>
        <w:t>后有效投标</w:t>
      </w:r>
      <w:r>
        <w:rPr>
          <w:rFonts w:ascii="宋体" w:hAnsi="宋体" w:cs="Arial"/>
          <w:color w:val="auto"/>
          <w:kern w:val="0"/>
          <w:sz w:val="24"/>
          <w:highlight w:val="none"/>
        </w:rPr>
        <w:t>供应商</w:t>
      </w:r>
      <w:r>
        <w:rPr>
          <w:rFonts w:hint="eastAsia" w:ascii="宋体" w:hAnsi="宋体" w:cs="Arial"/>
          <w:color w:val="auto"/>
          <w:kern w:val="0"/>
          <w:sz w:val="24"/>
          <w:highlight w:val="none"/>
        </w:rPr>
        <w:t>的</w:t>
      </w:r>
      <w:r>
        <w:rPr>
          <w:rFonts w:ascii="宋体" w:hAnsi="宋体" w:cs="Arial"/>
          <w:color w:val="auto"/>
          <w:kern w:val="0"/>
          <w:sz w:val="24"/>
          <w:highlight w:val="none"/>
        </w:rPr>
        <w:t>名单，同时公布</w:t>
      </w:r>
      <w:r>
        <w:rPr>
          <w:rFonts w:hint="eastAsia" w:ascii="宋体" w:hAnsi="宋体" w:cs="Arial"/>
          <w:color w:val="auto"/>
          <w:kern w:val="0"/>
          <w:sz w:val="24"/>
          <w:highlight w:val="none"/>
        </w:rPr>
        <w:t>其</w:t>
      </w:r>
      <w:r>
        <w:rPr>
          <w:rFonts w:ascii="宋体" w:hAnsi="宋体" w:cs="Arial"/>
          <w:color w:val="auto"/>
          <w:kern w:val="0"/>
          <w:sz w:val="24"/>
          <w:highlight w:val="none"/>
        </w:rPr>
        <w:t>商务技术</w:t>
      </w:r>
      <w:r>
        <w:rPr>
          <w:rFonts w:hint="eastAsia" w:ascii="宋体" w:hAnsi="宋体" w:cs="Arial"/>
          <w:color w:val="auto"/>
          <w:kern w:val="0"/>
          <w:sz w:val="24"/>
          <w:highlight w:val="none"/>
        </w:rPr>
        <w:t>部分</w:t>
      </w:r>
      <w:r>
        <w:rPr>
          <w:rFonts w:ascii="宋体" w:hAnsi="宋体" w:cs="Arial"/>
          <w:color w:val="auto"/>
          <w:kern w:val="0"/>
          <w:sz w:val="24"/>
          <w:highlight w:val="none"/>
        </w:rPr>
        <w:t>得分情况</w:t>
      </w:r>
      <w:r>
        <w:rPr>
          <w:rFonts w:hint="eastAsia" w:ascii="宋体" w:hAnsi="宋体" w:cs="Arial"/>
          <w:color w:val="auto"/>
          <w:kern w:val="0"/>
          <w:sz w:val="24"/>
          <w:highlight w:val="none"/>
        </w:rPr>
        <w:t>。</w:t>
      </w:r>
    </w:p>
    <w:p w14:paraId="6731D19B">
      <w:pPr>
        <w:spacing w:line="360" w:lineRule="auto"/>
        <w:ind w:firstLine="480" w:firstLineChars="200"/>
        <w:jc w:val="left"/>
        <w:rPr>
          <w:rFonts w:hint="eastAsia" w:ascii="宋体" w:hAnsi="宋体" w:cs="Arial"/>
          <w:color w:val="auto"/>
          <w:kern w:val="0"/>
          <w:sz w:val="24"/>
          <w:highlight w:val="none"/>
        </w:rPr>
      </w:pPr>
      <w:r>
        <w:rPr>
          <w:rFonts w:hint="eastAsia" w:ascii="宋体" w:hAnsi="宋体" w:cs="Arial"/>
          <w:color w:val="auto"/>
          <w:kern w:val="0"/>
          <w:sz w:val="24"/>
          <w:highlight w:val="none"/>
        </w:rPr>
        <w:t>（2）开启有效投标供应商的《报价文件》，供应商通过</w:t>
      </w:r>
      <w:r>
        <w:rPr>
          <w:rFonts w:ascii="宋体" w:hAnsi="宋体" w:cs="Arial"/>
          <w:color w:val="auto"/>
          <w:kern w:val="0"/>
          <w:sz w:val="24"/>
          <w:highlight w:val="none"/>
        </w:rPr>
        <w:t>政采云平台</w:t>
      </w:r>
      <w:r>
        <w:rPr>
          <w:rFonts w:hint="eastAsia" w:ascii="宋体" w:hAnsi="宋体" w:cs="Arial"/>
          <w:color w:val="auto"/>
          <w:kern w:val="0"/>
          <w:sz w:val="24"/>
          <w:highlight w:val="none"/>
        </w:rPr>
        <w:t>对</w:t>
      </w:r>
      <w:r>
        <w:rPr>
          <w:rFonts w:ascii="宋体" w:hAnsi="宋体" w:cs="Arial"/>
          <w:color w:val="auto"/>
          <w:kern w:val="0"/>
          <w:sz w:val="24"/>
          <w:highlight w:val="none"/>
        </w:rPr>
        <w:t>报价进行签字确认（不予确认的应说明理由，否则视为无异议）。唱标结束后，由评标委员会对报价的合理性、准确性等进行审查核实</w:t>
      </w:r>
      <w:r>
        <w:rPr>
          <w:rFonts w:hint="eastAsia" w:ascii="宋体" w:hAnsi="宋体" w:cs="Arial"/>
          <w:color w:val="auto"/>
          <w:kern w:val="0"/>
          <w:sz w:val="24"/>
          <w:highlight w:val="none"/>
        </w:rPr>
        <w:t>。</w:t>
      </w:r>
    </w:p>
    <w:p w14:paraId="7D431380">
      <w:pPr>
        <w:spacing w:line="360" w:lineRule="auto"/>
        <w:ind w:firstLine="480" w:firstLineChars="200"/>
        <w:jc w:val="left"/>
        <w:rPr>
          <w:rFonts w:hint="eastAsia" w:ascii="宋体" w:hAnsi="宋体" w:cs="Arial"/>
          <w:color w:val="auto"/>
          <w:kern w:val="0"/>
          <w:sz w:val="24"/>
          <w:highlight w:val="none"/>
        </w:rPr>
      </w:pPr>
      <w:r>
        <w:rPr>
          <w:rFonts w:hint="eastAsia" w:ascii="宋体" w:hAnsi="宋体" w:cs="Arial"/>
          <w:color w:val="auto"/>
          <w:kern w:val="0"/>
          <w:sz w:val="24"/>
          <w:highlight w:val="none"/>
        </w:rPr>
        <w:t>（3）评审结束后，公布中标（成交）候选供应商名单，及采购人最终确定中标或成交供应商名单的时间和公告方式等。</w:t>
      </w:r>
    </w:p>
    <w:p w14:paraId="115020CB">
      <w:pPr>
        <w:autoSpaceDE w:val="0"/>
        <w:autoSpaceDN w:val="0"/>
        <w:adjustRightInd w:val="0"/>
        <w:spacing w:line="360" w:lineRule="auto"/>
        <w:ind w:firstLine="482" w:firstLineChars="200"/>
        <w:rPr>
          <w:rFonts w:hint="eastAsia" w:asciiTheme="minorEastAsia" w:hAnsiTheme="minorEastAsia" w:eastAsiaTheme="minorEastAsia"/>
          <w:color w:val="auto"/>
          <w:sz w:val="24"/>
          <w:highlight w:val="none"/>
        </w:rPr>
      </w:pPr>
      <w:r>
        <w:rPr>
          <w:rFonts w:hint="eastAsia" w:ascii="宋体" w:hAnsi="宋体" w:cs="Arial"/>
          <w:b/>
          <w:color w:val="auto"/>
          <w:kern w:val="0"/>
          <w:sz w:val="24"/>
          <w:highlight w:val="none"/>
        </w:rPr>
        <w:t>特别说明：如遇“政府采购云平台”电子化开标或评审程序调整的，按调整后程序执行。</w:t>
      </w:r>
    </w:p>
    <w:p w14:paraId="4A06D8FF">
      <w:pPr>
        <w:pStyle w:val="23"/>
        <w:snapToGrid w:val="0"/>
        <w:spacing w:line="360" w:lineRule="auto"/>
        <w:ind w:firstLine="482" w:firstLineChars="200"/>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六、评标</w:t>
      </w:r>
    </w:p>
    <w:p w14:paraId="03BF92E5">
      <w:pPr>
        <w:pStyle w:val="23"/>
        <w:snapToGrid w:val="0"/>
        <w:spacing w:line="360" w:lineRule="auto"/>
        <w:ind w:left="479" w:leftChars="228"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14:paraId="67731004">
      <w:pPr>
        <w:pStyle w:val="23"/>
        <w:snapToGrid w:val="0"/>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评审代表共</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组成</w:t>
      </w:r>
      <w:r>
        <w:rPr>
          <w:rFonts w:hint="eastAsia" w:asciiTheme="minorEastAsia" w:hAnsiTheme="minorEastAsia" w:eastAsiaTheme="minorEastAsia"/>
          <w:color w:val="auto"/>
          <w:sz w:val="24"/>
          <w:highlight w:val="none"/>
        </w:rPr>
        <w:t>，其中，其中评审专家不少于成员总数的三分之二</w:t>
      </w:r>
      <w:r>
        <w:rPr>
          <w:rFonts w:asciiTheme="minorEastAsia" w:hAnsiTheme="minorEastAsia" w:eastAsiaTheme="minorEastAsia"/>
          <w:color w:val="auto"/>
          <w:sz w:val="24"/>
          <w:highlight w:val="none"/>
        </w:rPr>
        <w:t>。</w:t>
      </w:r>
    </w:p>
    <w:p w14:paraId="443A4577">
      <w:pPr>
        <w:pStyle w:val="23"/>
        <w:snapToGrid w:val="0"/>
        <w:spacing w:line="360" w:lineRule="auto"/>
        <w:ind w:left="479" w:leftChars="228"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14:paraId="0A87C22C">
      <w:pPr>
        <w:snapToGrid w:val="0"/>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14:paraId="1530C098">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14:paraId="0A5939F3">
      <w:pPr>
        <w:pStyle w:val="32"/>
        <w:spacing w:before="0" w:beforeAutospacing="0" w:after="0" w:afterAutospacing="0" w:line="360" w:lineRule="auto"/>
        <w:ind w:firstLine="482" w:firstLineChars="200"/>
        <w:jc w:val="both"/>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14:paraId="1C10D1A2">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C46E9B9">
      <w:pPr>
        <w:pStyle w:val="32"/>
        <w:spacing w:before="0" w:beforeAutospacing="0" w:after="0" w:afterAutospacing="0" w:line="360" w:lineRule="auto"/>
        <w:ind w:firstLine="482" w:firstLineChars="200"/>
        <w:jc w:val="both"/>
        <w:rPr>
          <w:rFonts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14:paraId="57814F0C">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14:paraId="16C26E55">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14:paraId="3C0F66BB">
      <w:pPr>
        <w:snapToGri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14:paraId="35E4E216">
      <w:pPr>
        <w:numPr>
          <w:ilvl w:val="255"/>
          <w:numId w:val="0"/>
        </w:numPr>
        <w:snapToGrid w:val="0"/>
        <w:spacing w:line="360" w:lineRule="auto"/>
        <w:ind w:firstLine="482" w:firstLineChars="200"/>
        <w:rPr>
          <w:rFonts w:hint="eastAsia"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4.得分确认及评审报告编写</w:t>
      </w:r>
    </w:p>
    <w:p w14:paraId="28C22AC7">
      <w:pPr>
        <w:pStyle w:val="23"/>
        <w:snapToGrid w:val="0"/>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14:paraId="3BEFE464">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14:paraId="7D19B0D5">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14:paraId="5DA1D9C8">
      <w:pPr>
        <w:numPr>
          <w:ilvl w:val="255"/>
          <w:numId w:val="0"/>
        </w:numPr>
        <w:snapToGrid w:val="0"/>
        <w:spacing w:line="360" w:lineRule="auto"/>
        <w:ind w:firstLine="482" w:firstLineChars="200"/>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14:paraId="252CB7FB">
      <w:pPr>
        <w:snapToGrid w:val="0"/>
        <w:spacing w:line="360" w:lineRule="auto"/>
        <w:ind w:firstLine="480" w:firstLineChars="200"/>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14:paraId="3F9AE85B">
      <w:pPr>
        <w:snapToGrid w:val="0"/>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14:paraId="34D0D289">
      <w:pPr>
        <w:snapToGri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4A29A5B0">
      <w:pPr>
        <w:pStyle w:val="23"/>
        <w:snapToGrid w:val="0"/>
        <w:spacing w:line="360" w:lineRule="auto"/>
        <w:ind w:left="479" w:leftChars="228"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14:paraId="3AC63B90">
      <w:pPr>
        <w:pStyle w:val="32"/>
        <w:spacing w:before="0" w:beforeAutospacing="0" w:after="0" w:afterAutospacing="0" w:line="360" w:lineRule="auto"/>
        <w:ind w:firstLine="480" w:firstLineChars="200"/>
        <w:jc w:val="both"/>
        <w:textAlignment w:val="baseline"/>
        <w:rPr>
          <w:rFonts w:cs="宋体"/>
          <w:color w:val="auto"/>
          <w:highlight w:val="none"/>
        </w:rPr>
      </w:pPr>
      <w:r>
        <w:rPr>
          <w:rFonts w:cs="宋体"/>
          <w:color w:val="auto"/>
          <w:highlight w:val="none"/>
        </w:rPr>
        <w:t>投标文件如果出现计算或表达上的错误，修正错误的原则如下：</w:t>
      </w:r>
    </w:p>
    <w:p w14:paraId="61E7C8FE">
      <w:pPr>
        <w:pStyle w:val="32"/>
        <w:spacing w:before="0" w:beforeAutospacing="0" w:after="0" w:afterAutospacing="0" w:line="360" w:lineRule="auto"/>
        <w:ind w:firstLine="480" w:firstLineChars="200"/>
        <w:jc w:val="both"/>
        <w:textAlignment w:val="baseline"/>
        <w:rPr>
          <w:rFonts w:cs="宋体"/>
          <w:color w:val="auto"/>
          <w:highlight w:val="none"/>
        </w:rPr>
      </w:pPr>
      <w:r>
        <w:rPr>
          <w:rFonts w:cs="宋体"/>
          <w:color w:val="auto"/>
          <w:highlight w:val="none"/>
        </w:rPr>
        <w:t>1.投标文件的大写金额和小写金额不一致的，以大写金额为准（大写金额明显错误的除外）；</w:t>
      </w:r>
    </w:p>
    <w:p w14:paraId="1416B5A2">
      <w:pPr>
        <w:pStyle w:val="32"/>
        <w:spacing w:before="0" w:beforeAutospacing="0" w:after="0" w:afterAutospacing="0" w:line="360" w:lineRule="auto"/>
        <w:ind w:firstLine="480" w:firstLineChars="200"/>
        <w:jc w:val="both"/>
        <w:textAlignment w:val="baseline"/>
        <w:rPr>
          <w:rFonts w:cs="宋体"/>
          <w:color w:val="auto"/>
          <w:highlight w:val="none"/>
        </w:rPr>
      </w:pPr>
      <w:r>
        <w:rPr>
          <w:rFonts w:cs="宋体"/>
          <w:color w:val="auto"/>
          <w:highlight w:val="none"/>
        </w:rPr>
        <w:t>2.对不同文字文本投标文件的解释发生异议的，以中文文本为准。</w:t>
      </w:r>
    </w:p>
    <w:p w14:paraId="4642B6E8">
      <w:pPr>
        <w:pStyle w:val="32"/>
        <w:spacing w:before="0" w:beforeAutospacing="0" w:after="0" w:afterAutospacing="0" w:line="360" w:lineRule="auto"/>
        <w:ind w:firstLine="480" w:firstLineChars="200"/>
        <w:jc w:val="both"/>
        <w:textAlignment w:val="baseline"/>
        <w:rPr>
          <w:rFonts w:cs="宋体"/>
          <w:color w:val="auto"/>
          <w:highlight w:val="none"/>
        </w:rPr>
      </w:pPr>
      <w:r>
        <w:rPr>
          <w:rFonts w:cs="宋体"/>
          <w:color w:val="auto"/>
          <w:highlight w:val="none"/>
        </w:rPr>
        <w:t>3.电子投标客户端填报的报价与报价要求响应文件中的开标一览表报价不一致的，以开标一览表为准，修正投标客户端报价。若投标客户端报价无法修正的，以投标客户端的开标一览表中的为准，调整开标一览表报价与报价明细清单，在规定时间内上传至投标客户端中需要澄清处；</w:t>
      </w:r>
    </w:p>
    <w:p w14:paraId="086FBED2">
      <w:pPr>
        <w:pStyle w:val="32"/>
        <w:spacing w:before="0" w:beforeAutospacing="0" w:after="0" w:afterAutospacing="0" w:line="360" w:lineRule="auto"/>
        <w:ind w:firstLine="480" w:firstLineChars="200"/>
        <w:jc w:val="both"/>
        <w:textAlignment w:val="baseline"/>
        <w:rPr>
          <w:rFonts w:cs="宋体"/>
          <w:color w:val="auto"/>
          <w:highlight w:val="none"/>
        </w:rPr>
      </w:pPr>
      <w:r>
        <w:rPr>
          <w:rFonts w:cs="宋体"/>
          <w:color w:val="auto"/>
          <w:highlight w:val="none"/>
        </w:rPr>
        <w:t>4.总价金额与按单价汇总金额不一致的，以单价金额计算结果为准；</w:t>
      </w:r>
    </w:p>
    <w:p w14:paraId="41F83E47">
      <w:pPr>
        <w:pStyle w:val="32"/>
        <w:spacing w:before="0" w:beforeAutospacing="0" w:after="0" w:afterAutospacing="0" w:line="360" w:lineRule="auto"/>
        <w:ind w:firstLine="480" w:firstLineChars="200"/>
        <w:jc w:val="both"/>
        <w:textAlignment w:val="baseline"/>
        <w:rPr>
          <w:rFonts w:cs="宋体"/>
          <w:color w:val="auto"/>
          <w:highlight w:val="none"/>
        </w:rPr>
      </w:pPr>
      <w:r>
        <w:rPr>
          <w:rFonts w:cs="宋体"/>
          <w:color w:val="auto"/>
          <w:highlight w:val="none"/>
        </w:rPr>
        <w:t>5.投标报价清单中的合计价和合计汇总不一致的，以合计价为准，修正合计汇总价；</w:t>
      </w:r>
    </w:p>
    <w:p w14:paraId="6B7A0846">
      <w:pPr>
        <w:pStyle w:val="32"/>
        <w:spacing w:before="0" w:beforeAutospacing="0" w:after="0" w:afterAutospacing="0" w:line="360" w:lineRule="auto"/>
        <w:ind w:firstLine="480" w:firstLineChars="200"/>
        <w:jc w:val="both"/>
        <w:textAlignment w:val="baseline"/>
        <w:rPr>
          <w:rFonts w:cs="宋体"/>
          <w:color w:val="auto"/>
          <w:highlight w:val="none"/>
        </w:rPr>
      </w:pPr>
      <w:r>
        <w:rPr>
          <w:rFonts w:cs="宋体"/>
          <w:color w:val="auto"/>
          <w:highlight w:val="none"/>
        </w:rPr>
        <w:t>6.开标一览表与报价明细表的合计价格不一致的，以开标一览表为准，修正报价明细表；</w:t>
      </w:r>
    </w:p>
    <w:p w14:paraId="439C6781">
      <w:pPr>
        <w:pStyle w:val="32"/>
        <w:spacing w:before="0" w:beforeAutospacing="0" w:after="0" w:afterAutospacing="0" w:line="360" w:lineRule="auto"/>
        <w:ind w:firstLine="480" w:firstLineChars="200"/>
        <w:jc w:val="both"/>
        <w:rPr>
          <w:rStyle w:val="43"/>
          <w:rFonts w:cs="宋体"/>
          <w:color w:val="auto"/>
          <w:sz w:val="20"/>
          <w:highlight w:val="none"/>
        </w:rPr>
      </w:pPr>
      <w:r>
        <w:rPr>
          <w:rFonts w:cs="宋体"/>
          <w:color w:val="auto"/>
          <w:highlight w:val="none"/>
        </w:rPr>
        <w:t>按上述修正错误的原则及方法调整或修正投标文件的投标报价，投标人同意并签字确认后，在规定时间内上传至投标客户端中需要澄清处，</w:t>
      </w:r>
      <w:r>
        <w:rPr>
          <w:color w:val="auto"/>
          <w:highlight w:val="none"/>
        </w:rPr>
        <w:fldChar w:fldCharType="begin"/>
      </w:r>
      <w:r>
        <w:rPr>
          <w:color w:val="auto"/>
          <w:highlight w:val="none"/>
        </w:rPr>
        <w:instrText xml:space="preserve"> HYPERLINK "mailto:1530866146@qq.com。调整后的投标报价对投标人具有约束作用。如果投标人不接受修正后的报价，则其投标将作为无效投标处理。" </w:instrText>
      </w:r>
      <w:r>
        <w:rPr>
          <w:color w:val="auto"/>
          <w:highlight w:val="none"/>
        </w:rPr>
        <w:fldChar w:fldCharType="separate"/>
      </w:r>
      <w:r>
        <w:rPr>
          <w:rStyle w:val="43"/>
          <w:rFonts w:cs="宋体"/>
          <w:color w:val="auto"/>
          <w:highlight w:val="none"/>
        </w:rPr>
        <w:t>调整后的投标报价对投标人具有约束作用。如果投标人不接受修正后的报价，则其投标将作为无效投标处理。</w:t>
      </w:r>
      <w:r>
        <w:rPr>
          <w:rStyle w:val="43"/>
          <w:rFonts w:cs="宋体"/>
          <w:color w:val="auto"/>
          <w:highlight w:val="none"/>
        </w:rPr>
        <w:fldChar w:fldCharType="end"/>
      </w:r>
    </w:p>
    <w:p w14:paraId="623BA64A">
      <w:pPr>
        <w:pStyle w:val="32"/>
        <w:spacing w:before="0" w:beforeAutospacing="0" w:after="0" w:afterAutospacing="0" w:line="360" w:lineRule="auto"/>
        <w:ind w:firstLine="482" w:firstLineChars="200"/>
        <w:jc w:val="both"/>
        <w:rPr>
          <w:rFonts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14:paraId="25674A56">
      <w:pPr>
        <w:pStyle w:val="32"/>
        <w:adjustRightInd w:val="0"/>
        <w:snapToGrid w:val="0"/>
        <w:spacing w:before="0" w:beforeAutospacing="0" w:after="0" w:afterAutospacing="0" w:line="360" w:lineRule="auto"/>
        <w:ind w:firstLine="480" w:firstLineChars="200"/>
        <w:jc w:val="both"/>
        <w:rPr>
          <w:rFonts w:asciiTheme="minorEastAsia" w:hAnsiTheme="minorEastAsia" w:eastAsiaTheme="minorEastAsia"/>
          <w:b/>
          <w:bCs/>
          <w:color w:val="auto"/>
          <w:highlight w:val="none"/>
        </w:rPr>
      </w:pPr>
      <w:r>
        <w:rPr>
          <w:rFonts w:asciiTheme="minorEastAsia" w:hAnsiTheme="minorEastAsia" w:eastAsiaTheme="minorEastAsia"/>
          <w:color w:val="auto"/>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069B9CD6">
      <w:pPr>
        <w:pStyle w:val="32"/>
        <w:tabs>
          <w:tab w:val="left" w:pos="7380"/>
        </w:tabs>
        <w:adjustRightInd w:val="0"/>
        <w:snapToGrid w:val="0"/>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14:paraId="1ADC7E2F">
      <w:pPr>
        <w:pStyle w:val="32"/>
        <w:adjustRightInd w:val="0"/>
        <w:snapToGrid w:val="0"/>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14:paraId="17E18CA5">
      <w:pPr>
        <w:adjustRightInd w:val="0"/>
        <w:snapToGrid w:val="0"/>
        <w:spacing w:line="360" w:lineRule="auto"/>
        <w:ind w:firstLine="480" w:firstLineChars="200"/>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14:paraId="42DD58ED">
      <w:pPr>
        <w:pStyle w:val="32"/>
        <w:adjustRightInd w:val="0"/>
        <w:snapToGrid w:val="0"/>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A964C6">
      <w:pPr>
        <w:pStyle w:val="32"/>
        <w:adjustRightInd w:val="0"/>
        <w:snapToGrid w:val="0"/>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14:paraId="3D8BD041">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14:paraId="37C11CAA">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14:paraId="06757170">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628D9AB2">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14:paraId="6D7483AA">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14:paraId="29EC0B44">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14:paraId="5F7908F1">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14:paraId="4158EC34">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14:paraId="0B6A5AE4">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　 10.不符合法律、法规和招标文件中规定的其他实质性要求的（招标文件</w:t>
      </w:r>
    </w:p>
    <w:p w14:paraId="0A2D81B2">
      <w:pPr>
        <w:tabs>
          <w:tab w:val="right" w:pos="8306"/>
        </w:tabs>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14:paraId="0ED54B3B">
      <w:pPr>
        <w:tabs>
          <w:tab w:val="right" w:pos="8306"/>
        </w:tabs>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11.仅提交“备份投标文件”或电子投标文件未按时完成解密，又未提供备份电子投标文件的。</w:t>
      </w:r>
    </w:p>
    <w:p w14:paraId="27B3C770">
      <w:pPr>
        <w:autoSpaceDE w:val="0"/>
        <w:autoSpaceDN w:val="0"/>
        <w:adjustRightInd w:val="0"/>
        <w:spacing w:line="360" w:lineRule="auto"/>
        <w:ind w:left="480" w:firstLine="482"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14:paraId="36F6E596">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14:paraId="38D2736D">
      <w:pPr>
        <w:pStyle w:val="32"/>
        <w:spacing w:before="0" w:beforeAutospacing="0" w:after="0" w:afterAutospacing="0" w:line="360" w:lineRule="auto"/>
        <w:ind w:firstLine="480" w:firstLineChars="200"/>
        <w:jc w:val="both"/>
        <w:rPr>
          <w:rFonts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14:paraId="7CA2DE75">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14:paraId="0F3D21BF">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14:paraId="37445DF3">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color w:val="auto"/>
          <w:highlight w:val="none"/>
        </w:rPr>
        <w:t>5.因电子交易平台故障无法登录、无法正常操作等导致平台无法正常运行，或者无法保证电子交易的公平、公正和安全时，采购组织机构可中止电子交易活动。</w:t>
      </w:r>
    </w:p>
    <w:p w14:paraId="54D50AA5">
      <w:pPr>
        <w:pStyle w:val="23"/>
        <w:tabs>
          <w:tab w:val="left" w:pos="630"/>
        </w:tabs>
        <w:snapToGrid w:val="0"/>
        <w:spacing w:line="360" w:lineRule="auto"/>
        <w:ind w:firstLine="472" w:firstLineChars="196"/>
        <w:rPr>
          <w:rFonts w:hint="eastAsia" w:asciiTheme="minorEastAsia" w:hAnsiTheme="minorEastAsia" w:eastAsiaTheme="minorEastAsia"/>
          <w:b/>
          <w:color w:val="auto"/>
          <w:sz w:val="24"/>
          <w:highlight w:val="none"/>
        </w:rPr>
      </w:pPr>
    </w:p>
    <w:p w14:paraId="0C062DD7">
      <w:pPr>
        <w:pStyle w:val="23"/>
        <w:tabs>
          <w:tab w:val="left" w:pos="630"/>
        </w:tabs>
        <w:snapToGrid w:val="0"/>
        <w:spacing w:line="360" w:lineRule="auto"/>
        <w:ind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14:paraId="64195909">
      <w:pPr>
        <w:pStyle w:val="23"/>
        <w:snapToGri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B79967F">
      <w:pPr>
        <w:pStyle w:val="23"/>
        <w:snapToGri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办</w:t>
      </w:r>
      <w:r>
        <w:rPr>
          <w:rFonts w:asciiTheme="minorEastAsia" w:hAnsiTheme="minorEastAsia" w:eastAsiaTheme="minorEastAsia"/>
          <w:color w:val="auto"/>
          <w:sz w:val="24"/>
          <w:highlight w:val="none"/>
        </w:rPr>
        <w:t>法及评分标准》。</w:t>
      </w:r>
    </w:p>
    <w:p w14:paraId="428F5303">
      <w:pPr>
        <w:pStyle w:val="23"/>
        <w:snapToGrid w:val="0"/>
        <w:spacing w:line="360" w:lineRule="auto"/>
        <w:ind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14:paraId="0F7081DE">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14:paraId="6A32EB13">
      <w:pPr>
        <w:pStyle w:val="32"/>
        <w:spacing w:before="0" w:beforeAutospacing="0" w:after="0" w:afterAutospacing="0" w:line="360" w:lineRule="auto"/>
        <w:ind w:firstLine="482" w:firstLineChars="200"/>
        <w:jc w:val="both"/>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14:paraId="3E713868">
      <w:pPr>
        <w:pStyle w:val="32"/>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评标委员会根据采购人的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88DB4F7">
      <w:pPr>
        <w:spacing w:line="360" w:lineRule="auto"/>
        <w:ind w:firstLine="480" w:firstLineChars="200"/>
        <w:rPr>
          <w:rFonts w:hint="eastAsia" w:ascii="宋体" w:hAnsi="宋体"/>
          <w:color w:val="auto"/>
          <w:kern w:val="0"/>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14:paraId="0F6430A4">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14:paraId="11AAACF1">
      <w:pPr>
        <w:spacing w:line="360" w:lineRule="auto"/>
        <w:ind w:firstLine="482" w:firstLineChars="200"/>
        <w:rPr>
          <w:rFonts w:hint="eastAsia" w:ascii="宋体" w:hAnsi="宋体"/>
          <w:color w:val="auto"/>
          <w:kern w:val="0"/>
          <w:sz w:val="24"/>
          <w:highlight w:val="none"/>
        </w:rPr>
      </w:pPr>
      <w:r>
        <w:rPr>
          <w:rFonts w:asciiTheme="minorEastAsia" w:hAnsiTheme="minorEastAsia" w:eastAsiaTheme="minorEastAsia"/>
          <w:b/>
          <w:color w:val="auto"/>
          <w:sz w:val="24"/>
          <w:highlight w:val="none"/>
        </w:rPr>
        <w:t>八、</w:t>
      </w:r>
      <w:r>
        <w:rPr>
          <w:rFonts w:hint="eastAsia" w:ascii="宋体" w:hAnsi="宋体"/>
          <w:b/>
          <w:color w:val="auto"/>
          <w:kern w:val="0"/>
          <w:sz w:val="24"/>
          <w:highlight w:val="none"/>
        </w:rPr>
        <w:t>合同签订及公告</w:t>
      </w:r>
    </w:p>
    <w:p w14:paraId="5BB95737">
      <w:pPr>
        <w:spacing w:line="360" w:lineRule="auto"/>
        <w:ind w:firstLine="482" w:firstLineChars="200"/>
        <w:rPr>
          <w:rFonts w:hint="eastAsia" w:ascii="宋体" w:hAnsi="宋体"/>
          <w:b/>
          <w:color w:val="auto"/>
          <w:kern w:val="0"/>
          <w:sz w:val="24"/>
          <w:highlight w:val="none"/>
        </w:rPr>
      </w:pPr>
      <w:r>
        <w:rPr>
          <w:rFonts w:hint="eastAsia" w:ascii="宋体" w:hAnsi="宋体"/>
          <w:b/>
          <w:color w:val="auto"/>
          <w:sz w:val="24"/>
          <w:highlight w:val="none"/>
        </w:rPr>
        <w:t>（一）签订合同</w:t>
      </w:r>
    </w:p>
    <w:p w14:paraId="7053C5A0">
      <w:pPr>
        <w:pStyle w:val="32"/>
        <w:spacing w:before="0" w:beforeAutospacing="0" w:after="0" w:afterAutospacing="0" w:line="360" w:lineRule="auto"/>
        <w:ind w:firstLine="480" w:firstLineChars="200"/>
        <w:jc w:val="both"/>
        <w:rPr>
          <w:color w:val="auto"/>
          <w:highlight w:val="none"/>
        </w:rPr>
      </w:pPr>
      <w:r>
        <w:rPr>
          <w:color w:val="auto"/>
          <w:highlight w:val="none"/>
        </w:rPr>
        <w:t>1.采购人应当自中标通知书发出之日起</w:t>
      </w:r>
      <w:r>
        <w:rPr>
          <w:rFonts w:hint="default"/>
          <w:color w:val="auto"/>
          <w:highlight w:val="none"/>
        </w:rPr>
        <w:t>30</w:t>
      </w:r>
      <w:r>
        <w:rPr>
          <w:color w:val="auto"/>
          <w:highlight w:val="none"/>
        </w:rPr>
        <w:t>日内，按照招标文件和中标人投标文件的规定，与中标人签订书面合同。所签订的合同不得对招标文件确定的事项和中标人投标文件作实质性修改。</w:t>
      </w:r>
    </w:p>
    <w:p w14:paraId="58D17380">
      <w:pPr>
        <w:pStyle w:val="32"/>
        <w:spacing w:before="0" w:beforeAutospacing="0" w:after="0" w:afterAutospacing="0" w:line="360" w:lineRule="auto"/>
        <w:ind w:firstLine="480" w:firstLineChars="200"/>
        <w:jc w:val="both"/>
        <w:rPr>
          <w:color w:val="auto"/>
          <w:highlight w:val="none"/>
        </w:rPr>
      </w:pPr>
      <w:r>
        <w:rPr>
          <w:color w:val="auto"/>
          <w:highlight w:val="none"/>
        </w:rPr>
        <w:t>2.采购人不得向中标人提出任何不合理的要求作为签订合同的条件。</w:t>
      </w:r>
    </w:p>
    <w:p w14:paraId="7648D063">
      <w:pPr>
        <w:pStyle w:val="32"/>
        <w:spacing w:before="0" w:beforeAutospacing="0" w:after="0" w:afterAutospacing="0" w:line="360" w:lineRule="auto"/>
        <w:ind w:firstLine="480" w:firstLineChars="200"/>
        <w:jc w:val="both"/>
        <w:rPr>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626F4C77">
      <w:pPr>
        <w:pStyle w:val="32"/>
        <w:spacing w:line="360" w:lineRule="auto"/>
        <w:ind w:firstLine="480" w:firstLineChars="200"/>
        <w:rPr>
          <w:rFonts w:cs="仿宋_GB2312"/>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14:paraId="62D55DA6">
      <w:pPr>
        <w:pStyle w:val="32"/>
        <w:spacing w:line="360" w:lineRule="auto"/>
        <w:ind w:firstLine="482" w:firstLineChars="200"/>
        <w:rPr>
          <w:rFonts w:cs="仿宋_GB2312"/>
          <w:b/>
          <w:color w:val="auto"/>
          <w:highlight w:val="none"/>
        </w:rPr>
      </w:pPr>
      <w:r>
        <w:rPr>
          <w:b/>
          <w:color w:val="auto"/>
          <w:highlight w:val="none"/>
        </w:rPr>
        <w:t>（二）合同公告及备案</w:t>
      </w:r>
    </w:p>
    <w:p w14:paraId="2E76A324">
      <w:pPr>
        <w:pStyle w:val="20"/>
        <w:spacing w:line="360" w:lineRule="auto"/>
        <w:ind w:left="0" w:leftChars="0" w:firstLine="480" w:firstLineChars="200"/>
        <w:jc w:val="left"/>
        <w:rPr>
          <w:rFonts w:hint="eastAsia"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185D5CE5">
      <w:pPr>
        <w:pStyle w:val="20"/>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14:paraId="5C792889">
      <w:pPr>
        <w:spacing w:line="360" w:lineRule="auto"/>
        <w:ind w:firstLine="560"/>
        <w:rPr>
          <w:rFonts w:hint="eastAsia" w:asciiTheme="minorEastAsia" w:hAnsiTheme="minorEastAsia" w:eastAsiaTheme="minorEastAsia"/>
          <w:b/>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8BB79E8">
      <w:pPr>
        <w:numPr>
          <w:ilvl w:val="0"/>
          <w:numId w:val="4"/>
        </w:numPr>
        <w:spacing w:line="360" w:lineRule="auto"/>
        <w:ind w:firstLine="723" w:firstLineChars="200"/>
        <w:jc w:val="cente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14:paraId="3B407D77">
      <w:pPr>
        <w:autoSpaceDE w:val="0"/>
        <w:autoSpaceDN w:val="0"/>
        <w:spacing w:line="360" w:lineRule="auto"/>
        <w:ind w:firstLine="480" w:firstLineChars="200"/>
        <w:rPr>
          <w:rFonts w:hint="eastAsia"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14:paraId="341A234F">
      <w:pPr>
        <w:autoSpaceDE w:val="0"/>
        <w:autoSpaceDN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二、本次招标项目的评标方法为综合评分法，总计100分。评标标准按以下</w:t>
      </w:r>
      <w:r>
        <w:rPr>
          <w:rFonts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highlight w:val="none"/>
        </w:rPr>
        <w:t>项内容及分值进行评审。</w:t>
      </w:r>
    </w:p>
    <w:tbl>
      <w:tblPr>
        <w:tblStyle w:val="36"/>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5"/>
        <w:gridCol w:w="5134"/>
      </w:tblGrid>
      <w:tr w14:paraId="46CF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jc w:val="center"/>
        </w:trPr>
        <w:tc>
          <w:tcPr>
            <w:tcW w:w="3365" w:type="dxa"/>
            <w:tcBorders>
              <w:tl2br w:val="single" w:color="auto" w:sz="4" w:space="0"/>
            </w:tcBorders>
          </w:tcPr>
          <w:p w14:paraId="69C968CF">
            <w:pPr>
              <w:autoSpaceDE w:val="0"/>
              <w:autoSpaceDN w:val="0"/>
              <w:adjustRightInd w:val="0"/>
              <w:spacing w:line="360" w:lineRule="auto"/>
              <w:ind w:firstLine="480" w:firstLineChars="200"/>
              <w:jc w:val="left"/>
              <w:rPr>
                <w:rFonts w:hint="eastAsia" w:ascii="宋体" w:hAnsi="宋体" w:cs="Arial"/>
                <w:color w:val="auto"/>
                <w:sz w:val="24"/>
                <w:highlight w:val="none"/>
              </w:rPr>
            </w:pPr>
            <w:r>
              <w:rPr>
                <w:rFonts w:hint="eastAsia" w:ascii="宋体" w:hAnsi="宋体" w:cs="Arial"/>
                <w:color w:val="auto"/>
                <w:sz w:val="24"/>
                <w:highlight w:val="none"/>
              </w:rPr>
              <w:t xml:space="preserve">          标段</w:t>
            </w:r>
          </w:p>
          <w:p w14:paraId="6EC6C89B">
            <w:pPr>
              <w:autoSpaceDE w:val="0"/>
              <w:autoSpaceDN w:val="0"/>
              <w:adjustRightInd w:val="0"/>
              <w:spacing w:line="360" w:lineRule="auto"/>
              <w:ind w:firstLine="480" w:firstLineChars="200"/>
              <w:jc w:val="left"/>
              <w:rPr>
                <w:rFonts w:hint="eastAsia" w:ascii="宋体" w:hAnsi="宋体" w:cs="Arial"/>
                <w:color w:val="auto"/>
                <w:sz w:val="24"/>
                <w:highlight w:val="none"/>
              </w:rPr>
            </w:pPr>
            <w:r>
              <w:rPr>
                <w:rFonts w:hint="eastAsia" w:ascii="宋体" w:hAnsi="宋体" w:cs="Arial"/>
                <w:color w:val="auto"/>
                <w:sz w:val="24"/>
                <w:highlight w:val="none"/>
              </w:rPr>
              <w:t>类别</w:t>
            </w:r>
          </w:p>
        </w:tc>
        <w:tc>
          <w:tcPr>
            <w:tcW w:w="5134" w:type="dxa"/>
            <w:vAlign w:val="center"/>
          </w:tcPr>
          <w:p w14:paraId="5B0AC25E">
            <w:pPr>
              <w:autoSpaceDE w:val="0"/>
              <w:autoSpaceDN w:val="0"/>
              <w:adjustRightInd w:val="0"/>
              <w:spacing w:line="360" w:lineRule="auto"/>
              <w:ind w:firstLine="482"/>
              <w:jc w:val="center"/>
              <w:rPr>
                <w:rFonts w:hint="eastAsia" w:ascii="宋体" w:hAnsi="宋体" w:cs="Arial"/>
                <w:color w:val="auto"/>
                <w:sz w:val="24"/>
                <w:highlight w:val="none"/>
              </w:rPr>
            </w:pPr>
            <w:r>
              <w:rPr>
                <w:rFonts w:ascii="宋体" w:hAnsi="宋体" w:cs="Arial"/>
                <w:color w:val="auto"/>
                <w:sz w:val="24"/>
                <w:highlight w:val="none"/>
              </w:rPr>
              <w:fldChar w:fldCharType="begin"/>
            </w:r>
            <w:r>
              <w:rPr>
                <w:rFonts w:hint="eastAsia" w:ascii="宋体" w:hAnsi="宋体" w:cs="Arial"/>
                <w:color w:val="auto"/>
                <w:sz w:val="24"/>
                <w:highlight w:val="none"/>
              </w:rPr>
              <w:instrText xml:space="preserve">= 1 \* CHINESENUM3</w:instrText>
            </w:r>
            <w:r>
              <w:rPr>
                <w:rFonts w:ascii="宋体" w:hAnsi="宋体" w:cs="Arial"/>
                <w:color w:val="auto"/>
                <w:sz w:val="24"/>
                <w:highlight w:val="none"/>
              </w:rPr>
              <w:fldChar w:fldCharType="separate"/>
            </w:r>
            <w:r>
              <w:rPr>
                <w:rFonts w:hint="eastAsia" w:ascii="宋体" w:hAnsi="宋体" w:cs="Arial"/>
                <w:color w:val="auto"/>
                <w:sz w:val="24"/>
                <w:highlight w:val="none"/>
              </w:rPr>
              <w:t>一</w:t>
            </w:r>
            <w:r>
              <w:rPr>
                <w:rFonts w:ascii="宋体" w:hAnsi="宋体" w:cs="Arial"/>
                <w:color w:val="auto"/>
                <w:sz w:val="24"/>
                <w:highlight w:val="none"/>
              </w:rPr>
              <w:fldChar w:fldCharType="end"/>
            </w:r>
          </w:p>
        </w:tc>
      </w:tr>
      <w:tr w14:paraId="1A49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365" w:type="dxa"/>
            <w:vAlign w:val="center"/>
          </w:tcPr>
          <w:p w14:paraId="1D5E6961">
            <w:pPr>
              <w:autoSpaceDE w:val="0"/>
              <w:autoSpaceDN w:val="0"/>
              <w:adjustRightInd w:val="0"/>
              <w:spacing w:line="360" w:lineRule="auto"/>
              <w:ind w:firstLine="482"/>
              <w:jc w:val="center"/>
              <w:rPr>
                <w:rFonts w:hint="eastAsia" w:ascii="宋体" w:hAnsi="宋体" w:cs="Arial"/>
                <w:color w:val="auto"/>
                <w:sz w:val="24"/>
                <w:highlight w:val="none"/>
              </w:rPr>
            </w:pPr>
            <w:r>
              <w:rPr>
                <w:rFonts w:hint="eastAsia" w:ascii="宋体" w:hAnsi="宋体"/>
                <w:color w:val="auto"/>
                <w:kern w:val="0"/>
                <w:sz w:val="24"/>
                <w:highlight w:val="none"/>
              </w:rPr>
              <w:t>商务</w:t>
            </w:r>
            <w:r>
              <w:rPr>
                <w:rFonts w:ascii="宋体" w:hAnsi="宋体"/>
                <w:color w:val="auto"/>
                <w:kern w:val="0"/>
                <w:sz w:val="24"/>
                <w:highlight w:val="none"/>
              </w:rPr>
              <w:t>与技术</w:t>
            </w:r>
          </w:p>
        </w:tc>
        <w:tc>
          <w:tcPr>
            <w:tcW w:w="5134" w:type="dxa"/>
            <w:vAlign w:val="center"/>
          </w:tcPr>
          <w:p w14:paraId="49FD6CF4">
            <w:pPr>
              <w:autoSpaceDE w:val="0"/>
              <w:autoSpaceDN w:val="0"/>
              <w:adjustRightInd w:val="0"/>
              <w:spacing w:line="360" w:lineRule="auto"/>
              <w:ind w:firstLine="482"/>
              <w:jc w:val="center"/>
              <w:rPr>
                <w:rFonts w:hint="eastAsia" w:ascii="宋体" w:hAnsi="宋体" w:cs="Arial"/>
                <w:color w:val="auto"/>
                <w:sz w:val="24"/>
                <w:highlight w:val="none"/>
              </w:rPr>
            </w:pPr>
            <w:r>
              <w:rPr>
                <w:rFonts w:hint="eastAsia" w:ascii="宋体" w:hAnsi="宋体" w:cs="Arial"/>
                <w:color w:val="auto"/>
                <w:sz w:val="24"/>
                <w:highlight w:val="none"/>
              </w:rPr>
              <w:t>70</w:t>
            </w:r>
          </w:p>
        </w:tc>
      </w:tr>
      <w:tr w14:paraId="171F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365" w:type="dxa"/>
            <w:vAlign w:val="center"/>
          </w:tcPr>
          <w:p w14:paraId="16B56C29">
            <w:pPr>
              <w:autoSpaceDE w:val="0"/>
              <w:autoSpaceDN w:val="0"/>
              <w:adjustRightInd w:val="0"/>
              <w:spacing w:line="360" w:lineRule="auto"/>
              <w:ind w:firstLine="482"/>
              <w:jc w:val="center"/>
              <w:rPr>
                <w:rFonts w:hint="eastAsia" w:ascii="宋体" w:hAnsi="宋体" w:cs="Arial"/>
                <w:color w:val="auto"/>
                <w:sz w:val="24"/>
                <w:highlight w:val="none"/>
              </w:rPr>
            </w:pPr>
            <w:r>
              <w:rPr>
                <w:rFonts w:hint="eastAsia" w:ascii="宋体" w:hAnsi="宋体"/>
                <w:color w:val="auto"/>
                <w:kern w:val="0"/>
                <w:sz w:val="24"/>
                <w:highlight w:val="none"/>
              </w:rPr>
              <w:t>价格</w:t>
            </w:r>
          </w:p>
        </w:tc>
        <w:tc>
          <w:tcPr>
            <w:tcW w:w="5134" w:type="dxa"/>
            <w:vAlign w:val="center"/>
          </w:tcPr>
          <w:p w14:paraId="49031A97">
            <w:pPr>
              <w:autoSpaceDE w:val="0"/>
              <w:autoSpaceDN w:val="0"/>
              <w:adjustRightInd w:val="0"/>
              <w:spacing w:line="360" w:lineRule="auto"/>
              <w:ind w:firstLine="482"/>
              <w:jc w:val="center"/>
              <w:rPr>
                <w:rFonts w:hint="eastAsia" w:ascii="宋体" w:hAnsi="宋体" w:cs="Arial"/>
                <w:color w:val="auto"/>
                <w:sz w:val="24"/>
                <w:highlight w:val="none"/>
              </w:rPr>
            </w:pPr>
            <w:r>
              <w:rPr>
                <w:rFonts w:hint="eastAsia" w:ascii="宋体" w:hAnsi="宋体" w:cs="Arial"/>
                <w:color w:val="auto"/>
                <w:sz w:val="24"/>
                <w:highlight w:val="none"/>
              </w:rPr>
              <w:t>30</w:t>
            </w:r>
          </w:p>
        </w:tc>
      </w:tr>
    </w:tbl>
    <w:p w14:paraId="3DFF0364">
      <w:pPr>
        <w:numPr>
          <w:ilvl w:val="0"/>
          <w:numId w:val="5"/>
        </w:numPr>
        <w:autoSpaceDE w:val="0"/>
        <w:autoSpaceDN w:val="0"/>
        <w:adjustRightInd w:val="0"/>
        <w:spacing w:line="360" w:lineRule="auto"/>
        <w:ind w:right="84" w:firstLine="480" w:firstLineChars="200"/>
        <w:rPr>
          <w:rFonts w:ascii="宋体"/>
          <w:bCs/>
          <w:color w:val="auto"/>
          <w:sz w:val="24"/>
          <w:highlight w:val="none"/>
          <w:lang w:val="zh-CN"/>
        </w:rPr>
      </w:pPr>
      <w:r>
        <w:rPr>
          <w:rFonts w:hint="eastAsia" w:ascii="宋体"/>
          <w:bCs/>
          <w:color w:val="auto"/>
          <w:sz w:val="24"/>
          <w:highlight w:val="none"/>
          <w:lang w:val="zh-CN"/>
        </w:rPr>
        <w:t>商务与技术文件由评标委员会独立打分。</w:t>
      </w:r>
    </w:p>
    <w:p w14:paraId="7B31DA48">
      <w:pPr>
        <w:numPr>
          <w:ilvl w:val="0"/>
          <w:numId w:val="5"/>
        </w:numPr>
        <w:autoSpaceDE w:val="0"/>
        <w:autoSpaceDN w:val="0"/>
        <w:adjustRightInd w:val="0"/>
        <w:spacing w:line="360" w:lineRule="auto"/>
        <w:ind w:right="84" w:firstLine="480" w:firstLineChars="200"/>
        <w:rPr>
          <w:rFonts w:ascii="宋体"/>
          <w:bCs/>
          <w:color w:val="auto"/>
          <w:sz w:val="24"/>
          <w:highlight w:val="none"/>
          <w:shd w:val="clear" w:color="FFFFFF" w:fill="D9D9D9"/>
          <w:lang w:val="zh-CN"/>
        </w:rPr>
      </w:pPr>
      <w:r>
        <w:rPr>
          <w:rFonts w:hint="eastAsia" w:ascii="宋体"/>
          <w:bCs/>
          <w:color w:val="auto"/>
          <w:sz w:val="24"/>
          <w:highlight w:val="none"/>
          <w:lang w:val="zh-CN"/>
        </w:rPr>
        <w:t>各投标人商务与技术文件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员的独立评分结果汇总后的算术平均分计算，计算公式为：</w:t>
      </w:r>
    </w:p>
    <w:p w14:paraId="428FFCE2">
      <w:pPr>
        <w:autoSpaceDE w:val="0"/>
        <w:autoSpaceDN w:val="0"/>
        <w:adjustRightInd w:val="0"/>
        <w:spacing w:line="360" w:lineRule="auto"/>
        <w:ind w:left="420" w:right="84" w:firstLine="480" w:firstLineChars="200"/>
        <w:rPr>
          <w:rFonts w:ascii="宋体"/>
          <w:bCs/>
          <w:color w:val="auto"/>
          <w:sz w:val="24"/>
          <w:highlight w:val="none"/>
          <w:lang w:val="zh-CN"/>
        </w:rPr>
      </w:pPr>
      <w:r>
        <w:rPr>
          <w:rFonts w:hint="eastAsia" w:ascii="宋体" w:hAnsi="宋体"/>
          <w:color w:val="auto"/>
          <w:sz w:val="24"/>
          <w:highlight w:val="none"/>
        </w:rPr>
        <w:t>商务与技术文件得分</w:t>
      </w:r>
      <w:r>
        <w:rPr>
          <w:rFonts w:hint="eastAsia" w:ascii="宋体"/>
          <w:bCs/>
          <w:color w:val="auto"/>
          <w:sz w:val="24"/>
          <w:highlight w:val="none"/>
          <w:lang w:val="zh-CN"/>
        </w:rPr>
        <w:t>=评标委员会所有成员评分合计数/评标委员会组成人员数。</w:t>
      </w:r>
    </w:p>
    <w:p w14:paraId="28E54657">
      <w:pPr>
        <w:numPr>
          <w:ilvl w:val="0"/>
          <w:numId w:val="5"/>
        </w:numPr>
        <w:autoSpaceDE w:val="0"/>
        <w:autoSpaceDN w:val="0"/>
        <w:adjustRightInd w:val="0"/>
        <w:spacing w:line="360" w:lineRule="auto"/>
        <w:ind w:right="84" w:firstLine="480" w:firstLineChars="200"/>
        <w:rPr>
          <w:rFonts w:ascii="宋体"/>
          <w:bCs/>
          <w:color w:val="auto"/>
          <w:sz w:val="24"/>
          <w:highlight w:val="none"/>
          <w:lang w:val="zh-CN"/>
        </w:rPr>
      </w:pPr>
      <w:r>
        <w:rPr>
          <w:rFonts w:hint="eastAsia" w:ascii="宋体"/>
          <w:bCs/>
          <w:color w:val="auto"/>
          <w:sz w:val="24"/>
          <w:highlight w:val="none"/>
          <w:lang w:val="zh-CN"/>
        </w:rPr>
        <w:t>投标报价得分采用低价优先法计算，即满足招标文件要求的最低投标报价为评标基准价，其报价得满分。其他投标人的投标报价得分按下列公式计算：</w:t>
      </w:r>
    </w:p>
    <w:p w14:paraId="7EC84215">
      <w:pPr>
        <w:autoSpaceDE w:val="0"/>
        <w:autoSpaceDN w:val="0"/>
        <w:adjustRightInd w:val="0"/>
        <w:spacing w:line="360" w:lineRule="auto"/>
        <w:ind w:left="420" w:right="84" w:firstLine="480" w:firstLineChars="200"/>
        <w:rPr>
          <w:rFonts w:ascii="宋体"/>
          <w:bCs/>
          <w:color w:val="auto"/>
          <w:sz w:val="24"/>
          <w:highlight w:val="none"/>
          <w:lang w:val="zh-CN"/>
        </w:rPr>
      </w:pPr>
      <w:r>
        <w:rPr>
          <w:rFonts w:hint="eastAsia"/>
          <w:color w:val="auto"/>
          <w:sz w:val="24"/>
          <w:highlight w:val="none"/>
        </w:rPr>
        <w:t>投标报价得</w:t>
      </w:r>
      <w:r>
        <w:rPr>
          <w:color w:val="auto"/>
          <w:sz w:val="24"/>
          <w:highlight w:val="none"/>
        </w:rPr>
        <w:t>分=(评标基准价／</w:t>
      </w:r>
      <w:r>
        <w:rPr>
          <w:rFonts w:hint="eastAsia" w:ascii="宋体" w:hAnsi="宋体" w:cs="宋体"/>
          <w:color w:val="auto"/>
          <w:sz w:val="24"/>
          <w:highlight w:val="none"/>
        </w:rPr>
        <w:t>投标报价</w:t>
      </w:r>
      <w:r>
        <w:rPr>
          <w:rFonts w:ascii="宋体" w:hAnsi="宋体"/>
          <w:color w:val="auto"/>
          <w:sz w:val="24"/>
          <w:highlight w:val="none"/>
        </w:rPr>
        <w:t>)×</w:t>
      </w:r>
      <w:r>
        <w:rPr>
          <w:rFonts w:hint="eastAsia" w:ascii="宋体" w:hAnsi="宋体"/>
          <w:color w:val="auto"/>
          <w:sz w:val="24"/>
          <w:highlight w:val="none"/>
        </w:rPr>
        <w:t>30%</w:t>
      </w:r>
      <w:r>
        <w:rPr>
          <w:rFonts w:ascii="宋体" w:hAnsi="宋体"/>
          <w:color w:val="auto"/>
          <w:sz w:val="24"/>
          <w:highlight w:val="none"/>
        </w:rPr>
        <w:t>×100</w:t>
      </w:r>
      <w:r>
        <w:rPr>
          <w:rFonts w:hint="eastAsia" w:ascii="宋体" w:hAnsi="宋体"/>
          <w:color w:val="auto"/>
          <w:sz w:val="24"/>
          <w:highlight w:val="none"/>
        </w:rPr>
        <w:t xml:space="preserve"> 。</w:t>
      </w:r>
    </w:p>
    <w:p w14:paraId="3369233A">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hAnsi="宋体" w:cs="宋体"/>
          <w:color w:val="auto"/>
          <w:sz w:val="24"/>
          <w:highlight w:val="none"/>
          <w:shd w:val="clear" w:color="auto" w:fill="FFFFFF"/>
        </w:rPr>
        <w:t>可享受价格评审优惠政策。</w:t>
      </w:r>
      <w:r>
        <w:rPr>
          <w:rFonts w:hint="eastAsia" w:ascii="宋体" w:hAnsi="宋体" w:cs="宋体"/>
          <w:color w:val="auto"/>
          <w:sz w:val="24"/>
          <w:highlight w:val="none"/>
          <w:lang w:val="zh-CN"/>
        </w:rPr>
        <w:t>小微企业投标应提供《中小企业声明函》（见附件），如投标人提供其他小微企业制造的货物，应同时在《中小企业声明函》中明确相关标的物的制造商信息；（2）监狱企业参加政府采购活动时，应当提供由省级以上监狱管理局、戒毒管理局（含新疆生产建设兵团）出具的属于监狱企业的证明文件，视同小型、微型企业，享受小微企业政府采购优惠政策；（3）残疾人福利性单位在参加政府采购活动时，应提供《残疾人福利性单位声明函》（见附件），视同小型、微型企业，享受小微企业政府采购优惠政策。</w:t>
      </w:r>
    </w:p>
    <w:p w14:paraId="597D3A17">
      <w:pPr>
        <w:autoSpaceDE w:val="0"/>
        <w:autoSpaceDN w:val="0"/>
        <w:adjustRightInd w:val="0"/>
        <w:spacing w:line="360" w:lineRule="auto"/>
        <w:ind w:right="85"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具体优惠：经评标委员会核实后，对于小型微型企业的报价给予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%的扣除，用扣除后的价格计算评标基准价和投标报价。同一投标人，小微企业、监狱企业、残疾人福利性单位价格扣除优惠只享受一次，不得重复享受。</w:t>
      </w:r>
    </w:p>
    <w:p w14:paraId="36F217B5">
      <w:pPr>
        <w:autoSpaceDE w:val="0"/>
        <w:autoSpaceDN w:val="0"/>
        <w:adjustRightInd w:val="0"/>
        <w:spacing w:line="360" w:lineRule="auto"/>
        <w:ind w:right="85"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注：得分以系统计算为准，保留2位小数。</w:t>
      </w:r>
    </w:p>
    <w:p w14:paraId="24948922">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三、在最大限度地满足招标文件实质性要求前提下，评标委员会按照招标文件中规定的各项因素进行综合评审后以评标总得分最高的投标人为中标候选人。</w:t>
      </w:r>
    </w:p>
    <w:p w14:paraId="715D9E03">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四、如综合得分相同，投标报价低者为先；如综合得分且投标报价相同的，货物类采购项目以技术性能得分较高者为先。</w:t>
      </w:r>
    </w:p>
    <w:p w14:paraId="468DA6F6">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五、提供相同品牌核心产品的不同投标人参加同一合同项下投标的，按一家供应商认定：评审后得分最高的同品牌投标人获得成交供应商推荐资格；评审得分相同的，由评标委员会集体推荐一个投标人作为中标候选人，其他同品牌投标人不作为中标候选人。</w:t>
      </w:r>
    </w:p>
    <w:p w14:paraId="185B18F4">
      <w:pPr>
        <w:spacing w:line="360" w:lineRule="auto"/>
        <w:ind w:firstLine="480" w:firstLineChars="200"/>
        <w:textAlignment w:val="baseline"/>
        <w:rPr>
          <w:rFonts w:hint="eastAsia" w:ascii="宋体" w:hAnsi="宋体" w:cs="新宋体"/>
          <w:color w:val="auto"/>
          <w:sz w:val="24"/>
          <w:highlight w:val="none"/>
        </w:rPr>
      </w:pPr>
      <w:r>
        <w:rPr>
          <w:rFonts w:hint="eastAsia" w:asciiTheme="minorEastAsia" w:hAnsiTheme="minorEastAsia" w:eastAsiaTheme="minorEastAsia"/>
          <w:color w:val="auto"/>
          <w:kern w:val="0"/>
          <w:sz w:val="24"/>
          <w:highlight w:val="none"/>
          <w:lang w:eastAsia="zh-CN"/>
        </w:rPr>
        <w:t>六</w:t>
      </w:r>
      <w:r>
        <w:rPr>
          <w:rFonts w:hint="eastAsia" w:asciiTheme="minorEastAsia" w:hAnsiTheme="minorEastAsia" w:eastAsiaTheme="minorEastAsia"/>
          <w:color w:val="auto"/>
          <w:kern w:val="0"/>
          <w:sz w:val="24"/>
          <w:highlight w:val="none"/>
        </w:rPr>
        <w:t>、本次评分具体分值细化条款</w:t>
      </w:r>
      <w:r>
        <w:rPr>
          <w:rFonts w:hint="eastAsia" w:ascii="宋体" w:hAnsi="宋体" w:cs="新宋体"/>
          <w:color w:val="auto"/>
          <w:sz w:val="24"/>
          <w:highlight w:val="none"/>
        </w:rPr>
        <w:t>如下表：</w:t>
      </w:r>
    </w:p>
    <w:tbl>
      <w:tblPr>
        <w:tblStyle w:val="36"/>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328"/>
        <w:gridCol w:w="6197"/>
        <w:gridCol w:w="824"/>
      </w:tblGrid>
      <w:tr w14:paraId="45EE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shd w:val="clear" w:color="000000" w:fill="D8D8D8"/>
            <w:vAlign w:val="center"/>
          </w:tcPr>
          <w:p w14:paraId="18F7BE1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评分项目</w:t>
            </w:r>
          </w:p>
        </w:tc>
        <w:tc>
          <w:tcPr>
            <w:tcW w:w="7525" w:type="dxa"/>
            <w:gridSpan w:val="2"/>
            <w:shd w:val="clear" w:color="000000" w:fill="D8D8D8"/>
            <w:vAlign w:val="center"/>
          </w:tcPr>
          <w:p w14:paraId="56E1D0F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评分细则</w:t>
            </w:r>
          </w:p>
        </w:tc>
        <w:tc>
          <w:tcPr>
            <w:tcW w:w="824" w:type="dxa"/>
            <w:shd w:val="clear" w:color="000000" w:fill="D8D8D8"/>
            <w:vAlign w:val="center"/>
          </w:tcPr>
          <w:p w14:paraId="4041F3BD">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r>
      <w:tr w14:paraId="2A76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shd w:val="clear" w:color="auto" w:fill="auto"/>
            <w:vAlign w:val="center"/>
          </w:tcPr>
          <w:p w14:paraId="527A34C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需求分析与理解</w:t>
            </w:r>
          </w:p>
          <w:p w14:paraId="772D6906">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（2分）</w:t>
            </w:r>
          </w:p>
        </w:tc>
        <w:tc>
          <w:tcPr>
            <w:tcW w:w="7525" w:type="dxa"/>
            <w:gridSpan w:val="2"/>
            <w:shd w:val="clear" w:color="auto" w:fill="auto"/>
            <w:vAlign w:val="center"/>
          </w:tcPr>
          <w:p w14:paraId="028453F5">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投标供应商阐述对本项目的业务需求的理解，对项目功能需求、建设目标、重难点进行分析，评标委员会根据投标供应商对项目的需求理解程度综合打分：</w:t>
            </w:r>
          </w:p>
          <w:p w14:paraId="516F2967">
            <w:pPr>
              <w:widowControl/>
              <w:rPr>
                <w:rFonts w:ascii="宋体" w:hAnsi="宋体" w:cs="宋体"/>
                <w:color w:val="auto"/>
                <w:kern w:val="0"/>
                <w:sz w:val="24"/>
                <w:highlight w:val="none"/>
              </w:rPr>
            </w:pPr>
            <w:r>
              <w:rPr>
                <w:rFonts w:hint="eastAsia" w:ascii="宋体" w:hAnsi="宋体" w:cs="宋体"/>
                <w:color w:val="auto"/>
                <w:kern w:val="0"/>
                <w:sz w:val="24"/>
                <w:highlight w:val="none"/>
              </w:rPr>
              <w:t>对本项目业务需求理解全面，分析全面、准确、深入，内容符合实际情况和招标文件提出的要求，得2分；</w:t>
            </w:r>
          </w:p>
          <w:p w14:paraId="69914600">
            <w:pPr>
              <w:widowControl/>
              <w:rPr>
                <w:rFonts w:ascii="宋体" w:hAnsi="宋体" w:cs="宋体"/>
                <w:color w:val="auto"/>
                <w:kern w:val="0"/>
                <w:sz w:val="24"/>
                <w:highlight w:val="none"/>
              </w:rPr>
            </w:pPr>
            <w:r>
              <w:rPr>
                <w:rFonts w:hint="eastAsia" w:ascii="宋体" w:hAnsi="宋体" w:cs="宋体"/>
                <w:color w:val="auto"/>
                <w:kern w:val="0"/>
                <w:sz w:val="24"/>
                <w:highlight w:val="none"/>
              </w:rPr>
              <w:t>对本项目业务需求较为了解，分析较全面，内容较合理，基本符合实际情况和招标文件提出的要求，得1分；</w:t>
            </w:r>
          </w:p>
          <w:p w14:paraId="43506B50">
            <w:pPr>
              <w:widowControl/>
              <w:rPr>
                <w:color w:val="auto"/>
                <w:highlight w:val="none"/>
              </w:rPr>
            </w:pPr>
            <w:r>
              <w:rPr>
                <w:rFonts w:hint="eastAsia" w:ascii="宋体" w:hAnsi="宋体" w:cs="宋体"/>
                <w:color w:val="auto"/>
                <w:kern w:val="0"/>
                <w:sz w:val="24"/>
                <w:highlight w:val="none"/>
              </w:rPr>
              <w:t>对项目情况不了解，分析内容背离实际情况、无针对性，合理性较差，未提供或无实质性内容不得分。</w:t>
            </w:r>
          </w:p>
        </w:tc>
        <w:tc>
          <w:tcPr>
            <w:tcW w:w="824" w:type="dxa"/>
            <w:shd w:val="clear" w:color="auto" w:fill="auto"/>
            <w:vAlign w:val="center"/>
          </w:tcPr>
          <w:p w14:paraId="6A3B2C1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3EAB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1" w:type="dxa"/>
            <w:shd w:val="clear" w:color="auto" w:fill="auto"/>
            <w:vAlign w:val="center"/>
          </w:tcPr>
          <w:p w14:paraId="008D4D2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技术方案</w:t>
            </w:r>
          </w:p>
          <w:p w14:paraId="31633DD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ascii="宋体" w:hAnsi="宋体" w:cs="宋体"/>
                <w:b/>
                <w:bCs/>
                <w:color w:val="auto"/>
                <w:kern w:val="0"/>
                <w:sz w:val="24"/>
                <w:highlight w:val="none"/>
              </w:rPr>
              <w:t>4</w:t>
            </w:r>
            <w:r>
              <w:rPr>
                <w:rFonts w:hint="eastAsia" w:ascii="宋体" w:hAnsi="宋体" w:cs="宋体"/>
                <w:b/>
                <w:bCs/>
                <w:color w:val="auto"/>
                <w:kern w:val="0"/>
                <w:sz w:val="24"/>
                <w:highlight w:val="none"/>
              </w:rPr>
              <w:t>分）</w:t>
            </w:r>
          </w:p>
        </w:tc>
        <w:tc>
          <w:tcPr>
            <w:tcW w:w="7525" w:type="dxa"/>
            <w:gridSpan w:val="2"/>
            <w:shd w:val="clear" w:color="auto" w:fill="auto"/>
            <w:vAlign w:val="center"/>
          </w:tcPr>
          <w:p w14:paraId="58A54CCC">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阐述的项目各系统需求响应方案内容进行评分，包括海防垂起固定翼智能无人机系统方案、海防长航时油电混合垂起无人机系统方案、无人机智控系统方案、弱网增强系统方案、除雾增强系统方案、系统安全等级响应方案、“密评”方案和第三方软件检测方案。</w:t>
            </w:r>
          </w:p>
          <w:p w14:paraId="109489B9">
            <w:pPr>
              <w:widowControl/>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技术方案和思路全面详尽、专业性强，在实际使用过程中成熟度和评价度高的</w:t>
            </w:r>
            <w:r>
              <w:rPr>
                <w:rFonts w:hint="eastAsia" w:ascii="宋体" w:hAnsi="宋体" w:eastAsia="宋体" w:cs="宋体"/>
                <w:color w:val="auto"/>
                <w:kern w:val="0"/>
                <w:sz w:val="24"/>
                <w:highlight w:val="none"/>
                <w:lang w:val="en-US" w:eastAsia="zh-CN"/>
              </w:rPr>
              <w:t>得3-4</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p>
          <w:p w14:paraId="4FB3D327">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技术方案和思路</w:t>
            </w:r>
            <w:r>
              <w:rPr>
                <w:rFonts w:hint="eastAsia" w:ascii="宋体" w:hAnsi="宋体" w:eastAsia="宋体" w:cs="宋体"/>
                <w:color w:val="auto"/>
                <w:kern w:val="0"/>
                <w:sz w:val="24"/>
                <w:highlight w:val="none"/>
                <w:lang w:eastAsia="zh-CN"/>
              </w:rPr>
              <w:t>稍欠，</w:t>
            </w:r>
            <w:r>
              <w:rPr>
                <w:rFonts w:hint="eastAsia" w:ascii="宋体" w:hAnsi="宋体" w:eastAsia="宋体" w:cs="宋体"/>
                <w:color w:val="auto"/>
                <w:kern w:val="0"/>
                <w:sz w:val="24"/>
                <w:highlight w:val="none"/>
                <w:lang w:val="en-US" w:eastAsia="zh-CN"/>
              </w:rPr>
              <w:t>专业性一般，</w:t>
            </w:r>
            <w:r>
              <w:rPr>
                <w:rFonts w:hint="eastAsia" w:ascii="宋体" w:hAnsi="宋体" w:eastAsia="宋体" w:cs="宋体"/>
                <w:color w:val="auto"/>
                <w:kern w:val="0"/>
                <w:sz w:val="24"/>
                <w:highlight w:val="none"/>
              </w:rPr>
              <w:t>在实际使用过程中成熟度和评价度稍欠的</w:t>
            </w:r>
            <w:r>
              <w:rPr>
                <w:rFonts w:hint="eastAsia" w:ascii="宋体" w:hAnsi="宋体" w:eastAsia="宋体" w:cs="宋体"/>
                <w:color w:val="auto"/>
                <w:kern w:val="0"/>
                <w:sz w:val="24"/>
                <w:highlight w:val="none"/>
                <w:lang w:val="en-US" w:eastAsia="zh-CN"/>
              </w:rPr>
              <w:t>得2-3分；</w:t>
            </w:r>
          </w:p>
          <w:p w14:paraId="6AED92E1">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技术方案和思路</w:t>
            </w:r>
            <w:r>
              <w:rPr>
                <w:rFonts w:hint="eastAsia" w:ascii="宋体" w:hAnsi="宋体" w:eastAsia="宋体" w:cs="宋体"/>
                <w:color w:val="auto"/>
                <w:kern w:val="0"/>
                <w:sz w:val="24"/>
                <w:highlight w:val="none"/>
                <w:lang w:eastAsia="zh-CN"/>
              </w:rPr>
              <w:t>片面</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专业性不强，</w:t>
            </w:r>
            <w:r>
              <w:rPr>
                <w:rFonts w:hint="eastAsia" w:ascii="宋体" w:hAnsi="宋体" w:eastAsia="宋体" w:cs="宋体"/>
                <w:color w:val="auto"/>
                <w:kern w:val="0"/>
                <w:sz w:val="24"/>
                <w:highlight w:val="none"/>
              </w:rPr>
              <w:t>在实际使用过程中成熟度和评价度</w:t>
            </w:r>
            <w:r>
              <w:rPr>
                <w:rFonts w:hint="eastAsia" w:ascii="宋体" w:hAnsi="宋体" w:eastAsia="宋体" w:cs="宋体"/>
                <w:color w:val="auto"/>
                <w:kern w:val="0"/>
                <w:sz w:val="24"/>
                <w:highlight w:val="none"/>
                <w:lang w:eastAsia="zh-CN"/>
              </w:rPr>
              <w:t>不高</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得1-2分；</w:t>
            </w:r>
          </w:p>
          <w:p w14:paraId="7BDDB089">
            <w:pPr>
              <w:widowControl/>
              <w:rPr>
                <w:rFonts w:hint="default" w:ascii="宋体" w:hAnsi="宋体" w:cs="宋体"/>
                <w:color w:val="auto"/>
                <w:kern w:val="0"/>
                <w:highlight w:val="none"/>
                <w:lang w:val="en-US" w:eastAsia="zh-CN"/>
              </w:rPr>
            </w:pPr>
            <w:r>
              <w:rPr>
                <w:rFonts w:hint="eastAsia" w:ascii="宋体" w:hAnsi="宋体" w:eastAsia="宋体" w:cs="宋体"/>
                <w:color w:val="auto"/>
                <w:kern w:val="0"/>
                <w:sz w:val="24"/>
                <w:highlight w:val="none"/>
              </w:rPr>
              <w:t>未提供或无实质性内容不得分。</w:t>
            </w:r>
          </w:p>
        </w:tc>
        <w:tc>
          <w:tcPr>
            <w:tcW w:w="824" w:type="dxa"/>
            <w:shd w:val="clear" w:color="auto" w:fill="auto"/>
            <w:vAlign w:val="center"/>
          </w:tcPr>
          <w:p w14:paraId="6F57ED4B">
            <w:pPr>
              <w:widowControl/>
              <w:jc w:val="center"/>
              <w:rPr>
                <w:rFonts w:ascii="宋体" w:hAnsi="宋体" w:cs="宋体"/>
                <w:color w:val="auto"/>
                <w:kern w:val="0"/>
                <w:sz w:val="24"/>
                <w:highlight w:val="none"/>
              </w:rPr>
            </w:pPr>
            <w:r>
              <w:rPr>
                <w:rFonts w:ascii="宋体" w:hAnsi="宋体" w:cs="宋体"/>
                <w:color w:val="auto"/>
                <w:kern w:val="0"/>
                <w:sz w:val="24"/>
                <w:highlight w:val="none"/>
              </w:rPr>
              <w:t>4</w:t>
            </w:r>
          </w:p>
        </w:tc>
      </w:tr>
      <w:tr w14:paraId="2D5C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1" w:type="dxa"/>
            <w:vMerge w:val="restart"/>
            <w:shd w:val="clear" w:color="auto" w:fill="auto"/>
            <w:vAlign w:val="center"/>
          </w:tcPr>
          <w:p w14:paraId="47DF150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集成方案</w:t>
            </w:r>
          </w:p>
          <w:p w14:paraId="6599786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ascii="宋体" w:hAnsi="宋体" w:cs="宋体"/>
                <w:b/>
                <w:bCs/>
                <w:color w:val="auto"/>
                <w:kern w:val="0"/>
                <w:sz w:val="24"/>
                <w:highlight w:val="none"/>
              </w:rPr>
              <w:t>6</w:t>
            </w:r>
            <w:r>
              <w:rPr>
                <w:rFonts w:hint="eastAsia" w:ascii="宋体" w:hAnsi="宋体" w:cs="宋体"/>
                <w:b/>
                <w:bCs/>
                <w:color w:val="auto"/>
                <w:kern w:val="0"/>
                <w:sz w:val="24"/>
                <w:highlight w:val="none"/>
                <w:lang w:val="en-US" w:eastAsia="zh-CN"/>
              </w:rPr>
              <w:t>分</w:t>
            </w:r>
            <w:r>
              <w:rPr>
                <w:rFonts w:hint="eastAsia" w:ascii="宋体" w:hAnsi="宋体" w:cs="宋体"/>
                <w:b/>
                <w:bCs/>
                <w:color w:val="auto"/>
                <w:kern w:val="0"/>
                <w:sz w:val="24"/>
                <w:highlight w:val="none"/>
              </w:rPr>
              <w:t>）</w:t>
            </w:r>
          </w:p>
        </w:tc>
        <w:tc>
          <w:tcPr>
            <w:tcW w:w="7525" w:type="dxa"/>
            <w:gridSpan w:val="2"/>
            <w:shd w:val="clear" w:color="auto" w:fill="auto"/>
            <w:vAlign w:val="center"/>
          </w:tcPr>
          <w:p w14:paraId="634C49F5">
            <w:pPr>
              <w:pStyle w:val="118"/>
              <w:rPr>
                <w:rFonts w:ascii="宋体" w:hAnsi="宋体" w:cs="宋体"/>
                <w:color w:val="auto"/>
                <w:kern w:val="0"/>
                <w:highlight w:val="none"/>
              </w:rPr>
            </w:pPr>
          </w:p>
          <w:p w14:paraId="1E2FF65B">
            <w:pPr>
              <w:pStyle w:val="118"/>
              <w:rPr>
                <w:rFonts w:hint="eastAsia" w:ascii="宋体" w:hAnsi="宋体" w:cs="宋体"/>
                <w:color w:val="auto"/>
                <w:kern w:val="0"/>
                <w:highlight w:val="none"/>
              </w:rPr>
            </w:pPr>
            <w:r>
              <w:rPr>
                <w:rFonts w:hint="eastAsia" w:ascii="宋体" w:hAnsi="宋体" w:cs="宋体"/>
                <w:color w:val="auto"/>
                <w:kern w:val="0"/>
                <w:highlight w:val="none"/>
              </w:rPr>
              <w:t>对本项目海上无人机及载荷系统、无人机智控系统、低空通信网络、安全系统及其它相关设备/平台/网络集成方案架构的完整性、科学性、安全性进行评分。</w:t>
            </w:r>
          </w:p>
          <w:p w14:paraId="176E66EB">
            <w:pPr>
              <w:pStyle w:val="118"/>
              <w:rPr>
                <w:rFonts w:hint="eastAsia" w:ascii="宋体" w:hAnsi="宋体" w:cs="宋体"/>
                <w:color w:val="auto"/>
                <w:kern w:val="0"/>
                <w:highlight w:val="none"/>
              </w:rPr>
            </w:pPr>
            <w:r>
              <w:rPr>
                <w:rFonts w:hint="eastAsia" w:ascii="宋体" w:hAnsi="宋体" w:cs="宋体"/>
                <w:color w:val="auto"/>
                <w:kern w:val="0"/>
                <w:highlight w:val="none"/>
              </w:rPr>
              <w:t>方案全面详尽、专业性强、可实现性强、可靠性强，得3分；</w:t>
            </w:r>
          </w:p>
          <w:p w14:paraId="3FE4C784">
            <w:pPr>
              <w:pStyle w:val="118"/>
              <w:rPr>
                <w:rFonts w:hint="eastAsia" w:ascii="宋体" w:hAnsi="宋体" w:cs="宋体"/>
                <w:color w:val="auto"/>
                <w:kern w:val="0"/>
                <w:highlight w:val="none"/>
              </w:rPr>
            </w:pPr>
            <w:r>
              <w:rPr>
                <w:rFonts w:hint="eastAsia" w:ascii="宋体" w:hAnsi="宋体" w:cs="宋体"/>
                <w:color w:val="auto"/>
                <w:kern w:val="0"/>
                <w:highlight w:val="none"/>
              </w:rPr>
              <w:t>方案全面性一般、专业性较强、可实现性较强、可靠性较强，得1-2分；</w:t>
            </w:r>
          </w:p>
          <w:p w14:paraId="4C828448">
            <w:pPr>
              <w:pStyle w:val="118"/>
              <w:rPr>
                <w:rFonts w:ascii="宋体" w:hAnsi="宋体" w:cs="宋体"/>
                <w:color w:val="auto"/>
                <w:kern w:val="0"/>
                <w:highlight w:val="none"/>
              </w:rPr>
            </w:pPr>
            <w:r>
              <w:rPr>
                <w:rFonts w:hint="eastAsia" w:ascii="宋体" w:hAnsi="宋体" w:cs="宋体"/>
                <w:color w:val="auto"/>
                <w:kern w:val="0"/>
                <w:highlight w:val="none"/>
              </w:rPr>
              <w:t>方案全面性差、专业性差、可实现性差、可靠性差，得0分。</w:t>
            </w:r>
          </w:p>
        </w:tc>
        <w:tc>
          <w:tcPr>
            <w:tcW w:w="824" w:type="dxa"/>
            <w:shd w:val="clear" w:color="auto" w:fill="auto"/>
            <w:vAlign w:val="center"/>
          </w:tcPr>
          <w:p w14:paraId="5F342D95">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r>
      <w:tr w14:paraId="5905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511" w:type="dxa"/>
            <w:vMerge w:val="continue"/>
            <w:shd w:val="clear" w:color="auto" w:fill="auto"/>
            <w:vAlign w:val="center"/>
          </w:tcPr>
          <w:p w14:paraId="7D2AFB7A">
            <w:pPr>
              <w:widowControl/>
              <w:jc w:val="center"/>
              <w:rPr>
                <w:rFonts w:ascii="宋体" w:hAnsi="宋体" w:cs="宋体"/>
                <w:b/>
                <w:bCs/>
                <w:color w:val="auto"/>
                <w:kern w:val="0"/>
                <w:sz w:val="24"/>
                <w:highlight w:val="none"/>
              </w:rPr>
            </w:pPr>
          </w:p>
        </w:tc>
        <w:tc>
          <w:tcPr>
            <w:tcW w:w="7525" w:type="dxa"/>
            <w:gridSpan w:val="2"/>
            <w:shd w:val="clear" w:color="auto" w:fill="auto"/>
            <w:vAlign w:val="center"/>
          </w:tcPr>
          <w:p w14:paraId="1287BB38">
            <w:pPr>
              <w:pStyle w:val="118"/>
              <w:rPr>
                <w:rFonts w:hint="eastAsia" w:ascii="宋体" w:hAnsi="宋体" w:cs="宋体"/>
                <w:color w:val="auto"/>
                <w:kern w:val="0"/>
                <w:highlight w:val="none"/>
              </w:rPr>
            </w:pPr>
            <w:r>
              <w:rPr>
                <w:rFonts w:hint="eastAsia" w:ascii="宋体" w:hAnsi="宋体" w:cs="宋体"/>
                <w:color w:val="auto"/>
                <w:kern w:val="0"/>
                <w:highlight w:val="none"/>
              </w:rPr>
              <w:t>对本项目无人机端视频数传图传上行和下行传输及数据、传输安全机制进行评分。</w:t>
            </w:r>
          </w:p>
          <w:p w14:paraId="60969AE2">
            <w:pPr>
              <w:pStyle w:val="118"/>
              <w:rPr>
                <w:rFonts w:hint="eastAsia" w:ascii="宋体" w:hAnsi="宋体" w:cs="宋体"/>
                <w:color w:val="auto"/>
                <w:kern w:val="0"/>
                <w:highlight w:val="none"/>
              </w:rPr>
            </w:pPr>
            <w:r>
              <w:rPr>
                <w:rFonts w:hint="eastAsia" w:ascii="宋体" w:hAnsi="宋体" w:cs="宋体"/>
                <w:color w:val="auto"/>
                <w:kern w:val="0"/>
                <w:highlight w:val="none"/>
              </w:rPr>
              <w:t>方案全面详尽、专业性强、可实现性强、可靠性强，得3分；</w:t>
            </w:r>
          </w:p>
          <w:p w14:paraId="2DD97EB2">
            <w:pPr>
              <w:pStyle w:val="118"/>
              <w:rPr>
                <w:rFonts w:hint="eastAsia" w:ascii="宋体" w:hAnsi="宋体" w:cs="宋体"/>
                <w:color w:val="auto"/>
                <w:kern w:val="0"/>
                <w:highlight w:val="none"/>
              </w:rPr>
            </w:pPr>
            <w:r>
              <w:rPr>
                <w:rFonts w:hint="eastAsia" w:ascii="宋体" w:hAnsi="宋体" w:cs="宋体"/>
                <w:color w:val="auto"/>
                <w:kern w:val="0"/>
                <w:highlight w:val="none"/>
              </w:rPr>
              <w:t>方案全面性一般、专业性较强、可实现性较强、可靠性较强，得1-2分；</w:t>
            </w:r>
          </w:p>
          <w:p w14:paraId="194ED375">
            <w:pPr>
              <w:pStyle w:val="118"/>
              <w:rPr>
                <w:rFonts w:ascii="宋体" w:hAnsi="宋体" w:cs="宋体"/>
                <w:color w:val="auto"/>
                <w:kern w:val="0"/>
                <w:highlight w:val="none"/>
              </w:rPr>
            </w:pPr>
            <w:r>
              <w:rPr>
                <w:rFonts w:hint="eastAsia" w:ascii="宋体" w:hAnsi="宋体" w:cs="宋体"/>
                <w:color w:val="auto"/>
                <w:kern w:val="0"/>
                <w:highlight w:val="none"/>
              </w:rPr>
              <w:t>方案全面性差、专业性差、可实现性差、可靠性差，得0分。</w:t>
            </w:r>
          </w:p>
        </w:tc>
        <w:tc>
          <w:tcPr>
            <w:tcW w:w="824" w:type="dxa"/>
            <w:shd w:val="clear" w:color="auto" w:fill="auto"/>
            <w:vAlign w:val="center"/>
          </w:tcPr>
          <w:p w14:paraId="67DCD436">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r>
      <w:tr w14:paraId="3103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511" w:type="dxa"/>
            <w:vMerge w:val="continue"/>
            <w:shd w:val="clear" w:color="auto" w:fill="auto"/>
            <w:vAlign w:val="center"/>
          </w:tcPr>
          <w:p w14:paraId="01E1750A">
            <w:pPr>
              <w:widowControl/>
              <w:jc w:val="center"/>
              <w:rPr>
                <w:rFonts w:ascii="宋体" w:hAnsi="宋体" w:cs="宋体"/>
                <w:b/>
                <w:bCs/>
                <w:color w:val="auto"/>
                <w:kern w:val="0"/>
                <w:sz w:val="24"/>
                <w:highlight w:val="none"/>
              </w:rPr>
            </w:pPr>
          </w:p>
        </w:tc>
        <w:tc>
          <w:tcPr>
            <w:tcW w:w="7525" w:type="dxa"/>
            <w:gridSpan w:val="2"/>
            <w:shd w:val="clear" w:color="auto" w:fill="auto"/>
            <w:vAlign w:val="center"/>
          </w:tcPr>
          <w:p w14:paraId="454A25D3">
            <w:pPr>
              <w:pStyle w:val="118"/>
              <w:rPr>
                <w:rFonts w:hint="eastAsia" w:ascii="宋体" w:hAnsi="宋体" w:cs="宋体"/>
                <w:color w:val="auto"/>
                <w:kern w:val="0"/>
                <w:highlight w:val="none"/>
              </w:rPr>
            </w:pPr>
            <w:r>
              <w:rPr>
                <w:rFonts w:hint="eastAsia" w:ascii="宋体" w:hAnsi="宋体" w:cs="宋体"/>
                <w:color w:val="auto"/>
                <w:kern w:val="0"/>
                <w:highlight w:val="none"/>
              </w:rPr>
              <w:t>根据投标人阐述的关于对台州市智慧海防管控平台、台州市公安局无人机管控平台、台州“飞安行”低空飞行管控服务平台、无人机统一空域报飞申请等平台的了解程度、对接技术方案内容进行评分，需提供系统接口规范性设计、系统内外部接口设计、系统对接接口设计及系统对接承诺函。</w:t>
            </w:r>
          </w:p>
          <w:p w14:paraId="6DFAECAC">
            <w:pPr>
              <w:pStyle w:val="118"/>
              <w:rPr>
                <w:rFonts w:hint="eastAsia" w:ascii="宋体" w:hAnsi="宋体" w:cs="宋体"/>
                <w:color w:val="auto"/>
                <w:kern w:val="0"/>
                <w:highlight w:val="none"/>
              </w:rPr>
            </w:pPr>
            <w:r>
              <w:rPr>
                <w:rFonts w:hint="eastAsia" w:ascii="宋体" w:hAnsi="宋体" w:cs="宋体"/>
                <w:color w:val="auto"/>
                <w:kern w:val="0"/>
                <w:highlight w:val="none"/>
              </w:rPr>
              <w:t>对相关平台了解详细，对接方案全面详尽，针对性强、可实现性、可靠性强，并提供证明材料，得5-6分；</w:t>
            </w:r>
          </w:p>
          <w:p w14:paraId="7CC6C149">
            <w:pPr>
              <w:pStyle w:val="118"/>
              <w:rPr>
                <w:rFonts w:hint="eastAsia" w:ascii="宋体" w:hAnsi="宋体" w:cs="宋体"/>
                <w:color w:val="auto"/>
                <w:kern w:val="0"/>
                <w:highlight w:val="none"/>
              </w:rPr>
            </w:pPr>
            <w:r>
              <w:rPr>
                <w:rFonts w:hint="eastAsia" w:ascii="宋体" w:hAnsi="宋体" w:cs="宋体"/>
                <w:color w:val="auto"/>
                <w:kern w:val="0"/>
                <w:highlight w:val="none"/>
              </w:rPr>
              <w:t>对相关平台了解一般，对接方案全面性一般、专业性较强、可实现性较强，可靠性较强，得3-4分；</w:t>
            </w:r>
          </w:p>
          <w:p w14:paraId="4603CE78">
            <w:pPr>
              <w:pStyle w:val="118"/>
              <w:rPr>
                <w:rFonts w:ascii="宋体" w:hAnsi="宋体" w:cs="宋体"/>
                <w:color w:val="auto"/>
                <w:kern w:val="0"/>
                <w:highlight w:val="none"/>
              </w:rPr>
            </w:pPr>
            <w:r>
              <w:rPr>
                <w:rFonts w:hint="eastAsia" w:ascii="宋体" w:hAnsi="宋体" w:cs="宋体"/>
                <w:color w:val="auto"/>
                <w:kern w:val="0"/>
                <w:highlight w:val="none"/>
              </w:rPr>
              <w:t>对相关平台了解不足，对接方案全面性不高、专业性不高、可实现性不高，可靠性不高，得1-2分；</w:t>
            </w:r>
          </w:p>
        </w:tc>
        <w:tc>
          <w:tcPr>
            <w:tcW w:w="824" w:type="dxa"/>
            <w:shd w:val="clear" w:color="auto" w:fill="auto"/>
            <w:vAlign w:val="center"/>
          </w:tcPr>
          <w:p w14:paraId="38C415E2">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r>
      <w:tr w14:paraId="2A5C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511" w:type="dxa"/>
            <w:vMerge w:val="continue"/>
            <w:shd w:val="clear" w:color="auto" w:fill="auto"/>
            <w:vAlign w:val="center"/>
          </w:tcPr>
          <w:p w14:paraId="75E906C7">
            <w:pPr>
              <w:widowControl/>
              <w:jc w:val="center"/>
              <w:rPr>
                <w:rFonts w:ascii="宋体" w:hAnsi="宋体" w:cs="宋体"/>
                <w:b/>
                <w:bCs/>
                <w:color w:val="auto"/>
                <w:kern w:val="0"/>
                <w:sz w:val="24"/>
                <w:highlight w:val="none"/>
              </w:rPr>
            </w:pPr>
          </w:p>
        </w:tc>
        <w:tc>
          <w:tcPr>
            <w:tcW w:w="7525" w:type="dxa"/>
            <w:gridSpan w:val="2"/>
            <w:shd w:val="clear" w:color="auto" w:fill="auto"/>
            <w:vAlign w:val="center"/>
          </w:tcPr>
          <w:p w14:paraId="3354DDF0">
            <w:pPr>
              <w:pStyle w:val="118"/>
              <w:rPr>
                <w:rFonts w:hint="eastAsia" w:ascii="宋体" w:hAnsi="宋体" w:cs="宋体"/>
                <w:color w:val="auto"/>
                <w:kern w:val="0"/>
                <w:highlight w:val="none"/>
              </w:rPr>
            </w:pPr>
            <w:r>
              <w:rPr>
                <w:rFonts w:hint="eastAsia" w:ascii="宋体" w:hAnsi="宋体" w:cs="宋体"/>
                <w:color w:val="auto"/>
                <w:kern w:val="0"/>
                <w:highlight w:val="none"/>
              </w:rPr>
              <w:t>根据投标人对自组网建设的理解及建设方案进行打分，包括建设需求理解，现场借挂点情况及网络、电力环境勘察，组网方案，组网效果分析等。</w:t>
            </w:r>
          </w:p>
          <w:p w14:paraId="1738F7F5">
            <w:pPr>
              <w:pStyle w:val="118"/>
              <w:rPr>
                <w:rFonts w:hint="eastAsia" w:ascii="宋体" w:hAnsi="宋体" w:cs="宋体"/>
                <w:color w:val="auto"/>
                <w:kern w:val="0"/>
                <w:highlight w:val="none"/>
              </w:rPr>
            </w:pPr>
            <w:r>
              <w:rPr>
                <w:rFonts w:hint="eastAsia" w:ascii="宋体" w:hAnsi="宋体" w:cs="宋体"/>
                <w:color w:val="auto"/>
                <w:kern w:val="0"/>
                <w:highlight w:val="none"/>
              </w:rPr>
              <w:t>需求理解及现场情况摸排全面、组网方案专业性可实现性强、组网效果分析专业合理的，得3-4分；</w:t>
            </w:r>
          </w:p>
          <w:p w14:paraId="6C94440F">
            <w:pPr>
              <w:pStyle w:val="118"/>
              <w:rPr>
                <w:rFonts w:hint="eastAsia" w:ascii="宋体" w:hAnsi="宋体" w:cs="宋体"/>
                <w:color w:val="auto"/>
                <w:kern w:val="0"/>
                <w:highlight w:val="none"/>
              </w:rPr>
            </w:pPr>
            <w:r>
              <w:rPr>
                <w:rFonts w:hint="eastAsia" w:ascii="宋体" w:hAnsi="宋体" w:cs="宋体"/>
                <w:color w:val="auto"/>
                <w:kern w:val="0"/>
                <w:highlight w:val="none"/>
              </w:rPr>
              <w:t>需求理解及现场情况摸排较为全面、组网方案专业性可实现性一般、组网效果分析一般的，得1-2分；</w:t>
            </w:r>
          </w:p>
          <w:p w14:paraId="12B64573">
            <w:pPr>
              <w:pStyle w:val="118"/>
              <w:rPr>
                <w:rFonts w:ascii="宋体" w:hAnsi="宋体" w:cs="宋体"/>
                <w:color w:val="auto"/>
                <w:kern w:val="0"/>
                <w:highlight w:val="none"/>
              </w:rPr>
            </w:pPr>
            <w:r>
              <w:rPr>
                <w:rFonts w:hint="eastAsia" w:ascii="宋体" w:hAnsi="宋体" w:cs="宋体"/>
                <w:color w:val="auto"/>
                <w:kern w:val="0"/>
                <w:highlight w:val="none"/>
              </w:rPr>
              <w:t>需求理解及现场情况摸排片面、组网方案专业性可实现性一般差、组网效果分析不合理的，得0分。</w:t>
            </w:r>
          </w:p>
        </w:tc>
        <w:tc>
          <w:tcPr>
            <w:tcW w:w="824" w:type="dxa"/>
            <w:shd w:val="clear" w:color="auto" w:fill="auto"/>
            <w:vAlign w:val="center"/>
          </w:tcPr>
          <w:p w14:paraId="2668B266">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r>
      <w:tr w14:paraId="4B0E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Merge w:val="restart"/>
            <w:shd w:val="clear" w:color="auto" w:fill="auto"/>
            <w:vAlign w:val="center"/>
          </w:tcPr>
          <w:p w14:paraId="26892A19">
            <w:pPr>
              <w:widowControl/>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系统演示（8分）</w:t>
            </w:r>
          </w:p>
          <w:p w14:paraId="4028B14B">
            <w:pPr>
              <w:widowControl/>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提供所投产品操作演示视频，演示时间不超过20分钟，演示内容以u盘为介质</w:t>
            </w:r>
            <w:r>
              <w:rPr>
                <w:rFonts w:hint="eastAsia" w:ascii="宋体" w:hAnsi="宋体" w:cs="宋体"/>
                <w:b/>
                <w:bCs/>
                <w:color w:val="auto"/>
                <w:sz w:val="24"/>
                <w:highlight w:val="none"/>
              </w:rPr>
              <w:t>密封包装后于投标截止时间前邮寄或送达至招标代理处（如有）</w:t>
            </w:r>
            <w:r>
              <w:rPr>
                <w:rFonts w:hint="eastAsia" w:ascii="宋体" w:hAnsi="宋体" w:cs="宋体"/>
                <w:b/>
                <w:bCs/>
                <w:color w:val="auto"/>
                <w:kern w:val="0"/>
                <w:sz w:val="24"/>
                <w:highlight w:val="none"/>
              </w:rPr>
              <w:t>，详见第二章：投标人须知：前附表</w:t>
            </w:r>
          </w:p>
        </w:tc>
        <w:tc>
          <w:tcPr>
            <w:tcW w:w="7525" w:type="dxa"/>
            <w:gridSpan w:val="2"/>
            <w:shd w:val="clear" w:color="auto" w:fill="auto"/>
            <w:vAlign w:val="center"/>
          </w:tcPr>
          <w:p w14:paraId="2B24D918">
            <w:pPr>
              <w:pStyle w:val="118"/>
              <w:rPr>
                <w:rFonts w:ascii="宋体" w:hAnsi="宋体" w:cs="宋体"/>
                <w:color w:val="auto"/>
                <w:kern w:val="0"/>
                <w:highlight w:val="none"/>
              </w:rPr>
            </w:pPr>
            <w:r>
              <w:rPr>
                <w:rFonts w:hint="eastAsia" w:ascii="宋体" w:hAnsi="宋体" w:cs="宋体"/>
                <w:color w:val="auto"/>
                <w:kern w:val="0"/>
                <w:highlight w:val="none"/>
              </w:rPr>
              <w:t>1.功能满足情况</w:t>
            </w:r>
          </w:p>
          <w:p w14:paraId="33264EC0">
            <w:pPr>
              <w:pStyle w:val="118"/>
              <w:rPr>
                <w:rFonts w:ascii="宋体" w:hAnsi="宋体" w:cs="宋体"/>
                <w:color w:val="auto"/>
                <w:kern w:val="0"/>
                <w:highlight w:val="none"/>
              </w:rPr>
            </w:pPr>
            <w:r>
              <w:rPr>
                <w:rFonts w:hint="eastAsia" w:ascii="宋体" w:hAnsi="宋体" w:cs="宋体"/>
                <w:color w:val="auto"/>
                <w:kern w:val="0"/>
                <w:highlight w:val="none"/>
              </w:rPr>
              <w:t>（1）垂起固定翼无人机飞行演示，需体现最大续航时间</w:t>
            </w:r>
            <w:r>
              <w:rPr>
                <w:rFonts w:hint="eastAsia" w:ascii="宋体" w:hAnsi="宋体" w:cs="宋体"/>
                <w:b/>
                <w:bCs/>
                <w:color w:val="auto"/>
                <w:kern w:val="0"/>
                <w:highlight w:val="none"/>
                <w:lang w:eastAsia="zh-CN"/>
              </w:rPr>
              <w:t>（荷载≥2kg情况下）</w:t>
            </w:r>
            <w:r>
              <w:rPr>
                <w:rFonts w:hint="eastAsia" w:ascii="宋体" w:hAnsi="宋体" w:cs="宋体"/>
                <w:color w:val="auto"/>
                <w:kern w:val="0"/>
                <w:highlight w:val="none"/>
              </w:rPr>
              <w:t>、最大飞行速度、起降精度；</w:t>
            </w:r>
          </w:p>
          <w:p w14:paraId="6C19EA8A">
            <w:pPr>
              <w:pStyle w:val="118"/>
              <w:rPr>
                <w:rFonts w:ascii="宋体" w:hAnsi="宋体" w:cs="宋体"/>
                <w:color w:val="auto"/>
                <w:kern w:val="0"/>
                <w:highlight w:val="none"/>
              </w:rPr>
            </w:pPr>
            <w:r>
              <w:rPr>
                <w:rFonts w:hint="eastAsia" w:ascii="宋体" w:hAnsi="宋体" w:cs="宋体"/>
                <w:color w:val="auto"/>
                <w:kern w:val="0"/>
                <w:highlight w:val="none"/>
              </w:rPr>
              <w:t>（2）智能停机舱（机库）起降演示，需体现迎风起降功能，自动灭火功能，本地按键控制机舱一键展开、收藏、升降、开关舱门功能，机舱断电情况下操作平台升降、开关舱门；</w:t>
            </w:r>
          </w:p>
          <w:p w14:paraId="764F1556">
            <w:pPr>
              <w:pStyle w:val="118"/>
              <w:rPr>
                <w:rFonts w:ascii="宋体" w:hAnsi="宋体" w:cs="宋体"/>
                <w:color w:val="auto"/>
                <w:kern w:val="0"/>
                <w:highlight w:val="none"/>
              </w:rPr>
            </w:pPr>
            <w:r>
              <w:rPr>
                <w:rFonts w:hint="eastAsia" w:ascii="宋体" w:hAnsi="宋体" w:cs="宋体"/>
                <w:color w:val="auto"/>
                <w:kern w:val="0"/>
                <w:highlight w:val="none"/>
              </w:rPr>
              <w:t>（3）长航时油电混合垂起固定翼无人机飞行演示，需体现最大续航时间</w:t>
            </w:r>
            <w:r>
              <w:rPr>
                <w:rFonts w:hint="eastAsia" w:ascii="宋体" w:hAnsi="宋体" w:cs="宋体"/>
                <w:b/>
                <w:bCs/>
                <w:color w:val="auto"/>
                <w:kern w:val="0"/>
                <w:highlight w:val="none"/>
                <w:lang w:eastAsia="zh-CN"/>
              </w:rPr>
              <w:t>（荷载≥</w:t>
            </w:r>
            <w:r>
              <w:rPr>
                <w:rFonts w:hint="eastAsia" w:ascii="宋体" w:hAnsi="宋体" w:cs="宋体"/>
                <w:b/>
                <w:bCs/>
                <w:color w:val="auto"/>
                <w:kern w:val="0"/>
                <w:highlight w:val="none"/>
                <w:lang w:val="en-US" w:eastAsia="zh-CN"/>
              </w:rPr>
              <w:t>5</w:t>
            </w:r>
            <w:r>
              <w:rPr>
                <w:rFonts w:hint="eastAsia" w:ascii="宋体" w:hAnsi="宋体" w:cs="宋体"/>
                <w:b/>
                <w:bCs/>
                <w:color w:val="auto"/>
                <w:kern w:val="0"/>
                <w:highlight w:val="none"/>
                <w:lang w:eastAsia="zh-CN"/>
              </w:rPr>
              <w:t>kg情况下）</w:t>
            </w:r>
            <w:r>
              <w:rPr>
                <w:rFonts w:hint="eastAsia" w:ascii="宋体" w:hAnsi="宋体" w:cs="宋体"/>
                <w:color w:val="auto"/>
                <w:kern w:val="0"/>
                <w:highlight w:val="none"/>
              </w:rPr>
              <w:t>、最大飞行速；</w:t>
            </w:r>
          </w:p>
          <w:p w14:paraId="6D9A897E">
            <w:pPr>
              <w:pStyle w:val="118"/>
              <w:rPr>
                <w:rFonts w:ascii="宋体" w:hAnsi="宋体" w:cs="宋体"/>
                <w:color w:val="auto"/>
                <w:kern w:val="0"/>
                <w:highlight w:val="none"/>
              </w:rPr>
            </w:pPr>
            <w:r>
              <w:rPr>
                <w:rFonts w:hint="eastAsia" w:ascii="宋体" w:hAnsi="宋体" w:cs="宋体"/>
                <w:color w:val="auto"/>
                <w:kern w:val="0"/>
                <w:highlight w:val="none"/>
              </w:rPr>
              <w:t>（4）弱网传输效果演示，需体现在80%丢包的极限弱网环境下，演示视频实时流畅传输；</w:t>
            </w:r>
          </w:p>
          <w:p w14:paraId="3B0239C4">
            <w:pPr>
              <w:pStyle w:val="118"/>
              <w:rPr>
                <w:rFonts w:ascii="宋体" w:hAnsi="宋体" w:cs="宋体"/>
                <w:color w:val="auto"/>
                <w:kern w:val="0"/>
                <w:highlight w:val="none"/>
              </w:rPr>
            </w:pPr>
            <w:r>
              <w:rPr>
                <w:rFonts w:hint="eastAsia" w:ascii="宋体" w:hAnsi="宋体" w:cs="宋体"/>
                <w:color w:val="auto"/>
                <w:kern w:val="0"/>
                <w:highlight w:val="none"/>
              </w:rPr>
              <w:t>（5）视频除雾效果演示；</w:t>
            </w:r>
          </w:p>
          <w:p w14:paraId="6F6828E6">
            <w:pPr>
              <w:pStyle w:val="118"/>
              <w:rPr>
                <w:rFonts w:ascii="宋体" w:hAnsi="宋体" w:cs="宋体"/>
                <w:color w:val="auto"/>
                <w:kern w:val="0"/>
                <w:highlight w:val="none"/>
              </w:rPr>
            </w:pPr>
            <w:r>
              <w:rPr>
                <w:rFonts w:hint="eastAsia" w:ascii="宋体" w:hAnsi="宋体" w:cs="宋体"/>
                <w:color w:val="auto"/>
                <w:kern w:val="0"/>
                <w:highlight w:val="none"/>
              </w:rPr>
              <w:t>（6）无人机智控系统(demo)功能演示；</w:t>
            </w:r>
          </w:p>
          <w:p w14:paraId="39024307">
            <w:pPr>
              <w:pStyle w:val="118"/>
              <w:rPr>
                <w:rFonts w:ascii="宋体" w:hAnsi="宋体" w:cs="宋体"/>
                <w:color w:val="auto"/>
                <w:kern w:val="0"/>
                <w:highlight w:val="none"/>
              </w:rPr>
            </w:pPr>
            <w:r>
              <w:rPr>
                <w:rFonts w:hint="eastAsia" w:ascii="宋体" w:hAnsi="宋体" w:cs="宋体"/>
                <w:color w:val="auto"/>
                <w:kern w:val="0"/>
                <w:highlight w:val="none"/>
              </w:rPr>
              <w:t>投标人所提供视频可见能满足以上六部分功能要求的，每项功能得1分，有不满足的，该项不得分，所涉及参数也视为不满足，本项最高得6分。</w:t>
            </w:r>
          </w:p>
        </w:tc>
        <w:tc>
          <w:tcPr>
            <w:tcW w:w="824" w:type="dxa"/>
            <w:shd w:val="clear" w:color="auto" w:fill="auto"/>
            <w:vAlign w:val="center"/>
          </w:tcPr>
          <w:p w14:paraId="3D702A6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r>
      <w:tr w14:paraId="12E9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1511" w:type="dxa"/>
            <w:vMerge w:val="continue"/>
            <w:shd w:val="clear" w:color="auto" w:fill="auto"/>
            <w:vAlign w:val="center"/>
          </w:tcPr>
          <w:p w14:paraId="29A21E5E">
            <w:pPr>
              <w:widowControl/>
              <w:jc w:val="center"/>
              <w:textAlignment w:val="center"/>
              <w:rPr>
                <w:rFonts w:ascii="宋体" w:hAnsi="宋体" w:cs="宋体"/>
                <w:b/>
                <w:bCs/>
                <w:color w:val="auto"/>
                <w:kern w:val="0"/>
                <w:sz w:val="24"/>
                <w:highlight w:val="none"/>
              </w:rPr>
            </w:pPr>
          </w:p>
        </w:tc>
        <w:tc>
          <w:tcPr>
            <w:tcW w:w="7525" w:type="dxa"/>
            <w:gridSpan w:val="2"/>
            <w:shd w:val="clear" w:color="auto" w:fill="auto"/>
            <w:vAlign w:val="center"/>
          </w:tcPr>
          <w:p w14:paraId="6BB89423">
            <w:pPr>
              <w:pStyle w:val="13"/>
              <w:numPr>
                <w:ilvl w:val="0"/>
                <w:numId w:val="0"/>
              </w:numPr>
              <w:rPr>
                <w:rFonts w:ascii="宋体" w:hAnsi="宋体" w:cs="宋体"/>
                <w:color w:val="auto"/>
                <w:sz w:val="24"/>
                <w:highlight w:val="none"/>
              </w:rPr>
            </w:pPr>
            <w:r>
              <w:rPr>
                <w:rFonts w:hint="eastAsia" w:ascii="宋体" w:hAnsi="宋体" w:cs="宋体"/>
                <w:color w:val="auto"/>
                <w:sz w:val="24"/>
                <w:highlight w:val="none"/>
              </w:rPr>
              <w:t>2.演示效果（未全部满足以上功能的，此项不得分）</w:t>
            </w:r>
          </w:p>
          <w:p w14:paraId="710927BC">
            <w:pPr>
              <w:pStyle w:val="13"/>
              <w:numPr>
                <w:ilvl w:val="0"/>
                <w:numId w:val="0"/>
              </w:numPr>
              <w:rPr>
                <w:rFonts w:ascii="宋体" w:hAnsi="宋体" w:cs="宋体"/>
                <w:color w:val="auto"/>
                <w:sz w:val="24"/>
                <w:highlight w:val="none"/>
              </w:rPr>
            </w:pPr>
            <w:r>
              <w:rPr>
                <w:rFonts w:hint="eastAsia" w:ascii="宋体" w:hAnsi="宋体" w:cs="宋体"/>
                <w:color w:val="auto"/>
                <w:sz w:val="24"/>
                <w:highlight w:val="none"/>
              </w:rPr>
              <w:t>（1）在满足以上所有功能的基础上，视频介绍详尽、有针对性且满足性能程度高的得2分</w:t>
            </w:r>
          </w:p>
          <w:p w14:paraId="0FF20275">
            <w:pPr>
              <w:pStyle w:val="118"/>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rPr>
              <w:t>在满足以上部分功能的基础上，</w:t>
            </w:r>
            <w:r>
              <w:rPr>
                <w:rFonts w:hint="eastAsia" w:ascii="宋体" w:hAnsi="宋体" w:cs="宋体"/>
                <w:color w:val="auto"/>
                <w:kern w:val="0"/>
                <w:highlight w:val="none"/>
              </w:rPr>
              <w:t>视频介绍较详尽、有针对性，满足性能要求程度稍欠的，得1分</w:t>
            </w:r>
          </w:p>
          <w:p w14:paraId="68A1169C">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在满足以上部分功能的基础上，</w:t>
            </w:r>
            <w:r>
              <w:rPr>
                <w:rFonts w:hint="eastAsia" w:ascii="宋体" w:hAnsi="宋体" w:cs="宋体"/>
                <w:color w:val="auto"/>
                <w:kern w:val="0"/>
                <w:sz w:val="24"/>
                <w:highlight w:val="none"/>
              </w:rPr>
              <w:t>视频介绍较不够清晰的得0分；</w:t>
            </w:r>
          </w:p>
          <w:p w14:paraId="1D6132B1">
            <w:pPr>
              <w:widowControl/>
              <w:jc w:val="left"/>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在投标文件中提供承诺函，承诺演示视频真实、无虚假内容，演示所用产品与供货产品型号、功能一致，如供货时有不一致的，视为虚假投标。</w:t>
            </w:r>
          </w:p>
        </w:tc>
        <w:tc>
          <w:tcPr>
            <w:tcW w:w="824" w:type="dxa"/>
            <w:shd w:val="clear" w:color="auto" w:fill="auto"/>
            <w:vAlign w:val="center"/>
          </w:tcPr>
          <w:p w14:paraId="304A5FB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07D6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shd w:val="clear" w:color="auto" w:fill="auto"/>
            <w:vAlign w:val="center"/>
          </w:tcPr>
          <w:p w14:paraId="48EBFBC5">
            <w:pPr>
              <w:widowControl/>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售后服务方案</w:t>
            </w:r>
          </w:p>
          <w:p w14:paraId="2F5ADF78">
            <w:pPr>
              <w:widowControl/>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（5分）</w:t>
            </w:r>
          </w:p>
        </w:tc>
        <w:tc>
          <w:tcPr>
            <w:tcW w:w="7525" w:type="dxa"/>
            <w:gridSpan w:val="2"/>
            <w:shd w:val="clear" w:color="auto" w:fill="auto"/>
            <w:vAlign w:val="center"/>
          </w:tcPr>
          <w:p w14:paraId="7F299B2B">
            <w:pPr>
              <w:widowControl/>
              <w:jc w:val="left"/>
              <w:textAlignment w:val="center"/>
              <w:rPr>
                <w:rFonts w:ascii="宋体" w:hAnsi="宋体" w:cs="宋体"/>
                <w:color w:val="auto"/>
                <w:kern w:val="0"/>
                <w:sz w:val="24"/>
                <w:highlight w:val="none"/>
              </w:rPr>
            </w:pPr>
            <w:r>
              <w:rPr>
                <w:rFonts w:hint="eastAsia" w:ascii="宋体" w:hAnsi="宋体" w:cs="宋体"/>
                <w:b/>
                <w:bCs/>
                <w:color w:val="auto"/>
                <w:kern w:val="0"/>
                <w:sz w:val="24"/>
                <w:highlight w:val="none"/>
              </w:rPr>
              <w:t>根据投标供应商提供的售后服务方案（售后服务承诺、质保承诺、运维服务组织、售后服务能力、培训计划、服务措施与内容、服务流程等）综合打分：</w:t>
            </w:r>
            <w:r>
              <w:rPr>
                <w:rFonts w:hint="eastAsia" w:ascii="宋体" w:hAnsi="宋体" w:cs="宋体"/>
                <w:b/>
                <w:bCs/>
                <w:color w:val="auto"/>
                <w:kern w:val="0"/>
                <w:sz w:val="24"/>
                <w:highlight w:val="none"/>
              </w:rPr>
              <w:br w:type="textWrapping"/>
            </w:r>
            <w:r>
              <w:rPr>
                <w:rFonts w:hint="eastAsia" w:ascii="宋体" w:hAnsi="宋体" w:cs="宋体"/>
                <w:color w:val="auto"/>
                <w:kern w:val="0"/>
                <w:sz w:val="24"/>
                <w:highlight w:val="none"/>
              </w:rPr>
              <w:t>①服务方案描述完整详细，承诺具有针对性</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可行性高且服务响应时间迅速的得4-5分；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②服务方案描述内容稍欠，承诺具有一定针对性，可行性较高且服务响应时间及时的得2-3分；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③服务方案内容单一，承诺缺少针对性，可行性不足的得0-2分；</w:t>
            </w:r>
          </w:p>
          <w:p w14:paraId="091BF55A">
            <w:pPr>
              <w:widowControl/>
              <w:jc w:val="left"/>
              <w:textAlignment w:val="center"/>
              <w:rPr>
                <w:rFonts w:ascii="宋体" w:hAnsi="宋体" w:cs="宋体"/>
                <w:b/>
                <w:bCs/>
                <w:color w:val="auto"/>
                <w:kern w:val="0"/>
                <w:sz w:val="24"/>
                <w:highlight w:val="none"/>
              </w:rPr>
            </w:pPr>
            <w:r>
              <w:rPr>
                <w:rFonts w:hint="eastAsia" w:ascii="宋体" w:hAnsi="宋体" w:cs="宋体"/>
                <w:color w:val="auto"/>
                <w:kern w:val="0"/>
                <w:sz w:val="24"/>
                <w:highlight w:val="none"/>
              </w:rPr>
              <w:t>未提及此项不得分。</w:t>
            </w:r>
            <w:r>
              <w:rPr>
                <w:rFonts w:hint="eastAsia" w:ascii="宋体" w:hAnsi="宋体" w:cs="宋体"/>
                <w:b/>
                <w:bCs/>
                <w:color w:val="auto"/>
                <w:kern w:val="0"/>
                <w:sz w:val="24"/>
                <w:highlight w:val="none"/>
              </w:rPr>
              <w:br w:type="textWrapping"/>
            </w:r>
            <w:r>
              <w:rPr>
                <w:rFonts w:hint="eastAsia" w:ascii="宋体" w:hAnsi="宋体" w:cs="宋体"/>
                <w:b/>
                <w:bCs/>
                <w:color w:val="auto"/>
                <w:kern w:val="0"/>
                <w:sz w:val="24"/>
                <w:highlight w:val="none"/>
              </w:rPr>
              <w:t>注：方案中除文字描述外还需提供保障售后服务的相关承诺或证明材料（如服务网点、售后服务人员的相关资料，其中售后服务人需提供在本单位服务的外部证明，如：投标截止日前一个月的代缴个税税单、参加社会保险的《投保单》或《社会保险参保人员证明》等），否则评标委员有权酌情扣分或判定不得分。</w:t>
            </w:r>
          </w:p>
        </w:tc>
        <w:tc>
          <w:tcPr>
            <w:tcW w:w="824" w:type="dxa"/>
            <w:shd w:val="clear" w:color="auto" w:fill="auto"/>
            <w:vAlign w:val="center"/>
          </w:tcPr>
          <w:p w14:paraId="7B59D2B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6899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Merge w:val="restart"/>
            <w:shd w:val="clear" w:color="auto" w:fill="auto"/>
            <w:vAlign w:val="center"/>
          </w:tcPr>
          <w:p w14:paraId="1629C4DB">
            <w:pPr>
              <w:pStyle w:val="118"/>
              <w:jc w:val="center"/>
              <w:rPr>
                <w:rFonts w:ascii="宋体" w:hAnsi="宋体" w:cs="宋体"/>
                <w:b/>
                <w:bCs/>
                <w:color w:val="auto"/>
                <w:kern w:val="0"/>
                <w:highlight w:val="none"/>
              </w:rPr>
            </w:pPr>
            <w:r>
              <w:rPr>
                <w:rFonts w:hint="eastAsia" w:ascii="宋体" w:hAnsi="宋体" w:cs="宋体"/>
                <w:b/>
                <w:bCs/>
                <w:color w:val="auto"/>
                <w:kern w:val="0"/>
                <w:highlight w:val="none"/>
              </w:rPr>
              <w:t>产品性能</w:t>
            </w:r>
          </w:p>
          <w:p w14:paraId="51C88554">
            <w:pPr>
              <w:pStyle w:val="118"/>
              <w:jc w:val="center"/>
              <w:rPr>
                <w:rFonts w:ascii="宋体" w:hAnsi="宋体" w:cs="宋体"/>
                <w:b/>
                <w:bCs/>
                <w:color w:val="auto"/>
                <w:kern w:val="0"/>
                <w:highlight w:val="none"/>
              </w:rPr>
            </w:pPr>
            <w:r>
              <w:rPr>
                <w:rFonts w:hint="eastAsia" w:ascii="宋体" w:hAnsi="宋体" w:cs="宋体"/>
                <w:b/>
                <w:bCs/>
                <w:color w:val="auto"/>
                <w:kern w:val="0"/>
                <w:highlight w:val="none"/>
              </w:rPr>
              <w:t>（2</w:t>
            </w:r>
            <w:r>
              <w:rPr>
                <w:rFonts w:ascii="宋体" w:hAnsi="宋体" w:cs="宋体"/>
                <w:b/>
                <w:bCs/>
                <w:color w:val="auto"/>
                <w:kern w:val="0"/>
                <w:highlight w:val="none"/>
              </w:rPr>
              <w:t>5</w:t>
            </w:r>
            <w:r>
              <w:rPr>
                <w:rFonts w:hint="eastAsia" w:ascii="宋体" w:hAnsi="宋体" w:cs="宋体"/>
                <w:b/>
                <w:bCs/>
                <w:color w:val="auto"/>
                <w:kern w:val="0"/>
                <w:highlight w:val="none"/>
              </w:rPr>
              <w:t>分）</w:t>
            </w:r>
          </w:p>
        </w:tc>
        <w:tc>
          <w:tcPr>
            <w:tcW w:w="7525" w:type="dxa"/>
            <w:gridSpan w:val="2"/>
            <w:shd w:val="clear" w:color="auto" w:fill="auto"/>
            <w:vAlign w:val="center"/>
          </w:tcPr>
          <w:p w14:paraId="56377FAA">
            <w:pPr>
              <w:pStyle w:val="118"/>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color w:val="auto"/>
                <w:kern w:val="0"/>
                <w:sz w:val="24"/>
                <w:szCs w:val="24"/>
                <w:highlight w:val="none"/>
                <w:lang w:val="en-US" w:eastAsia="zh-CN" w:bidi="ar"/>
              </w:rPr>
            </w:pPr>
            <w:r>
              <w:rPr>
                <w:rFonts w:hint="eastAsia" w:ascii="宋体" w:hAnsi="宋体" w:cs="宋体"/>
                <w:color w:val="auto"/>
                <w:kern w:val="0"/>
                <w:highlight w:val="none"/>
              </w:rPr>
              <w:t>根据供应商提供的</w:t>
            </w:r>
            <w:r>
              <w:rPr>
                <w:rFonts w:hint="eastAsia" w:ascii="宋体" w:hAnsi="宋体" w:cs="宋体"/>
                <w:color w:val="auto"/>
                <w:kern w:val="0"/>
                <w:highlight w:val="none"/>
                <w:lang w:eastAsia="zh-CN"/>
              </w:rPr>
              <w:t>“垂起固定翼无人机”最大续航时间评分，最大续航时间在采购需求（</w:t>
            </w:r>
            <w:r>
              <w:rPr>
                <w:rFonts w:hint="eastAsia" w:ascii="宋体" w:hAnsi="宋体" w:cs="宋体"/>
                <w:color w:val="auto"/>
                <w:kern w:val="0"/>
                <w:highlight w:val="none"/>
                <w:lang w:val="en-US" w:eastAsia="zh-CN"/>
              </w:rPr>
              <w:t>荷载</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2kg情况下，最大续航时间：</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2.5h</w:t>
            </w:r>
            <w:r>
              <w:rPr>
                <w:rFonts w:hint="eastAsia" w:ascii="宋体" w:hAnsi="宋体" w:cs="宋体"/>
                <w:color w:val="auto"/>
                <w:kern w:val="0"/>
                <w:highlight w:val="none"/>
                <w:lang w:eastAsia="zh-CN"/>
              </w:rPr>
              <w:t>）的基础上，每增加</w:t>
            </w:r>
            <w:r>
              <w:rPr>
                <w:rFonts w:hint="eastAsia" w:ascii="宋体" w:hAnsi="宋体" w:cs="宋体"/>
                <w:color w:val="auto"/>
                <w:kern w:val="0"/>
                <w:highlight w:val="none"/>
                <w:lang w:val="en-US" w:eastAsia="zh-CN"/>
              </w:rPr>
              <w:t>0.5h得0.5分，最高得到1分。</w:t>
            </w:r>
          </w:p>
        </w:tc>
        <w:tc>
          <w:tcPr>
            <w:tcW w:w="824" w:type="dxa"/>
            <w:shd w:val="clear" w:color="auto" w:fill="auto"/>
            <w:vAlign w:val="center"/>
          </w:tcPr>
          <w:p w14:paraId="305F9066">
            <w:pPr>
              <w:pStyle w:val="1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val="0"/>
                <w:bCs w:val="0"/>
                <w:color w:val="auto"/>
                <w:kern w:val="0"/>
                <w:highlight w:val="none"/>
                <w:lang w:val="en-US" w:eastAsia="zh-CN" w:bidi="ar"/>
              </w:rPr>
              <w:t>1</w:t>
            </w:r>
          </w:p>
        </w:tc>
      </w:tr>
      <w:tr w14:paraId="5C36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511" w:type="dxa"/>
            <w:vMerge w:val="continue"/>
            <w:shd w:val="clear" w:color="auto" w:fill="auto"/>
            <w:vAlign w:val="center"/>
          </w:tcPr>
          <w:p w14:paraId="32EB8242">
            <w:pPr>
              <w:pStyle w:val="118"/>
              <w:jc w:val="center"/>
              <w:rPr>
                <w:rFonts w:ascii="宋体" w:hAnsi="宋体" w:cs="宋体"/>
                <w:b/>
                <w:bCs/>
                <w:color w:val="auto"/>
                <w:kern w:val="0"/>
                <w:highlight w:val="none"/>
              </w:rPr>
            </w:pPr>
          </w:p>
        </w:tc>
        <w:tc>
          <w:tcPr>
            <w:tcW w:w="7525" w:type="dxa"/>
            <w:gridSpan w:val="2"/>
            <w:shd w:val="clear" w:color="auto" w:fill="auto"/>
            <w:vAlign w:val="center"/>
          </w:tcPr>
          <w:p w14:paraId="25B523B0">
            <w:pPr>
              <w:pStyle w:val="118"/>
              <w:rPr>
                <w:rFonts w:ascii="宋体" w:hAnsi="宋体" w:cs="宋体"/>
                <w:color w:val="auto"/>
                <w:kern w:val="0"/>
                <w:highlight w:val="none"/>
              </w:rPr>
            </w:pPr>
            <w:r>
              <w:rPr>
                <w:rFonts w:hint="eastAsia" w:ascii="宋体" w:hAnsi="宋体" w:cs="宋体"/>
                <w:color w:val="auto"/>
                <w:kern w:val="0"/>
                <w:highlight w:val="none"/>
              </w:rPr>
              <w:t>根据供应商提供的投标产品的软硬件配置、功能特点、技术参数响应情况进行评审，全部满足或响应招标文件要求，本项最高得2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分。</w:t>
            </w:r>
          </w:p>
          <w:p w14:paraId="1B08E864">
            <w:pPr>
              <w:pStyle w:val="118"/>
              <w:rPr>
                <w:rFonts w:ascii="宋体" w:hAnsi="宋体" w:cs="宋体"/>
                <w:color w:val="auto"/>
                <w:kern w:val="0"/>
                <w:highlight w:val="none"/>
              </w:rPr>
            </w:pPr>
            <w:r>
              <w:rPr>
                <w:rFonts w:hint="eastAsia" w:ascii="宋体" w:hAnsi="宋体" w:cs="宋体"/>
                <w:color w:val="auto"/>
                <w:kern w:val="0"/>
                <w:highlight w:val="none"/>
              </w:rPr>
              <w:t>（1）产品技术参数中标注“★”号的为重要技术参数及要求，每负偏离或不满足一项扣</w:t>
            </w:r>
            <w:r>
              <w:rPr>
                <w:rFonts w:hint="eastAsia" w:ascii="宋体" w:hAnsi="宋体" w:cs="宋体"/>
                <w:b/>
                <w:bCs/>
                <w:color w:val="auto"/>
                <w:kern w:val="0"/>
                <w:highlight w:val="none"/>
              </w:rPr>
              <w:t>1.5</w:t>
            </w:r>
            <w:r>
              <w:rPr>
                <w:rFonts w:hint="eastAsia" w:ascii="宋体" w:hAnsi="宋体" w:cs="宋体"/>
                <w:color w:val="auto"/>
                <w:kern w:val="0"/>
                <w:highlight w:val="none"/>
              </w:rPr>
              <w:t>分，扣完为止</w:t>
            </w:r>
            <w:r>
              <w:rPr>
                <w:rFonts w:hint="eastAsia" w:ascii="宋体" w:hAnsi="宋体" w:cs="宋体"/>
                <w:b/>
                <w:bCs/>
                <w:color w:val="auto"/>
                <w:kern w:val="0"/>
                <w:highlight w:val="none"/>
              </w:rPr>
              <w:t>（智能停机舱（机库）、垂起固定翼无人机、长航时油电混合垂起固定翼无人机中标注“★”号的技术参数需</w:t>
            </w:r>
            <w:r>
              <w:rPr>
                <w:rFonts w:hint="eastAsia" w:ascii="宋体" w:hAnsi="宋体" w:cs="宋体"/>
                <w:b/>
                <w:bCs/>
                <w:color w:val="auto"/>
                <w:kern w:val="0"/>
                <w:highlight w:val="none"/>
                <w:lang w:eastAsia="zh-CN"/>
              </w:rPr>
              <w:t>按“公开招标需求”中的要求</w:t>
            </w:r>
            <w:r>
              <w:rPr>
                <w:rFonts w:hint="eastAsia" w:ascii="宋体" w:hAnsi="宋体" w:cs="宋体"/>
                <w:b/>
                <w:bCs/>
                <w:color w:val="auto"/>
                <w:kern w:val="0"/>
                <w:highlight w:val="none"/>
              </w:rPr>
              <w:t>提供对应参数带有CMA或CNAS标志的第三方检测报告，其他产品标注“★”号的技术参数需提供技术规格书、产品截图或产品宣传彩页等证明材料，以上未按要求未提供的视为不满足）</w:t>
            </w:r>
          </w:p>
          <w:p w14:paraId="764CD86D">
            <w:pPr>
              <w:pStyle w:val="118"/>
              <w:rPr>
                <w:rFonts w:ascii="宋体" w:hAnsi="宋体" w:cs="宋体"/>
                <w:b/>
                <w:bCs/>
                <w:color w:val="auto"/>
                <w:kern w:val="0"/>
                <w:highlight w:val="none"/>
              </w:rPr>
            </w:pPr>
            <w:r>
              <w:rPr>
                <w:rFonts w:hint="eastAsia" w:ascii="宋体" w:hAnsi="宋体" w:cs="宋体"/>
                <w:color w:val="auto"/>
                <w:kern w:val="0"/>
                <w:highlight w:val="none"/>
              </w:rPr>
              <w:t>（2）其他技术参数及要求每负偏离或不满足一项扣</w:t>
            </w:r>
            <w:r>
              <w:rPr>
                <w:rFonts w:hint="eastAsia" w:ascii="宋体" w:hAnsi="宋体" w:cs="宋体"/>
                <w:b/>
                <w:bCs/>
                <w:color w:val="auto"/>
                <w:kern w:val="0"/>
                <w:highlight w:val="none"/>
              </w:rPr>
              <w:t>1</w:t>
            </w:r>
            <w:r>
              <w:rPr>
                <w:rFonts w:hint="eastAsia" w:ascii="宋体" w:hAnsi="宋体" w:cs="宋体"/>
                <w:color w:val="auto"/>
                <w:kern w:val="0"/>
                <w:highlight w:val="none"/>
              </w:rPr>
              <w:t>分，扣</w:t>
            </w:r>
            <w:bookmarkStart w:id="45" w:name="_GoBack"/>
            <w:bookmarkEnd w:id="45"/>
            <w:r>
              <w:rPr>
                <w:rFonts w:hint="eastAsia" w:ascii="宋体" w:hAnsi="宋体" w:cs="宋体"/>
                <w:color w:val="auto"/>
                <w:kern w:val="0"/>
                <w:highlight w:val="none"/>
              </w:rPr>
              <w:t>完为止</w:t>
            </w:r>
            <w:r>
              <w:rPr>
                <w:rFonts w:hint="eastAsia" w:ascii="宋体" w:hAnsi="宋体" w:cs="宋体"/>
                <w:b/>
                <w:bCs/>
                <w:color w:val="auto"/>
                <w:kern w:val="0"/>
                <w:highlight w:val="none"/>
              </w:rPr>
              <w:t>（需提供产品技术规格书、产品截图或产品宣传彩页等证明材料，未提供的视为不满足）</w:t>
            </w:r>
          </w:p>
        </w:tc>
        <w:tc>
          <w:tcPr>
            <w:tcW w:w="824" w:type="dxa"/>
            <w:shd w:val="clear" w:color="auto" w:fill="auto"/>
            <w:vAlign w:val="center"/>
          </w:tcPr>
          <w:p w14:paraId="64339D0B">
            <w:pPr>
              <w:pStyle w:val="118"/>
              <w:jc w:val="center"/>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rPr>
              <w:t>2</w:t>
            </w:r>
            <w:r>
              <w:rPr>
                <w:rFonts w:hint="eastAsia" w:ascii="宋体" w:hAnsi="宋体" w:cs="宋体"/>
                <w:bCs/>
                <w:color w:val="auto"/>
                <w:kern w:val="0"/>
                <w:highlight w:val="none"/>
                <w:lang w:val="en-US" w:eastAsia="zh-CN"/>
              </w:rPr>
              <w:t>4</w:t>
            </w:r>
          </w:p>
        </w:tc>
      </w:tr>
      <w:tr w14:paraId="639E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Merge w:val="restart"/>
            <w:shd w:val="clear" w:color="auto" w:fill="auto"/>
            <w:vAlign w:val="center"/>
          </w:tcPr>
          <w:p w14:paraId="7DEE444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实力信誉及业绩</w:t>
            </w:r>
          </w:p>
          <w:p w14:paraId="141C5748">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10</w:t>
            </w:r>
            <w:r>
              <w:rPr>
                <w:rFonts w:hint="eastAsia" w:ascii="宋体" w:hAnsi="宋体" w:cs="宋体"/>
                <w:b/>
                <w:bCs/>
                <w:color w:val="auto"/>
                <w:kern w:val="0"/>
                <w:sz w:val="24"/>
                <w:highlight w:val="none"/>
              </w:rPr>
              <w:t>分）</w:t>
            </w:r>
          </w:p>
        </w:tc>
        <w:tc>
          <w:tcPr>
            <w:tcW w:w="1328" w:type="dxa"/>
            <w:shd w:val="clear" w:color="auto" w:fill="auto"/>
            <w:vAlign w:val="center"/>
          </w:tcPr>
          <w:p w14:paraId="5675CD47">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投标人实力</w:t>
            </w:r>
          </w:p>
        </w:tc>
        <w:tc>
          <w:tcPr>
            <w:tcW w:w="6197" w:type="dxa"/>
            <w:shd w:val="clear" w:color="auto" w:fill="auto"/>
            <w:vAlign w:val="center"/>
          </w:tcPr>
          <w:p w14:paraId="25F7D171">
            <w:pPr>
              <w:widowControl/>
              <w:numPr>
                <w:ilvl w:val="0"/>
                <w:numId w:val="6"/>
              </w:numPr>
              <w:rPr>
                <w:rFonts w:ascii="宋体" w:hAnsi="宋体" w:cs="宋体"/>
                <w:color w:val="auto"/>
                <w:kern w:val="0"/>
                <w:sz w:val="24"/>
                <w:highlight w:val="none"/>
              </w:rPr>
            </w:pPr>
            <w:r>
              <w:rPr>
                <w:rFonts w:hint="eastAsia" w:ascii="宋体" w:hAnsi="宋体" w:cs="宋体"/>
                <w:color w:val="auto"/>
                <w:kern w:val="0"/>
                <w:sz w:val="24"/>
                <w:highlight w:val="none"/>
              </w:rPr>
              <w:t>投标人或</w:t>
            </w:r>
            <w:r>
              <w:rPr>
                <w:rFonts w:hint="eastAsia" w:ascii="宋体" w:hAnsi="宋体" w:cs="宋体"/>
                <w:color w:val="auto"/>
                <w:kern w:val="0"/>
                <w:sz w:val="24"/>
                <w:highlight w:val="none"/>
                <w:lang w:val="en-US" w:eastAsia="zh-CN"/>
              </w:rPr>
              <w:t>产品厂商</w:t>
            </w:r>
            <w:r>
              <w:rPr>
                <w:rFonts w:hint="eastAsia" w:ascii="宋体" w:hAnsi="宋体" w:cs="宋体"/>
                <w:color w:val="auto"/>
                <w:kern w:val="0"/>
                <w:sz w:val="24"/>
                <w:highlight w:val="none"/>
              </w:rPr>
              <w:t>具有民用无人驾驶航空器运营合格证</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，得2分；</w:t>
            </w:r>
          </w:p>
          <w:p w14:paraId="5F2104E7">
            <w:pPr>
              <w:widowControl/>
              <w:numPr>
                <w:ilvl w:val="0"/>
                <w:numId w:val="6"/>
              </w:numPr>
              <w:rPr>
                <w:rFonts w:ascii="宋体" w:hAnsi="宋体" w:cs="宋体"/>
                <w:color w:val="auto"/>
                <w:kern w:val="0"/>
                <w:sz w:val="24"/>
                <w:highlight w:val="none"/>
              </w:rPr>
            </w:pPr>
            <w:r>
              <w:rPr>
                <w:rFonts w:hint="eastAsia" w:ascii="宋体" w:hAnsi="宋体" w:cs="宋体"/>
                <w:color w:val="auto"/>
                <w:kern w:val="0"/>
                <w:sz w:val="24"/>
                <w:highlight w:val="none"/>
              </w:rPr>
              <w:t>投标人或产品</w:t>
            </w:r>
            <w:r>
              <w:rPr>
                <w:rFonts w:hint="eastAsia" w:ascii="宋体" w:hAnsi="宋体" w:cs="宋体"/>
                <w:color w:val="auto"/>
                <w:kern w:val="0"/>
                <w:sz w:val="24"/>
                <w:highlight w:val="none"/>
                <w:lang w:val="en-US" w:eastAsia="zh-CN"/>
              </w:rPr>
              <w:t>厂</w:t>
            </w:r>
            <w:r>
              <w:rPr>
                <w:rFonts w:hint="eastAsia" w:ascii="宋体" w:hAnsi="宋体" w:cs="宋体"/>
                <w:color w:val="auto"/>
                <w:kern w:val="0"/>
                <w:sz w:val="24"/>
                <w:highlight w:val="none"/>
              </w:rPr>
              <w:t>商具备ISO9001质量管理体系</w:t>
            </w:r>
            <w:r>
              <w:rPr>
                <w:rFonts w:hint="eastAsia" w:ascii="宋体" w:hAnsi="宋体" w:cs="宋体"/>
                <w:color w:val="auto"/>
                <w:kern w:val="0"/>
                <w:sz w:val="24"/>
                <w:highlight w:val="none"/>
                <w:lang w:val="en-US" w:eastAsia="zh-CN"/>
              </w:rPr>
              <w:t>认证</w:t>
            </w:r>
            <w:r>
              <w:rPr>
                <w:rFonts w:hint="eastAsia" w:ascii="宋体" w:hAnsi="宋体" w:cs="宋体"/>
                <w:color w:val="auto"/>
                <w:kern w:val="0"/>
                <w:sz w:val="24"/>
                <w:highlight w:val="none"/>
              </w:rPr>
              <w:t>证书、ISO14001环境管理体系</w:t>
            </w:r>
            <w:r>
              <w:rPr>
                <w:rFonts w:hint="eastAsia" w:ascii="宋体" w:hAnsi="宋体" w:cs="宋体"/>
                <w:color w:val="auto"/>
                <w:kern w:val="0"/>
                <w:sz w:val="24"/>
                <w:highlight w:val="none"/>
                <w:lang w:val="en-US" w:eastAsia="zh-CN"/>
              </w:rPr>
              <w:t>认证</w:t>
            </w:r>
            <w:r>
              <w:rPr>
                <w:rFonts w:hint="eastAsia" w:ascii="宋体" w:hAnsi="宋体" w:cs="宋体"/>
                <w:color w:val="auto"/>
                <w:kern w:val="0"/>
                <w:sz w:val="24"/>
                <w:highlight w:val="none"/>
              </w:rPr>
              <w:t>证书、ISO</w:t>
            </w:r>
            <w:r>
              <w:rPr>
                <w:rFonts w:hint="eastAsia" w:ascii="宋体" w:hAnsi="宋体" w:cs="宋体"/>
                <w:color w:val="auto"/>
                <w:kern w:val="0"/>
                <w:sz w:val="24"/>
                <w:highlight w:val="none"/>
                <w:lang w:val="en-US" w:eastAsia="zh-CN"/>
              </w:rPr>
              <w:t xml:space="preserve">/IEC </w:t>
            </w:r>
            <w:r>
              <w:rPr>
                <w:rFonts w:hint="eastAsia" w:ascii="宋体" w:hAnsi="宋体" w:cs="宋体"/>
                <w:color w:val="auto"/>
                <w:kern w:val="0"/>
                <w:sz w:val="24"/>
                <w:highlight w:val="none"/>
              </w:rPr>
              <w:t>27001信息安全管理体系认证证书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ISO</w:t>
            </w:r>
            <w:r>
              <w:rPr>
                <w:rFonts w:hint="eastAsia" w:ascii="宋体" w:hAnsi="宋体" w:cs="宋体"/>
                <w:color w:val="auto"/>
                <w:kern w:val="0"/>
                <w:sz w:val="24"/>
                <w:highlight w:val="none"/>
                <w:lang w:val="en-US" w:eastAsia="zh-CN"/>
              </w:rPr>
              <w:t>/IEC 20000信息技术服务管理体系认证证书</w:t>
            </w:r>
            <w:r>
              <w:rPr>
                <w:rFonts w:hint="eastAsia" w:ascii="宋体" w:hAnsi="宋体" w:cs="宋体"/>
                <w:color w:val="auto"/>
                <w:kern w:val="0"/>
                <w:sz w:val="24"/>
                <w:highlight w:val="none"/>
              </w:rPr>
              <w:t>的，且证书认证范围含无人机相关产品或专网通信</w:t>
            </w:r>
            <w:r>
              <w:rPr>
                <w:rFonts w:hint="eastAsia" w:ascii="宋体" w:hAnsi="宋体" w:cs="宋体"/>
                <w:color w:val="auto"/>
                <w:kern w:val="0"/>
                <w:sz w:val="24"/>
                <w:highlight w:val="none"/>
                <w:lang w:val="en-US" w:eastAsia="zh-CN"/>
              </w:rPr>
              <w:t>相关信息</w:t>
            </w:r>
            <w:r>
              <w:rPr>
                <w:rFonts w:hint="eastAsia" w:ascii="宋体" w:hAnsi="宋体" w:cs="宋体"/>
                <w:color w:val="auto"/>
                <w:kern w:val="0"/>
                <w:sz w:val="24"/>
                <w:highlight w:val="none"/>
              </w:rPr>
              <w:t>技术服务的，每具备一项得0.5分，最高得1分。</w:t>
            </w:r>
          </w:p>
          <w:p w14:paraId="54D6D953">
            <w:pPr>
              <w:widowControl/>
              <w:numPr>
                <w:ilvl w:val="0"/>
                <w:numId w:val="6"/>
              </w:numPr>
              <w:rPr>
                <w:rFonts w:ascii="宋体" w:hAnsi="宋体" w:cs="宋体"/>
                <w:color w:val="auto"/>
                <w:sz w:val="24"/>
                <w:highlight w:val="none"/>
              </w:rPr>
            </w:pPr>
            <w:r>
              <w:rPr>
                <w:rFonts w:hint="eastAsia" w:ascii="宋体" w:hAnsi="宋体" w:cs="宋体"/>
                <w:color w:val="auto"/>
                <w:sz w:val="24"/>
                <w:highlight w:val="none"/>
              </w:rPr>
              <w:t>投标人或产品厂商具有无人机智控系统软件著作权登记证书的得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07D5AE66">
            <w:pPr>
              <w:widowControl/>
              <w:rPr>
                <w:rFonts w:ascii="宋体" w:hAnsi="宋体" w:cs="宋体"/>
                <w:color w:val="auto"/>
                <w:kern w:val="0"/>
                <w:sz w:val="24"/>
                <w:highlight w:val="none"/>
              </w:rPr>
            </w:pPr>
            <w:r>
              <w:rPr>
                <w:rFonts w:hint="eastAsia" w:ascii="宋体" w:hAnsi="宋体" w:cs="宋体"/>
                <w:b/>
                <w:bCs/>
                <w:color w:val="auto"/>
                <w:kern w:val="0"/>
                <w:sz w:val="24"/>
                <w:highlight w:val="none"/>
              </w:rPr>
              <w:t>（提供上述有效证书扫描件，不提供不得分）</w:t>
            </w:r>
          </w:p>
        </w:tc>
        <w:tc>
          <w:tcPr>
            <w:tcW w:w="824" w:type="dxa"/>
            <w:shd w:val="clear" w:color="auto" w:fill="auto"/>
            <w:vAlign w:val="center"/>
          </w:tcPr>
          <w:p w14:paraId="3A5CAD43">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r>
      <w:tr w14:paraId="264D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1" w:type="dxa"/>
            <w:vMerge w:val="continue"/>
            <w:vAlign w:val="center"/>
          </w:tcPr>
          <w:p w14:paraId="526E7185">
            <w:pPr>
              <w:widowControl/>
              <w:jc w:val="center"/>
              <w:rPr>
                <w:rFonts w:ascii="宋体" w:hAnsi="宋体" w:cs="宋体"/>
                <w:color w:val="auto"/>
                <w:kern w:val="0"/>
                <w:sz w:val="24"/>
                <w:highlight w:val="none"/>
              </w:rPr>
            </w:pPr>
          </w:p>
        </w:tc>
        <w:tc>
          <w:tcPr>
            <w:tcW w:w="1328" w:type="dxa"/>
            <w:shd w:val="clear" w:color="auto" w:fill="auto"/>
            <w:vAlign w:val="center"/>
          </w:tcPr>
          <w:p w14:paraId="79C2D63E">
            <w:pPr>
              <w:widowControl/>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技术负责人</w:t>
            </w:r>
          </w:p>
        </w:tc>
        <w:tc>
          <w:tcPr>
            <w:tcW w:w="6197" w:type="dxa"/>
            <w:shd w:val="clear" w:color="auto" w:fill="auto"/>
            <w:vAlign w:val="center"/>
          </w:tcPr>
          <w:p w14:paraId="23D78F8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技术负责人（限1人）具备2022年1月以来同类型项目实施经验的得2分，需提供同类型项目合同扫描件以及合同甲方出具的相关证明材料，不满足不得分。</w:t>
            </w:r>
          </w:p>
          <w:p w14:paraId="6FC22C6E">
            <w:pPr>
              <w:widowControl/>
              <w:rPr>
                <w:rFonts w:ascii="宋体" w:hAnsi="宋体" w:cs="宋体"/>
                <w:color w:val="auto"/>
                <w:kern w:val="0"/>
                <w:sz w:val="24"/>
                <w:highlight w:val="none"/>
              </w:rPr>
            </w:pPr>
            <w:r>
              <w:rPr>
                <w:rFonts w:hint="eastAsia" w:ascii="宋体" w:hAnsi="宋体" w:cs="宋体"/>
                <w:b/>
                <w:bCs/>
                <w:color w:val="auto"/>
                <w:kern w:val="0"/>
                <w:sz w:val="24"/>
                <w:highlight w:val="none"/>
              </w:rPr>
              <w:t>注：除提供人员的相关实施经验证明材料外，还需提供人员在本单位服务的外部证明，如：投标截止日之前一个月的代缴个税税单、参加社会保险的《投保单》或《社会保险参保人员证明》等，不提供不得分。</w:t>
            </w:r>
          </w:p>
        </w:tc>
        <w:tc>
          <w:tcPr>
            <w:tcW w:w="824" w:type="dxa"/>
            <w:shd w:val="clear" w:color="auto" w:fill="auto"/>
            <w:vAlign w:val="center"/>
          </w:tcPr>
          <w:p w14:paraId="06B8B0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3881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1" w:type="dxa"/>
            <w:vMerge w:val="continue"/>
            <w:vAlign w:val="center"/>
          </w:tcPr>
          <w:p w14:paraId="5E434125">
            <w:pPr>
              <w:widowControl/>
              <w:jc w:val="center"/>
              <w:rPr>
                <w:rFonts w:ascii="宋体" w:hAnsi="宋体" w:cs="宋体"/>
                <w:color w:val="auto"/>
                <w:kern w:val="0"/>
                <w:sz w:val="24"/>
                <w:highlight w:val="none"/>
              </w:rPr>
            </w:pPr>
          </w:p>
        </w:tc>
        <w:tc>
          <w:tcPr>
            <w:tcW w:w="1328" w:type="dxa"/>
            <w:shd w:val="clear" w:color="auto" w:fill="auto"/>
            <w:vAlign w:val="center"/>
          </w:tcPr>
          <w:p w14:paraId="4900865A">
            <w:pPr>
              <w:widowControl/>
              <w:jc w:val="center"/>
              <w:textAlignment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驻场服务人员</w:t>
            </w:r>
          </w:p>
        </w:tc>
        <w:tc>
          <w:tcPr>
            <w:tcW w:w="6197" w:type="dxa"/>
            <w:shd w:val="clear" w:color="auto" w:fill="auto"/>
            <w:vAlign w:val="center"/>
          </w:tcPr>
          <w:p w14:paraId="12612704">
            <w:pPr>
              <w:widowControl/>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驻场服务人员</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≥1人</w:t>
            </w:r>
            <w:r>
              <w:rPr>
                <w:rFonts w:hint="eastAsia" w:ascii="宋体" w:hAnsi="宋体" w:cs="宋体"/>
                <w:color w:val="auto"/>
                <w:kern w:val="0"/>
                <w:sz w:val="24"/>
                <w:highlight w:val="none"/>
              </w:rPr>
              <w:t>）具备2022年1月以来同类型项目实施经验的得2分，需提供同类型项目合同扫描件以及合同甲方出具的相关证明材料，不满足不得分。</w:t>
            </w:r>
          </w:p>
          <w:p w14:paraId="18FF88E9">
            <w:pPr>
              <w:widowControl/>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highlight w:val="none"/>
              </w:rPr>
              <w:t>注：除提供人员的相关实施经验证明材料外，还需提供人员在本单位服务的外部证明，如：投标截止日之前一个月的代缴个税税单、参加社会保险的《投保单》或《社会保险参保人员证明》等，不提供不得分。</w:t>
            </w:r>
          </w:p>
        </w:tc>
        <w:tc>
          <w:tcPr>
            <w:tcW w:w="824" w:type="dxa"/>
            <w:shd w:val="clear" w:color="auto" w:fill="auto"/>
            <w:vAlign w:val="center"/>
          </w:tcPr>
          <w:p w14:paraId="774FF8F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2</w:t>
            </w:r>
          </w:p>
        </w:tc>
      </w:tr>
      <w:tr w14:paraId="3B19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Merge w:val="continue"/>
            <w:vAlign w:val="center"/>
          </w:tcPr>
          <w:p w14:paraId="78A1A259">
            <w:pPr>
              <w:widowControl/>
              <w:jc w:val="center"/>
              <w:rPr>
                <w:rFonts w:ascii="宋体" w:hAnsi="宋体" w:cs="宋体"/>
                <w:color w:val="auto"/>
                <w:kern w:val="0"/>
                <w:sz w:val="24"/>
                <w:highlight w:val="none"/>
              </w:rPr>
            </w:pPr>
          </w:p>
        </w:tc>
        <w:tc>
          <w:tcPr>
            <w:tcW w:w="1328" w:type="dxa"/>
            <w:shd w:val="clear" w:color="auto" w:fill="auto"/>
            <w:vAlign w:val="center"/>
          </w:tcPr>
          <w:p w14:paraId="47519A5D">
            <w:pPr>
              <w:widowControl/>
              <w:jc w:val="left"/>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类似业绩</w:t>
            </w:r>
          </w:p>
        </w:tc>
        <w:tc>
          <w:tcPr>
            <w:tcW w:w="6197" w:type="dxa"/>
            <w:shd w:val="clear" w:color="auto" w:fill="auto"/>
            <w:vAlign w:val="center"/>
          </w:tcPr>
          <w:p w14:paraId="12D58B54">
            <w:pPr>
              <w:widowControl/>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投标人具有2022年1月至投标截止日（以合同签订时间为准）类似业绩的，每个业绩得1分，最高得2分</w:t>
            </w:r>
            <w:r>
              <w:rPr>
                <w:rFonts w:hint="eastAsia" w:ascii="宋体" w:hAnsi="宋体" w:cs="宋体"/>
                <w:color w:val="auto"/>
                <w:kern w:val="0"/>
                <w:sz w:val="24"/>
                <w:highlight w:val="none"/>
                <w:lang w:eastAsia="zh-CN"/>
              </w:rPr>
              <w:t>。</w:t>
            </w:r>
          </w:p>
          <w:p w14:paraId="191AF97B">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p w14:paraId="3E1B18CB">
            <w:pPr>
              <w:widowControl/>
              <w:numPr>
                <w:ilvl w:val="0"/>
                <w:numId w:val="7"/>
              </w:numPr>
              <w:rPr>
                <w:rFonts w:ascii="宋体" w:hAnsi="宋体" w:cs="宋体"/>
                <w:b/>
                <w:bCs/>
                <w:color w:val="auto"/>
                <w:kern w:val="0"/>
                <w:sz w:val="24"/>
                <w:highlight w:val="none"/>
              </w:rPr>
            </w:pPr>
            <w:r>
              <w:rPr>
                <w:rFonts w:hint="eastAsia" w:ascii="宋体" w:hAnsi="宋体" w:cs="宋体"/>
                <w:b/>
                <w:bCs/>
                <w:color w:val="auto"/>
                <w:kern w:val="0"/>
                <w:sz w:val="24"/>
                <w:highlight w:val="none"/>
              </w:rPr>
              <w:t>同时提供合同和发票扫描件；提供不完整或不符合以上内容要求或不清晰，导致无法判断是否符合以上要求的，不得分；</w:t>
            </w:r>
          </w:p>
          <w:p w14:paraId="6B1FFCC2">
            <w:pPr>
              <w:widowControl/>
              <w:numPr>
                <w:ilvl w:val="0"/>
                <w:numId w:val="7"/>
              </w:numP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类似业绩指的是：</w:t>
            </w:r>
            <w:r>
              <w:rPr>
                <w:rFonts w:hint="eastAsia" w:ascii="宋体" w:hAnsi="宋体" w:cs="宋体"/>
                <w:b/>
                <w:bCs/>
                <w:color w:val="auto"/>
                <w:kern w:val="0"/>
                <w:sz w:val="24"/>
                <w:highlight w:val="none"/>
              </w:rPr>
              <w:t>所投垂起固定翼无人机与智能停机舱（机库）产品具有实际匹配成功的销售业绩。</w:t>
            </w:r>
          </w:p>
        </w:tc>
        <w:tc>
          <w:tcPr>
            <w:tcW w:w="824" w:type="dxa"/>
            <w:shd w:val="clear" w:color="auto" w:fill="auto"/>
            <w:vAlign w:val="center"/>
          </w:tcPr>
          <w:p w14:paraId="4F411A9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16FD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Align w:val="center"/>
          </w:tcPr>
          <w:p w14:paraId="05736AF0">
            <w:pPr>
              <w:jc w:val="center"/>
              <w:rPr>
                <w:rFonts w:ascii="宋体" w:hAnsi="宋体" w:cs="宋体"/>
                <w:color w:val="auto"/>
                <w:sz w:val="24"/>
                <w:highlight w:val="none"/>
              </w:rPr>
            </w:pPr>
            <w:r>
              <w:rPr>
                <w:rFonts w:hint="eastAsia" w:ascii="宋体" w:hAnsi="宋体" w:cs="宋体"/>
                <w:b/>
                <w:bCs/>
                <w:color w:val="auto"/>
                <w:sz w:val="24"/>
                <w:highlight w:val="none"/>
              </w:rPr>
              <w:t>价格（30分）</w:t>
            </w:r>
          </w:p>
        </w:tc>
        <w:tc>
          <w:tcPr>
            <w:tcW w:w="7525" w:type="dxa"/>
            <w:gridSpan w:val="2"/>
            <w:vAlign w:val="center"/>
          </w:tcPr>
          <w:p w14:paraId="1739CD01">
            <w:pPr>
              <w:widowControl/>
              <w:rPr>
                <w:rFonts w:ascii="宋体" w:hAnsi="宋体" w:cs="宋体"/>
                <w:color w:val="auto"/>
                <w:sz w:val="24"/>
                <w:highlight w:val="none"/>
              </w:rPr>
            </w:pPr>
            <w:r>
              <w:rPr>
                <w:rFonts w:hint="eastAsia" w:ascii="宋体" w:hAnsi="宋体" w:cs="宋体"/>
                <w:color w:val="auto"/>
                <w:kern w:val="0"/>
                <w:sz w:val="24"/>
                <w:highlight w:val="none"/>
              </w:rPr>
              <w:t>取投标合格供应商的投标最终报价最低价为基准价。基准价为30分。投标报价得分＝（评标基准价/最终投标报价）×30 %×100（小数点后保留2位小数）</w:t>
            </w:r>
            <w:r>
              <w:rPr>
                <w:rFonts w:hint="eastAsia" w:ascii="宋体" w:hAnsi="宋体" w:cs="宋体"/>
                <w:b/>
                <w:color w:val="auto"/>
                <w:sz w:val="24"/>
                <w:highlight w:val="none"/>
              </w:rPr>
              <w:t>（注：对于符合小型和微型企业政策价格优惠的投标价格给予10%的扣除，用扣除后的价格参与评审）</w:t>
            </w:r>
          </w:p>
        </w:tc>
        <w:tc>
          <w:tcPr>
            <w:tcW w:w="824" w:type="dxa"/>
            <w:vAlign w:val="center"/>
          </w:tcPr>
          <w:p w14:paraId="481C88E5">
            <w:pPr>
              <w:jc w:val="center"/>
              <w:rPr>
                <w:rFonts w:ascii="宋体" w:hAnsi="宋体" w:cs="宋体"/>
                <w:color w:val="auto"/>
                <w:sz w:val="24"/>
                <w:highlight w:val="none"/>
              </w:rPr>
            </w:pPr>
            <w:r>
              <w:rPr>
                <w:rFonts w:hint="eastAsia" w:ascii="宋体" w:hAnsi="宋体" w:cs="宋体"/>
                <w:color w:val="auto"/>
                <w:sz w:val="24"/>
                <w:highlight w:val="none"/>
              </w:rPr>
              <w:t>30</w:t>
            </w:r>
          </w:p>
        </w:tc>
      </w:tr>
    </w:tbl>
    <w:p w14:paraId="7DAF794E">
      <w:pPr>
        <w:spacing w:line="360" w:lineRule="auto"/>
        <w:rPr>
          <w:rFonts w:hint="eastAsia" w:ascii="宋体" w:hAnsi="宋体" w:eastAsia="宋体" w:cs="宋体"/>
          <w:b/>
          <w:bCs/>
          <w:color w:val="auto"/>
          <w:sz w:val="24"/>
          <w:szCs w:val="24"/>
          <w:highlight w:val="none"/>
          <w:lang w:eastAsia="zh-CN"/>
        </w:rPr>
      </w:pPr>
      <w:r>
        <w:rPr>
          <w:rFonts w:hint="eastAsia"/>
          <w:color w:val="auto"/>
          <w:sz w:val="24"/>
          <w:highlight w:val="none"/>
          <w:lang w:eastAsia="zh-CN"/>
        </w:rPr>
        <w:t>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CMA、CNAS第三方检验检测机构应具备无人机专业检测能力。</w:t>
      </w:r>
      <w:r>
        <w:rPr>
          <w:rFonts w:hint="eastAsia" w:ascii="宋体" w:hAnsi="宋体" w:eastAsia="宋体" w:cs="宋体"/>
          <w:b/>
          <w:bCs/>
          <w:color w:val="auto"/>
          <w:sz w:val="24"/>
          <w:szCs w:val="24"/>
          <w:highlight w:val="none"/>
          <w:lang w:eastAsia="zh-CN"/>
        </w:rPr>
        <w:t>如投标人提供</w:t>
      </w:r>
      <w:r>
        <w:rPr>
          <w:rFonts w:hint="eastAsia" w:ascii="宋体" w:hAnsi="宋体" w:eastAsia="宋体" w:cs="宋体"/>
          <w:b/>
          <w:bCs/>
          <w:color w:val="auto"/>
          <w:sz w:val="24"/>
          <w:szCs w:val="24"/>
          <w:highlight w:val="none"/>
        </w:rPr>
        <w:t>CMA第三方检测报告</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须</w:t>
      </w:r>
      <w:r>
        <w:rPr>
          <w:rFonts w:hint="eastAsia" w:ascii="宋体" w:hAnsi="宋体" w:eastAsia="宋体" w:cs="宋体"/>
          <w:b/>
          <w:bCs/>
          <w:color w:val="auto"/>
          <w:sz w:val="24"/>
          <w:szCs w:val="24"/>
          <w:highlight w:val="none"/>
          <w:lang w:eastAsia="zh-CN"/>
        </w:rPr>
        <w:t>同时</w:t>
      </w:r>
      <w:r>
        <w:rPr>
          <w:rFonts w:hint="eastAsia" w:ascii="宋体" w:hAnsi="宋体" w:eastAsia="宋体" w:cs="宋体"/>
          <w:b/>
          <w:bCs/>
          <w:color w:val="auto"/>
          <w:sz w:val="24"/>
          <w:szCs w:val="24"/>
          <w:highlight w:val="none"/>
        </w:rPr>
        <w:t>提供CMA检验检测机构</w:t>
      </w:r>
      <w:r>
        <w:rPr>
          <w:rFonts w:hint="eastAsia" w:ascii="宋体" w:hAnsi="宋体" w:eastAsia="宋体" w:cs="宋体"/>
          <w:b/>
          <w:bCs/>
          <w:color w:val="auto"/>
          <w:sz w:val="24"/>
          <w:szCs w:val="24"/>
          <w:highlight w:val="none"/>
          <w:lang w:eastAsia="zh-CN"/>
        </w:rPr>
        <w:t>在</w:t>
      </w:r>
      <w:r>
        <w:rPr>
          <w:rFonts w:hint="eastAsia" w:ascii="宋体" w:hAnsi="宋体" w:eastAsia="宋体" w:cs="宋体"/>
          <w:b/>
          <w:bCs/>
          <w:color w:val="auto"/>
          <w:sz w:val="24"/>
          <w:szCs w:val="24"/>
          <w:highlight w:val="none"/>
        </w:rPr>
        <w:t>全国认证认可信息公共服务平台或者各省级市场监管部门官网查询结果截图</w:t>
      </w:r>
      <w:r>
        <w:rPr>
          <w:rFonts w:hint="eastAsia" w:ascii="宋体" w:hAnsi="宋体" w:eastAsia="宋体" w:cs="宋体"/>
          <w:b/>
          <w:bCs/>
          <w:color w:val="auto"/>
          <w:sz w:val="24"/>
          <w:szCs w:val="24"/>
          <w:highlight w:val="none"/>
          <w:lang w:eastAsia="zh-CN"/>
        </w:rPr>
        <w:t>，否则</w:t>
      </w:r>
      <w:r>
        <w:rPr>
          <w:rFonts w:hint="eastAsia" w:ascii="宋体" w:hAnsi="宋体" w:eastAsia="宋体" w:cs="宋体"/>
          <w:b/>
          <w:bCs/>
          <w:color w:val="auto"/>
          <w:sz w:val="24"/>
          <w:szCs w:val="24"/>
          <w:highlight w:val="none"/>
          <w:lang w:val="en-US" w:eastAsia="zh-CN"/>
        </w:rPr>
        <w:t>作无效标。</w:t>
      </w:r>
      <w:r>
        <w:rPr>
          <w:rFonts w:hint="eastAsia" w:ascii="宋体" w:hAnsi="宋体" w:eastAsia="宋体" w:cs="宋体"/>
          <w:b/>
          <w:bCs/>
          <w:color w:val="auto"/>
          <w:sz w:val="24"/>
          <w:szCs w:val="24"/>
          <w:highlight w:val="none"/>
          <w:lang w:eastAsia="zh-CN"/>
        </w:rPr>
        <w:t>如投标人提供CNAS第三方检测报告的，</w:t>
      </w:r>
      <w:r>
        <w:rPr>
          <w:rFonts w:hint="eastAsia" w:ascii="宋体" w:hAnsi="宋体" w:eastAsia="宋体" w:cs="宋体"/>
          <w:b/>
          <w:bCs/>
          <w:color w:val="auto"/>
          <w:sz w:val="24"/>
          <w:szCs w:val="24"/>
          <w:highlight w:val="none"/>
        </w:rPr>
        <w:t>须</w:t>
      </w:r>
      <w:r>
        <w:rPr>
          <w:rFonts w:hint="eastAsia" w:ascii="宋体" w:hAnsi="宋体" w:eastAsia="宋体" w:cs="宋体"/>
          <w:b/>
          <w:bCs/>
          <w:color w:val="auto"/>
          <w:sz w:val="24"/>
          <w:szCs w:val="24"/>
          <w:highlight w:val="none"/>
          <w:lang w:eastAsia="zh-CN"/>
        </w:rPr>
        <w:t>同时</w:t>
      </w:r>
      <w:r>
        <w:rPr>
          <w:rFonts w:hint="eastAsia" w:ascii="宋体" w:hAnsi="宋体" w:eastAsia="宋体" w:cs="宋体"/>
          <w:b/>
          <w:bCs/>
          <w:color w:val="auto"/>
          <w:sz w:val="24"/>
          <w:szCs w:val="24"/>
          <w:highlight w:val="none"/>
        </w:rPr>
        <w:t>提供CNAS检验检测机构中国合格评定国家认可委员会官网查询结果截图</w:t>
      </w:r>
      <w:r>
        <w:rPr>
          <w:rFonts w:hint="eastAsia" w:ascii="宋体" w:hAnsi="宋体" w:eastAsia="宋体" w:cs="宋体"/>
          <w:b/>
          <w:bCs/>
          <w:color w:val="auto"/>
          <w:sz w:val="24"/>
          <w:szCs w:val="24"/>
          <w:highlight w:val="none"/>
          <w:lang w:eastAsia="zh-CN"/>
        </w:rPr>
        <w:t>，否则</w:t>
      </w:r>
      <w:r>
        <w:rPr>
          <w:rFonts w:hint="eastAsia" w:ascii="宋体" w:hAnsi="宋体" w:eastAsia="宋体" w:cs="宋体"/>
          <w:b/>
          <w:bCs/>
          <w:color w:val="auto"/>
          <w:sz w:val="24"/>
          <w:szCs w:val="24"/>
          <w:highlight w:val="none"/>
          <w:lang w:val="en-US" w:eastAsia="zh-CN"/>
        </w:rPr>
        <w:t>作无效标。</w:t>
      </w:r>
    </w:p>
    <w:p w14:paraId="72C74AA0">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CMA、CNAS第三方检验检测机构</w:t>
      </w:r>
      <w:r>
        <w:rPr>
          <w:rFonts w:hint="eastAsia" w:ascii="宋体" w:hAnsi="宋体" w:eastAsia="宋体" w:cs="宋体"/>
          <w:b/>
          <w:bCs/>
          <w:color w:val="auto"/>
          <w:sz w:val="24"/>
          <w:szCs w:val="24"/>
          <w:highlight w:val="none"/>
        </w:rPr>
        <w:t>均须提供“国家企业信用信息公示系统”信用记录信息查询结果截图。</w:t>
      </w:r>
      <w:r>
        <w:rPr>
          <w:rFonts w:hint="eastAsia" w:ascii="宋体" w:hAnsi="宋体" w:eastAsia="宋体" w:cs="宋体"/>
          <w:b/>
          <w:bCs/>
          <w:color w:val="auto"/>
          <w:sz w:val="24"/>
          <w:szCs w:val="24"/>
          <w:highlight w:val="none"/>
          <w:lang w:eastAsia="zh-CN"/>
        </w:rPr>
        <w:t>否则</w:t>
      </w:r>
      <w:r>
        <w:rPr>
          <w:rFonts w:hint="eastAsia" w:ascii="宋体" w:hAnsi="宋体" w:eastAsia="宋体" w:cs="宋体"/>
          <w:b/>
          <w:bCs/>
          <w:color w:val="auto"/>
          <w:sz w:val="24"/>
          <w:szCs w:val="24"/>
          <w:highlight w:val="none"/>
          <w:lang w:val="en-US" w:eastAsia="zh-CN"/>
        </w:rPr>
        <w:t>作无效标。</w:t>
      </w:r>
    </w:p>
    <w:p w14:paraId="653242E7">
      <w:pPr>
        <w:spacing w:line="360" w:lineRule="auto"/>
        <w:ind w:firstLine="482" w:firstLineChars="200"/>
        <w:rPr>
          <w:rFonts w:hint="eastAsia" w:ascii="宋体" w:hAnsi="宋体" w:eastAsia="宋体" w:cs="宋体"/>
          <w:b/>
          <w:bCs/>
          <w:color w:val="auto"/>
          <w:sz w:val="24"/>
          <w:szCs w:val="24"/>
          <w:highlight w:val="none"/>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2.中标人领取中标通知书后7日内向采购人提供</w:t>
      </w:r>
      <w:r>
        <w:rPr>
          <w:rFonts w:hint="eastAsia" w:ascii="宋体" w:hAnsi="宋体" w:eastAsia="宋体" w:cs="宋体"/>
          <w:b/>
          <w:bCs/>
          <w:color w:val="auto"/>
          <w:sz w:val="24"/>
          <w:szCs w:val="24"/>
          <w:highlight w:val="none"/>
        </w:rPr>
        <w:t>垂起固定翼无人机、智能停机舱、长航时油电混合垂起固定翼无人机产品制造商针对本项目的授权书。</w:t>
      </w:r>
    </w:p>
    <w:p w14:paraId="4D578F90">
      <w:pPr>
        <w:numPr>
          <w:ilvl w:val="0"/>
          <w:numId w:val="4"/>
        </w:numPr>
        <w:spacing w:line="360" w:lineRule="auto"/>
        <w:ind w:firstLine="723" w:firstLineChars="200"/>
        <w:jc w:val="center"/>
        <w:rPr>
          <w:rFonts w:hint="eastAsia"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t>公开招标需求</w:t>
      </w:r>
    </w:p>
    <w:p w14:paraId="332B5EFB">
      <w:pPr>
        <w:pStyle w:val="53"/>
        <w:numPr>
          <w:ilvl w:val="0"/>
          <w:numId w:val="8"/>
        </w:numPr>
        <w:spacing w:line="360" w:lineRule="auto"/>
        <w:ind w:left="28" w:leftChars="0" w:firstLine="602" w:firstLineChars="0"/>
        <w:rPr>
          <w:rFonts w:hint="eastAsia" w:asciiTheme="majorEastAsia" w:hAnsiTheme="majorEastAsia" w:eastAsiaTheme="majorEastAsia" w:cstheme="minorBidi"/>
          <w:b/>
          <w:bCs/>
          <w:color w:val="auto"/>
          <w:kern w:val="0"/>
          <w:sz w:val="30"/>
          <w:szCs w:val="30"/>
          <w:highlight w:val="none"/>
        </w:rPr>
      </w:pPr>
      <w:r>
        <w:rPr>
          <w:rFonts w:hint="eastAsia" w:asciiTheme="majorEastAsia" w:hAnsiTheme="majorEastAsia" w:eastAsiaTheme="majorEastAsia" w:cstheme="minorBidi"/>
          <w:b/>
          <w:bCs/>
          <w:color w:val="auto"/>
          <w:kern w:val="0"/>
          <w:sz w:val="30"/>
          <w:szCs w:val="30"/>
          <w:highlight w:val="none"/>
        </w:rPr>
        <w:t>采购项目一览表</w:t>
      </w:r>
    </w:p>
    <w:p w14:paraId="21E78A98">
      <w:pPr>
        <w:tabs>
          <w:tab w:val="left" w:pos="8280"/>
        </w:tabs>
        <w:autoSpaceDE w:val="0"/>
        <w:autoSpaceDN w:val="0"/>
        <w:adjustRightInd w:val="0"/>
        <w:spacing w:line="360" w:lineRule="auto"/>
        <w:ind w:right="25"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本次招标共</w:t>
      </w:r>
      <w:r>
        <w:rPr>
          <w:rFonts w:asciiTheme="majorEastAsia" w:hAnsiTheme="majorEastAsia" w:eastAsiaTheme="majorEastAsia"/>
          <w:color w:val="auto"/>
          <w:sz w:val="24"/>
          <w:highlight w:val="none"/>
          <w:u w:val="single"/>
        </w:rPr>
        <w:t>1</w:t>
      </w:r>
      <w:r>
        <w:rPr>
          <w:rFonts w:hint="eastAsia" w:asciiTheme="majorEastAsia" w:hAnsiTheme="majorEastAsia" w:eastAsiaTheme="majorEastAsia"/>
          <w:color w:val="auto"/>
          <w:sz w:val="24"/>
          <w:highlight w:val="none"/>
        </w:rPr>
        <w:t>个标段，具体内容如下表：</w:t>
      </w:r>
    </w:p>
    <w:tbl>
      <w:tblPr>
        <w:tblStyle w:val="36"/>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73"/>
        <w:gridCol w:w="1114"/>
        <w:gridCol w:w="796"/>
        <w:gridCol w:w="796"/>
        <w:gridCol w:w="1288"/>
        <w:gridCol w:w="1466"/>
        <w:gridCol w:w="2296"/>
      </w:tblGrid>
      <w:tr w14:paraId="48AC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6028B3BA">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1673" w:type="dxa"/>
            <w:vAlign w:val="center"/>
          </w:tcPr>
          <w:p w14:paraId="501EEC06">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标项内容</w:t>
            </w:r>
          </w:p>
        </w:tc>
        <w:tc>
          <w:tcPr>
            <w:tcW w:w="1114" w:type="dxa"/>
            <w:vAlign w:val="center"/>
          </w:tcPr>
          <w:p w14:paraId="5B23936E">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kern w:val="0"/>
                <w:sz w:val="24"/>
                <w:highlight w:val="none"/>
              </w:rPr>
              <w:t>简要技术要求</w:t>
            </w:r>
          </w:p>
        </w:tc>
        <w:tc>
          <w:tcPr>
            <w:tcW w:w="796" w:type="dxa"/>
            <w:vAlign w:val="center"/>
          </w:tcPr>
          <w:p w14:paraId="5AF092C6">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96" w:type="dxa"/>
            <w:vAlign w:val="center"/>
          </w:tcPr>
          <w:p w14:paraId="76B731B3">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88" w:type="dxa"/>
            <w:vAlign w:val="center"/>
          </w:tcPr>
          <w:p w14:paraId="64F36B1B">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预算金额（万元）</w:t>
            </w:r>
          </w:p>
        </w:tc>
        <w:tc>
          <w:tcPr>
            <w:tcW w:w="1466" w:type="dxa"/>
            <w:vAlign w:val="center"/>
          </w:tcPr>
          <w:p w14:paraId="7C3E996A">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最高限价</w:t>
            </w:r>
          </w:p>
          <w:p w14:paraId="0D451843">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2296" w:type="dxa"/>
            <w:vAlign w:val="center"/>
          </w:tcPr>
          <w:p w14:paraId="632D616E">
            <w:pPr>
              <w:tabs>
                <w:tab w:val="left" w:pos="8280"/>
              </w:tabs>
              <w:autoSpaceDE w:val="0"/>
              <w:autoSpaceDN w:val="0"/>
              <w:adjustRightInd w:val="0"/>
              <w:spacing w:line="360" w:lineRule="auto"/>
              <w:ind w:right="25" w:firstLine="240"/>
              <w:jc w:val="center"/>
              <w:rPr>
                <w:rFonts w:ascii="宋体" w:hAnsi="宋体" w:cs="宋体"/>
                <w:b/>
                <w:color w:val="auto"/>
                <w:sz w:val="24"/>
                <w:highlight w:val="none"/>
              </w:rPr>
            </w:pPr>
            <w:r>
              <w:rPr>
                <w:rFonts w:hint="eastAsia" w:ascii="宋体" w:hAnsi="宋体" w:cs="宋体"/>
                <w:b/>
                <w:color w:val="auto"/>
                <w:sz w:val="24"/>
                <w:highlight w:val="none"/>
              </w:rPr>
              <w:t>交付期</w:t>
            </w:r>
          </w:p>
        </w:tc>
      </w:tr>
      <w:tr w14:paraId="5746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9" w:type="dxa"/>
            <w:vAlign w:val="center"/>
          </w:tcPr>
          <w:p w14:paraId="436652A2">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1</w:t>
            </w:r>
          </w:p>
        </w:tc>
        <w:tc>
          <w:tcPr>
            <w:tcW w:w="1673" w:type="dxa"/>
            <w:vAlign w:val="center"/>
          </w:tcPr>
          <w:p w14:paraId="1BAF30A5">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台州市海防无人机管控系统项目</w:t>
            </w:r>
          </w:p>
        </w:tc>
        <w:tc>
          <w:tcPr>
            <w:tcW w:w="1114" w:type="dxa"/>
            <w:vAlign w:val="center"/>
          </w:tcPr>
          <w:p w14:paraId="7F5BA87D">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796" w:type="dxa"/>
            <w:vAlign w:val="center"/>
          </w:tcPr>
          <w:p w14:paraId="044DDCE6">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1</w:t>
            </w:r>
          </w:p>
        </w:tc>
        <w:tc>
          <w:tcPr>
            <w:tcW w:w="796" w:type="dxa"/>
            <w:vAlign w:val="center"/>
          </w:tcPr>
          <w:p w14:paraId="7BC562F4">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项</w:t>
            </w:r>
          </w:p>
        </w:tc>
        <w:tc>
          <w:tcPr>
            <w:tcW w:w="1288" w:type="dxa"/>
            <w:vAlign w:val="center"/>
          </w:tcPr>
          <w:p w14:paraId="5D1BD2B6">
            <w:pPr>
              <w:tabs>
                <w:tab w:val="left" w:pos="8280"/>
              </w:tabs>
              <w:autoSpaceDE w:val="0"/>
              <w:autoSpaceDN w:val="0"/>
              <w:adjustRightIn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712</w:t>
            </w:r>
          </w:p>
        </w:tc>
        <w:tc>
          <w:tcPr>
            <w:tcW w:w="1466" w:type="dxa"/>
            <w:vAlign w:val="center"/>
          </w:tcPr>
          <w:p w14:paraId="42D191FA">
            <w:pPr>
              <w:tabs>
                <w:tab w:val="left" w:pos="8280"/>
              </w:tabs>
              <w:autoSpaceDE w:val="0"/>
              <w:autoSpaceDN w:val="0"/>
              <w:adjustRightInd w:val="0"/>
              <w:spacing w:line="360" w:lineRule="auto"/>
              <w:jc w:val="center"/>
              <w:rPr>
                <w:rFonts w:hint="eastAsia" w:ascii="宋体" w:hAnsi="宋体" w:eastAsia="宋体" w:cs="宋体"/>
                <w:color w:val="auto"/>
                <w:sz w:val="24"/>
                <w:highlight w:val="none"/>
                <w:lang w:eastAsia="zh-CN"/>
              </w:rPr>
            </w:pPr>
            <w:r>
              <w:rPr>
                <w:rFonts w:hint="eastAsia" w:ascii="宋体" w:hAnsi="宋体"/>
                <w:sz w:val="24"/>
                <w:highlight w:val="none"/>
                <w:lang w:val="en-US" w:eastAsia="zh-CN"/>
              </w:rPr>
              <w:t>655.3</w:t>
            </w:r>
            <w:r>
              <w:rPr>
                <w:rFonts w:hint="eastAsia" w:ascii="宋体" w:hAnsi="宋体"/>
                <w:sz w:val="24"/>
                <w:highlight w:val="none"/>
              </w:rPr>
              <w:t>568</w:t>
            </w:r>
          </w:p>
        </w:tc>
        <w:tc>
          <w:tcPr>
            <w:tcW w:w="2296" w:type="dxa"/>
            <w:vAlign w:val="center"/>
          </w:tcPr>
          <w:p w14:paraId="5A54039D">
            <w:pPr>
              <w:tabs>
                <w:tab w:val="left" w:pos="8280"/>
              </w:tabs>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合同签订后10个月内完成项目验收。</w:t>
            </w:r>
          </w:p>
        </w:tc>
      </w:tr>
    </w:tbl>
    <w:p w14:paraId="2A16E790">
      <w:pPr>
        <w:pStyle w:val="53"/>
        <w:spacing w:line="360" w:lineRule="auto"/>
        <w:ind w:left="141" w:firstLine="602"/>
        <w:rPr>
          <w:rFonts w:asciiTheme="majorEastAsia" w:hAnsiTheme="majorEastAsia" w:eastAsiaTheme="majorEastAsia" w:cstheme="minorBidi"/>
          <w:b/>
          <w:bCs/>
          <w:color w:val="auto"/>
          <w:kern w:val="0"/>
          <w:sz w:val="30"/>
          <w:szCs w:val="30"/>
          <w:highlight w:val="none"/>
        </w:rPr>
      </w:pPr>
      <w:bookmarkStart w:id="0" w:name="_Hlk66271521"/>
      <w:r>
        <w:rPr>
          <w:rFonts w:hint="eastAsia" w:asciiTheme="majorEastAsia" w:hAnsiTheme="majorEastAsia" w:eastAsiaTheme="majorEastAsia" w:cstheme="minorBidi"/>
          <w:b/>
          <w:bCs/>
          <w:color w:val="auto"/>
          <w:kern w:val="0"/>
          <w:sz w:val="30"/>
          <w:szCs w:val="30"/>
          <w:highlight w:val="none"/>
        </w:rPr>
        <w:t>二、技术需求</w:t>
      </w:r>
    </w:p>
    <w:p w14:paraId="14ECD711">
      <w:pPr>
        <w:numPr>
          <w:ilvl w:val="1"/>
          <w:numId w:val="9"/>
        </w:numPr>
        <w:adjustRightInd w:val="0"/>
        <w:snapToGrid w:val="0"/>
        <w:spacing w:line="360" w:lineRule="auto"/>
        <w:ind w:firstLine="602" w:firstLineChars="200"/>
        <w:outlineLvl w:val="1"/>
        <w:rPr>
          <w:rFonts w:ascii="宋体" w:hAnsi="宋体" w:cs="宋体"/>
          <w:b/>
          <w:bCs/>
          <w:color w:val="auto"/>
          <w:sz w:val="30"/>
          <w:szCs w:val="30"/>
          <w:highlight w:val="none"/>
        </w:rPr>
      </w:pPr>
      <w:r>
        <w:rPr>
          <w:rFonts w:hint="eastAsia" w:ascii="宋体" w:hAnsi="宋体" w:cs="宋体"/>
          <w:b/>
          <w:bCs/>
          <w:color w:val="auto"/>
          <w:sz w:val="30"/>
          <w:szCs w:val="30"/>
          <w:highlight w:val="none"/>
        </w:rPr>
        <w:t>项目概况</w:t>
      </w:r>
    </w:p>
    <w:p w14:paraId="6C345B99">
      <w:pPr>
        <w:spacing w:line="360" w:lineRule="auto"/>
        <w:ind w:firstLine="482" w:firstLineChars="200"/>
        <w:rPr>
          <w:rFonts w:ascii="宋体" w:hAnsi="宋体" w:cs="宋体"/>
          <w:b/>
          <w:bCs/>
          <w:color w:val="auto"/>
          <w:sz w:val="24"/>
          <w:highlight w:val="none"/>
        </w:rPr>
      </w:pPr>
      <w:bookmarkStart w:id="1" w:name="OLE_LINK5"/>
      <w:r>
        <w:rPr>
          <w:rFonts w:hint="eastAsia" w:ascii="宋体" w:hAnsi="宋体" w:cs="宋体"/>
          <w:b/>
          <w:bCs/>
          <w:color w:val="auto"/>
          <w:sz w:val="24"/>
          <w:highlight w:val="none"/>
        </w:rPr>
        <w:t>（一）项目建设目标</w:t>
      </w:r>
    </w:p>
    <w:bookmarkEnd w:id="1"/>
    <w:p w14:paraId="33C0B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在围绕台州市智慧海防建设要求，遵循统一规划、分步施行的原则，优先推进台州近海全域无线网络、海上无人机及载荷系统、海防无人机智控系统的建设，有序开展“海防+无人机”防控体系建设，为后续项目的推进奠定基础。本期建设目标如下：</w:t>
      </w:r>
    </w:p>
    <w:p w14:paraId="3011E6BC">
      <w:pPr>
        <w:spacing w:line="360" w:lineRule="auto"/>
        <w:ind w:firstLine="480" w:firstLineChars="200"/>
        <w:rPr>
          <w:rFonts w:ascii="宋体" w:hAnsi="宋体" w:cs="宋体"/>
          <w:color w:val="auto"/>
          <w:sz w:val="24"/>
          <w:highlight w:val="none"/>
        </w:rPr>
      </w:pPr>
      <w:bookmarkStart w:id="2" w:name="OLE_LINK4"/>
      <w:r>
        <w:rPr>
          <w:rFonts w:hint="eastAsia" w:ascii="宋体" w:hAnsi="宋体" w:cs="宋体"/>
          <w:color w:val="auto"/>
          <w:sz w:val="24"/>
          <w:highlight w:val="none"/>
        </w:rPr>
        <w:t>（1）搭建近海无人机通讯专网</w:t>
      </w:r>
    </w:p>
    <w:p w14:paraId="71FD1D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针对海上无线通信环境，在台州沿岸及重点岛屿部署1.4G无线自组网基站，搭建一张安全可靠的无人机专属通信网络，实现台州市近海100公里范围内网络通讯覆盖，以此拓宽海上无人机巡航管控范围，助力立体化海防监测能力建设。</w:t>
      </w:r>
    </w:p>
    <w:p w14:paraId="18198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（2）提升近海区域主动监测能力</w:t>
      </w:r>
    </w:p>
    <w:p w14:paraId="3594F4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针对台州市海上监测能力，在台州市三门县海安委大楼及台州湾新区机场两地优先部署两台高性能海防无人机，可有效弥补陆上CCTV站点监测范围固定、巡查视角受限等问题，且化被动为主动，以助于提升海防巡查的主观能动性。</w:t>
      </w:r>
    </w:p>
    <w:p w14:paraId="19AE7F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（3）拓展智慧海防业务应用</w:t>
      </w:r>
    </w:p>
    <w:p w14:paraId="4512C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台州市因沿海岛屿、海港码头和江河入海口情况复杂，海防管理任务较为繁重，本项目通过无人机智控系统的建设，梳理海防智慧应用的业务流程，为海防巡查构建全天时徃命、远距离快速反应的条件，有助于实现海防管理的智慧化、系统化、实时化、可视化。</w:t>
      </w:r>
    </w:p>
    <w:bookmarkEnd w:id="2"/>
    <w:p w14:paraId="540A379F">
      <w:pPr>
        <w:spacing w:line="360" w:lineRule="auto"/>
        <w:ind w:firstLine="482" w:firstLineChars="200"/>
        <w:rPr>
          <w:rFonts w:ascii="宋体" w:hAnsi="宋体" w:cs="宋体"/>
          <w:b/>
          <w:bCs/>
          <w:color w:val="auto"/>
          <w:sz w:val="24"/>
          <w:highlight w:val="none"/>
        </w:rPr>
      </w:pPr>
      <w:bookmarkStart w:id="3" w:name="OLE_LINK7"/>
      <w:r>
        <w:rPr>
          <w:rFonts w:hint="eastAsia" w:ascii="宋体" w:hAnsi="宋体" w:cs="宋体"/>
          <w:b/>
          <w:bCs/>
          <w:color w:val="auto"/>
          <w:sz w:val="24"/>
          <w:highlight w:val="none"/>
        </w:rPr>
        <w:t>（二）本期建设内容</w:t>
      </w:r>
    </w:p>
    <w:bookmarkEnd w:id="3"/>
    <w:p w14:paraId="1B8F3A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台州市海防无人机管控系统将围绕智慧海防建设要求，结合台州海域特点和业务管理需求，在充分利用现有系统资源的基础上，重点研究海上无线网络、海上无人机及低空防御体系，完善台州市智慧海防管控系统，建成后由公安、海关缉私、边检、海警、渔业等部门共享共用。本期项目建设内容主要包括海上无人机及载荷系统、低空通讯网络、无人机智控系统等。</w:t>
      </w:r>
    </w:p>
    <w:p w14:paraId="4DD5D08F">
      <w:pPr>
        <w:spacing w:line="360" w:lineRule="auto"/>
        <w:ind w:firstLine="480" w:firstLineChars="200"/>
        <w:rPr>
          <w:rFonts w:ascii="宋体" w:hAnsi="宋体" w:cs="宋体"/>
          <w:color w:val="auto"/>
          <w:sz w:val="24"/>
          <w:highlight w:val="none"/>
        </w:rPr>
      </w:pPr>
      <w:bookmarkStart w:id="4" w:name="OLE_LINK9"/>
      <w:r>
        <w:rPr>
          <w:rFonts w:hint="eastAsia" w:ascii="宋体" w:hAnsi="宋体" w:cs="宋体"/>
          <w:color w:val="auto"/>
          <w:sz w:val="24"/>
          <w:highlight w:val="none"/>
        </w:rPr>
        <w:t>（1）海上无人机及载荷系统</w:t>
      </w:r>
    </w:p>
    <w:p w14:paraId="2990A4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三门、椒江选址部署一套垂起固定翼智能无人值守系统，续航2小时，可执行50公里巡航任务，部署一套长航时油电混合垂起固定翼无人机系统，最大30公斤有效载荷，5公斤载荷续航8小时，搭载光电吊舱、喊话系统等，可执行近海100公里巡航任务。</w:t>
      </w:r>
    </w:p>
    <w:p w14:paraId="377A21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（2）低空通讯网络</w:t>
      </w:r>
    </w:p>
    <w:p w14:paraId="1C383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针对海上特殊通讯环境，建设高可靠性、高机动性、强抗毁抗干扰性、超视距传输的宽带无线网络，确保舰船、无人机、陆地的灵活组网、多跳传输，满足舰船近海50公里通讯，无人机近海100公里通讯，提供安全、可靠、稳定、及时的语音、数据及视频等多媒体综合传输业务，构建海上低空通讯网络。</w:t>
      </w:r>
    </w:p>
    <w:p w14:paraId="06218D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（3）无人机智控系统</w:t>
      </w:r>
    </w:p>
    <w:p w14:paraId="596CA2A3">
      <w:pPr>
        <w:spacing w:line="360" w:lineRule="auto"/>
        <w:ind w:firstLine="480" w:firstLineChars="200"/>
        <w:rPr>
          <w:rFonts w:ascii="宋体" w:hAnsi="宋体" w:cs="宋体"/>
          <w:color w:val="auto"/>
          <w:sz w:val="24"/>
          <w:highlight w:val="none"/>
        </w:rPr>
      </w:pPr>
      <w:bookmarkStart w:id="5" w:name="OLE_LINK6"/>
      <w:r>
        <w:rPr>
          <w:rFonts w:hint="eastAsia" w:ascii="宋体" w:hAnsi="宋体" w:cs="宋体"/>
          <w:color w:val="auto"/>
          <w:sz w:val="24"/>
          <w:highlight w:val="none"/>
        </w:rPr>
        <w:t>深度嵌入台州智慧海防管控系统平台，完成无人机统一管控与调度，确保无人机视频、飞行轨迹、目标巡航数据实时传输，实现业务场景各项功能的闭合处置。</w:t>
      </w:r>
    </w:p>
    <w:bookmarkEnd w:id="4"/>
    <w:bookmarkEnd w:id="5"/>
    <w:p w14:paraId="5A5902B8">
      <w:pPr>
        <w:spacing w:line="360" w:lineRule="auto"/>
        <w:ind w:firstLine="482" w:firstLineChars="200"/>
        <w:rPr>
          <w:rFonts w:ascii="宋体" w:hAnsi="宋体" w:cs="宋体"/>
          <w:b/>
          <w:bCs/>
          <w:color w:val="auto"/>
          <w:sz w:val="24"/>
          <w:highlight w:val="none"/>
        </w:rPr>
      </w:pPr>
      <w:bookmarkStart w:id="6" w:name="OLE_LINK8"/>
      <w:r>
        <w:rPr>
          <w:rFonts w:hint="eastAsia" w:ascii="宋体" w:hAnsi="宋体" w:cs="宋体"/>
          <w:b/>
          <w:bCs/>
          <w:color w:val="auto"/>
          <w:sz w:val="24"/>
          <w:highlight w:val="none"/>
        </w:rPr>
        <w:t>（三）建设地点</w:t>
      </w:r>
    </w:p>
    <w:bookmarkEnd w:id="6"/>
    <w:p w14:paraId="253304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覆盖台州市全域沿海。</w:t>
      </w:r>
    </w:p>
    <w:p w14:paraId="225F6BCE">
      <w:pPr>
        <w:rPr>
          <w:color w:val="auto"/>
          <w:highlight w:val="none"/>
        </w:rPr>
      </w:pPr>
    </w:p>
    <w:p w14:paraId="5E731B41">
      <w:pPr>
        <w:numPr>
          <w:ilvl w:val="1"/>
          <w:numId w:val="9"/>
        </w:numPr>
        <w:adjustRightInd w:val="0"/>
        <w:snapToGrid w:val="0"/>
        <w:spacing w:line="360" w:lineRule="auto"/>
        <w:ind w:firstLine="602" w:firstLineChars="200"/>
        <w:outlineLvl w:val="1"/>
        <w:rPr>
          <w:rFonts w:ascii="宋体" w:hAnsi="宋体" w:cs="宋体"/>
          <w:b/>
          <w:bCs/>
          <w:color w:val="auto"/>
          <w:sz w:val="30"/>
          <w:szCs w:val="32"/>
          <w:highlight w:val="none"/>
        </w:rPr>
      </w:pPr>
      <w:r>
        <w:rPr>
          <w:rFonts w:hint="eastAsia" w:ascii="宋体" w:hAnsi="宋体" w:cs="宋体"/>
          <w:b/>
          <w:bCs/>
          <w:color w:val="auto"/>
          <w:sz w:val="30"/>
          <w:szCs w:val="32"/>
          <w:highlight w:val="none"/>
        </w:rPr>
        <w:t>建设内容清单</w:t>
      </w:r>
    </w:p>
    <w:tbl>
      <w:tblPr>
        <w:tblStyle w:val="36"/>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10"/>
        <w:gridCol w:w="1799"/>
        <w:gridCol w:w="2729"/>
        <w:gridCol w:w="871"/>
        <w:gridCol w:w="898"/>
      </w:tblGrid>
      <w:tr w14:paraId="4C3C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99" w:type="pct"/>
            <w:shd w:val="clear" w:color="auto" w:fill="auto"/>
            <w:noWrap/>
            <w:vAlign w:val="center"/>
          </w:tcPr>
          <w:p w14:paraId="32EEFDCC">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889" w:type="pct"/>
            <w:shd w:val="clear" w:color="auto" w:fill="auto"/>
            <w:noWrap/>
            <w:vAlign w:val="center"/>
          </w:tcPr>
          <w:p w14:paraId="18F91AC2">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建设内容</w:t>
            </w:r>
          </w:p>
        </w:tc>
        <w:tc>
          <w:tcPr>
            <w:tcW w:w="1060" w:type="pct"/>
            <w:shd w:val="clear" w:color="auto" w:fill="auto"/>
            <w:noWrap/>
            <w:vAlign w:val="center"/>
          </w:tcPr>
          <w:p w14:paraId="285BFB25">
            <w:pPr>
              <w:widowControl/>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子项建设内容</w:t>
            </w:r>
          </w:p>
        </w:tc>
        <w:tc>
          <w:tcPr>
            <w:tcW w:w="1608" w:type="pct"/>
            <w:shd w:val="clear" w:color="auto" w:fill="auto"/>
            <w:noWrap/>
            <w:vAlign w:val="center"/>
          </w:tcPr>
          <w:p w14:paraId="74273347">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子项组成</w:t>
            </w:r>
          </w:p>
        </w:tc>
        <w:tc>
          <w:tcPr>
            <w:tcW w:w="513" w:type="pct"/>
            <w:shd w:val="clear" w:color="auto" w:fill="auto"/>
            <w:noWrap/>
            <w:vAlign w:val="center"/>
          </w:tcPr>
          <w:p w14:paraId="136D9B38">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单位</w:t>
            </w:r>
          </w:p>
        </w:tc>
        <w:tc>
          <w:tcPr>
            <w:tcW w:w="529" w:type="pct"/>
            <w:shd w:val="clear" w:color="auto" w:fill="auto"/>
            <w:noWrap/>
            <w:vAlign w:val="center"/>
          </w:tcPr>
          <w:p w14:paraId="69BB5BE1">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数量</w:t>
            </w:r>
          </w:p>
        </w:tc>
      </w:tr>
      <w:tr w14:paraId="6B11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3BD1AEF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c>
          <w:tcPr>
            <w:tcW w:w="889" w:type="pct"/>
            <w:vMerge w:val="restart"/>
            <w:shd w:val="clear" w:color="auto" w:fill="auto"/>
            <w:vAlign w:val="center"/>
          </w:tcPr>
          <w:p w14:paraId="2B826FC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海上无人机及载荷系统</w:t>
            </w:r>
          </w:p>
        </w:tc>
        <w:tc>
          <w:tcPr>
            <w:tcW w:w="1060" w:type="pct"/>
            <w:vMerge w:val="restart"/>
            <w:shd w:val="clear" w:color="auto" w:fill="auto"/>
            <w:vAlign w:val="center"/>
          </w:tcPr>
          <w:p w14:paraId="186D239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海防垂起固定翼智能无人值守系统</w:t>
            </w:r>
          </w:p>
        </w:tc>
        <w:tc>
          <w:tcPr>
            <w:tcW w:w="1608" w:type="pct"/>
            <w:shd w:val="clear" w:color="auto" w:fill="auto"/>
            <w:vAlign w:val="center"/>
          </w:tcPr>
          <w:p w14:paraId="3CCC4F33">
            <w:pPr>
              <w:widowControl/>
              <w:jc w:val="center"/>
              <w:textAlignment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kern w:val="0"/>
                <w:sz w:val="24"/>
                <w:highlight w:val="none"/>
              </w:rPr>
              <w:t>垂起固定翼无人机</w:t>
            </w:r>
            <w:r>
              <w:rPr>
                <w:rFonts w:hint="eastAsia" w:asciiTheme="minorEastAsia" w:hAnsiTheme="minorEastAsia" w:eastAsiaTheme="minorEastAsia" w:cstheme="minorEastAsia"/>
                <w:b/>
                <w:bCs/>
                <w:color w:val="auto"/>
                <w:kern w:val="0"/>
                <w:sz w:val="24"/>
                <w:highlight w:val="none"/>
                <w:lang w:eastAsia="zh-CN"/>
              </w:rPr>
              <w:t>（核心产品）</w:t>
            </w:r>
          </w:p>
        </w:tc>
        <w:tc>
          <w:tcPr>
            <w:tcW w:w="513" w:type="pct"/>
            <w:shd w:val="clear" w:color="auto" w:fill="auto"/>
            <w:noWrap/>
            <w:vAlign w:val="center"/>
          </w:tcPr>
          <w:p w14:paraId="578B222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noWrap/>
            <w:vAlign w:val="center"/>
          </w:tcPr>
          <w:p w14:paraId="31CD92D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5143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225A376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p>
        </w:tc>
        <w:tc>
          <w:tcPr>
            <w:tcW w:w="889" w:type="pct"/>
            <w:vMerge w:val="continue"/>
            <w:shd w:val="clear" w:color="auto" w:fill="auto"/>
            <w:vAlign w:val="center"/>
          </w:tcPr>
          <w:p w14:paraId="2AB0A99C">
            <w:pPr>
              <w:widowControl/>
              <w:jc w:val="center"/>
              <w:textAlignment w:val="center"/>
              <w:rPr>
                <w:rFonts w:asciiTheme="minorEastAsia" w:hAnsiTheme="minorEastAsia" w:eastAsiaTheme="minorEastAsia" w:cstheme="minorEastAsia"/>
                <w:color w:val="auto"/>
                <w:kern w:val="0"/>
                <w:sz w:val="24"/>
                <w:highlight w:val="none"/>
              </w:rPr>
            </w:pPr>
          </w:p>
        </w:tc>
        <w:tc>
          <w:tcPr>
            <w:tcW w:w="1060" w:type="pct"/>
            <w:vMerge w:val="continue"/>
            <w:shd w:val="clear" w:color="auto" w:fill="auto"/>
            <w:vAlign w:val="center"/>
          </w:tcPr>
          <w:p w14:paraId="2A7D41EF">
            <w:pPr>
              <w:widowControl/>
              <w:jc w:val="center"/>
              <w:textAlignment w:val="center"/>
              <w:rPr>
                <w:rFonts w:asciiTheme="minorEastAsia" w:hAnsiTheme="minorEastAsia" w:eastAsiaTheme="minorEastAsia" w:cstheme="minorEastAsia"/>
                <w:color w:val="auto"/>
                <w:kern w:val="0"/>
                <w:sz w:val="24"/>
                <w:highlight w:val="none"/>
              </w:rPr>
            </w:pPr>
          </w:p>
        </w:tc>
        <w:tc>
          <w:tcPr>
            <w:tcW w:w="1608" w:type="pct"/>
            <w:shd w:val="clear" w:color="auto" w:fill="auto"/>
            <w:vAlign w:val="center"/>
          </w:tcPr>
          <w:p w14:paraId="3AF64E9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智能停机舱</w:t>
            </w:r>
            <w:r>
              <w:rPr>
                <w:rFonts w:hint="eastAsia" w:asciiTheme="minorEastAsia" w:hAnsiTheme="minorEastAsia" w:eastAsiaTheme="minorEastAsia" w:cstheme="minorEastAsia"/>
                <w:b/>
                <w:bCs/>
                <w:color w:val="auto"/>
                <w:kern w:val="0"/>
                <w:sz w:val="24"/>
                <w:highlight w:val="none"/>
                <w:lang w:eastAsia="zh-CN"/>
              </w:rPr>
              <w:t>（核心产品）</w:t>
            </w:r>
          </w:p>
        </w:tc>
        <w:tc>
          <w:tcPr>
            <w:tcW w:w="513" w:type="pct"/>
            <w:shd w:val="clear" w:color="auto" w:fill="auto"/>
            <w:noWrap/>
            <w:vAlign w:val="center"/>
          </w:tcPr>
          <w:p w14:paraId="08D1754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noWrap/>
            <w:vAlign w:val="center"/>
          </w:tcPr>
          <w:p w14:paraId="3416C62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3DAC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7D36F6C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c>
          <w:tcPr>
            <w:tcW w:w="889" w:type="pct"/>
            <w:vMerge w:val="continue"/>
            <w:shd w:val="clear" w:color="auto" w:fill="auto"/>
            <w:vAlign w:val="center"/>
          </w:tcPr>
          <w:p w14:paraId="087B0217">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0B19B06E">
            <w:pPr>
              <w:jc w:val="center"/>
              <w:rPr>
                <w:rFonts w:asciiTheme="minorEastAsia" w:hAnsiTheme="minorEastAsia" w:eastAsiaTheme="minorEastAsia" w:cstheme="minorEastAsia"/>
                <w:color w:val="auto"/>
                <w:sz w:val="24"/>
                <w:highlight w:val="none"/>
              </w:rPr>
            </w:pPr>
          </w:p>
        </w:tc>
        <w:tc>
          <w:tcPr>
            <w:tcW w:w="1608" w:type="pct"/>
            <w:shd w:val="clear" w:color="auto" w:fill="auto"/>
            <w:vAlign w:val="center"/>
          </w:tcPr>
          <w:p w14:paraId="6DE350D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三光吊舱</w:t>
            </w:r>
          </w:p>
        </w:tc>
        <w:tc>
          <w:tcPr>
            <w:tcW w:w="513" w:type="pct"/>
            <w:shd w:val="clear" w:color="auto" w:fill="auto"/>
            <w:noWrap/>
            <w:vAlign w:val="center"/>
          </w:tcPr>
          <w:p w14:paraId="330D440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noWrap/>
            <w:vAlign w:val="center"/>
          </w:tcPr>
          <w:p w14:paraId="013424E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1F99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26F0B5C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w:t>
            </w:r>
          </w:p>
        </w:tc>
        <w:tc>
          <w:tcPr>
            <w:tcW w:w="889" w:type="pct"/>
            <w:vMerge w:val="continue"/>
            <w:shd w:val="clear" w:color="auto" w:fill="auto"/>
            <w:vAlign w:val="center"/>
          </w:tcPr>
          <w:p w14:paraId="485CFDEA">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120A22FA">
            <w:pPr>
              <w:jc w:val="center"/>
              <w:rPr>
                <w:rFonts w:asciiTheme="minorEastAsia" w:hAnsiTheme="minorEastAsia" w:eastAsiaTheme="minorEastAsia" w:cstheme="minorEastAsia"/>
                <w:color w:val="auto"/>
                <w:sz w:val="24"/>
                <w:highlight w:val="none"/>
              </w:rPr>
            </w:pPr>
          </w:p>
        </w:tc>
        <w:tc>
          <w:tcPr>
            <w:tcW w:w="1608" w:type="pct"/>
            <w:shd w:val="clear" w:color="auto" w:fill="auto"/>
            <w:vAlign w:val="center"/>
          </w:tcPr>
          <w:p w14:paraId="389E6EA2">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电子除雾</w:t>
            </w:r>
          </w:p>
        </w:tc>
        <w:tc>
          <w:tcPr>
            <w:tcW w:w="513" w:type="pct"/>
            <w:shd w:val="clear" w:color="auto" w:fill="auto"/>
            <w:noWrap/>
            <w:vAlign w:val="center"/>
          </w:tcPr>
          <w:p w14:paraId="4DB6C0CF">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noWrap/>
            <w:vAlign w:val="center"/>
          </w:tcPr>
          <w:p w14:paraId="3776A699">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r>
      <w:tr w14:paraId="7829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0CEEB48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5</w:t>
            </w:r>
          </w:p>
        </w:tc>
        <w:tc>
          <w:tcPr>
            <w:tcW w:w="889" w:type="pct"/>
            <w:vMerge w:val="continue"/>
            <w:shd w:val="clear" w:color="auto" w:fill="auto"/>
            <w:vAlign w:val="center"/>
          </w:tcPr>
          <w:p w14:paraId="72400AA0">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4318EC93">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69BBFEB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落水漂浮设备</w:t>
            </w:r>
          </w:p>
        </w:tc>
        <w:tc>
          <w:tcPr>
            <w:tcW w:w="513" w:type="pct"/>
            <w:shd w:val="clear" w:color="auto" w:fill="auto"/>
            <w:noWrap/>
            <w:vAlign w:val="center"/>
          </w:tcPr>
          <w:p w14:paraId="7BAB3C3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noWrap/>
            <w:vAlign w:val="center"/>
          </w:tcPr>
          <w:p w14:paraId="5AB1C62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p>
        </w:tc>
      </w:tr>
      <w:tr w14:paraId="143C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55C1998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6</w:t>
            </w:r>
          </w:p>
        </w:tc>
        <w:tc>
          <w:tcPr>
            <w:tcW w:w="889" w:type="pct"/>
            <w:vMerge w:val="continue"/>
            <w:shd w:val="clear" w:color="auto" w:fill="auto"/>
            <w:vAlign w:val="center"/>
          </w:tcPr>
          <w:p w14:paraId="281F1DDD">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5EB24FA5">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05E9EC5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系统安装部署</w:t>
            </w:r>
          </w:p>
        </w:tc>
        <w:tc>
          <w:tcPr>
            <w:tcW w:w="513" w:type="pct"/>
            <w:shd w:val="clear" w:color="auto" w:fill="auto"/>
            <w:noWrap/>
            <w:vAlign w:val="center"/>
          </w:tcPr>
          <w:p w14:paraId="5D2B0AC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217C6E9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3211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12CC97A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7</w:t>
            </w:r>
          </w:p>
        </w:tc>
        <w:tc>
          <w:tcPr>
            <w:tcW w:w="889" w:type="pct"/>
            <w:vMerge w:val="continue"/>
            <w:shd w:val="clear" w:color="auto" w:fill="auto"/>
            <w:vAlign w:val="center"/>
          </w:tcPr>
          <w:p w14:paraId="27DAD530">
            <w:pPr>
              <w:jc w:val="center"/>
              <w:rPr>
                <w:rFonts w:asciiTheme="minorEastAsia" w:hAnsiTheme="minorEastAsia" w:eastAsiaTheme="minorEastAsia" w:cstheme="minorEastAsia"/>
                <w:color w:val="auto"/>
                <w:sz w:val="24"/>
                <w:highlight w:val="none"/>
              </w:rPr>
            </w:pPr>
          </w:p>
        </w:tc>
        <w:tc>
          <w:tcPr>
            <w:tcW w:w="1060" w:type="pct"/>
            <w:vMerge w:val="restart"/>
            <w:shd w:val="clear" w:color="auto" w:fill="auto"/>
            <w:vAlign w:val="center"/>
          </w:tcPr>
          <w:p w14:paraId="5145EC8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海防长航时油电混合垂起无人机系统</w:t>
            </w:r>
          </w:p>
        </w:tc>
        <w:tc>
          <w:tcPr>
            <w:tcW w:w="1608" w:type="pct"/>
            <w:shd w:val="clear" w:color="auto" w:fill="auto"/>
            <w:vAlign w:val="center"/>
          </w:tcPr>
          <w:p w14:paraId="3A672EF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油电混合长航时垂起固定翼无人机</w:t>
            </w:r>
            <w:r>
              <w:rPr>
                <w:rFonts w:hint="eastAsia" w:asciiTheme="minorEastAsia" w:hAnsiTheme="minorEastAsia" w:eastAsiaTheme="minorEastAsia" w:cstheme="minorEastAsia"/>
                <w:b/>
                <w:bCs/>
                <w:color w:val="auto"/>
                <w:kern w:val="0"/>
                <w:sz w:val="24"/>
                <w:highlight w:val="none"/>
                <w:lang w:eastAsia="zh-CN"/>
              </w:rPr>
              <w:t>（核心产品）</w:t>
            </w:r>
          </w:p>
        </w:tc>
        <w:tc>
          <w:tcPr>
            <w:tcW w:w="513" w:type="pct"/>
            <w:shd w:val="clear" w:color="auto" w:fill="auto"/>
            <w:noWrap/>
            <w:vAlign w:val="center"/>
          </w:tcPr>
          <w:p w14:paraId="0239658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vAlign w:val="center"/>
          </w:tcPr>
          <w:p w14:paraId="6459DDF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0C07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0B5FC2BB">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8</w:t>
            </w:r>
          </w:p>
        </w:tc>
        <w:tc>
          <w:tcPr>
            <w:tcW w:w="889" w:type="pct"/>
            <w:vMerge w:val="continue"/>
            <w:shd w:val="clear" w:color="auto" w:fill="auto"/>
            <w:vAlign w:val="center"/>
          </w:tcPr>
          <w:p w14:paraId="4F14EE9D">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395920C0">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50B9553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三光吊舱</w:t>
            </w:r>
          </w:p>
        </w:tc>
        <w:tc>
          <w:tcPr>
            <w:tcW w:w="513" w:type="pct"/>
            <w:shd w:val="clear" w:color="auto" w:fill="auto"/>
            <w:noWrap/>
            <w:vAlign w:val="center"/>
          </w:tcPr>
          <w:p w14:paraId="500CEDF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vAlign w:val="center"/>
          </w:tcPr>
          <w:p w14:paraId="33FFECE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5357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0F22877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9</w:t>
            </w:r>
          </w:p>
        </w:tc>
        <w:tc>
          <w:tcPr>
            <w:tcW w:w="889" w:type="pct"/>
            <w:vMerge w:val="continue"/>
            <w:shd w:val="clear" w:color="auto" w:fill="auto"/>
            <w:vAlign w:val="center"/>
          </w:tcPr>
          <w:p w14:paraId="3B804031">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6B865D85">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683D432E">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电子除雾</w:t>
            </w:r>
          </w:p>
        </w:tc>
        <w:tc>
          <w:tcPr>
            <w:tcW w:w="513" w:type="pct"/>
            <w:shd w:val="clear" w:color="auto" w:fill="auto"/>
            <w:noWrap/>
            <w:vAlign w:val="center"/>
          </w:tcPr>
          <w:p w14:paraId="2969E895">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vAlign w:val="center"/>
          </w:tcPr>
          <w:p w14:paraId="10049327">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r>
      <w:tr w14:paraId="56E9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47D8C45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10</w:t>
            </w:r>
          </w:p>
        </w:tc>
        <w:tc>
          <w:tcPr>
            <w:tcW w:w="889" w:type="pct"/>
            <w:vMerge w:val="continue"/>
            <w:shd w:val="clear" w:color="auto" w:fill="auto"/>
            <w:vAlign w:val="center"/>
          </w:tcPr>
          <w:p w14:paraId="748E3AEC">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17AC5652">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263E748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探照灯</w:t>
            </w:r>
          </w:p>
        </w:tc>
        <w:tc>
          <w:tcPr>
            <w:tcW w:w="513" w:type="pct"/>
            <w:shd w:val="clear" w:color="auto" w:fill="auto"/>
            <w:noWrap/>
            <w:vAlign w:val="center"/>
          </w:tcPr>
          <w:p w14:paraId="0B19B58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vAlign w:val="center"/>
          </w:tcPr>
          <w:p w14:paraId="7D2C7C7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2539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5DBAC6B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11</w:t>
            </w:r>
          </w:p>
        </w:tc>
        <w:tc>
          <w:tcPr>
            <w:tcW w:w="889" w:type="pct"/>
            <w:vMerge w:val="continue"/>
            <w:shd w:val="clear" w:color="auto" w:fill="auto"/>
            <w:vAlign w:val="center"/>
          </w:tcPr>
          <w:p w14:paraId="6623F270">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60666AF0">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197D6DCB">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喊话器</w:t>
            </w:r>
          </w:p>
        </w:tc>
        <w:tc>
          <w:tcPr>
            <w:tcW w:w="513" w:type="pct"/>
            <w:shd w:val="clear" w:color="auto" w:fill="auto"/>
            <w:noWrap/>
            <w:vAlign w:val="center"/>
          </w:tcPr>
          <w:p w14:paraId="75798621">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vAlign w:val="center"/>
          </w:tcPr>
          <w:p w14:paraId="3594AAFF">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r>
      <w:tr w14:paraId="090C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03721A1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12</w:t>
            </w:r>
          </w:p>
        </w:tc>
        <w:tc>
          <w:tcPr>
            <w:tcW w:w="889" w:type="pct"/>
            <w:vMerge w:val="continue"/>
            <w:shd w:val="clear" w:color="auto" w:fill="auto"/>
            <w:vAlign w:val="center"/>
          </w:tcPr>
          <w:p w14:paraId="26659F74">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6DAE7204">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1992F15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落水漂浮设备</w:t>
            </w:r>
          </w:p>
        </w:tc>
        <w:tc>
          <w:tcPr>
            <w:tcW w:w="513" w:type="pct"/>
            <w:shd w:val="clear" w:color="auto" w:fill="auto"/>
            <w:noWrap/>
            <w:vAlign w:val="center"/>
          </w:tcPr>
          <w:p w14:paraId="21A004D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noWrap/>
            <w:vAlign w:val="center"/>
          </w:tcPr>
          <w:p w14:paraId="65D2EDF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w:t>
            </w:r>
          </w:p>
        </w:tc>
      </w:tr>
      <w:tr w14:paraId="7D27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0210D70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13</w:t>
            </w:r>
          </w:p>
        </w:tc>
        <w:tc>
          <w:tcPr>
            <w:tcW w:w="889" w:type="pct"/>
            <w:vMerge w:val="continue"/>
            <w:shd w:val="clear" w:color="auto" w:fill="auto"/>
            <w:vAlign w:val="center"/>
          </w:tcPr>
          <w:p w14:paraId="38FE7177">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75D50F0E">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362A47B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系统安装部署</w:t>
            </w:r>
          </w:p>
        </w:tc>
        <w:tc>
          <w:tcPr>
            <w:tcW w:w="513" w:type="pct"/>
            <w:shd w:val="clear" w:color="auto" w:fill="auto"/>
            <w:noWrap/>
            <w:vAlign w:val="center"/>
          </w:tcPr>
          <w:p w14:paraId="1A9784B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0841210B">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68E1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5296E5E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14</w:t>
            </w:r>
          </w:p>
        </w:tc>
        <w:tc>
          <w:tcPr>
            <w:tcW w:w="889" w:type="pct"/>
            <w:vMerge w:val="restart"/>
            <w:shd w:val="clear" w:color="auto" w:fill="auto"/>
            <w:vAlign w:val="center"/>
          </w:tcPr>
          <w:p w14:paraId="27EC63F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无人机智控系统</w:t>
            </w:r>
          </w:p>
        </w:tc>
        <w:tc>
          <w:tcPr>
            <w:tcW w:w="1060" w:type="pct"/>
            <w:shd w:val="clear" w:color="auto" w:fill="auto"/>
            <w:noWrap/>
            <w:vAlign w:val="center"/>
          </w:tcPr>
          <w:p w14:paraId="4F295B9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软件定制开发</w:t>
            </w:r>
          </w:p>
        </w:tc>
        <w:tc>
          <w:tcPr>
            <w:tcW w:w="1608" w:type="pct"/>
            <w:shd w:val="clear" w:color="auto" w:fill="auto"/>
            <w:vAlign w:val="center"/>
          </w:tcPr>
          <w:p w14:paraId="41E3E2E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无人机智控系统</w:t>
            </w:r>
          </w:p>
        </w:tc>
        <w:tc>
          <w:tcPr>
            <w:tcW w:w="513" w:type="pct"/>
            <w:shd w:val="clear" w:color="auto" w:fill="auto"/>
            <w:noWrap/>
            <w:vAlign w:val="center"/>
          </w:tcPr>
          <w:p w14:paraId="072A099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vAlign w:val="center"/>
          </w:tcPr>
          <w:p w14:paraId="714B0DF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5959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74CC4C2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15</w:t>
            </w:r>
          </w:p>
        </w:tc>
        <w:tc>
          <w:tcPr>
            <w:tcW w:w="889" w:type="pct"/>
            <w:vMerge w:val="continue"/>
            <w:shd w:val="clear" w:color="auto" w:fill="auto"/>
            <w:vAlign w:val="center"/>
          </w:tcPr>
          <w:p w14:paraId="2A8A527C">
            <w:pPr>
              <w:jc w:val="center"/>
              <w:rPr>
                <w:rFonts w:asciiTheme="minorEastAsia" w:hAnsiTheme="minorEastAsia" w:eastAsiaTheme="minorEastAsia" w:cstheme="minorEastAsia"/>
                <w:color w:val="auto"/>
                <w:sz w:val="24"/>
                <w:highlight w:val="none"/>
              </w:rPr>
            </w:pPr>
          </w:p>
        </w:tc>
        <w:tc>
          <w:tcPr>
            <w:tcW w:w="1060" w:type="pct"/>
            <w:shd w:val="clear" w:color="auto" w:fill="auto"/>
            <w:noWrap/>
            <w:vAlign w:val="center"/>
          </w:tcPr>
          <w:p w14:paraId="5239203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配套软硬设备</w:t>
            </w:r>
          </w:p>
        </w:tc>
        <w:tc>
          <w:tcPr>
            <w:tcW w:w="1608" w:type="pct"/>
            <w:shd w:val="clear" w:color="auto" w:fill="auto"/>
            <w:vAlign w:val="center"/>
          </w:tcPr>
          <w:p w14:paraId="1F8E3C5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图像除雾一体机</w:t>
            </w:r>
          </w:p>
        </w:tc>
        <w:tc>
          <w:tcPr>
            <w:tcW w:w="513" w:type="pct"/>
            <w:shd w:val="clear" w:color="auto" w:fill="auto"/>
            <w:noWrap/>
            <w:vAlign w:val="center"/>
          </w:tcPr>
          <w:p w14:paraId="31F438A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vAlign w:val="center"/>
          </w:tcPr>
          <w:p w14:paraId="52561A8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762D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67AD2981">
            <w:pPr>
              <w:widowControl/>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16</w:t>
            </w:r>
          </w:p>
        </w:tc>
        <w:tc>
          <w:tcPr>
            <w:tcW w:w="889" w:type="pct"/>
            <w:vMerge w:val="restart"/>
            <w:shd w:val="clear" w:color="auto" w:fill="auto"/>
            <w:vAlign w:val="center"/>
          </w:tcPr>
          <w:p w14:paraId="26B5B99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低空通讯网络</w:t>
            </w:r>
          </w:p>
        </w:tc>
        <w:tc>
          <w:tcPr>
            <w:tcW w:w="1060" w:type="pct"/>
            <w:shd w:val="clear" w:color="auto" w:fill="auto"/>
            <w:noWrap/>
            <w:vAlign w:val="center"/>
          </w:tcPr>
          <w:p w14:paraId="5EE7089F">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自组网设备</w:t>
            </w:r>
          </w:p>
        </w:tc>
        <w:tc>
          <w:tcPr>
            <w:tcW w:w="1608" w:type="pct"/>
            <w:shd w:val="clear" w:color="auto" w:fill="auto"/>
            <w:vAlign w:val="center"/>
          </w:tcPr>
          <w:p w14:paraId="20FDAD68">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采购人提供，不在本次采购范围内。</w:t>
            </w:r>
          </w:p>
        </w:tc>
        <w:tc>
          <w:tcPr>
            <w:tcW w:w="513" w:type="pct"/>
            <w:shd w:val="clear" w:color="auto" w:fill="auto"/>
            <w:noWrap/>
            <w:vAlign w:val="center"/>
          </w:tcPr>
          <w:p w14:paraId="08DE109B">
            <w:pPr>
              <w:widowControl/>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项</w:t>
            </w:r>
          </w:p>
        </w:tc>
        <w:tc>
          <w:tcPr>
            <w:tcW w:w="529" w:type="pct"/>
            <w:shd w:val="clear" w:color="auto" w:fill="auto"/>
            <w:vAlign w:val="center"/>
          </w:tcPr>
          <w:p w14:paraId="206305B3">
            <w:pPr>
              <w:widowControl/>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1</w:t>
            </w:r>
          </w:p>
        </w:tc>
      </w:tr>
      <w:tr w14:paraId="4D74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611353DD">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17</w:t>
            </w:r>
          </w:p>
        </w:tc>
        <w:tc>
          <w:tcPr>
            <w:tcW w:w="889" w:type="pct"/>
            <w:vMerge w:val="continue"/>
            <w:shd w:val="clear" w:color="auto" w:fill="auto"/>
            <w:noWrap/>
            <w:vAlign w:val="center"/>
          </w:tcPr>
          <w:p w14:paraId="562BD8AC">
            <w:pPr>
              <w:widowControl/>
              <w:jc w:val="center"/>
              <w:textAlignment w:val="center"/>
              <w:rPr>
                <w:rFonts w:asciiTheme="minorEastAsia" w:hAnsiTheme="minorEastAsia" w:eastAsiaTheme="minorEastAsia" w:cstheme="minorEastAsia"/>
                <w:color w:val="auto"/>
                <w:sz w:val="24"/>
                <w:highlight w:val="none"/>
              </w:rPr>
            </w:pPr>
          </w:p>
        </w:tc>
        <w:tc>
          <w:tcPr>
            <w:tcW w:w="1060" w:type="pct"/>
            <w:vMerge w:val="restart"/>
            <w:shd w:val="clear" w:color="auto" w:fill="auto"/>
            <w:noWrap/>
            <w:vAlign w:val="center"/>
          </w:tcPr>
          <w:p w14:paraId="0D66519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无线自组网</w:t>
            </w:r>
          </w:p>
        </w:tc>
        <w:tc>
          <w:tcPr>
            <w:tcW w:w="1608" w:type="pct"/>
            <w:shd w:val="clear" w:color="auto" w:fill="auto"/>
            <w:noWrap/>
            <w:vAlign w:val="center"/>
          </w:tcPr>
          <w:p w14:paraId="12F1D8A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复用海防雷达站部署</w:t>
            </w:r>
          </w:p>
        </w:tc>
        <w:tc>
          <w:tcPr>
            <w:tcW w:w="513" w:type="pct"/>
            <w:shd w:val="clear" w:color="auto" w:fill="auto"/>
            <w:noWrap/>
            <w:vAlign w:val="center"/>
          </w:tcPr>
          <w:p w14:paraId="6B80FBE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42492E9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13</w:t>
            </w:r>
          </w:p>
        </w:tc>
      </w:tr>
      <w:tr w14:paraId="2190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4890EDA5">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18</w:t>
            </w:r>
          </w:p>
        </w:tc>
        <w:tc>
          <w:tcPr>
            <w:tcW w:w="889" w:type="pct"/>
            <w:vMerge w:val="continue"/>
            <w:shd w:val="clear" w:color="auto" w:fill="auto"/>
            <w:noWrap/>
            <w:vAlign w:val="center"/>
          </w:tcPr>
          <w:p w14:paraId="39151B4C">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40758645">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4FFB083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租用运营商基站部署（岛屿站）</w:t>
            </w:r>
          </w:p>
        </w:tc>
        <w:tc>
          <w:tcPr>
            <w:tcW w:w="513" w:type="pct"/>
            <w:shd w:val="clear" w:color="auto" w:fill="auto"/>
            <w:noWrap/>
            <w:vAlign w:val="center"/>
          </w:tcPr>
          <w:p w14:paraId="2DA9253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6EF64B4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5</w:t>
            </w:r>
          </w:p>
        </w:tc>
      </w:tr>
      <w:tr w14:paraId="4D61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7000B36B">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19</w:t>
            </w:r>
          </w:p>
        </w:tc>
        <w:tc>
          <w:tcPr>
            <w:tcW w:w="889" w:type="pct"/>
            <w:vMerge w:val="continue"/>
            <w:shd w:val="clear" w:color="auto" w:fill="auto"/>
            <w:noWrap/>
            <w:vAlign w:val="center"/>
          </w:tcPr>
          <w:p w14:paraId="164D1D6B">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42658557">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7CD79F0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租用运营商基站部署（岛屿站）</w:t>
            </w:r>
          </w:p>
        </w:tc>
        <w:tc>
          <w:tcPr>
            <w:tcW w:w="513" w:type="pct"/>
            <w:shd w:val="clear" w:color="auto" w:fill="auto"/>
            <w:noWrap/>
            <w:vAlign w:val="center"/>
          </w:tcPr>
          <w:p w14:paraId="04E4463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5FEB299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r>
      <w:tr w14:paraId="6F9D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684939A6">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20</w:t>
            </w:r>
          </w:p>
        </w:tc>
        <w:tc>
          <w:tcPr>
            <w:tcW w:w="889" w:type="pct"/>
            <w:vMerge w:val="continue"/>
            <w:shd w:val="clear" w:color="auto" w:fill="auto"/>
            <w:noWrap/>
            <w:vAlign w:val="center"/>
          </w:tcPr>
          <w:p w14:paraId="72687B31">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1E6D6F86">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7FFF142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大楼立杆部署</w:t>
            </w:r>
          </w:p>
        </w:tc>
        <w:tc>
          <w:tcPr>
            <w:tcW w:w="513" w:type="pct"/>
            <w:shd w:val="clear" w:color="auto" w:fill="auto"/>
            <w:noWrap/>
            <w:vAlign w:val="center"/>
          </w:tcPr>
          <w:p w14:paraId="2F0F943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656871D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r>
      <w:tr w14:paraId="3787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4FB6B7C9">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21</w:t>
            </w:r>
          </w:p>
        </w:tc>
        <w:tc>
          <w:tcPr>
            <w:tcW w:w="889" w:type="pct"/>
            <w:vMerge w:val="continue"/>
            <w:shd w:val="clear" w:color="auto" w:fill="auto"/>
            <w:noWrap/>
            <w:vAlign w:val="center"/>
          </w:tcPr>
          <w:p w14:paraId="21FBF9DD">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2790121D">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5FFAF5C5">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自建部署</w:t>
            </w:r>
          </w:p>
          <w:p w14:paraId="62055957">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五子岛基建施工：</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（1）太阳能光伏2.4X1.1米，数量3</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（2）蓄电池组：20度电存储</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（3）逆变器：1套</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（4）电线、支架等配件</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（5）安装施工费</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（6）3年设备维修费、日常运维费及电费</w:t>
            </w:r>
          </w:p>
        </w:tc>
        <w:tc>
          <w:tcPr>
            <w:tcW w:w="513" w:type="pct"/>
            <w:shd w:val="clear" w:color="auto" w:fill="auto"/>
            <w:noWrap/>
            <w:vAlign w:val="center"/>
          </w:tcPr>
          <w:p w14:paraId="36BADAE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591083E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285E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4A335003">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22</w:t>
            </w:r>
          </w:p>
        </w:tc>
        <w:tc>
          <w:tcPr>
            <w:tcW w:w="889" w:type="pct"/>
            <w:vMerge w:val="continue"/>
            <w:shd w:val="clear" w:color="auto" w:fill="auto"/>
            <w:noWrap/>
            <w:vAlign w:val="center"/>
          </w:tcPr>
          <w:p w14:paraId="44811019">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7A91C5D2">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406B880A">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自建部署</w:t>
            </w:r>
          </w:p>
          <w:p w14:paraId="1478DE65">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隐龙山顶基建施工：</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（1）地面硬化：1个</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（2）安装台：1个</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（3）天线杆：3米</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（4）设备防护箱：1个</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（5）电源线若干米</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（6）安装施工费</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（7）3年设备维修费、日常运维费及电费</w:t>
            </w:r>
          </w:p>
        </w:tc>
        <w:tc>
          <w:tcPr>
            <w:tcW w:w="513" w:type="pct"/>
            <w:shd w:val="clear" w:color="auto" w:fill="auto"/>
            <w:noWrap/>
            <w:vAlign w:val="center"/>
          </w:tcPr>
          <w:p w14:paraId="7FD5E17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7773830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0FBF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3E414060">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23</w:t>
            </w:r>
          </w:p>
        </w:tc>
        <w:tc>
          <w:tcPr>
            <w:tcW w:w="889" w:type="pct"/>
            <w:vMerge w:val="continue"/>
            <w:shd w:val="clear" w:color="auto" w:fill="auto"/>
            <w:noWrap/>
            <w:vAlign w:val="center"/>
          </w:tcPr>
          <w:p w14:paraId="429B8E30">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6644D09F">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22AE62A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辅材</w:t>
            </w:r>
          </w:p>
        </w:tc>
        <w:tc>
          <w:tcPr>
            <w:tcW w:w="513" w:type="pct"/>
            <w:shd w:val="clear" w:color="auto" w:fill="auto"/>
            <w:noWrap/>
            <w:vAlign w:val="center"/>
          </w:tcPr>
          <w:p w14:paraId="5F2F662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64E737A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3EBB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5ECDF303">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24</w:t>
            </w:r>
          </w:p>
        </w:tc>
        <w:tc>
          <w:tcPr>
            <w:tcW w:w="889" w:type="pct"/>
            <w:vMerge w:val="continue"/>
            <w:shd w:val="clear" w:color="auto" w:fill="auto"/>
            <w:noWrap/>
            <w:vAlign w:val="center"/>
          </w:tcPr>
          <w:p w14:paraId="7507AF2B">
            <w:pPr>
              <w:jc w:val="center"/>
              <w:rPr>
                <w:rFonts w:asciiTheme="minorEastAsia" w:hAnsiTheme="minorEastAsia" w:eastAsiaTheme="minorEastAsia" w:cstheme="minorEastAsia"/>
                <w:color w:val="auto"/>
                <w:sz w:val="24"/>
                <w:highlight w:val="none"/>
              </w:rPr>
            </w:pPr>
          </w:p>
        </w:tc>
        <w:tc>
          <w:tcPr>
            <w:tcW w:w="1060" w:type="pct"/>
            <w:vMerge w:val="restart"/>
            <w:shd w:val="clear" w:color="auto" w:fill="auto"/>
            <w:noWrap/>
            <w:vAlign w:val="center"/>
          </w:tcPr>
          <w:p w14:paraId="3E66167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陆地有线专网</w:t>
            </w:r>
          </w:p>
        </w:tc>
        <w:tc>
          <w:tcPr>
            <w:tcW w:w="1608" w:type="pct"/>
            <w:shd w:val="clear" w:color="auto" w:fill="auto"/>
            <w:vAlign w:val="center"/>
          </w:tcPr>
          <w:p w14:paraId="36932BAD">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专网接入：</w:t>
            </w:r>
          </w:p>
          <w:p w14:paraId="1DB96138">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3个节点需接入20M有线专网，3年使用期</w:t>
            </w:r>
          </w:p>
        </w:tc>
        <w:tc>
          <w:tcPr>
            <w:tcW w:w="513" w:type="pct"/>
            <w:shd w:val="clear" w:color="auto" w:fill="auto"/>
            <w:noWrap/>
            <w:vAlign w:val="center"/>
          </w:tcPr>
          <w:p w14:paraId="7CC9184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条</w:t>
            </w:r>
          </w:p>
        </w:tc>
        <w:tc>
          <w:tcPr>
            <w:tcW w:w="529" w:type="pct"/>
            <w:shd w:val="clear" w:color="auto" w:fill="auto"/>
            <w:vAlign w:val="center"/>
          </w:tcPr>
          <w:p w14:paraId="74E4478B">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r>
      <w:tr w14:paraId="0623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12B1720C">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25</w:t>
            </w:r>
          </w:p>
        </w:tc>
        <w:tc>
          <w:tcPr>
            <w:tcW w:w="889" w:type="pct"/>
            <w:vMerge w:val="continue"/>
            <w:shd w:val="clear" w:color="auto" w:fill="auto"/>
            <w:noWrap/>
            <w:vAlign w:val="center"/>
          </w:tcPr>
          <w:p w14:paraId="08BCCB9A">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4FA57E4A">
            <w:pPr>
              <w:jc w:val="center"/>
              <w:rPr>
                <w:rFonts w:asciiTheme="minorEastAsia" w:hAnsiTheme="minorEastAsia" w:eastAsiaTheme="minorEastAsia" w:cstheme="minorEastAsia"/>
                <w:color w:val="auto"/>
                <w:sz w:val="24"/>
                <w:highlight w:val="none"/>
              </w:rPr>
            </w:pPr>
          </w:p>
        </w:tc>
        <w:tc>
          <w:tcPr>
            <w:tcW w:w="1608" w:type="pct"/>
            <w:shd w:val="clear" w:color="auto" w:fill="auto"/>
            <w:vAlign w:val="center"/>
          </w:tcPr>
          <w:p w14:paraId="6C53B371">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专网接入：</w:t>
            </w:r>
          </w:p>
          <w:p w14:paraId="63F9AB6B">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7个节点需接入10M有线专网，3年使用期</w:t>
            </w:r>
          </w:p>
        </w:tc>
        <w:tc>
          <w:tcPr>
            <w:tcW w:w="513" w:type="pct"/>
            <w:shd w:val="clear" w:color="auto" w:fill="auto"/>
            <w:noWrap/>
            <w:vAlign w:val="center"/>
          </w:tcPr>
          <w:p w14:paraId="339B7E7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条</w:t>
            </w:r>
          </w:p>
        </w:tc>
        <w:tc>
          <w:tcPr>
            <w:tcW w:w="529" w:type="pct"/>
            <w:shd w:val="clear" w:color="auto" w:fill="auto"/>
            <w:vAlign w:val="center"/>
          </w:tcPr>
          <w:p w14:paraId="6CEEB55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7</w:t>
            </w:r>
          </w:p>
        </w:tc>
      </w:tr>
      <w:tr w14:paraId="23AE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5D39AB62">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26</w:t>
            </w:r>
          </w:p>
        </w:tc>
        <w:tc>
          <w:tcPr>
            <w:tcW w:w="889" w:type="pct"/>
            <w:vMerge w:val="continue"/>
            <w:shd w:val="clear" w:color="auto" w:fill="auto"/>
            <w:noWrap/>
            <w:vAlign w:val="center"/>
          </w:tcPr>
          <w:p w14:paraId="1E88C17B">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03C292C4">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4151C4F8">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网络调试</w:t>
            </w:r>
          </w:p>
        </w:tc>
        <w:tc>
          <w:tcPr>
            <w:tcW w:w="513" w:type="pct"/>
            <w:shd w:val="clear" w:color="auto" w:fill="auto"/>
            <w:noWrap/>
            <w:vAlign w:val="center"/>
          </w:tcPr>
          <w:p w14:paraId="556EB99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1B1FFA2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507A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59718870">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27</w:t>
            </w:r>
          </w:p>
        </w:tc>
        <w:tc>
          <w:tcPr>
            <w:tcW w:w="889" w:type="pct"/>
            <w:vMerge w:val="continue"/>
            <w:shd w:val="clear" w:color="auto" w:fill="auto"/>
            <w:noWrap/>
            <w:vAlign w:val="center"/>
          </w:tcPr>
          <w:p w14:paraId="30231BC9">
            <w:pPr>
              <w:jc w:val="center"/>
              <w:rPr>
                <w:rFonts w:asciiTheme="minorEastAsia" w:hAnsiTheme="minorEastAsia" w:eastAsiaTheme="minorEastAsia" w:cstheme="minorEastAsia"/>
                <w:color w:val="auto"/>
                <w:sz w:val="24"/>
                <w:highlight w:val="none"/>
              </w:rPr>
            </w:pPr>
          </w:p>
        </w:tc>
        <w:tc>
          <w:tcPr>
            <w:tcW w:w="1060" w:type="pct"/>
            <w:vMerge w:val="restart"/>
            <w:shd w:val="clear" w:color="auto" w:fill="auto"/>
            <w:vAlign w:val="center"/>
          </w:tcPr>
          <w:p w14:paraId="4EA7761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弱网增强</w:t>
            </w:r>
          </w:p>
        </w:tc>
        <w:tc>
          <w:tcPr>
            <w:tcW w:w="1608" w:type="pct"/>
            <w:shd w:val="clear" w:color="auto" w:fill="auto"/>
            <w:noWrap/>
            <w:vAlign w:val="center"/>
          </w:tcPr>
          <w:p w14:paraId="73669702">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弱网对抗机载盒子</w:t>
            </w:r>
          </w:p>
        </w:tc>
        <w:tc>
          <w:tcPr>
            <w:tcW w:w="513" w:type="pct"/>
            <w:shd w:val="clear" w:color="auto" w:fill="auto"/>
            <w:noWrap/>
            <w:vAlign w:val="center"/>
          </w:tcPr>
          <w:p w14:paraId="40F3B6D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套</w:t>
            </w:r>
          </w:p>
        </w:tc>
        <w:tc>
          <w:tcPr>
            <w:tcW w:w="529" w:type="pct"/>
            <w:shd w:val="clear" w:color="auto" w:fill="auto"/>
            <w:noWrap/>
            <w:vAlign w:val="center"/>
          </w:tcPr>
          <w:p w14:paraId="57F891C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r>
      <w:tr w14:paraId="39E8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639D4D40">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28</w:t>
            </w:r>
          </w:p>
        </w:tc>
        <w:tc>
          <w:tcPr>
            <w:tcW w:w="889" w:type="pct"/>
            <w:vMerge w:val="continue"/>
            <w:shd w:val="clear" w:color="auto" w:fill="auto"/>
            <w:noWrap/>
            <w:vAlign w:val="center"/>
          </w:tcPr>
          <w:p w14:paraId="4FB0D66F">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21AD12EC">
            <w:pPr>
              <w:jc w:val="center"/>
              <w:rPr>
                <w:rFonts w:asciiTheme="minorEastAsia" w:hAnsiTheme="minorEastAsia" w:eastAsiaTheme="minorEastAsia" w:cstheme="minorEastAsia"/>
                <w:color w:val="auto"/>
                <w:sz w:val="24"/>
                <w:highlight w:val="none"/>
              </w:rPr>
            </w:pPr>
          </w:p>
        </w:tc>
        <w:tc>
          <w:tcPr>
            <w:tcW w:w="1608" w:type="pct"/>
            <w:shd w:val="clear" w:color="auto" w:fill="auto"/>
            <w:noWrap/>
            <w:vAlign w:val="center"/>
          </w:tcPr>
          <w:p w14:paraId="66E7912C">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弱网对抗接收端一体机</w:t>
            </w:r>
          </w:p>
        </w:tc>
        <w:tc>
          <w:tcPr>
            <w:tcW w:w="513" w:type="pct"/>
            <w:shd w:val="clear" w:color="auto" w:fill="auto"/>
            <w:noWrap/>
            <w:vAlign w:val="center"/>
          </w:tcPr>
          <w:p w14:paraId="40FFD69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台</w:t>
            </w:r>
          </w:p>
        </w:tc>
        <w:tc>
          <w:tcPr>
            <w:tcW w:w="529" w:type="pct"/>
            <w:shd w:val="clear" w:color="auto" w:fill="auto"/>
            <w:noWrap/>
            <w:vAlign w:val="center"/>
          </w:tcPr>
          <w:p w14:paraId="3811452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2034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78D91C2A">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29</w:t>
            </w:r>
          </w:p>
        </w:tc>
        <w:tc>
          <w:tcPr>
            <w:tcW w:w="889" w:type="pct"/>
            <w:vMerge w:val="restart"/>
            <w:shd w:val="clear" w:color="auto" w:fill="auto"/>
            <w:noWrap/>
            <w:vAlign w:val="center"/>
          </w:tcPr>
          <w:p w14:paraId="296DB56F">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无人机相关其他服务费用</w:t>
            </w:r>
          </w:p>
        </w:tc>
        <w:tc>
          <w:tcPr>
            <w:tcW w:w="1060" w:type="pct"/>
            <w:vMerge w:val="restart"/>
            <w:shd w:val="clear" w:color="auto" w:fill="auto"/>
            <w:noWrap/>
            <w:vAlign w:val="center"/>
          </w:tcPr>
          <w:p w14:paraId="0925876D">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无人机相关其他服务费用</w:t>
            </w:r>
          </w:p>
        </w:tc>
        <w:tc>
          <w:tcPr>
            <w:tcW w:w="1608" w:type="pct"/>
            <w:shd w:val="clear" w:color="auto" w:fill="auto"/>
            <w:vAlign w:val="center"/>
          </w:tcPr>
          <w:p w14:paraId="7BEA19C7">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无人机运维</w:t>
            </w:r>
          </w:p>
        </w:tc>
        <w:tc>
          <w:tcPr>
            <w:tcW w:w="513" w:type="pct"/>
            <w:shd w:val="clear" w:color="auto" w:fill="auto"/>
            <w:noWrap/>
            <w:vAlign w:val="center"/>
          </w:tcPr>
          <w:p w14:paraId="629CD6D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1A6660A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5567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54372034">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30</w:t>
            </w:r>
          </w:p>
        </w:tc>
        <w:tc>
          <w:tcPr>
            <w:tcW w:w="889" w:type="pct"/>
            <w:vMerge w:val="continue"/>
            <w:shd w:val="clear" w:color="auto" w:fill="auto"/>
            <w:noWrap/>
            <w:vAlign w:val="center"/>
          </w:tcPr>
          <w:p w14:paraId="2512463A">
            <w:pPr>
              <w:widowControl/>
              <w:jc w:val="center"/>
              <w:textAlignment w:val="center"/>
              <w:rPr>
                <w:rFonts w:asciiTheme="minorEastAsia" w:hAnsiTheme="minorEastAsia" w:eastAsiaTheme="minorEastAsia" w:cstheme="minorEastAsia"/>
                <w:color w:val="auto"/>
                <w:kern w:val="0"/>
                <w:sz w:val="24"/>
                <w:highlight w:val="none"/>
              </w:rPr>
            </w:pPr>
          </w:p>
        </w:tc>
        <w:tc>
          <w:tcPr>
            <w:tcW w:w="1060" w:type="pct"/>
            <w:vMerge w:val="continue"/>
            <w:shd w:val="clear" w:color="auto" w:fill="auto"/>
            <w:noWrap/>
            <w:vAlign w:val="center"/>
          </w:tcPr>
          <w:p w14:paraId="048BFF9D">
            <w:pPr>
              <w:widowControl/>
              <w:jc w:val="center"/>
              <w:textAlignment w:val="center"/>
              <w:rPr>
                <w:rFonts w:asciiTheme="minorEastAsia" w:hAnsiTheme="minorEastAsia" w:eastAsiaTheme="minorEastAsia" w:cstheme="minorEastAsia"/>
                <w:color w:val="auto"/>
                <w:kern w:val="0"/>
                <w:sz w:val="24"/>
                <w:highlight w:val="none"/>
              </w:rPr>
            </w:pPr>
          </w:p>
        </w:tc>
        <w:tc>
          <w:tcPr>
            <w:tcW w:w="1608" w:type="pct"/>
            <w:shd w:val="clear" w:color="auto" w:fill="auto"/>
            <w:vAlign w:val="center"/>
          </w:tcPr>
          <w:p w14:paraId="01FD6F18">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垂起固定翼智能无人机机身险</w:t>
            </w:r>
          </w:p>
        </w:tc>
        <w:tc>
          <w:tcPr>
            <w:tcW w:w="513" w:type="pct"/>
            <w:shd w:val="clear" w:color="auto" w:fill="auto"/>
            <w:noWrap/>
            <w:vAlign w:val="center"/>
          </w:tcPr>
          <w:p w14:paraId="3128657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6139B35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3FF5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26594443">
            <w:pPr>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31</w:t>
            </w:r>
          </w:p>
        </w:tc>
        <w:tc>
          <w:tcPr>
            <w:tcW w:w="889" w:type="pct"/>
            <w:vMerge w:val="continue"/>
            <w:shd w:val="clear" w:color="auto" w:fill="auto"/>
            <w:noWrap/>
            <w:vAlign w:val="center"/>
          </w:tcPr>
          <w:p w14:paraId="19649085">
            <w:pPr>
              <w:widowControl/>
              <w:jc w:val="center"/>
              <w:textAlignment w:val="center"/>
              <w:rPr>
                <w:rFonts w:asciiTheme="minorEastAsia" w:hAnsiTheme="minorEastAsia" w:eastAsiaTheme="minorEastAsia" w:cstheme="minorEastAsia"/>
                <w:color w:val="auto"/>
                <w:kern w:val="0"/>
                <w:sz w:val="24"/>
                <w:highlight w:val="none"/>
              </w:rPr>
            </w:pPr>
          </w:p>
        </w:tc>
        <w:tc>
          <w:tcPr>
            <w:tcW w:w="1060" w:type="pct"/>
            <w:vMerge w:val="continue"/>
            <w:shd w:val="clear" w:color="auto" w:fill="auto"/>
            <w:noWrap/>
            <w:vAlign w:val="center"/>
          </w:tcPr>
          <w:p w14:paraId="7AD6BE67">
            <w:pPr>
              <w:widowControl/>
              <w:jc w:val="center"/>
              <w:textAlignment w:val="center"/>
              <w:rPr>
                <w:rFonts w:asciiTheme="minorEastAsia" w:hAnsiTheme="minorEastAsia" w:eastAsiaTheme="minorEastAsia" w:cstheme="minorEastAsia"/>
                <w:color w:val="auto"/>
                <w:kern w:val="0"/>
                <w:sz w:val="24"/>
                <w:highlight w:val="none"/>
              </w:rPr>
            </w:pPr>
          </w:p>
        </w:tc>
        <w:tc>
          <w:tcPr>
            <w:tcW w:w="1608" w:type="pct"/>
            <w:shd w:val="clear" w:color="auto" w:fill="auto"/>
            <w:vAlign w:val="center"/>
          </w:tcPr>
          <w:p w14:paraId="1A4F5A87">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垂起固定翼智能无人机三者险</w:t>
            </w:r>
          </w:p>
        </w:tc>
        <w:tc>
          <w:tcPr>
            <w:tcW w:w="513" w:type="pct"/>
            <w:shd w:val="clear" w:color="auto" w:fill="auto"/>
            <w:noWrap/>
            <w:vAlign w:val="center"/>
          </w:tcPr>
          <w:p w14:paraId="5C40070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4487AC8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5B98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42E64F48">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32</w:t>
            </w:r>
          </w:p>
        </w:tc>
        <w:tc>
          <w:tcPr>
            <w:tcW w:w="889" w:type="pct"/>
            <w:vMerge w:val="continue"/>
            <w:shd w:val="clear" w:color="auto" w:fill="auto"/>
            <w:noWrap/>
            <w:vAlign w:val="center"/>
          </w:tcPr>
          <w:p w14:paraId="53E41866">
            <w:pPr>
              <w:widowControl/>
              <w:jc w:val="center"/>
              <w:textAlignment w:val="center"/>
              <w:rPr>
                <w:rFonts w:asciiTheme="minorEastAsia" w:hAnsiTheme="minorEastAsia" w:eastAsiaTheme="minorEastAsia" w:cstheme="minorEastAsia"/>
                <w:color w:val="auto"/>
                <w:kern w:val="0"/>
                <w:sz w:val="24"/>
                <w:highlight w:val="none"/>
              </w:rPr>
            </w:pPr>
          </w:p>
        </w:tc>
        <w:tc>
          <w:tcPr>
            <w:tcW w:w="1060" w:type="pct"/>
            <w:vMerge w:val="continue"/>
            <w:shd w:val="clear" w:color="auto" w:fill="auto"/>
            <w:noWrap/>
            <w:vAlign w:val="center"/>
          </w:tcPr>
          <w:p w14:paraId="59DCB43C">
            <w:pPr>
              <w:widowControl/>
              <w:jc w:val="center"/>
              <w:textAlignment w:val="center"/>
              <w:rPr>
                <w:rFonts w:asciiTheme="minorEastAsia" w:hAnsiTheme="minorEastAsia" w:eastAsiaTheme="minorEastAsia" w:cstheme="minorEastAsia"/>
                <w:color w:val="auto"/>
                <w:kern w:val="0"/>
                <w:sz w:val="24"/>
                <w:highlight w:val="none"/>
              </w:rPr>
            </w:pPr>
          </w:p>
        </w:tc>
        <w:tc>
          <w:tcPr>
            <w:tcW w:w="1608" w:type="pct"/>
            <w:shd w:val="clear" w:color="auto" w:fill="auto"/>
            <w:vAlign w:val="center"/>
          </w:tcPr>
          <w:p w14:paraId="368160A9">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油电混合长航时垂起固定翼无人机机身险</w:t>
            </w:r>
          </w:p>
        </w:tc>
        <w:tc>
          <w:tcPr>
            <w:tcW w:w="513" w:type="pct"/>
            <w:shd w:val="clear" w:color="auto" w:fill="auto"/>
            <w:noWrap/>
            <w:vAlign w:val="center"/>
          </w:tcPr>
          <w:p w14:paraId="6EC5703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081ED15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5EDA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2C3E7DE4">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33</w:t>
            </w:r>
          </w:p>
        </w:tc>
        <w:tc>
          <w:tcPr>
            <w:tcW w:w="889" w:type="pct"/>
            <w:vMerge w:val="continue"/>
            <w:shd w:val="clear" w:color="auto" w:fill="auto"/>
            <w:noWrap/>
            <w:vAlign w:val="center"/>
          </w:tcPr>
          <w:p w14:paraId="75523F59">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7FCD121F">
            <w:pPr>
              <w:jc w:val="center"/>
              <w:rPr>
                <w:rFonts w:asciiTheme="minorEastAsia" w:hAnsiTheme="minorEastAsia" w:eastAsiaTheme="minorEastAsia" w:cstheme="minorEastAsia"/>
                <w:color w:val="auto"/>
                <w:sz w:val="24"/>
                <w:highlight w:val="none"/>
              </w:rPr>
            </w:pPr>
          </w:p>
        </w:tc>
        <w:tc>
          <w:tcPr>
            <w:tcW w:w="1608" w:type="pct"/>
            <w:shd w:val="clear" w:color="auto" w:fill="auto"/>
            <w:vAlign w:val="center"/>
          </w:tcPr>
          <w:p w14:paraId="3F3E64C6">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油电混合长航时垂起固定翼无人机三者险</w:t>
            </w:r>
          </w:p>
        </w:tc>
        <w:tc>
          <w:tcPr>
            <w:tcW w:w="513" w:type="pct"/>
            <w:shd w:val="clear" w:color="auto" w:fill="auto"/>
            <w:noWrap/>
            <w:vAlign w:val="center"/>
          </w:tcPr>
          <w:p w14:paraId="5EBC926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126E60A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7A9C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099879E0">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34</w:t>
            </w:r>
          </w:p>
        </w:tc>
        <w:tc>
          <w:tcPr>
            <w:tcW w:w="889" w:type="pct"/>
            <w:vMerge w:val="continue"/>
            <w:shd w:val="clear" w:color="auto" w:fill="auto"/>
            <w:noWrap/>
            <w:vAlign w:val="center"/>
          </w:tcPr>
          <w:p w14:paraId="5D7C567B">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noWrap/>
            <w:vAlign w:val="center"/>
          </w:tcPr>
          <w:p w14:paraId="19E2BDAA">
            <w:pPr>
              <w:jc w:val="center"/>
              <w:rPr>
                <w:rFonts w:asciiTheme="minorEastAsia" w:hAnsiTheme="minorEastAsia" w:eastAsiaTheme="minorEastAsia" w:cstheme="minorEastAsia"/>
                <w:color w:val="auto"/>
                <w:sz w:val="24"/>
                <w:highlight w:val="none"/>
              </w:rPr>
            </w:pPr>
          </w:p>
        </w:tc>
        <w:tc>
          <w:tcPr>
            <w:tcW w:w="1608" w:type="pct"/>
            <w:shd w:val="clear" w:color="auto" w:fill="auto"/>
            <w:vAlign w:val="center"/>
          </w:tcPr>
          <w:p w14:paraId="20A2BE85">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无人机培训</w:t>
            </w:r>
          </w:p>
        </w:tc>
        <w:tc>
          <w:tcPr>
            <w:tcW w:w="513" w:type="pct"/>
            <w:shd w:val="clear" w:color="auto" w:fill="auto"/>
            <w:noWrap/>
            <w:vAlign w:val="center"/>
          </w:tcPr>
          <w:p w14:paraId="5A713E0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7DD99B0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3F2F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16C575A8">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35</w:t>
            </w:r>
          </w:p>
        </w:tc>
        <w:tc>
          <w:tcPr>
            <w:tcW w:w="889" w:type="pct"/>
            <w:vMerge w:val="restart"/>
            <w:shd w:val="clear" w:color="auto" w:fill="auto"/>
            <w:noWrap/>
            <w:vAlign w:val="center"/>
          </w:tcPr>
          <w:p w14:paraId="31F237A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建设其他费用</w:t>
            </w:r>
          </w:p>
        </w:tc>
        <w:tc>
          <w:tcPr>
            <w:tcW w:w="1060" w:type="pct"/>
            <w:shd w:val="clear" w:color="auto" w:fill="auto"/>
            <w:vAlign w:val="center"/>
          </w:tcPr>
          <w:p w14:paraId="63946193">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其他技术服务</w:t>
            </w:r>
          </w:p>
        </w:tc>
        <w:tc>
          <w:tcPr>
            <w:tcW w:w="1608" w:type="pct"/>
            <w:shd w:val="clear" w:color="auto" w:fill="auto"/>
            <w:vAlign w:val="center"/>
          </w:tcPr>
          <w:p w14:paraId="01162D40">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无线电频率、台（站）申请</w:t>
            </w:r>
          </w:p>
        </w:tc>
        <w:tc>
          <w:tcPr>
            <w:tcW w:w="513" w:type="pct"/>
            <w:shd w:val="clear" w:color="auto" w:fill="auto"/>
            <w:noWrap/>
            <w:vAlign w:val="center"/>
          </w:tcPr>
          <w:p w14:paraId="760BAF8D">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w:t>
            </w:r>
          </w:p>
        </w:tc>
        <w:tc>
          <w:tcPr>
            <w:tcW w:w="529" w:type="pct"/>
            <w:shd w:val="clear" w:color="auto" w:fill="auto"/>
            <w:noWrap/>
            <w:vAlign w:val="center"/>
          </w:tcPr>
          <w:p w14:paraId="339C3781">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r>
      <w:tr w14:paraId="3852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3BDD6A33">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36</w:t>
            </w:r>
          </w:p>
        </w:tc>
        <w:tc>
          <w:tcPr>
            <w:tcW w:w="889" w:type="pct"/>
            <w:vMerge w:val="continue"/>
            <w:shd w:val="clear" w:color="auto" w:fill="auto"/>
            <w:noWrap/>
            <w:vAlign w:val="center"/>
          </w:tcPr>
          <w:p w14:paraId="2DD21C50">
            <w:pPr>
              <w:jc w:val="center"/>
              <w:rPr>
                <w:rFonts w:asciiTheme="minorEastAsia" w:hAnsiTheme="minorEastAsia" w:eastAsiaTheme="minorEastAsia" w:cstheme="minorEastAsia"/>
                <w:color w:val="auto"/>
                <w:sz w:val="24"/>
                <w:highlight w:val="none"/>
              </w:rPr>
            </w:pPr>
          </w:p>
        </w:tc>
        <w:tc>
          <w:tcPr>
            <w:tcW w:w="1060" w:type="pct"/>
            <w:vMerge w:val="restart"/>
            <w:shd w:val="clear" w:color="auto" w:fill="auto"/>
            <w:vAlign w:val="center"/>
          </w:tcPr>
          <w:p w14:paraId="2EDB142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测评</w:t>
            </w:r>
          </w:p>
        </w:tc>
        <w:tc>
          <w:tcPr>
            <w:tcW w:w="1608" w:type="pct"/>
            <w:shd w:val="clear" w:color="auto" w:fill="auto"/>
            <w:vAlign w:val="center"/>
          </w:tcPr>
          <w:p w14:paraId="69A8BAC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三级等保评测</w:t>
            </w:r>
          </w:p>
        </w:tc>
        <w:tc>
          <w:tcPr>
            <w:tcW w:w="513" w:type="pct"/>
            <w:shd w:val="clear" w:color="auto" w:fill="auto"/>
            <w:noWrap/>
            <w:vAlign w:val="center"/>
          </w:tcPr>
          <w:p w14:paraId="67F220D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1340C61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05FC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2FF47CE2">
            <w:pPr>
              <w:widowControl/>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37</w:t>
            </w:r>
          </w:p>
        </w:tc>
        <w:tc>
          <w:tcPr>
            <w:tcW w:w="889" w:type="pct"/>
            <w:vMerge w:val="continue"/>
            <w:shd w:val="clear" w:color="auto" w:fill="auto"/>
            <w:noWrap/>
            <w:vAlign w:val="center"/>
          </w:tcPr>
          <w:p w14:paraId="28EB6FB9">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39010874">
            <w:pPr>
              <w:jc w:val="center"/>
              <w:rPr>
                <w:rFonts w:asciiTheme="minorEastAsia" w:hAnsiTheme="minorEastAsia" w:eastAsiaTheme="minorEastAsia" w:cstheme="minorEastAsia"/>
                <w:color w:val="auto"/>
                <w:sz w:val="24"/>
                <w:highlight w:val="none"/>
              </w:rPr>
            </w:pPr>
          </w:p>
        </w:tc>
        <w:tc>
          <w:tcPr>
            <w:tcW w:w="1608" w:type="pct"/>
            <w:shd w:val="clear" w:color="auto" w:fill="auto"/>
            <w:vAlign w:val="center"/>
          </w:tcPr>
          <w:p w14:paraId="128124B8">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“密评”</w:t>
            </w:r>
          </w:p>
        </w:tc>
        <w:tc>
          <w:tcPr>
            <w:tcW w:w="513" w:type="pct"/>
            <w:shd w:val="clear" w:color="auto" w:fill="auto"/>
            <w:noWrap/>
            <w:vAlign w:val="center"/>
          </w:tcPr>
          <w:p w14:paraId="49E7B03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59861C6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r w14:paraId="0BA2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shd w:val="clear" w:color="auto" w:fill="auto"/>
            <w:noWrap/>
            <w:vAlign w:val="center"/>
          </w:tcPr>
          <w:p w14:paraId="4B4F077B">
            <w:pPr>
              <w:widowControl/>
              <w:jc w:val="center"/>
              <w:textAlignment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38</w:t>
            </w:r>
          </w:p>
        </w:tc>
        <w:tc>
          <w:tcPr>
            <w:tcW w:w="889" w:type="pct"/>
            <w:vMerge w:val="continue"/>
            <w:shd w:val="clear" w:color="auto" w:fill="auto"/>
            <w:noWrap/>
            <w:vAlign w:val="center"/>
          </w:tcPr>
          <w:p w14:paraId="1AC828B8">
            <w:pPr>
              <w:jc w:val="center"/>
              <w:rPr>
                <w:rFonts w:asciiTheme="minorEastAsia" w:hAnsiTheme="minorEastAsia" w:eastAsiaTheme="minorEastAsia" w:cstheme="minorEastAsia"/>
                <w:color w:val="auto"/>
                <w:sz w:val="24"/>
                <w:highlight w:val="none"/>
              </w:rPr>
            </w:pPr>
          </w:p>
        </w:tc>
        <w:tc>
          <w:tcPr>
            <w:tcW w:w="1060" w:type="pct"/>
            <w:vMerge w:val="continue"/>
            <w:shd w:val="clear" w:color="auto" w:fill="auto"/>
            <w:vAlign w:val="center"/>
          </w:tcPr>
          <w:p w14:paraId="47E51317">
            <w:pPr>
              <w:jc w:val="center"/>
              <w:rPr>
                <w:rFonts w:asciiTheme="minorEastAsia" w:hAnsiTheme="minorEastAsia" w:eastAsiaTheme="minorEastAsia" w:cstheme="minorEastAsia"/>
                <w:color w:val="auto"/>
                <w:sz w:val="24"/>
                <w:highlight w:val="none"/>
              </w:rPr>
            </w:pPr>
          </w:p>
        </w:tc>
        <w:tc>
          <w:tcPr>
            <w:tcW w:w="1608" w:type="pct"/>
            <w:shd w:val="clear" w:color="auto" w:fill="auto"/>
            <w:vAlign w:val="center"/>
          </w:tcPr>
          <w:p w14:paraId="7C9653B3">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第三方检测</w:t>
            </w:r>
          </w:p>
        </w:tc>
        <w:tc>
          <w:tcPr>
            <w:tcW w:w="513" w:type="pct"/>
            <w:shd w:val="clear" w:color="auto" w:fill="auto"/>
            <w:noWrap/>
            <w:vAlign w:val="center"/>
          </w:tcPr>
          <w:p w14:paraId="4B01249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w:t>
            </w:r>
          </w:p>
        </w:tc>
        <w:tc>
          <w:tcPr>
            <w:tcW w:w="529" w:type="pct"/>
            <w:shd w:val="clear" w:color="auto" w:fill="auto"/>
            <w:noWrap/>
            <w:vAlign w:val="center"/>
          </w:tcPr>
          <w:p w14:paraId="4DC3857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r>
    </w:tbl>
    <w:p w14:paraId="491BCF37">
      <w:pPr>
        <w:rPr>
          <w:color w:val="auto"/>
          <w:highlight w:val="none"/>
        </w:rPr>
        <w:sectPr>
          <w:pgSz w:w="11906" w:h="16838"/>
          <w:pgMar w:top="1440" w:right="1800" w:bottom="1440" w:left="1800" w:header="851" w:footer="992" w:gutter="0"/>
          <w:pgNumType w:fmt="numberInDash"/>
          <w:cols w:space="425" w:num="1"/>
          <w:docGrid w:type="lines" w:linePitch="312" w:charSpace="0"/>
        </w:sectPr>
      </w:pPr>
    </w:p>
    <w:p w14:paraId="734AA81A">
      <w:pPr>
        <w:numPr>
          <w:ilvl w:val="1"/>
          <w:numId w:val="9"/>
        </w:numPr>
        <w:adjustRightInd w:val="0"/>
        <w:snapToGrid w:val="0"/>
        <w:spacing w:line="360" w:lineRule="auto"/>
        <w:ind w:firstLine="602" w:firstLineChars="200"/>
        <w:outlineLvl w:val="1"/>
        <w:rPr>
          <w:rFonts w:ascii="宋体" w:hAnsi="宋体" w:cs="宋体"/>
          <w:b/>
          <w:bCs/>
          <w:color w:val="auto"/>
          <w:sz w:val="30"/>
          <w:szCs w:val="32"/>
          <w:highlight w:val="none"/>
        </w:rPr>
      </w:pPr>
      <w:r>
        <w:rPr>
          <w:rFonts w:hint="eastAsia" w:ascii="宋体" w:hAnsi="宋体" w:cs="宋体"/>
          <w:b/>
          <w:bCs/>
          <w:color w:val="auto"/>
          <w:sz w:val="30"/>
          <w:szCs w:val="32"/>
          <w:highlight w:val="none"/>
        </w:rPr>
        <w:t>技术指标及功能要求</w:t>
      </w:r>
    </w:p>
    <w:p w14:paraId="1305526B">
      <w:pPr>
        <w:spacing w:line="360" w:lineRule="auto"/>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注：以下功能要求中，标注“▲”项为实质性参数及要求，负偏离或不响应的作无效标；</w:t>
      </w:r>
    </w:p>
    <w:p w14:paraId="0AE2529A">
      <w:pPr>
        <w:pStyle w:val="118"/>
        <w:spacing w:line="360" w:lineRule="auto"/>
        <w:ind w:firstLine="562" w:firstLineChars="200"/>
        <w:rPr>
          <w:rFonts w:ascii="宋体" w:hAnsi="宋体" w:cs="宋体"/>
          <w:b/>
          <w:bCs/>
          <w:color w:val="auto"/>
          <w:sz w:val="28"/>
          <w:szCs w:val="28"/>
          <w:highlight w:val="none"/>
        </w:rPr>
      </w:pPr>
      <w:bookmarkStart w:id="7" w:name="_Toc6413"/>
      <w:r>
        <w:rPr>
          <w:rFonts w:hint="eastAsia" w:ascii="宋体" w:hAnsi="宋体" w:cs="宋体"/>
          <w:b/>
          <w:bCs/>
          <w:color w:val="auto"/>
          <w:sz w:val="28"/>
          <w:szCs w:val="28"/>
          <w:highlight w:val="none"/>
        </w:rPr>
        <w:t>标注“★”号的为重要技术参数及要求（其中，垂起固定翼无人机、智能停机舱（机库）、长航时油电混合垂起固定翼无人机中标注“★”号的技术参数需提供对应参数带有CMA或CNAS标志的第三方检测报告</w:t>
      </w:r>
      <w:r>
        <w:rPr>
          <w:rFonts w:hint="eastAsia" w:ascii="宋体" w:hAnsi="宋体" w:cs="宋体"/>
          <w:b/>
          <w:bCs/>
          <w:color w:val="auto"/>
          <w:sz w:val="28"/>
          <w:szCs w:val="28"/>
          <w:highlight w:val="none"/>
          <w:lang w:eastAsia="zh-CN"/>
        </w:rPr>
        <w:t>（根据下表指标要求）</w:t>
      </w:r>
      <w:r>
        <w:rPr>
          <w:rFonts w:hint="eastAsia" w:ascii="宋体" w:hAnsi="宋体" w:cs="宋体"/>
          <w:b/>
          <w:bCs/>
          <w:color w:val="auto"/>
          <w:sz w:val="28"/>
          <w:szCs w:val="28"/>
          <w:highlight w:val="none"/>
        </w:rPr>
        <w:t>，其他产品标注“★”号的技术参数需提供技术规格书、产品截图或产品宣传彩页等证明材料，以上未按要求未提供的视为不满足）</w:t>
      </w:r>
    </w:p>
    <w:p w14:paraId="7A250F12">
      <w:pPr>
        <w:spacing w:line="360" w:lineRule="auto"/>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其他技术参数及要求需提供产品技术规格书、产品截图或产品宣传彩页等证明材料，未提供的视为不满足。</w:t>
      </w:r>
    </w:p>
    <w:p w14:paraId="78E18725">
      <w:pPr>
        <w:spacing w:line="360" w:lineRule="auto"/>
        <w:rPr>
          <w:rFonts w:hint="eastAsia" w:ascii="宋体" w:hAnsi="宋体" w:eastAsia="宋体" w:cs="宋体"/>
          <w:b/>
          <w:bCs/>
          <w:color w:val="auto"/>
          <w:sz w:val="28"/>
          <w:szCs w:val="28"/>
          <w:highlight w:val="none"/>
          <w:lang w:eastAsia="zh-CN"/>
        </w:rPr>
      </w:pPr>
      <w:r>
        <w:rPr>
          <w:rFonts w:hint="eastAsia"/>
          <w:color w:val="auto"/>
          <w:sz w:val="28"/>
          <w:szCs w:val="28"/>
          <w:highlight w:val="none"/>
          <w:lang w:eastAsia="zh-CN"/>
        </w:rPr>
        <w:t>注：</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（1）CMA、CNAS第三方检验检测机构应具备无人机专业检测能力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如投标人</w:t>
      </w:r>
      <w:r>
        <w:rPr>
          <w:rFonts w:hint="eastAsia" w:ascii="宋体" w:hAnsi="宋体" w:cs="宋体"/>
          <w:b/>
          <w:bCs/>
          <w:color w:val="auto"/>
          <w:sz w:val="28"/>
          <w:szCs w:val="28"/>
          <w:highlight w:val="none"/>
          <w:lang w:eastAsia="zh-CN"/>
        </w:rPr>
        <w:t>根据下表指标要求</w:t>
      </w:r>
      <w:r>
        <w:rPr>
          <w:rFonts w:hint="eastAsia" w:ascii="宋体" w:hAnsi="宋体" w:eastAsia="宋体" w:cs="宋体"/>
          <w:b/>
          <w:bCs/>
          <w:color w:val="auto"/>
          <w:sz w:val="28"/>
          <w:szCs w:val="28"/>
          <w:highlight w:val="none"/>
          <w:lang w:eastAsia="zh-CN"/>
        </w:rPr>
        <w:t>提供</w:t>
      </w:r>
      <w:r>
        <w:rPr>
          <w:rFonts w:hint="eastAsia" w:ascii="宋体" w:hAnsi="宋体" w:eastAsia="宋体" w:cs="宋体"/>
          <w:b/>
          <w:bCs/>
          <w:color w:val="auto"/>
          <w:sz w:val="28"/>
          <w:szCs w:val="28"/>
          <w:highlight w:val="none"/>
        </w:rPr>
        <w:t>CMA第三方检测报告</w:t>
      </w:r>
      <w:r>
        <w:rPr>
          <w:rFonts w:hint="eastAsia" w:ascii="宋体" w:hAnsi="宋体" w:cs="宋体"/>
          <w:b/>
          <w:bCs/>
          <w:color w:val="auto"/>
          <w:sz w:val="28"/>
          <w:szCs w:val="28"/>
          <w:highlight w:val="none"/>
          <w:lang w:eastAsia="zh-CN"/>
        </w:rPr>
        <w:t>的</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须</w:t>
      </w:r>
      <w:r>
        <w:rPr>
          <w:rFonts w:hint="eastAsia" w:ascii="宋体" w:hAnsi="宋体" w:eastAsia="宋体" w:cs="宋体"/>
          <w:b/>
          <w:bCs/>
          <w:color w:val="auto"/>
          <w:sz w:val="28"/>
          <w:szCs w:val="28"/>
          <w:highlight w:val="none"/>
          <w:lang w:eastAsia="zh-CN"/>
        </w:rPr>
        <w:t>同时</w:t>
      </w:r>
      <w:r>
        <w:rPr>
          <w:rFonts w:hint="eastAsia" w:ascii="宋体" w:hAnsi="宋体" w:eastAsia="宋体" w:cs="宋体"/>
          <w:b/>
          <w:bCs/>
          <w:color w:val="auto"/>
          <w:sz w:val="28"/>
          <w:szCs w:val="28"/>
          <w:highlight w:val="none"/>
        </w:rPr>
        <w:t>提供CMA检验检测机构</w:t>
      </w:r>
      <w:r>
        <w:rPr>
          <w:rFonts w:hint="eastAsia" w:ascii="宋体" w:hAnsi="宋体" w:eastAsia="宋体" w:cs="宋体"/>
          <w:b/>
          <w:bCs/>
          <w:color w:val="auto"/>
          <w:sz w:val="28"/>
          <w:szCs w:val="28"/>
          <w:highlight w:val="none"/>
          <w:lang w:eastAsia="zh-CN"/>
        </w:rPr>
        <w:t>在</w:t>
      </w:r>
      <w:r>
        <w:rPr>
          <w:rFonts w:hint="eastAsia" w:ascii="宋体" w:hAnsi="宋体" w:eastAsia="宋体" w:cs="宋体"/>
          <w:b/>
          <w:bCs/>
          <w:color w:val="auto"/>
          <w:sz w:val="28"/>
          <w:szCs w:val="28"/>
          <w:highlight w:val="none"/>
        </w:rPr>
        <w:t>全国认证认可信息公共服务平台或者各省级市场监管部门官网查询结果截图</w:t>
      </w:r>
      <w:r>
        <w:rPr>
          <w:rFonts w:hint="eastAsia" w:ascii="宋体" w:hAnsi="宋体" w:eastAsia="宋体" w:cs="宋体"/>
          <w:b/>
          <w:bCs/>
          <w:color w:val="auto"/>
          <w:sz w:val="28"/>
          <w:szCs w:val="28"/>
          <w:highlight w:val="none"/>
          <w:lang w:eastAsia="zh-CN"/>
        </w:rPr>
        <w:t>，否则</w:t>
      </w:r>
      <w:r>
        <w:rPr>
          <w:rFonts w:hint="eastAsia" w:ascii="宋体" w:hAnsi="宋体" w:eastAsia="宋体" w:cs="宋体"/>
          <w:b/>
          <w:bCs/>
          <w:color w:val="auto"/>
          <w:sz w:val="28"/>
          <w:szCs w:val="28"/>
          <w:highlight w:val="none"/>
          <w:lang w:val="en-US" w:eastAsia="zh-CN"/>
        </w:rPr>
        <w:t>作无效标。</w:t>
      </w:r>
      <w:r>
        <w:rPr>
          <w:rFonts w:hint="eastAsia" w:ascii="宋体" w:hAnsi="宋体" w:eastAsia="宋体" w:cs="宋体"/>
          <w:b/>
          <w:bCs/>
          <w:color w:val="auto"/>
          <w:sz w:val="28"/>
          <w:szCs w:val="28"/>
          <w:highlight w:val="none"/>
          <w:lang w:eastAsia="zh-CN"/>
        </w:rPr>
        <w:t>如投标人</w:t>
      </w:r>
      <w:r>
        <w:rPr>
          <w:rFonts w:hint="eastAsia" w:ascii="宋体" w:hAnsi="宋体" w:cs="宋体"/>
          <w:b/>
          <w:bCs/>
          <w:color w:val="auto"/>
          <w:sz w:val="28"/>
          <w:szCs w:val="28"/>
          <w:highlight w:val="none"/>
          <w:lang w:eastAsia="zh-CN"/>
        </w:rPr>
        <w:t>根据下表指标要求</w:t>
      </w:r>
      <w:r>
        <w:rPr>
          <w:rFonts w:hint="eastAsia" w:ascii="宋体" w:hAnsi="宋体" w:eastAsia="宋体" w:cs="宋体"/>
          <w:b/>
          <w:bCs/>
          <w:color w:val="auto"/>
          <w:sz w:val="28"/>
          <w:szCs w:val="28"/>
          <w:highlight w:val="none"/>
          <w:lang w:eastAsia="zh-CN"/>
        </w:rPr>
        <w:t>提供CNAS第三方检测报告的，</w:t>
      </w:r>
      <w:r>
        <w:rPr>
          <w:rFonts w:hint="eastAsia" w:ascii="宋体" w:hAnsi="宋体" w:eastAsia="宋体" w:cs="宋体"/>
          <w:b/>
          <w:bCs/>
          <w:color w:val="auto"/>
          <w:sz w:val="28"/>
          <w:szCs w:val="28"/>
          <w:highlight w:val="none"/>
        </w:rPr>
        <w:t>须</w:t>
      </w:r>
      <w:r>
        <w:rPr>
          <w:rFonts w:hint="eastAsia" w:ascii="宋体" w:hAnsi="宋体" w:eastAsia="宋体" w:cs="宋体"/>
          <w:b/>
          <w:bCs/>
          <w:color w:val="auto"/>
          <w:sz w:val="28"/>
          <w:szCs w:val="28"/>
          <w:highlight w:val="none"/>
          <w:lang w:eastAsia="zh-CN"/>
        </w:rPr>
        <w:t>同时</w:t>
      </w:r>
      <w:r>
        <w:rPr>
          <w:rFonts w:hint="eastAsia" w:ascii="宋体" w:hAnsi="宋体" w:eastAsia="宋体" w:cs="宋体"/>
          <w:b/>
          <w:bCs/>
          <w:color w:val="auto"/>
          <w:sz w:val="28"/>
          <w:szCs w:val="28"/>
          <w:highlight w:val="none"/>
        </w:rPr>
        <w:t>提供CNAS检验检测机构中国合格评定国家认可委员会官网查询结果截图</w:t>
      </w:r>
      <w:r>
        <w:rPr>
          <w:rFonts w:hint="eastAsia" w:ascii="宋体" w:hAnsi="宋体" w:eastAsia="宋体" w:cs="宋体"/>
          <w:b/>
          <w:bCs/>
          <w:color w:val="auto"/>
          <w:sz w:val="28"/>
          <w:szCs w:val="28"/>
          <w:highlight w:val="none"/>
          <w:lang w:eastAsia="zh-CN"/>
        </w:rPr>
        <w:t>，否则</w:t>
      </w:r>
      <w:r>
        <w:rPr>
          <w:rFonts w:hint="eastAsia" w:ascii="宋体" w:hAnsi="宋体" w:eastAsia="宋体" w:cs="宋体"/>
          <w:b/>
          <w:bCs/>
          <w:color w:val="auto"/>
          <w:sz w:val="28"/>
          <w:szCs w:val="28"/>
          <w:highlight w:val="none"/>
          <w:lang w:val="en-US" w:eastAsia="zh-CN"/>
        </w:rPr>
        <w:t>作无效标。</w:t>
      </w:r>
    </w:p>
    <w:p w14:paraId="6C35C9F1">
      <w:pPr>
        <w:spacing w:line="360" w:lineRule="auto"/>
        <w:ind w:firstLine="562" w:firstLineChars="200"/>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CMA、CNAS第三方检验检测机构</w:t>
      </w:r>
      <w:r>
        <w:rPr>
          <w:rFonts w:hint="eastAsia" w:ascii="宋体" w:hAnsi="宋体" w:eastAsia="宋体" w:cs="宋体"/>
          <w:b/>
          <w:bCs/>
          <w:color w:val="auto"/>
          <w:sz w:val="28"/>
          <w:szCs w:val="28"/>
          <w:highlight w:val="none"/>
        </w:rPr>
        <w:t>均须提供“国家企业信用信息公示系统”信用记录信息查询结果截图。</w:t>
      </w:r>
      <w:r>
        <w:rPr>
          <w:rFonts w:hint="eastAsia" w:ascii="宋体" w:hAnsi="宋体" w:eastAsia="宋体" w:cs="宋体"/>
          <w:b/>
          <w:bCs/>
          <w:color w:val="auto"/>
          <w:sz w:val="28"/>
          <w:szCs w:val="28"/>
          <w:highlight w:val="none"/>
          <w:lang w:eastAsia="zh-CN"/>
        </w:rPr>
        <w:t>否则</w:t>
      </w:r>
      <w:r>
        <w:rPr>
          <w:rFonts w:hint="eastAsia" w:ascii="宋体" w:hAnsi="宋体" w:eastAsia="宋体" w:cs="宋体"/>
          <w:b/>
          <w:bCs/>
          <w:color w:val="auto"/>
          <w:sz w:val="28"/>
          <w:szCs w:val="28"/>
          <w:highlight w:val="none"/>
          <w:lang w:val="en-US" w:eastAsia="zh-CN"/>
        </w:rPr>
        <w:t>作无效标。</w:t>
      </w:r>
    </w:p>
    <w:p w14:paraId="3AD32B5B">
      <w:pPr>
        <w:spacing w:line="360" w:lineRule="auto"/>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中标人领取中标通知书后7日内向采购人提供</w:t>
      </w:r>
      <w:r>
        <w:rPr>
          <w:rFonts w:hint="eastAsia" w:ascii="宋体" w:hAnsi="宋体" w:eastAsia="宋体" w:cs="宋体"/>
          <w:b/>
          <w:bCs/>
          <w:color w:val="auto"/>
          <w:sz w:val="28"/>
          <w:szCs w:val="28"/>
          <w:highlight w:val="none"/>
        </w:rPr>
        <w:t>垂起固定翼无人机、智能停机舱、长航时油电混合垂起固定翼无人机产品制造商针对本项目的授权书。</w:t>
      </w:r>
    </w:p>
    <w:p w14:paraId="7FCADAA6">
      <w:pPr>
        <w:spacing w:line="360" w:lineRule="auto"/>
        <w:ind w:firstLine="562" w:firstLineChars="200"/>
        <w:rPr>
          <w:rFonts w:ascii="宋体" w:hAnsi="宋体" w:cs="宋体"/>
          <w:b/>
          <w:bCs/>
          <w:color w:val="auto"/>
          <w:sz w:val="28"/>
          <w:szCs w:val="28"/>
          <w:highlight w:val="none"/>
        </w:rPr>
        <w:sectPr>
          <w:pgSz w:w="11906" w:h="16838"/>
          <w:pgMar w:top="1440" w:right="1800" w:bottom="1440" w:left="1800" w:header="851" w:footer="992" w:gutter="0"/>
          <w:pgNumType w:fmt="numberInDash"/>
          <w:cols w:space="425" w:num="1"/>
          <w:docGrid w:type="lines" w:linePitch="312" w:charSpace="0"/>
        </w:sectPr>
      </w:pPr>
    </w:p>
    <w:p w14:paraId="46D82A64">
      <w:pPr>
        <w:numPr>
          <w:ilvl w:val="2"/>
          <w:numId w:val="9"/>
        </w:numPr>
        <w:adjustRightInd w:val="0"/>
        <w:snapToGrid w:val="0"/>
        <w:spacing w:line="360" w:lineRule="auto"/>
        <w:ind w:firstLine="602" w:firstLineChars="200"/>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海上无人机及载荷系统</w:t>
      </w:r>
    </w:p>
    <w:p w14:paraId="66AD31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（1）海防垂起固定翼智能无人值守系统</w:t>
      </w:r>
      <w:bookmarkEnd w:id="7"/>
    </w:p>
    <w:p w14:paraId="4128CD14">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本项目中的</w:t>
      </w:r>
      <w:r>
        <w:rPr>
          <w:rFonts w:hint="eastAsia" w:ascii="宋体" w:hAnsi="宋体" w:eastAsia="宋体" w:cs="宋体"/>
          <w:b/>
          <w:bCs/>
          <w:color w:val="auto"/>
          <w:sz w:val="24"/>
          <w:szCs w:val="24"/>
          <w:highlight w:val="none"/>
        </w:rPr>
        <w:t>垂起固定翼无人机</w:t>
      </w:r>
      <w:r>
        <w:rPr>
          <w:rFonts w:hint="eastAsia" w:ascii="宋体" w:hAnsi="宋体" w:eastAsia="宋体" w:cs="宋体"/>
          <w:b/>
          <w:bCs/>
          <w:color w:val="auto"/>
          <w:sz w:val="24"/>
          <w:szCs w:val="24"/>
          <w:highlight w:val="none"/>
          <w:lang w:val="en-US" w:eastAsia="zh-CN"/>
        </w:rPr>
        <w:t>与</w:t>
      </w:r>
      <w:r>
        <w:rPr>
          <w:rFonts w:hint="eastAsia" w:ascii="宋体" w:hAnsi="宋体" w:eastAsia="宋体" w:cs="宋体"/>
          <w:b/>
          <w:bCs/>
          <w:color w:val="auto"/>
          <w:sz w:val="24"/>
          <w:szCs w:val="24"/>
          <w:highlight w:val="none"/>
        </w:rPr>
        <w:t>智能停机舱（机库）必须适配，如不满足，设备交付</w:t>
      </w:r>
      <w:r>
        <w:rPr>
          <w:rFonts w:hint="eastAsia" w:ascii="宋体" w:hAnsi="宋体" w:cs="宋体"/>
          <w:b/>
          <w:bCs/>
          <w:color w:val="auto"/>
          <w:sz w:val="24"/>
          <w:szCs w:val="24"/>
          <w:highlight w:val="none"/>
          <w:lang w:val="en-US" w:eastAsia="zh-CN"/>
        </w:rPr>
        <w:t>时</w:t>
      </w:r>
      <w:r>
        <w:rPr>
          <w:rFonts w:hint="eastAsia" w:ascii="宋体" w:hAnsi="宋体" w:eastAsia="宋体" w:cs="宋体"/>
          <w:b/>
          <w:bCs/>
          <w:color w:val="auto"/>
          <w:sz w:val="24"/>
          <w:szCs w:val="24"/>
          <w:highlight w:val="none"/>
        </w:rPr>
        <w:t>采购人</w:t>
      </w:r>
      <w:r>
        <w:rPr>
          <w:rFonts w:hint="eastAsia" w:ascii="宋体" w:hAnsi="宋体" w:cs="宋体"/>
          <w:b/>
          <w:bCs/>
          <w:color w:val="auto"/>
          <w:sz w:val="24"/>
          <w:szCs w:val="24"/>
          <w:highlight w:val="none"/>
          <w:lang w:val="en-US" w:eastAsia="zh-CN"/>
        </w:rPr>
        <w:t>将拒绝接收</w:t>
      </w:r>
      <w:r>
        <w:rPr>
          <w:rFonts w:hint="eastAsia" w:ascii="宋体" w:hAnsi="宋体" w:eastAsia="宋体" w:cs="宋体"/>
          <w:b/>
          <w:bCs/>
          <w:color w:val="auto"/>
          <w:sz w:val="24"/>
          <w:szCs w:val="24"/>
          <w:highlight w:val="none"/>
        </w:rPr>
        <w:t>。</w:t>
      </w:r>
    </w:p>
    <w:p w14:paraId="7231C1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具体技术指标要求如下表：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7067"/>
      </w:tblGrid>
      <w:tr w14:paraId="5A6C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vAlign w:val="center"/>
          </w:tcPr>
          <w:p w14:paraId="3A40A975">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bookmarkStart w:id="8" w:name="_Toc6246"/>
            <w:r>
              <w:rPr>
                <w:rFonts w:hint="eastAsia" w:asciiTheme="minorEastAsia" w:hAnsiTheme="minorEastAsia" w:eastAsiaTheme="minorEastAsia" w:cstheme="minorEastAsia"/>
                <w:b/>
                <w:bCs/>
                <w:color w:val="auto"/>
                <w:sz w:val="24"/>
                <w:szCs w:val="24"/>
                <w:highlight w:val="none"/>
              </w:rPr>
              <w:t>名称</w:t>
            </w:r>
          </w:p>
        </w:tc>
        <w:tc>
          <w:tcPr>
            <w:tcW w:w="4148" w:type="pct"/>
            <w:vAlign w:val="center"/>
          </w:tcPr>
          <w:p w14:paraId="79182788">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指标要求</w:t>
            </w:r>
          </w:p>
        </w:tc>
      </w:tr>
      <w:tr w14:paraId="5F5A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vAlign w:val="center"/>
          </w:tcPr>
          <w:p w14:paraId="2C781BA2">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垂起固定翼无人机</w:t>
            </w:r>
          </w:p>
        </w:tc>
        <w:tc>
          <w:tcPr>
            <w:tcW w:w="4148" w:type="pct"/>
          </w:tcPr>
          <w:p w14:paraId="6C671983">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动力形式：纯电；</w:t>
            </w:r>
          </w:p>
          <w:p w14:paraId="2E4D033A">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★控制半径：≥70km；（CMA第三方检测报告）</w:t>
            </w:r>
          </w:p>
          <w:p w14:paraId="698CCEFA">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★荷载2kg情况下，最大续航时间：≥2.5h（投标人需出具承诺函，如中标人在实际交付过程中不能满足本续航时间要求，采购人有权无偿退货）（CMA第三方检测报告）</w:t>
            </w:r>
          </w:p>
          <w:p w14:paraId="6F8A1010">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最大起飞重量≤25kg（CMA第三方检测报告）</w:t>
            </w:r>
          </w:p>
          <w:p w14:paraId="7CDCB3F5">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★最大任务载荷：≥5kg；（CMA第三方检测报告）</w:t>
            </w:r>
          </w:p>
          <w:p w14:paraId="2256CF7F">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★最大飞行速度：≥90km/h；（CMA第三方检测报告）</w:t>
            </w:r>
          </w:p>
          <w:p w14:paraId="291440EB">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实用升限：≥5000m；</w:t>
            </w:r>
          </w:p>
          <w:p w14:paraId="3E4B4422">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★起降精度：水平位置精度≤0.5m；（CMA第三方检测报告）</w:t>
            </w:r>
          </w:p>
          <w:p w14:paraId="1B19C9C3">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★工作温度适应性：-20℃~50℃；（CMA第三方检测报告）</w:t>
            </w:r>
          </w:p>
          <w:p w14:paraId="5511C032">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最大抗风能力：起降不小于5级，巡航不小于7级；</w:t>
            </w:r>
          </w:p>
          <w:p w14:paraId="3AA8C2F8">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★避障能力：具备前置毫米波雷达；（CMA第三方检测报告）</w:t>
            </w:r>
          </w:p>
          <w:p w14:paraId="2E451445">
            <w:pPr>
              <w:keepNext w:val="0"/>
              <w:keepLines w:val="0"/>
              <w:pageBreakBefore w:val="0"/>
              <w:widowControl/>
              <w:numPr>
                <w:ilvl w:val="0"/>
                <w:numId w:val="10"/>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导航定位：根据采购人要求进行定制、调试。</w:t>
            </w:r>
          </w:p>
        </w:tc>
      </w:tr>
      <w:tr w14:paraId="1D8F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vAlign w:val="center"/>
          </w:tcPr>
          <w:p w14:paraId="1CB6F66C">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智能停机舱（机库）</w:t>
            </w:r>
          </w:p>
        </w:tc>
        <w:tc>
          <w:tcPr>
            <w:tcW w:w="4148" w:type="pct"/>
          </w:tcPr>
          <w:p w14:paraId="0E4A7FD3">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★收纳尺寸：需适配垂直固定翼无人机使用；（CNAS第三方检测报告）</w:t>
            </w:r>
          </w:p>
          <w:p w14:paraId="57ABC9AC">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★重量：≤5000kg；（CNAS第三方检测报告）</w:t>
            </w:r>
          </w:p>
          <w:p w14:paraId="5B5FB205">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★转盘角度：0~360°，具备迎风起降功能；（CNAS第三方检测报告）</w:t>
            </w:r>
          </w:p>
          <w:p w14:paraId="39839238">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展开/收藏时间：≤180s；</w:t>
            </w:r>
          </w:p>
          <w:p w14:paraId="4A60B187">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工作温度适应性：-30℃~55℃；</w:t>
            </w:r>
          </w:p>
          <w:p w14:paraId="3777FF0A">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防护等级：IP55及以上；</w:t>
            </w:r>
          </w:p>
          <w:p w14:paraId="22C5C71B">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消防：具备温度异常感应以及自动灭火功能；</w:t>
            </w:r>
          </w:p>
          <w:p w14:paraId="4AE21F37">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充电功率：支持快充；</w:t>
            </w:r>
          </w:p>
          <w:p w14:paraId="707C7A15">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★具有无人机身份识别；（CNAS第三方检测报告）</w:t>
            </w:r>
          </w:p>
          <w:p w14:paraId="68D15712">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★支持本地按键控制机舱一键展开、收藏、升降、开关舱门；（CNAS第三方检测报告）</w:t>
            </w:r>
          </w:p>
          <w:p w14:paraId="60C4D4E0">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★在机舱断电情况下支持手动操作平台升降、开关舱门；（CNAS第三方检测报告）</w:t>
            </w:r>
          </w:p>
          <w:p w14:paraId="670FB79A">
            <w:pPr>
              <w:keepNext w:val="0"/>
              <w:keepLines w:val="0"/>
              <w:pageBreakBefore w:val="0"/>
              <w:widowControl/>
              <w:numPr>
                <w:ilvl w:val="0"/>
                <w:numId w:val="11"/>
              </w:numPr>
              <w:kinsoku/>
              <w:wordWrap/>
              <w:overflowPunct/>
              <w:topLinePunct w:val="0"/>
              <w:autoSpaceDE/>
              <w:autoSpaceDN/>
              <w:bidi w:val="0"/>
              <w:adjustRightInd/>
              <w:snapToGrid/>
              <w:spacing w:line="300" w:lineRule="auto"/>
              <w:ind w:left="440"/>
              <w:jc w:val="left"/>
              <w:textAlignment w:val="auto"/>
              <w:rPr>
                <w:rFonts w:hint="eastAsia" w:asciiTheme="minorEastAsia" w:hAnsiTheme="minorEastAsia" w:eastAsiaTheme="minorEastAsia" w:cstheme="minorEastAsia"/>
                <w:color w:val="auto"/>
                <w:sz w:val="24"/>
                <w:szCs w:val="24"/>
                <w:highlight w:val="none"/>
              </w:rPr>
            </w:pPr>
            <w:bookmarkStart w:id="9" w:name="OLE_LINK12"/>
            <w:r>
              <w:rPr>
                <w:rFonts w:hint="eastAsia" w:asciiTheme="minorEastAsia" w:hAnsiTheme="minorEastAsia" w:eastAsiaTheme="minorEastAsia" w:cstheme="minorEastAsia"/>
                <w:color w:val="auto"/>
                <w:sz w:val="24"/>
                <w:szCs w:val="24"/>
                <w:highlight w:val="none"/>
              </w:rPr>
              <w:t>★机库配置</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baidu.com/baidu.php?url=000000j0xnZgmfstWIlOIY0zvWXSspsPAuKeClxArzZPpCRincimIkbo2rYNrDszZDOdMaZeAYj0mHr_sJ1vrxZ4Hl-7tP3pl4wt_iPvWWSP3cRG6UMyVcgZwOeapGKmW3s42hkorBkmKYTr73TLrci1y_r_XSGv_grgqbOG5-nUC5ganouQHkE8WPOZ4CtowKKYrNYaPRMF5SsncbWgZxvLMvSa.7b_arZHvskc6VW6sm3tSaFtNKnYvjZfxxwHMk83D1u3tA5ZwY2pMpRt85R_nYQA1WEoR.U1Yk0ZDqIgK1VXxRVnoZzoQjVQpo1ET0TA-W5HD0TZPGuv3quHPBmHDLmvFhPWczmHRLuH6duhczPvnkm1D4ryn4rAR0IjddTZrd4qiY0A-V5HczPfKM5yqbXWD0Iybqmh7GuZR0TA-b5Hc30APGujYznWm0UgfqnH0krNtknjDLg1csPH7xnW0vn-t1PW0k0AVG5H00TMfqrjTL0AFG5HDdr7tznjwxPH010AdW5HDsnH-xnH0kPdtznjRkg17xn0KkTA-b5H00TyPGujYs0ZFMIA7M5Hn0mycqn7ts0ANzu1Ys0ZKs5H6kn1TkrjczPfK8IM0qna3snj0snj0sn0KVIZ0qn0KbuAqs5H00ThCqn0KbugmqTAn0uMfqn0KspjYs0Aq15H00mMTqnH00UMfqn0K1XWY0mgPxpywW5gK1QyNWp6KGuAnqHbG2RsKspZw45fKYmgFMugfqn17xn1Dkg1Dz0ZwdT1YkP103nWD1nHR3Pj0vPj6LnHD4P0Kzug7Y5HDLnWf3PHDYPHRdnWD0Tv-b5ym1uAPbnANhnj0YPyfzrAD0mLPV5HnLwRczrj9afW-arDc3n1m0mynqnfKsUWYs0Z7VIjYs0Z7VT1Ys0ZGY5H00UyPxuMFEUHYsg1Kxn7tsg100uA78IyF-gLK_my4GuZnqn7tsg1Kxn7ts0ZK9I7qhUA7M5H00uAPGujY10ANYpyfqPWf0mgPsmvnqn0KdTA-8mvnqn0KkUymqn0KhmLNY5H00pgPWUjYs0A7buhk9u1Yk0Akhm1Ys0AwWmvfqwj7aPH0LPbn4wj0YPWfLPDRkrR77fbRvn1RvrD7DfbNtn0KYTh7buHYs0AFbpyfqnDDsPjNKwjIarDPjPb7AwRwKfWKawRm1PYu7n1m1PWb0UvnqnfKBIjYs0Aq9IZTqn0KEIjYz0AqzTZfqnBnsczYWnH0snan1n1TLn1TdPjc1c10Wna3snj0snj0Wninknj0sc10WQinsQW0znj0snankQW0snj0snansc10Wna3snj0snj0Wnansc10Wnansc10Wn0KBmy4omyPW5H0Wnansc100XZPYIHYdn1fvrjR1PsKkgLmqna31rNtsQW0sg108njKxna31rNtsQWDYg1Kxna3kP7ts0AF1gLKzUvwGujYs0ZFEpyu_myTqn0KWIWY0pgPxmLK95H00mL0qn0K-TLfqn0KkuLIb5H00UL0k5H00TZ0Y5H00mLFW5HnvnWc4&amp;us=newvui&amp;xst=TjY3nHnLnH6znWRKm1dDnRcdnjTvf1-DnjfvPjTYwHD4fRNawHm1PHm3fRwawgss0ycqnDDsPjNKwjIarDPjPb7AwRwKfWKawRm1PYu7n1m1PWbKT1YkP1RLnWDYrHRLnH0kn1DvrH6sn-tznWNxn07L5gNsTegMdQfKTHddTZrd4qiYz_x2__rYVJErqs7d5HR1Pjm3PHnL0gfqnHTzPj6dnHfdPf7VTHYs0W0aQf7Wpjdhmdqsms7_IHYs0yP85yF9pywdpAqVuNqsus7zIjY10HcznHDvn1cvrjn&amp;cegduid=PHnYPW6dn1T&amp;solutionId=30856405&amp;word=&amp;ck=0.0.0.0.0.0.0.0&amp;shh=www.baidu.com&amp;sht=baiduhome_pg&amp;wd=" \t "https://www.baidu.com/_blank"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UPS不间断电源</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系</w:t>
            </w:r>
            <w:bookmarkStart w:id="10" w:name="OLE_LINK10"/>
            <w:r>
              <w:rPr>
                <w:rFonts w:hint="eastAsia" w:asciiTheme="minorEastAsia" w:hAnsiTheme="minorEastAsia" w:eastAsiaTheme="minorEastAsia" w:cstheme="minorEastAsia"/>
                <w:color w:val="auto"/>
                <w:sz w:val="24"/>
                <w:szCs w:val="24"/>
                <w:highlight w:val="none"/>
              </w:rPr>
              <w:t>统，电源供电≥3h；</w:t>
            </w:r>
            <w:bookmarkEnd w:id="9"/>
            <w:bookmarkEnd w:id="10"/>
            <w:r>
              <w:rPr>
                <w:rFonts w:hint="eastAsia" w:asciiTheme="minorEastAsia" w:hAnsiTheme="minorEastAsia" w:eastAsiaTheme="minorEastAsia" w:cstheme="minorEastAsia"/>
                <w:color w:val="auto"/>
                <w:sz w:val="24"/>
                <w:szCs w:val="24"/>
                <w:highlight w:val="none"/>
              </w:rPr>
              <w:t>（CNAS第三方检测报告）</w:t>
            </w:r>
          </w:p>
        </w:tc>
      </w:tr>
      <w:tr w14:paraId="1D79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vAlign w:val="center"/>
          </w:tcPr>
          <w:p w14:paraId="1586B875">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三光吊舱</w:t>
            </w:r>
          </w:p>
        </w:tc>
        <w:tc>
          <w:tcPr>
            <w:tcW w:w="4148" w:type="pct"/>
          </w:tcPr>
          <w:p w14:paraId="4CAD424F">
            <w:pPr>
              <w:keepNext w:val="0"/>
              <w:keepLines w:val="0"/>
              <w:pageBreakBefore w:val="0"/>
              <w:widowControl/>
              <w:numPr>
                <w:ilvl w:val="0"/>
                <w:numId w:val="12"/>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光学变焦≥ 40倍</w:t>
            </w:r>
          </w:p>
          <w:p w14:paraId="28FE3778">
            <w:pPr>
              <w:keepNext w:val="0"/>
              <w:keepLines w:val="0"/>
              <w:pageBreakBefore w:val="0"/>
              <w:widowControl/>
              <w:numPr>
                <w:ilvl w:val="0"/>
                <w:numId w:val="12"/>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数字变焦≥32倍</w:t>
            </w:r>
          </w:p>
          <w:p w14:paraId="6B9E473B">
            <w:pPr>
              <w:keepNext w:val="0"/>
              <w:keepLines w:val="0"/>
              <w:pageBreakBefore w:val="0"/>
              <w:widowControl/>
              <w:numPr>
                <w:ilvl w:val="0"/>
                <w:numId w:val="12"/>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光学分辨率：≥200万</w:t>
            </w:r>
          </w:p>
          <w:p w14:paraId="43B297E6">
            <w:pPr>
              <w:keepNext w:val="0"/>
              <w:keepLines w:val="0"/>
              <w:pageBreakBefore w:val="0"/>
              <w:widowControl/>
              <w:numPr>
                <w:ilvl w:val="0"/>
                <w:numId w:val="12"/>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热成像分辨率：≥640*512</w:t>
            </w:r>
          </w:p>
          <w:p w14:paraId="53FD693B">
            <w:pPr>
              <w:keepNext w:val="0"/>
              <w:keepLines w:val="0"/>
              <w:pageBreakBefore w:val="0"/>
              <w:widowControl/>
              <w:numPr>
                <w:ilvl w:val="0"/>
                <w:numId w:val="12"/>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热成像焦距：≥35mm</w:t>
            </w:r>
          </w:p>
          <w:p w14:paraId="6440AB48">
            <w:pPr>
              <w:keepNext w:val="0"/>
              <w:keepLines w:val="0"/>
              <w:pageBreakBefore w:val="0"/>
              <w:widowControl/>
              <w:numPr>
                <w:ilvl w:val="0"/>
                <w:numId w:val="12"/>
              </w:numPr>
              <w:kinsoku/>
              <w:wordWrap/>
              <w:overflowPunct/>
              <w:topLinePunct w:val="0"/>
              <w:autoSpaceDE/>
              <w:autoSpaceDN/>
              <w:bidi w:val="0"/>
              <w:adjustRightInd/>
              <w:snapToGrid/>
              <w:spacing w:line="300" w:lineRule="auto"/>
              <w:ind w:left="36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测距仪有效距离：对船≥3000m；对人≥2000m。</w:t>
            </w:r>
          </w:p>
        </w:tc>
      </w:tr>
      <w:tr w14:paraId="04E2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shd w:val="clear" w:color="auto" w:fill="auto"/>
            <w:vAlign w:val="center"/>
          </w:tcPr>
          <w:p w14:paraId="522D024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落水漂浮设备</w:t>
            </w:r>
          </w:p>
        </w:tc>
        <w:tc>
          <w:tcPr>
            <w:tcW w:w="4148" w:type="pct"/>
            <w:shd w:val="clear" w:color="auto" w:fill="auto"/>
            <w:vAlign w:val="top"/>
          </w:tcPr>
          <w:p w14:paraId="49E602A6">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2套，每套设备需满足：</w:t>
            </w:r>
          </w:p>
          <w:p w14:paraId="5CD8A96C">
            <w:pPr>
              <w:keepNext w:val="0"/>
              <w:keepLines w:val="0"/>
              <w:pageBreakBefore w:val="0"/>
              <w:widowControl/>
              <w:numPr>
                <w:ilvl w:val="0"/>
                <w:numId w:val="13"/>
              </w:numPr>
              <w:kinsoku/>
              <w:wordWrap/>
              <w:overflowPunct/>
              <w:topLinePunct w:val="0"/>
              <w:autoSpaceDE/>
              <w:autoSpaceDN/>
              <w:bidi w:val="0"/>
              <w:adjustRightInd/>
              <w:snapToGrid/>
              <w:spacing w:line="300" w:lineRule="auto"/>
              <w:ind w:left="360" w:hanging="36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重量≤500g，支持飞行器上浮重量≥100kg；</w:t>
            </w:r>
          </w:p>
          <w:p w14:paraId="59A02534">
            <w:pPr>
              <w:keepNext w:val="0"/>
              <w:keepLines w:val="0"/>
              <w:pageBreakBefore w:val="0"/>
              <w:widowControl/>
              <w:numPr>
                <w:ilvl w:val="0"/>
                <w:numId w:val="13"/>
              </w:numPr>
              <w:kinsoku/>
              <w:wordWrap/>
              <w:overflowPunct/>
              <w:topLinePunct w:val="0"/>
              <w:autoSpaceDE/>
              <w:autoSpaceDN/>
              <w:bidi w:val="0"/>
              <w:adjustRightInd/>
              <w:snapToGrid/>
              <w:spacing w:line="300" w:lineRule="auto"/>
              <w:ind w:left="360" w:leftChars="0" w:hanging="36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充气装置遇水5秒内充满；</w:t>
            </w:r>
          </w:p>
        </w:tc>
      </w:tr>
      <w:tr w14:paraId="1E46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shd w:val="clear" w:color="auto" w:fill="auto"/>
            <w:vAlign w:val="center"/>
          </w:tcPr>
          <w:p w14:paraId="764401A8">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电子除雾</w:t>
            </w:r>
          </w:p>
        </w:tc>
        <w:tc>
          <w:tcPr>
            <w:tcW w:w="4148" w:type="pct"/>
            <w:shd w:val="clear" w:color="auto" w:fill="auto"/>
            <w:vAlign w:val="top"/>
          </w:tcPr>
          <w:p w14:paraId="4342F140">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具有雾霾检测和雾霾补偿的电子去雾功能。通过对图像进行分析，检测出雾霾的存在和程度；根据检测结果，对图像进行修复和增强。</w:t>
            </w:r>
          </w:p>
        </w:tc>
      </w:tr>
    </w:tbl>
    <w:p w14:paraId="50E113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（2）海防长航时油电混合垂起无人机系统</w:t>
      </w:r>
      <w:bookmarkEnd w:id="8"/>
    </w:p>
    <w:p w14:paraId="5A7B63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具体技术指标要求如下表：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6486"/>
      </w:tblGrid>
      <w:tr w14:paraId="333D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93" w:type="pct"/>
            <w:vAlign w:val="center"/>
          </w:tcPr>
          <w:p w14:paraId="101E0BDF">
            <w:pPr>
              <w:spacing w:line="300" w:lineRule="auto"/>
              <w:jc w:val="center"/>
              <w:rPr>
                <w:rFonts w:ascii="宋体" w:hAnsi="宋体" w:cs="宋体"/>
                <w:b/>
                <w:bCs/>
                <w:color w:val="auto"/>
                <w:sz w:val="24"/>
                <w:highlight w:val="none"/>
              </w:rPr>
            </w:pPr>
            <w:bookmarkStart w:id="11" w:name="_Toc9914"/>
            <w:r>
              <w:rPr>
                <w:rFonts w:hint="eastAsia" w:ascii="宋体" w:hAnsi="宋体" w:cs="宋体"/>
                <w:b/>
                <w:bCs/>
                <w:color w:val="auto"/>
                <w:sz w:val="24"/>
                <w:highlight w:val="none"/>
              </w:rPr>
              <w:t>名称</w:t>
            </w:r>
          </w:p>
        </w:tc>
        <w:tc>
          <w:tcPr>
            <w:tcW w:w="3806" w:type="pct"/>
            <w:vAlign w:val="center"/>
          </w:tcPr>
          <w:p w14:paraId="1ADE0972">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指标要求</w:t>
            </w:r>
          </w:p>
        </w:tc>
      </w:tr>
      <w:tr w14:paraId="0399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3" w:type="pct"/>
            <w:vAlign w:val="center"/>
          </w:tcPr>
          <w:p w14:paraId="650462B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长航时油电混合垂起固定翼无人机</w:t>
            </w:r>
          </w:p>
        </w:tc>
        <w:tc>
          <w:tcPr>
            <w:tcW w:w="3806" w:type="pct"/>
            <w:vAlign w:val="center"/>
          </w:tcPr>
          <w:p w14:paraId="48F35A6C">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动力形式：油电混合或纯电；</w:t>
            </w:r>
          </w:p>
          <w:p w14:paraId="0010B467">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★荷载5kg情况下，最大续航时间：≥8h；（CMA第三方检测报告）</w:t>
            </w:r>
          </w:p>
          <w:p w14:paraId="5190D6E4">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★最大飞行速度：≥160km/h；（CMA第三方检测报告）</w:t>
            </w:r>
          </w:p>
          <w:p w14:paraId="52050D60">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实用升限：≥5000m；</w:t>
            </w:r>
          </w:p>
          <w:p w14:paraId="3D4E1421">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最大起飞重量：≥145kg（CMA第三方检测报告）</w:t>
            </w:r>
          </w:p>
          <w:p w14:paraId="10474998">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★最大任务载荷：≥30kg；（CMA第三方检测报告）</w:t>
            </w:r>
          </w:p>
          <w:p w14:paraId="556E0C2B">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★防护等级：IP54及以上；（CMA第三方检测报告）</w:t>
            </w:r>
          </w:p>
          <w:p w14:paraId="38EDF967">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★展开/撤收时间≤30min；（CMA第三方检测报告）</w:t>
            </w:r>
          </w:p>
          <w:p w14:paraId="38A9D812">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★控制半径：≥100km；（CMA第三方检测报告）</w:t>
            </w:r>
          </w:p>
          <w:p w14:paraId="7E2A807E">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油箱容积：≥40L；</w:t>
            </w:r>
          </w:p>
          <w:p w14:paraId="496B60B2">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最大抗风能力：起降不小于5级，巡航不小于8级；</w:t>
            </w:r>
          </w:p>
          <w:p w14:paraId="2451EEE7">
            <w:pPr>
              <w:widowControl/>
              <w:numPr>
                <w:ilvl w:val="0"/>
                <w:numId w:val="14"/>
              </w:numPr>
              <w:spacing w:line="300" w:lineRule="auto"/>
              <w:ind w:left="440"/>
              <w:rPr>
                <w:rFonts w:ascii="宋体" w:hAnsi="宋体" w:cs="宋体"/>
                <w:color w:val="auto"/>
                <w:sz w:val="24"/>
                <w:highlight w:val="none"/>
              </w:rPr>
            </w:pPr>
            <w:r>
              <w:rPr>
                <w:rFonts w:hint="eastAsia" w:ascii="宋体" w:hAnsi="宋体" w:cs="宋体"/>
                <w:color w:val="auto"/>
                <w:sz w:val="24"/>
                <w:highlight w:val="none"/>
              </w:rPr>
              <w:t>导航定位：根据采购人要求进行定制、调试。</w:t>
            </w:r>
          </w:p>
        </w:tc>
      </w:tr>
      <w:tr w14:paraId="072B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pct"/>
            <w:vAlign w:val="center"/>
          </w:tcPr>
          <w:p w14:paraId="3404F33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三光吊舱</w:t>
            </w:r>
          </w:p>
        </w:tc>
        <w:tc>
          <w:tcPr>
            <w:tcW w:w="3806" w:type="pct"/>
          </w:tcPr>
          <w:p w14:paraId="4C6FA0D9">
            <w:pPr>
              <w:widowControl/>
              <w:numPr>
                <w:ilvl w:val="0"/>
                <w:numId w:val="15"/>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光学变焦≥ 40倍；</w:t>
            </w:r>
          </w:p>
          <w:p w14:paraId="3EC758E5">
            <w:pPr>
              <w:widowControl/>
              <w:numPr>
                <w:ilvl w:val="0"/>
                <w:numId w:val="15"/>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数字变焦≥32倍；</w:t>
            </w:r>
          </w:p>
          <w:p w14:paraId="047FE8CD">
            <w:pPr>
              <w:widowControl/>
              <w:numPr>
                <w:ilvl w:val="0"/>
                <w:numId w:val="15"/>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光学分辨率：≥200万；</w:t>
            </w:r>
          </w:p>
          <w:p w14:paraId="2F7F977D">
            <w:pPr>
              <w:widowControl/>
              <w:numPr>
                <w:ilvl w:val="0"/>
                <w:numId w:val="15"/>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热成像分辨率：≥640*512；</w:t>
            </w:r>
          </w:p>
          <w:p w14:paraId="080388B5">
            <w:pPr>
              <w:widowControl/>
              <w:numPr>
                <w:ilvl w:val="0"/>
                <w:numId w:val="15"/>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热成像焦距：≥35mm；</w:t>
            </w:r>
          </w:p>
          <w:p w14:paraId="29679D83">
            <w:pPr>
              <w:widowControl/>
              <w:numPr>
                <w:ilvl w:val="0"/>
                <w:numId w:val="15"/>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测距仪有效距离：对船≥3000m；对人≥2000m。</w:t>
            </w:r>
          </w:p>
        </w:tc>
      </w:tr>
      <w:tr w14:paraId="653E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pct"/>
            <w:vAlign w:val="center"/>
          </w:tcPr>
          <w:p w14:paraId="49566783">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探照灯</w:t>
            </w:r>
          </w:p>
        </w:tc>
        <w:tc>
          <w:tcPr>
            <w:tcW w:w="3806" w:type="pct"/>
          </w:tcPr>
          <w:p w14:paraId="192D42D9">
            <w:pPr>
              <w:widowControl/>
              <w:numPr>
                <w:ilvl w:val="0"/>
                <w:numId w:val="16"/>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有效探照距离：≥150m</w:t>
            </w:r>
          </w:p>
          <w:p w14:paraId="77F3E785">
            <w:pPr>
              <w:widowControl/>
              <w:numPr>
                <w:ilvl w:val="0"/>
                <w:numId w:val="16"/>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有效照明面积：≥1200平方米</w:t>
            </w:r>
          </w:p>
          <w:p w14:paraId="566364B0">
            <w:pPr>
              <w:widowControl/>
              <w:numPr>
                <w:ilvl w:val="0"/>
                <w:numId w:val="16"/>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FOV：≥15°</w:t>
            </w:r>
          </w:p>
          <w:p w14:paraId="60F803A2">
            <w:pPr>
              <w:widowControl/>
              <w:numPr>
                <w:ilvl w:val="0"/>
                <w:numId w:val="16"/>
              </w:numPr>
              <w:spacing w:line="300" w:lineRule="auto"/>
              <w:ind w:left="440"/>
              <w:jc w:val="left"/>
              <w:rPr>
                <w:rFonts w:ascii="宋体" w:hAnsi="宋体" w:cs="宋体"/>
                <w:color w:val="auto"/>
                <w:sz w:val="24"/>
                <w:highlight w:val="none"/>
              </w:rPr>
            </w:pPr>
            <w:r>
              <w:rPr>
                <w:rFonts w:hint="eastAsia" w:ascii="宋体" w:hAnsi="宋体" w:cs="宋体"/>
                <w:color w:val="auto"/>
                <w:sz w:val="24"/>
                <w:highlight w:val="none"/>
              </w:rPr>
              <w:t>云台转动范围：俯仰：-95°~+20°；水平：±90°</w:t>
            </w:r>
          </w:p>
          <w:p w14:paraId="262B417E">
            <w:pPr>
              <w:widowControl/>
              <w:numPr>
                <w:ilvl w:val="0"/>
                <w:numId w:val="16"/>
              </w:numPr>
              <w:spacing w:line="300" w:lineRule="auto"/>
              <w:ind w:left="440"/>
              <w:jc w:val="left"/>
              <w:rPr>
                <w:rFonts w:ascii="宋体" w:hAnsi="宋体" w:cs="宋体"/>
                <w:color w:val="auto"/>
                <w:kern w:val="0"/>
                <w:sz w:val="24"/>
                <w:highlight w:val="none"/>
              </w:rPr>
            </w:pPr>
            <w:r>
              <w:rPr>
                <w:rFonts w:hint="eastAsia" w:ascii="宋体" w:hAnsi="宋体" w:cs="宋体"/>
                <w:color w:val="auto"/>
                <w:sz w:val="24"/>
                <w:highlight w:val="none"/>
              </w:rPr>
              <w:t>工作温度：-15°C~+50°C</w:t>
            </w:r>
          </w:p>
        </w:tc>
      </w:tr>
      <w:tr w14:paraId="20B7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93" w:type="pct"/>
            <w:vAlign w:val="center"/>
          </w:tcPr>
          <w:p w14:paraId="411B0A65">
            <w:pPr>
              <w:spacing w:line="300" w:lineRule="auto"/>
              <w:jc w:val="center"/>
              <w:rPr>
                <w:rFonts w:ascii="宋体" w:hAnsi="宋体" w:cs="宋体"/>
                <w:color w:val="auto"/>
                <w:sz w:val="24"/>
                <w:highlight w:val="none"/>
              </w:rPr>
            </w:pPr>
            <w:r>
              <w:rPr>
                <w:rFonts w:hint="eastAsia" w:ascii="宋体" w:hAnsi="宋体" w:cs="宋体"/>
                <w:color w:val="auto"/>
                <w:sz w:val="24"/>
                <w:highlight w:val="none"/>
              </w:rPr>
              <w:t>喊话器</w:t>
            </w:r>
          </w:p>
        </w:tc>
        <w:tc>
          <w:tcPr>
            <w:tcW w:w="3806" w:type="pct"/>
          </w:tcPr>
          <w:p w14:paraId="5A560154">
            <w:pPr>
              <w:spacing w:line="300" w:lineRule="auto"/>
              <w:jc w:val="left"/>
              <w:rPr>
                <w:rFonts w:ascii="宋体" w:hAnsi="宋体" w:cs="宋体"/>
                <w:color w:val="auto"/>
                <w:sz w:val="24"/>
                <w:highlight w:val="none"/>
              </w:rPr>
            </w:pPr>
            <w:r>
              <w:rPr>
                <w:rFonts w:hint="eastAsia" w:ascii="宋体" w:hAnsi="宋体" w:cs="宋体"/>
                <w:color w:val="auto"/>
                <w:sz w:val="24"/>
                <w:highlight w:val="none"/>
              </w:rPr>
              <w:t>1）喊话功率：≥25W。</w:t>
            </w:r>
          </w:p>
          <w:p w14:paraId="1674BDFF">
            <w:pPr>
              <w:spacing w:line="300" w:lineRule="auto"/>
              <w:jc w:val="left"/>
              <w:rPr>
                <w:rFonts w:ascii="宋体" w:hAnsi="宋体" w:cs="宋体"/>
                <w:color w:val="auto"/>
                <w:sz w:val="24"/>
                <w:highlight w:val="none"/>
              </w:rPr>
            </w:pPr>
            <w:r>
              <w:rPr>
                <w:rFonts w:hint="eastAsia" w:ascii="宋体" w:hAnsi="宋体" w:cs="宋体"/>
                <w:color w:val="auto"/>
                <w:sz w:val="24"/>
                <w:highlight w:val="none"/>
              </w:rPr>
              <w:t>2）最大声压：≥120db。</w:t>
            </w:r>
          </w:p>
        </w:tc>
      </w:tr>
      <w:tr w14:paraId="3D72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93" w:type="pct"/>
            <w:shd w:val="clear" w:color="auto" w:fill="auto"/>
            <w:vAlign w:val="center"/>
          </w:tcPr>
          <w:p w14:paraId="610960D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落水漂浮设备</w:t>
            </w:r>
          </w:p>
        </w:tc>
        <w:tc>
          <w:tcPr>
            <w:tcW w:w="3806" w:type="pct"/>
            <w:shd w:val="clear" w:color="auto" w:fill="auto"/>
            <w:vAlign w:val="top"/>
          </w:tcPr>
          <w:p w14:paraId="30D194DE">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2套，每套设备需满足：</w:t>
            </w:r>
          </w:p>
          <w:p w14:paraId="48D9059A">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重量≤500g，支持飞行器上浮重量≥100kg</w:t>
            </w:r>
            <w:r>
              <w:rPr>
                <w:rFonts w:hint="eastAsia" w:ascii="宋体" w:hAnsi="宋体" w:cs="宋体"/>
                <w:color w:val="auto"/>
                <w:kern w:val="2"/>
                <w:sz w:val="24"/>
                <w:szCs w:val="24"/>
                <w:highlight w:val="none"/>
                <w:lang w:val="en-US" w:eastAsia="zh-CN" w:bidi="ar-SA"/>
              </w:rPr>
              <w:t>；</w:t>
            </w:r>
          </w:p>
          <w:p w14:paraId="3021E9EF">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充气装置遇水</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秒内充满</w:t>
            </w:r>
            <w:r>
              <w:rPr>
                <w:rFonts w:hint="eastAsia" w:ascii="宋体" w:hAnsi="宋体" w:cs="宋体"/>
                <w:color w:val="auto"/>
                <w:kern w:val="2"/>
                <w:sz w:val="24"/>
                <w:szCs w:val="24"/>
                <w:highlight w:val="none"/>
                <w:lang w:val="en-US" w:eastAsia="zh-CN" w:bidi="ar-SA"/>
              </w:rPr>
              <w:t>；</w:t>
            </w:r>
          </w:p>
        </w:tc>
      </w:tr>
      <w:tr w14:paraId="3849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pct"/>
            <w:shd w:val="clear" w:color="auto" w:fill="auto"/>
            <w:vAlign w:val="center"/>
          </w:tcPr>
          <w:p w14:paraId="1E680DB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电子除雾</w:t>
            </w:r>
          </w:p>
        </w:tc>
        <w:tc>
          <w:tcPr>
            <w:tcW w:w="3806" w:type="pct"/>
            <w:shd w:val="clear" w:color="auto" w:fill="auto"/>
          </w:tcPr>
          <w:p w14:paraId="04151516">
            <w:pPr>
              <w:widowControl/>
              <w:spacing w:line="300" w:lineRule="auto"/>
              <w:jc w:val="left"/>
              <w:rPr>
                <w:rFonts w:ascii="宋体" w:hAnsi="宋体" w:cs="宋体"/>
                <w:color w:val="auto"/>
                <w:sz w:val="24"/>
                <w:highlight w:val="none"/>
              </w:rPr>
            </w:pPr>
            <w:r>
              <w:rPr>
                <w:rFonts w:hint="eastAsia" w:ascii="宋体" w:hAnsi="宋体" w:cs="宋体"/>
                <w:color w:val="auto"/>
                <w:sz w:val="24"/>
                <w:highlight w:val="none"/>
              </w:rPr>
              <w:t>具有雾霾检测和雾霾补偿的电子去雾功能。通过对图像进行分析，检测出雾霾的存在和程度；根据检测结果，对图像进行修复和增强。</w:t>
            </w:r>
          </w:p>
        </w:tc>
      </w:tr>
    </w:tbl>
    <w:p w14:paraId="2E2A56A3">
      <w:pPr>
        <w:spacing w:line="360" w:lineRule="auto"/>
        <w:ind w:firstLine="480" w:firstLineChars="200"/>
        <w:rPr>
          <w:rFonts w:ascii="宋体" w:hAnsi="宋体" w:cs="宋体"/>
          <w:color w:val="auto"/>
          <w:sz w:val="24"/>
          <w:highlight w:val="none"/>
        </w:rPr>
      </w:pPr>
    </w:p>
    <w:p w14:paraId="63F1EA98">
      <w:pPr>
        <w:numPr>
          <w:ilvl w:val="2"/>
          <w:numId w:val="9"/>
        </w:numPr>
        <w:adjustRightInd w:val="0"/>
        <w:snapToGrid w:val="0"/>
        <w:spacing w:line="360" w:lineRule="auto"/>
        <w:ind w:firstLine="602" w:firstLineChars="200"/>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无人机智控系统</w:t>
      </w:r>
      <w:bookmarkEnd w:id="11"/>
    </w:p>
    <w:p w14:paraId="4AA16C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人机智控系统可对海防相关部门部署的无人机进行统一管理、统一调度、统一指挥，对所辖范围的低空飞行器进行统一监控，通过接收智慧海防系统的目标信息及任务信息进行飞行任务智能规划及管理，主要包括无人值守飞行器管理管控（含电子围栏）及基础信息管理两个模块。</w:t>
      </w:r>
    </w:p>
    <w:p w14:paraId="40D4D6F7">
      <w:pPr>
        <w:keepNext/>
        <w:keepLines/>
        <w:numPr>
          <w:ilvl w:val="0"/>
          <w:numId w:val="17"/>
        </w:numPr>
        <w:spacing w:line="360" w:lineRule="auto"/>
        <w:ind w:left="0" w:firstLine="420"/>
        <w:outlineLvl w:val="2"/>
        <w:rPr>
          <w:rFonts w:ascii="宋体" w:hAnsi="宋体" w:cs="宋体"/>
          <w:b/>
          <w:color w:val="auto"/>
          <w:sz w:val="24"/>
          <w:highlight w:val="none"/>
        </w:rPr>
      </w:pPr>
      <w:bookmarkStart w:id="12" w:name="_Toc1423"/>
      <w:bookmarkStart w:id="13" w:name="OLE_LINK21"/>
      <w:r>
        <w:rPr>
          <w:rFonts w:hint="eastAsia" w:ascii="宋体" w:hAnsi="宋体" w:cs="宋体"/>
          <w:b/>
          <w:color w:val="auto"/>
          <w:sz w:val="24"/>
          <w:highlight w:val="none"/>
        </w:rPr>
        <w:t>软件功能</w:t>
      </w:r>
      <w:bookmarkEnd w:id="12"/>
    </w:p>
    <w:bookmarkEnd w:id="13"/>
    <w:p w14:paraId="36090E20">
      <w:pPr>
        <w:keepNext/>
        <w:keepLines/>
        <w:numPr>
          <w:ilvl w:val="0"/>
          <w:numId w:val="18"/>
        </w:numPr>
        <w:tabs>
          <w:tab w:val="left" w:pos="0"/>
        </w:tabs>
        <w:spacing w:line="360" w:lineRule="auto"/>
        <w:ind w:left="0" w:firstLine="482" w:firstLineChars="200"/>
        <w:outlineLvl w:val="3"/>
        <w:rPr>
          <w:rFonts w:ascii="宋体" w:hAnsi="宋体" w:cs="宋体"/>
          <w:b/>
          <w:color w:val="auto"/>
          <w:sz w:val="24"/>
          <w:highlight w:val="none"/>
        </w:rPr>
      </w:pPr>
      <w:bookmarkStart w:id="14" w:name="_Toc32137"/>
      <w:bookmarkStart w:id="15" w:name="_Toc151560609"/>
      <w:bookmarkStart w:id="16" w:name="OLE_LINK13"/>
      <w:r>
        <w:rPr>
          <w:rFonts w:hint="eastAsia" w:ascii="宋体" w:hAnsi="宋体" w:cs="宋体"/>
          <w:b/>
          <w:color w:val="auto"/>
          <w:sz w:val="24"/>
          <w:highlight w:val="none"/>
        </w:rPr>
        <w:t>无人值守飞行器管理管控</w:t>
      </w:r>
      <w:bookmarkEnd w:id="14"/>
      <w:bookmarkEnd w:id="15"/>
    </w:p>
    <w:bookmarkEnd w:id="16"/>
    <w:p w14:paraId="7513A4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过对无人值守飞行器的线上管理，实现飞行航线自动规划、无人值守飞行任务规划、定时自主巡检、飞行监控、电子围栏、录制审批和历史记录等功能，可有效降低人员参与程度，提高飞行作业效率，实现对所管理和调度的无人机的统一规划管理与调度工作。</w:t>
      </w:r>
    </w:p>
    <w:p w14:paraId="18CBF2AB">
      <w:pPr>
        <w:keepNext/>
        <w:keepLines/>
        <w:numPr>
          <w:ilvl w:val="0"/>
          <w:numId w:val="19"/>
        </w:numPr>
        <w:spacing w:line="360" w:lineRule="auto"/>
        <w:ind w:firstLine="482" w:firstLineChars="200"/>
        <w:outlineLvl w:val="4"/>
        <w:rPr>
          <w:rFonts w:ascii="宋体" w:hAnsi="宋体" w:cs="宋体"/>
          <w:b/>
          <w:color w:val="auto"/>
          <w:sz w:val="24"/>
          <w:highlight w:val="none"/>
        </w:rPr>
      </w:pPr>
      <w:bookmarkStart w:id="17" w:name="OLE_LINK14"/>
      <w:r>
        <w:rPr>
          <w:rFonts w:hint="eastAsia" w:ascii="宋体" w:hAnsi="宋体" w:cs="宋体"/>
          <w:b/>
          <w:color w:val="auto"/>
          <w:sz w:val="24"/>
          <w:highlight w:val="none"/>
        </w:rPr>
        <w:t>飞行航线自动规划</w:t>
      </w:r>
    </w:p>
    <w:bookmarkEnd w:id="17"/>
    <w:p w14:paraId="3F0CA3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飞行航线自动规划主要接收智慧海防系统传输的包括目标位置，飞行任务、综合态势等数据，根据指令及目标物位置自动调度离目标物最近的机库，自动生成飞行航线。</w:t>
      </w:r>
    </w:p>
    <w:p w14:paraId="0429D4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（1）巡检航线规划</w:t>
      </w:r>
    </w:p>
    <w:p w14:paraId="4C9DDE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具备对航路、路线信息划设绘制功能，提供巡检航线划设，支持输入起点、终点、飞行高度等基本参数信息，智能生成航空器飞行航线。支持航线新增、取消、重新规划，提供标准的OGC服务，允许航线数据同步至其他系统平台。</w:t>
      </w:r>
    </w:p>
    <w:p w14:paraId="3DEE97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（2）应急航线规划</w:t>
      </w:r>
    </w:p>
    <w:p w14:paraId="027B88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在应急突发事件发生时，提供监测范围内全空域应急无人机航线规划能力，保证应急无人机驾驶航空器的优先飞行权利，并智能判断空域适飞情况，科学规划最短飞行路径。</w:t>
      </w:r>
    </w:p>
    <w:p w14:paraId="1314A924">
      <w:pPr>
        <w:keepNext/>
        <w:keepLines/>
        <w:numPr>
          <w:ilvl w:val="0"/>
          <w:numId w:val="19"/>
        </w:numPr>
        <w:spacing w:line="360" w:lineRule="auto"/>
        <w:ind w:firstLine="482" w:firstLineChars="200"/>
        <w:outlineLvl w:val="4"/>
        <w:rPr>
          <w:rFonts w:ascii="宋体" w:hAnsi="宋体" w:cs="宋体"/>
          <w:b/>
          <w:color w:val="auto"/>
          <w:sz w:val="24"/>
          <w:highlight w:val="none"/>
        </w:rPr>
      </w:pPr>
      <w:r>
        <w:rPr>
          <w:rFonts w:hint="eastAsia" w:ascii="宋体" w:hAnsi="宋体" w:cs="宋体"/>
          <w:b/>
          <w:color w:val="auto"/>
          <w:sz w:val="24"/>
          <w:highlight w:val="none"/>
        </w:rPr>
        <w:t>无人值守飞行任务规划</w:t>
      </w:r>
    </w:p>
    <w:p w14:paraId="1861AB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通过图上手动绘制或文件导入形式进行航线规划。</w:t>
      </w:r>
    </w:p>
    <w:p w14:paraId="6F5FEA88">
      <w:pPr>
        <w:keepNext/>
        <w:keepLines/>
        <w:numPr>
          <w:ilvl w:val="0"/>
          <w:numId w:val="19"/>
        </w:numPr>
        <w:spacing w:line="360" w:lineRule="auto"/>
        <w:ind w:firstLine="482" w:firstLineChars="200"/>
        <w:outlineLvl w:val="4"/>
        <w:rPr>
          <w:rFonts w:ascii="宋体" w:hAnsi="宋体" w:cs="宋体"/>
          <w:b/>
          <w:color w:val="auto"/>
          <w:sz w:val="24"/>
          <w:highlight w:val="none"/>
        </w:rPr>
      </w:pPr>
      <w:r>
        <w:rPr>
          <w:rFonts w:hint="eastAsia" w:ascii="宋体" w:hAnsi="宋体" w:cs="宋体"/>
          <w:b/>
          <w:color w:val="auto"/>
          <w:sz w:val="24"/>
          <w:highlight w:val="none"/>
        </w:rPr>
        <w:t>定时自主巡检</w:t>
      </w:r>
    </w:p>
    <w:p w14:paraId="2E759A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按指定时间、指定航线进行定时自动化作业，自动进行航线、设备状态及环境参数的校验。无人机自主起降，无需现场人员，无需专业飞控人员，降低无人机作业的操作门槛，提高作业效率。</w:t>
      </w:r>
    </w:p>
    <w:p w14:paraId="4AA78194">
      <w:pPr>
        <w:keepNext/>
        <w:keepLines/>
        <w:numPr>
          <w:ilvl w:val="0"/>
          <w:numId w:val="19"/>
        </w:numPr>
        <w:spacing w:line="360" w:lineRule="auto"/>
        <w:ind w:firstLine="482" w:firstLineChars="200"/>
        <w:outlineLvl w:val="4"/>
        <w:rPr>
          <w:rFonts w:ascii="宋体" w:hAnsi="宋体" w:cs="宋体"/>
          <w:b/>
          <w:color w:val="auto"/>
          <w:sz w:val="24"/>
          <w:highlight w:val="none"/>
        </w:rPr>
      </w:pPr>
      <w:bookmarkStart w:id="18" w:name="OLE_LINK15"/>
      <w:r>
        <w:rPr>
          <w:rFonts w:hint="eastAsia" w:ascii="宋体" w:hAnsi="宋体" w:cs="宋体"/>
          <w:b/>
          <w:color w:val="auto"/>
          <w:sz w:val="24"/>
          <w:highlight w:val="none"/>
        </w:rPr>
        <w:t>飞行监控</w:t>
      </w:r>
    </w:p>
    <w:bookmarkEnd w:id="18"/>
    <w:p w14:paraId="1DEA21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飞行监控对所有作业状态下的无人机进行统一展示，对飞行器实际飞行航迹进行记录。可在飞行状态中对云台及载荷进行操控。具备任务进度管理、设备实时状态监控及视频实时显示等功能，对重点观测区域可进行悬停拍照，留存作业记录。</w:t>
      </w:r>
    </w:p>
    <w:p w14:paraId="405996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（1）任务进度管理</w:t>
      </w:r>
    </w:p>
    <w:p w14:paraId="5B19A9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任务进度管理主要用于无人机任务执行过程中任务执行进度状态数据的接收与展示。</w:t>
      </w:r>
    </w:p>
    <w:p w14:paraId="01C7ED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任务进度管理主要用于实时接收和展示任务执行状态数据，让相关人员能够及时了解无人机作业进度、设备运行状况以及其他关键信息。通过对任务执行状态的严密监控，有助于确保无人机任务的顺利进行，提高作业效率和安全性。</w:t>
      </w:r>
    </w:p>
    <w:p w14:paraId="312D64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（2）设备实时状态监控</w:t>
      </w:r>
    </w:p>
    <w:p w14:paraId="7FB1C2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设备实时状态监控主要用于无人机任务执行过程中设备实时状态数据的接收与展示。</w:t>
      </w:r>
    </w:p>
    <w:p w14:paraId="0A71B0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设备实时状态监控对无人机上的各种设备（如无人机本体、各种载荷等）进行实时监测、诊断和预警，以确保无人机在任务过程中的安全性和稳定性。</w:t>
      </w:r>
    </w:p>
    <w:p w14:paraId="19284C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设备实时状态监控将处理后的数据以直观、清晰的方式展示给用户。可以通过图形化界面、实时图表、预警提示等形式。</w:t>
      </w:r>
    </w:p>
    <w:p w14:paraId="61363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（3）视频实时显示</w:t>
      </w:r>
    </w:p>
    <w:p w14:paraId="454C87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视频实时显示模块采集无人机实时获取的重点监测区域视频监控数据，进而能够全方位展示地理空间场景中海上的态势变化。</w:t>
      </w:r>
    </w:p>
    <w:p w14:paraId="097604E4">
      <w:pPr>
        <w:keepNext/>
        <w:keepLines/>
        <w:numPr>
          <w:ilvl w:val="0"/>
          <w:numId w:val="19"/>
        </w:numPr>
        <w:spacing w:line="360" w:lineRule="auto"/>
        <w:ind w:firstLine="482" w:firstLineChars="200"/>
        <w:outlineLvl w:val="4"/>
        <w:rPr>
          <w:rFonts w:ascii="宋体" w:hAnsi="宋体" w:cs="宋体"/>
          <w:b/>
          <w:color w:val="auto"/>
          <w:sz w:val="24"/>
          <w:highlight w:val="none"/>
        </w:rPr>
      </w:pPr>
      <w:r>
        <w:rPr>
          <w:rFonts w:hint="eastAsia" w:ascii="宋体" w:hAnsi="宋体" w:cs="宋体"/>
          <w:b/>
          <w:color w:val="auto"/>
          <w:sz w:val="24"/>
          <w:highlight w:val="none"/>
        </w:rPr>
        <w:t>电子围栏</w:t>
      </w:r>
    </w:p>
    <w:p w14:paraId="41D9FD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通过在相应电子地理范围中画出特定区域，包括军事禁区、海域边界、各类机场等，管理和控制无人机不能飞入围栏区域。</w:t>
      </w:r>
    </w:p>
    <w:p w14:paraId="04E7A242">
      <w:pPr>
        <w:keepNext/>
        <w:keepLines/>
        <w:numPr>
          <w:ilvl w:val="0"/>
          <w:numId w:val="19"/>
        </w:numPr>
        <w:spacing w:line="360" w:lineRule="auto"/>
        <w:ind w:firstLine="482" w:firstLineChars="200"/>
        <w:outlineLvl w:val="4"/>
        <w:rPr>
          <w:rFonts w:ascii="宋体" w:hAnsi="宋体" w:cs="宋体"/>
          <w:b/>
          <w:color w:val="auto"/>
          <w:sz w:val="24"/>
          <w:highlight w:val="none"/>
        </w:rPr>
      </w:pPr>
      <w:r>
        <w:rPr>
          <w:rFonts w:hint="eastAsia" w:ascii="宋体" w:hAnsi="宋体" w:cs="宋体"/>
          <w:b/>
          <w:color w:val="auto"/>
          <w:sz w:val="24"/>
          <w:highlight w:val="none"/>
        </w:rPr>
        <w:t>录制审批</w:t>
      </w:r>
    </w:p>
    <w:p w14:paraId="4114D5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人机飞行过程中通过挂载采集视频图像采集数据时，业务平台无人机视频专人录制控制功能，无人机视频不做常态化存储。确有需要，经授权认证后方可录存非涉密敏感数据、视频，视频存储在政务外网的台州市公安局无人机管控平台。</w:t>
      </w:r>
    </w:p>
    <w:p w14:paraId="36EC5BC0">
      <w:pPr>
        <w:keepNext/>
        <w:keepLines/>
        <w:numPr>
          <w:ilvl w:val="0"/>
          <w:numId w:val="19"/>
        </w:numPr>
        <w:spacing w:line="360" w:lineRule="auto"/>
        <w:ind w:firstLine="482" w:firstLineChars="200"/>
        <w:outlineLvl w:val="4"/>
        <w:rPr>
          <w:rFonts w:ascii="宋体" w:hAnsi="宋体" w:cs="宋体"/>
          <w:b/>
          <w:color w:val="auto"/>
          <w:sz w:val="24"/>
          <w:highlight w:val="none"/>
        </w:rPr>
      </w:pPr>
      <w:r>
        <w:rPr>
          <w:rFonts w:hint="eastAsia" w:ascii="宋体" w:hAnsi="宋体" w:cs="宋体"/>
          <w:b/>
          <w:color w:val="auto"/>
          <w:sz w:val="24"/>
          <w:highlight w:val="none"/>
        </w:rPr>
        <w:t>历史记录</w:t>
      </w:r>
    </w:p>
    <w:p w14:paraId="13508C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支持航线、视频和遥测数据同步回放，便于用户回看无人机作业情况。</w:t>
      </w:r>
    </w:p>
    <w:p w14:paraId="39B52445">
      <w:pPr>
        <w:keepNext/>
        <w:keepLines/>
        <w:numPr>
          <w:ilvl w:val="0"/>
          <w:numId w:val="18"/>
        </w:numPr>
        <w:tabs>
          <w:tab w:val="left" w:pos="0"/>
        </w:tabs>
        <w:spacing w:line="360" w:lineRule="auto"/>
        <w:ind w:left="0" w:firstLine="482" w:firstLineChars="200"/>
        <w:outlineLvl w:val="3"/>
        <w:rPr>
          <w:rFonts w:ascii="宋体" w:hAnsi="宋体" w:cs="宋体"/>
          <w:b/>
          <w:color w:val="auto"/>
          <w:sz w:val="24"/>
          <w:highlight w:val="none"/>
        </w:rPr>
      </w:pPr>
      <w:bookmarkStart w:id="19" w:name="_Toc25384"/>
      <w:bookmarkStart w:id="20" w:name="_Toc151560611"/>
      <w:bookmarkStart w:id="21" w:name="OLE_LINK17"/>
      <w:r>
        <w:rPr>
          <w:rFonts w:hint="eastAsia" w:ascii="宋体" w:hAnsi="宋体" w:cs="宋体"/>
          <w:b/>
          <w:color w:val="auto"/>
          <w:sz w:val="24"/>
          <w:highlight w:val="none"/>
        </w:rPr>
        <w:t>基础信息管理</w:t>
      </w:r>
      <w:bookmarkEnd w:id="19"/>
      <w:bookmarkEnd w:id="20"/>
    </w:p>
    <w:bookmarkEnd w:id="21"/>
    <w:p w14:paraId="46314A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基础信息管理面向平台运行的安全性及用户对设备的有效管理需求提供用户管理及设备管理功能。</w:t>
      </w:r>
    </w:p>
    <w:p w14:paraId="53A59D52">
      <w:pPr>
        <w:keepNext/>
        <w:keepLines/>
        <w:numPr>
          <w:ilvl w:val="0"/>
          <w:numId w:val="20"/>
        </w:numPr>
        <w:spacing w:line="360" w:lineRule="auto"/>
        <w:ind w:firstLine="482" w:firstLineChars="200"/>
        <w:outlineLvl w:val="4"/>
        <w:rPr>
          <w:rFonts w:ascii="宋体" w:hAnsi="宋体" w:cs="宋体"/>
          <w:b/>
          <w:color w:val="auto"/>
          <w:sz w:val="24"/>
          <w:highlight w:val="none"/>
        </w:rPr>
      </w:pPr>
      <w:bookmarkStart w:id="22" w:name="OLE_LINK16"/>
      <w:r>
        <w:rPr>
          <w:rFonts w:hint="eastAsia" w:ascii="宋体" w:hAnsi="宋体" w:cs="宋体"/>
          <w:b/>
          <w:color w:val="auto"/>
          <w:sz w:val="24"/>
          <w:highlight w:val="none"/>
        </w:rPr>
        <w:t>用户管理</w:t>
      </w:r>
    </w:p>
    <w:bookmarkEnd w:id="22"/>
    <w:p w14:paraId="26C902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用户管理实现对管理员用户、企业用户和个人用户的分级权限管理和账号分配。未经过权限分配的用户仅可浏览平台功能。个人用户上传身份证，企业用户上传营业执照，通过实名认证审核后获得系统使用权限，企业可对员工进行审核及管理，实现平台对用户，企业对员工的有效管理。</w:t>
      </w:r>
    </w:p>
    <w:p w14:paraId="41400C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（1）分级权限管理</w:t>
      </w:r>
    </w:p>
    <w:p w14:paraId="589B7D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系统用户分为管理员、企业用户、个人用户三类账号进行注册管理，上级用户可对下辖的下级账户的账号、无人机、应答机、证照、飞行任务、在航飞行和飞行历史等信息进行查询和统计，可对下级账号所提交的空域申请和飞行计划进行审批、驳回和提交。下级账号可查看上级账号所上传的电子围栏及管制区信息，具有隶属关系的上下级账号可进行双向信息推送。</w:t>
      </w:r>
    </w:p>
    <w:p w14:paraId="566CC0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（2）用户账号分配</w:t>
      </w:r>
    </w:p>
    <w:p w14:paraId="0D8FE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系统按用户类型分配账号，为管理员用户分配管理员权限账号，为企业用户分配企业权限账号，为个人用户分配个人权限账号，首页以数据形式显示用户展示信息及统计数据。</w:t>
      </w:r>
    </w:p>
    <w:p w14:paraId="30BB4A77">
      <w:pPr>
        <w:keepNext/>
        <w:keepLines/>
        <w:numPr>
          <w:ilvl w:val="0"/>
          <w:numId w:val="20"/>
        </w:numPr>
        <w:spacing w:line="360" w:lineRule="auto"/>
        <w:ind w:firstLine="482" w:firstLineChars="200"/>
        <w:outlineLvl w:val="4"/>
        <w:rPr>
          <w:rFonts w:ascii="宋体" w:hAnsi="宋体" w:cs="宋体"/>
          <w:b/>
          <w:color w:val="auto"/>
          <w:sz w:val="24"/>
          <w:highlight w:val="none"/>
        </w:rPr>
      </w:pPr>
      <w:bookmarkStart w:id="23" w:name="OLE_LINK20"/>
      <w:r>
        <w:rPr>
          <w:rFonts w:hint="eastAsia" w:ascii="宋体" w:hAnsi="宋体" w:cs="宋体"/>
          <w:b/>
          <w:color w:val="auto"/>
          <w:sz w:val="24"/>
          <w:highlight w:val="none"/>
        </w:rPr>
        <w:t>设备管理</w:t>
      </w:r>
    </w:p>
    <w:bookmarkEnd w:id="23"/>
    <w:p w14:paraId="5CB693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为满足用户对无人机、载荷等设备的有效管理需求建立设备管理功能。用户可通过设备管理实现对自身设备进行新增，参数修改，养护信息管理，删除等操作。</w:t>
      </w:r>
    </w:p>
    <w:p w14:paraId="6584AFD7">
      <w:pPr>
        <w:keepNext/>
        <w:keepLines/>
        <w:numPr>
          <w:ilvl w:val="0"/>
          <w:numId w:val="18"/>
        </w:numPr>
        <w:tabs>
          <w:tab w:val="left" w:pos="0"/>
        </w:tabs>
        <w:spacing w:line="360" w:lineRule="auto"/>
        <w:ind w:left="0" w:firstLine="482" w:firstLineChars="200"/>
        <w:outlineLvl w:val="3"/>
        <w:rPr>
          <w:rFonts w:ascii="宋体" w:hAnsi="宋体" w:cs="宋体"/>
          <w:b/>
          <w:color w:val="auto"/>
          <w:sz w:val="24"/>
          <w:highlight w:val="none"/>
        </w:rPr>
      </w:pPr>
      <w:bookmarkStart w:id="24" w:name="_Toc5719"/>
      <w:bookmarkStart w:id="25" w:name="OLE_LINK19"/>
      <w:r>
        <w:rPr>
          <w:rFonts w:hint="eastAsia" w:ascii="宋体" w:hAnsi="宋体" w:cs="宋体"/>
          <w:b/>
          <w:color w:val="auto"/>
          <w:sz w:val="24"/>
          <w:highlight w:val="none"/>
        </w:rPr>
        <w:t>除雾功能</w:t>
      </w:r>
      <w:bookmarkEnd w:id="24"/>
    </w:p>
    <w:bookmarkEnd w:id="25"/>
    <w:p w14:paraId="5C790B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台州地处沿海，海面上每年至少超过三分之一时间具有雾气，光在雾、霾等介质中传播时，由于粒子的散射作用导致成像传感器采集的图像信息严重降质，在很大程度上限制了图像的应用价值。图像去雾的目的是消除雾霾环境对图像质量的影响，增加图像的可视度。</w:t>
      </w:r>
    </w:p>
    <w:p w14:paraId="2B9D9F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除雾模块逻辑关系如下图所示：</w:t>
      </w:r>
    </w:p>
    <w:p w14:paraId="3D2943AC">
      <w:pPr>
        <w:spacing w:line="360" w:lineRule="auto"/>
        <w:rPr>
          <w:rFonts w:ascii="宋体" w:hAnsi="宋体" w:cs="宋体"/>
          <w:color w:val="auto"/>
          <w:sz w:val="24"/>
          <w:highlight w:val="none"/>
        </w:rPr>
      </w:pPr>
      <w:r>
        <w:rPr>
          <w:rFonts w:hint="eastAsia" w:ascii="宋体" w:hAnsi="宋体" w:cs="宋体"/>
          <w:color w:val="auto"/>
          <w:sz w:val="24"/>
          <w:highlight w:val="none"/>
        </w:rPr>
        <w:object>
          <v:shape id="_x0000_i1025" o:spt="75" type="#_x0000_t75" style="height:137.1pt;width:414.7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14:paraId="0B4BCC7F">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图  除雾模块逻辑关系图</w:t>
      </w:r>
    </w:p>
    <w:p w14:paraId="521AB4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图像除雾一体机除雾功能需满足：</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6155"/>
      </w:tblGrid>
      <w:tr w14:paraId="15F3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368" w:type="dxa"/>
            <w:vAlign w:val="center"/>
          </w:tcPr>
          <w:p w14:paraId="66BB398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6158" w:type="dxa"/>
            <w:vAlign w:val="center"/>
          </w:tcPr>
          <w:p w14:paraId="79AEC74A">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指标要求</w:t>
            </w:r>
          </w:p>
        </w:tc>
      </w:tr>
      <w:tr w14:paraId="487B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vAlign w:val="center"/>
          </w:tcPr>
          <w:p w14:paraId="375F5F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图像除雾软件</w:t>
            </w:r>
          </w:p>
        </w:tc>
        <w:tc>
          <w:tcPr>
            <w:tcW w:w="6158" w:type="dxa"/>
            <w:vAlign w:val="center"/>
          </w:tcPr>
          <w:p w14:paraId="2464A599">
            <w:pPr>
              <w:widowControl/>
              <w:numPr>
                <w:ilvl w:val="0"/>
                <w:numId w:val="21"/>
              </w:numPr>
              <w:spacing w:line="360" w:lineRule="auto"/>
              <w:ind w:left="440"/>
              <w:jc w:val="left"/>
              <w:rPr>
                <w:rFonts w:ascii="宋体" w:hAnsi="宋体" w:cs="宋体"/>
                <w:color w:val="auto"/>
                <w:sz w:val="24"/>
                <w:highlight w:val="none"/>
              </w:rPr>
            </w:pPr>
            <w:r>
              <w:rPr>
                <w:rFonts w:hint="eastAsia" w:ascii="宋体" w:hAnsi="宋体" w:cs="宋体"/>
                <w:color w:val="auto"/>
                <w:sz w:val="24"/>
                <w:highlight w:val="none"/>
              </w:rPr>
              <w:t>增强效果：峰值信噪比PSNR提升6%以上</w:t>
            </w:r>
          </w:p>
          <w:p w14:paraId="4EA98193">
            <w:pPr>
              <w:widowControl/>
              <w:numPr>
                <w:ilvl w:val="0"/>
                <w:numId w:val="21"/>
              </w:numPr>
              <w:spacing w:line="360" w:lineRule="auto"/>
              <w:ind w:left="440"/>
              <w:jc w:val="left"/>
              <w:rPr>
                <w:rFonts w:ascii="宋体" w:hAnsi="宋体" w:cs="宋体"/>
                <w:color w:val="auto"/>
                <w:sz w:val="24"/>
                <w:highlight w:val="none"/>
              </w:rPr>
            </w:pPr>
            <w:r>
              <w:rPr>
                <w:rFonts w:hint="eastAsia" w:ascii="宋体" w:hAnsi="宋体" w:cs="宋体"/>
                <w:color w:val="auto"/>
                <w:sz w:val="24"/>
                <w:highlight w:val="none"/>
              </w:rPr>
              <w:t>处理速率：≥30FPS@1920×1080</w:t>
            </w:r>
          </w:p>
          <w:p w14:paraId="5EE3A4BA">
            <w:pPr>
              <w:widowControl/>
              <w:numPr>
                <w:ilvl w:val="0"/>
                <w:numId w:val="21"/>
              </w:numPr>
              <w:spacing w:line="360" w:lineRule="auto"/>
              <w:ind w:left="440"/>
              <w:jc w:val="left"/>
              <w:rPr>
                <w:rFonts w:ascii="宋体" w:hAnsi="宋体" w:cs="宋体"/>
                <w:color w:val="auto"/>
                <w:sz w:val="24"/>
                <w:highlight w:val="none"/>
              </w:rPr>
            </w:pPr>
            <w:r>
              <w:rPr>
                <w:rFonts w:hint="eastAsia" w:ascii="宋体" w:hAnsi="宋体" w:cs="宋体"/>
                <w:color w:val="auto"/>
                <w:sz w:val="24"/>
                <w:highlight w:val="none"/>
              </w:rPr>
              <w:t>处理图像类型：可见光、红外</w:t>
            </w:r>
          </w:p>
          <w:p w14:paraId="5AF7F3A0">
            <w:pPr>
              <w:widowControl/>
              <w:numPr>
                <w:ilvl w:val="0"/>
                <w:numId w:val="21"/>
              </w:numPr>
              <w:spacing w:line="360" w:lineRule="auto"/>
              <w:ind w:left="440"/>
              <w:jc w:val="left"/>
              <w:rPr>
                <w:rFonts w:ascii="宋体" w:hAnsi="宋体" w:cs="宋体"/>
                <w:color w:val="auto"/>
                <w:sz w:val="24"/>
                <w:highlight w:val="none"/>
              </w:rPr>
            </w:pPr>
            <w:r>
              <w:rPr>
                <w:rFonts w:hint="eastAsia" w:ascii="宋体" w:hAnsi="宋体" w:cs="宋体"/>
                <w:color w:val="auto"/>
                <w:sz w:val="24"/>
                <w:highlight w:val="none"/>
              </w:rPr>
              <w:t>作用距离提升：≥30%</w:t>
            </w:r>
          </w:p>
          <w:p w14:paraId="1CC7C9A6">
            <w:pPr>
              <w:widowControl/>
              <w:numPr>
                <w:ilvl w:val="0"/>
                <w:numId w:val="21"/>
              </w:numPr>
              <w:spacing w:line="360" w:lineRule="auto"/>
              <w:ind w:left="440"/>
              <w:jc w:val="left"/>
              <w:rPr>
                <w:rFonts w:ascii="宋体" w:hAnsi="宋体" w:cs="宋体"/>
                <w:color w:val="auto"/>
                <w:sz w:val="24"/>
                <w:highlight w:val="none"/>
              </w:rPr>
            </w:pPr>
            <w:r>
              <w:rPr>
                <w:rFonts w:hint="eastAsia" w:ascii="宋体" w:hAnsi="宋体" w:cs="宋体"/>
                <w:color w:val="auto"/>
                <w:sz w:val="24"/>
                <w:highlight w:val="none"/>
              </w:rPr>
              <w:t>噪声去除：实现目标与噪声分离</w:t>
            </w:r>
          </w:p>
        </w:tc>
      </w:tr>
      <w:tr w14:paraId="7E81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8" w:type="dxa"/>
            <w:vAlign w:val="center"/>
          </w:tcPr>
          <w:p w14:paraId="7AADF5B4">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图像除雾硬件配置</w:t>
            </w:r>
          </w:p>
        </w:tc>
        <w:tc>
          <w:tcPr>
            <w:tcW w:w="6158" w:type="dxa"/>
            <w:vAlign w:val="center"/>
          </w:tcPr>
          <w:p w14:paraId="01BB056C">
            <w:pPr>
              <w:widowControl/>
              <w:numPr>
                <w:ilvl w:val="0"/>
                <w:numId w:val="22"/>
              </w:numPr>
              <w:spacing w:line="360" w:lineRule="auto"/>
              <w:ind w:left="440"/>
              <w:jc w:val="left"/>
              <w:rPr>
                <w:rFonts w:ascii="宋体" w:hAnsi="宋体" w:cs="宋体"/>
                <w:color w:val="auto"/>
                <w:sz w:val="24"/>
                <w:highlight w:val="none"/>
              </w:rPr>
            </w:pPr>
            <w:r>
              <w:rPr>
                <w:rFonts w:hint="eastAsia" w:ascii="宋体" w:hAnsi="宋体" w:cs="宋体"/>
                <w:color w:val="auto"/>
                <w:sz w:val="24"/>
                <w:highlight w:val="none"/>
              </w:rPr>
              <w:t>支持USB等多种接口</w:t>
            </w:r>
          </w:p>
          <w:p w14:paraId="0DCE9A06">
            <w:pPr>
              <w:widowControl/>
              <w:numPr>
                <w:ilvl w:val="0"/>
                <w:numId w:val="22"/>
              </w:numPr>
              <w:spacing w:line="360" w:lineRule="auto"/>
              <w:ind w:left="440"/>
              <w:jc w:val="left"/>
              <w:rPr>
                <w:rFonts w:ascii="宋体" w:hAnsi="宋体" w:cs="宋体"/>
                <w:color w:val="auto"/>
                <w:sz w:val="24"/>
                <w:highlight w:val="none"/>
              </w:rPr>
            </w:pPr>
            <w:r>
              <w:rPr>
                <w:rFonts w:hint="eastAsia" w:ascii="宋体" w:hAnsi="宋体" w:cs="宋体"/>
                <w:color w:val="auto"/>
                <w:sz w:val="24"/>
                <w:highlight w:val="none"/>
              </w:rPr>
              <w:t>支持不少于四路视频的处理</w:t>
            </w:r>
          </w:p>
          <w:p w14:paraId="088AEA30">
            <w:pPr>
              <w:widowControl/>
              <w:numPr>
                <w:ilvl w:val="0"/>
                <w:numId w:val="22"/>
              </w:numPr>
              <w:spacing w:line="360" w:lineRule="auto"/>
              <w:ind w:left="440"/>
              <w:jc w:val="left"/>
              <w:rPr>
                <w:rFonts w:ascii="宋体" w:hAnsi="宋体" w:cs="宋体"/>
                <w:color w:val="auto"/>
                <w:sz w:val="24"/>
                <w:highlight w:val="none"/>
              </w:rPr>
            </w:pPr>
            <w:r>
              <w:rPr>
                <w:rFonts w:hint="eastAsia" w:ascii="宋体" w:hAnsi="宋体" w:cs="宋体"/>
                <w:color w:val="auto"/>
                <w:sz w:val="24"/>
                <w:highlight w:val="none"/>
              </w:rPr>
              <w:t>GPU：算力≥44 TFLOPS</w:t>
            </w:r>
          </w:p>
        </w:tc>
      </w:tr>
    </w:tbl>
    <w:p w14:paraId="68179371">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cs="宋体"/>
          <w:color w:val="auto"/>
          <w:sz w:val="24"/>
          <w:highlight w:val="none"/>
        </w:rPr>
      </w:pPr>
    </w:p>
    <w:p w14:paraId="2C57C67D">
      <w:pPr>
        <w:keepNext/>
        <w:keepLines/>
        <w:pageBreakBefore w:val="0"/>
        <w:widowControl w:val="0"/>
        <w:numPr>
          <w:ilvl w:val="0"/>
          <w:numId w:val="18"/>
        </w:numPr>
        <w:tabs>
          <w:tab w:val="left" w:pos="0"/>
        </w:tabs>
        <w:kinsoku/>
        <w:wordWrap/>
        <w:overflowPunct/>
        <w:topLinePunct w:val="0"/>
        <w:autoSpaceDE/>
        <w:autoSpaceDN/>
        <w:bidi w:val="0"/>
        <w:adjustRightInd/>
        <w:snapToGrid/>
        <w:spacing w:line="360" w:lineRule="auto"/>
        <w:ind w:left="0" w:firstLine="482" w:firstLineChars="200"/>
        <w:textAlignment w:val="auto"/>
        <w:outlineLvl w:val="3"/>
        <w:rPr>
          <w:rFonts w:ascii="宋体" w:hAnsi="宋体" w:cs="宋体"/>
          <w:b/>
          <w:color w:val="auto"/>
          <w:sz w:val="24"/>
          <w:highlight w:val="none"/>
        </w:rPr>
      </w:pPr>
      <w:bookmarkStart w:id="26" w:name="_Toc10899"/>
      <w:r>
        <w:rPr>
          <w:rFonts w:hint="eastAsia" w:ascii="宋体" w:hAnsi="宋体" w:cs="宋体"/>
          <w:b/>
          <w:color w:val="auto"/>
          <w:sz w:val="24"/>
          <w:highlight w:val="none"/>
        </w:rPr>
        <w:t>▲系统对接集成</w:t>
      </w:r>
      <w:bookmarkEnd w:id="26"/>
    </w:p>
    <w:p w14:paraId="4DD2D6FD">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实现与采购人原有台州市智慧海防管控平台、台州市公安局无人机管控平台、台州“飞安行”低空飞行管控服务平台等海防、无人机平台集成。</w:t>
      </w:r>
    </w:p>
    <w:p w14:paraId="0BEC4B86">
      <w:pPr>
        <w:keepNext/>
        <w:keepLines/>
        <w:pageBreakBefore w:val="0"/>
        <w:widowControl w:val="0"/>
        <w:numPr>
          <w:ilvl w:val="0"/>
          <w:numId w:val="23"/>
        </w:numPr>
        <w:kinsoku/>
        <w:wordWrap/>
        <w:overflowPunct/>
        <w:topLinePunct w:val="0"/>
        <w:autoSpaceDE/>
        <w:autoSpaceDN/>
        <w:bidi w:val="0"/>
        <w:adjustRightInd/>
        <w:snapToGrid/>
        <w:spacing w:line="360" w:lineRule="auto"/>
        <w:ind w:firstLine="482" w:firstLineChars="200"/>
        <w:textAlignment w:val="auto"/>
        <w:outlineLvl w:val="4"/>
        <w:rPr>
          <w:rFonts w:ascii="宋体" w:hAnsi="宋体" w:cs="宋体"/>
          <w:b/>
          <w:color w:val="auto"/>
          <w:sz w:val="24"/>
          <w:highlight w:val="none"/>
        </w:rPr>
      </w:pPr>
      <w:r>
        <w:rPr>
          <w:rFonts w:hint="eastAsia" w:ascii="宋体" w:hAnsi="宋体" w:cs="宋体"/>
          <w:b/>
          <w:color w:val="auto"/>
          <w:sz w:val="24"/>
          <w:highlight w:val="none"/>
        </w:rPr>
        <w:t>台州市智慧海防管控平台对接集成</w:t>
      </w:r>
    </w:p>
    <w:p w14:paraId="72639567">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台州市智慧海防管控平台作为一个综合性的管理平台，囊括海域管控、指挥调度、海防智控、态势感知等功能，服务于公安系统、渔政、海事、边检等众多局委办，按照“双网双平台”架构，分别在电子政务外网和公安内网进行部署，是智慧海防体系的重要支撑。本项目建设的海防无人机智控系统需与其实现对接集成，集成功能需包括：</w:t>
      </w:r>
    </w:p>
    <w:p w14:paraId="38B4A549">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（1）智慧海防管控平台实时显示无人机飞行轨迹；</w:t>
      </w:r>
    </w:p>
    <w:p w14:paraId="5307899A">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（2）智慧海防管控平台实时显示无人机吊舱画面；</w:t>
      </w:r>
    </w:p>
    <w:p w14:paraId="213A2FD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（3）智慧海防管控平台可接管无人机吊舱控制权，实现对无人机吊舱的所有操作指令；</w:t>
      </w:r>
    </w:p>
    <w:p w14:paraId="59BD1191">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（4）智慧海防管控平台向无人机管控平台发送无人机任务指令；</w:t>
      </w:r>
    </w:p>
    <w:p w14:paraId="44646467">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（5）智慧海防管控平台获取海防无人机基本信息功能。</w:t>
      </w:r>
    </w:p>
    <w:p w14:paraId="3529A998">
      <w:pPr>
        <w:keepNext/>
        <w:keepLines/>
        <w:pageBreakBefore w:val="0"/>
        <w:widowControl w:val="0"/>
        <w:numPr>
          <w:ilvl w:val="0"/>
          <w:numId w:val="23"/>
        </w:numPr>
        <w:kinsoku/>
        <w:wordWrap/>
        <w:overflowPunct/>
        <w:topLinePunct w:val="0"/>
        <w:autoSpaceDE/>
        <w:autoSpaceDN/>
        <w:bidi w:val="0"/>
        <w:adjustRightInd/>
        <w:snapToGrid/>
        <w:spacing w:line="360" w:lineRule="auto"/>
        <w:ind w:firstLine="482" w:firstLineChars="200"/>
        <w:textAlignment w:val="auto"/>
        <w:outlineLvl w:val="4"/>
        <w:rPr>
          <w:rFonts w:ascii="宋体" w:hAnsi="宋体" w:cs="宋体"/>
          <w:b/>
          <w:color w:val="auto"/>
          <w:sz w:val="24"/>
          <w:highlight w:val="none"/>
        </w:rPr>
      </w:pPr>
      <w:r>
        <w:rPr>
          <w:rFonts w:hint="eastAsia" w:ascii="宋体" w:hAnsi="宋体" w:cs="宋体"/>
          <w:b/>
          <w:color w:val="auto"/>
          <w:sz w:val="24"/>
          <w:highlight w:val="none"/>
        </w:rPr>
        <w:t>台州市公安局无人机管控平台对接集成</w:t>
      </w:r>
    </w:p>
    <w:p w14:paraId="05879ECD">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台州市公安局无人机管控平台按照“双网双平台”架构，分别在电子政务外网和公安内网进行部署。海防无人机智控系统需与台州市公安局无人机管控平台实现数据对接集成，集成功能包括：</w:t>
      </w:r>
    </w:p>
    <w:p w14:paraId="0085337C">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（1）视频数据接入台州市公安局无人机管控平台；</w:t>
      </w:r>
    </w:p>
    <w:p w14:paraId="4E4B2309">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（2）日常飞行申请对接到台州市公安局无人机管控平台；</w:t>
      </w:r>
    </w:p>
    <w:p w14:paraId="71E6437D">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（3）飞行实时数据与台州市公安局无人机管控平台对接，数据存储于台州市公安局无人机管控平台。</w:t>
      </w:r>
    </w:p>
    <w:p w14:paraId="6D5E9397">
      <w:pPr>
        <w:keepNext/>
        <w:keepLines/>
        <w:pageBreakBefore w:val="0"/>
        <w:widowControl w:val="0"/>
        <w:numPr>
          <w:ilvl w:val="0"/>
          <w:numId w:val="23"/>
        </w:numPr>
        <w:kinsoku/>
        <w:wordWrap/>
        <w:overflowPunct/>
        <w:topLinePunct w:val="0"/>
        <w:autoSpaceDE/>
        <w:autoSpaceDN/>
        <w:bidi w:val="0"/>
        <w:adjustRightInd/>
        <w:snapToGrid/>
        <w:spacing w:line="360" w:lineRule="auto"/>
        <w:ind w:firstLine="482" w:firstLineChars="200"/>
        <w:textAlignment w:val="auto"/>
        <w:outlineLvl w:val="4"/>
        <w:rPr>
          <w:rFonts w:ascii="宋体" w:hAnsi="宋体" w:cs="宋体"/>
          <w:b/>
          <w:color w:val="auto"/>
          <w:sz w:val="24"/>
          <w:highlight w:val="none"/>
        </w:rPr>
      </w:pPr>
      <w:r>
        <w:rPr>
          <w:rFonts w:hint="eastAsia" w:ascii="宋体" w:hAnsi="宋体" w:cs="宋体"/>
          <w:b/>
          <w:color w:val="auto"/>
          <w:sz w:val="24"/>
          <w:highlight w:val="none"/>
        </w:rPr>
        <w:t>台州“飞安行”低空飞行管控服务平台对接集成</w:t>
      </w:r>
    </w:p>
    <w:p w14:paraId="26A0E858">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台州“飞安行”低空飞行管控服务平台在建设规划中，海防无人机智控系统需预留接口与台州“飞安行”低空飞行管控服务平台实现数据对接，可实现基本信息、状态获取、实时摄像头视频流播放等功能的交互。</w:t>
      </w:r>
    </w:p>
    <w:p w14:paraId="15883A4B">
      <w:pPr>
        <w:keepNext/>
        <w:keepLines/>
        <w:pageBreakBefore w:val="0"/>
        <w:widowControl w:val="0"/>
        <w:numPr>
          <w:ilvl w:val="0"/>
          <w:numId w:val="23"/>
        </w:numPr>
        <w:kinsoku/>
        <w:wordWrap/>
        <w:overflowPunct/>
        <w:topLinePunct w:val="0"/>
        <w:autoSpaceDE/>
        <w:autoSpaceDN/>
        <w:bidi w:val="0"/>
        <w:adjustRightInd/>
        <w:snapToGrid/>
        <w:spacing w:line="360" w:lineRule="auto"/>
        <w:ind w:firstLine="482" w:firstLineChars="200"/>
        <w:textAlignment w:val="auto"/>
        <w:outlineLvl w:val="4"/>
        <w:rPr>
          <w:rFonts w:ascii="宋体" w:hAnsi="宋体" w:cs="宋体"/>
          <w:b/>
          <w:color w:val="auto"/>
          <w:sz w:val="24"/>
          <w:highlight w:val="none"/>
        </w:rPr>
      </w:pPr>
      <w:r>
        <w:rPr>
          <w:rFonts w:hint="eastAsia" w:ascii="宋体" w:hAnsi="宋体" w:cs="宋体"/>
          <w:b/>
          <w:color w:val="auto"/>
          <w:sz w:val="24"/>
          <w:highlight w:val="none"/>
        </w:rPr>
        <w:t>无人机统一空域报飞申请对接集成</w:t>
      </w:r>
    </w:p>
    <w:p w14:paraId="691999B8">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bookmarkStart w:id="27" w:name="OLE_LINK22"/>
      <w:r>
        <w:rPr>
          <w:rFonts w:hint="eastAsia" w:ascii="宋体" w:hAnsi="宋体" w:cs="宋体"/>
          <w:color w:val="auto"/>
          <w:sz w:val="24"/>
          <w:highlight w:val="none"/>
        </w:rPr>
        <w:t>本项目建设的无人机在开展飞行任务前，需对接相关部门，明确在飞行任务执行过程中的空域报飞申请等事项，确保飞行任务合法合规，同时飞行任务中拍摄的视频或图片，对于相对敏感的信息需进行模糊处理，再进行数据交换与共享。</w:t>
      </w:r>
    </w:p>
    <w:bookmarkEnd w:id="27"/>
    <w:p w14:paraId="6838F796">
      <w:pPr>
        <w:keepNext/>
        <w:keepLines/>
        <w:pageBreakBefore w:val="0"/>
        <w:widowControl w:val="0"/>
        <w:numPr>
          <w:ilvl w:val="0"/>
          <w:numId w:val="17"/>
        </w:numPr>
        <w:kinsoku/>
        <w:wordWrap/>
        <w:overflowPunct/>
        <w:topLinePunct w:val="0"/>
        <w:autoSpaceDE/>
        <w:autoSpaceDN/>
        <w:bidi w:val="0"/>
        <w:adjustRightInd/>
        <w:snapToGrid/>
        <w:spacing w:line="360" w:lineRule="auto"/>
        <w:ind w:left="0" w:firstLine="420"/>
        <w:textAlignment w:val="auto"/>
        <w:outlineLvl w:val="2"/>
        <w:rPr>
          <w:rFonts w:ascii="宋体" w:hAnsi="宋体" w:cs="宋体"/>
          <w:b/>
          <w:color w:val="auto"/>
          <w:sz w:val="24"/>
          <w:highlight w:val="none"/>
        </w:rPr>
      </w:pPr>
      <w:r>
        <w:rPr>
          <w:rFonts w:hint="eastAsia" w:ascii="宋体" w:hAnsi="宋体" w:cs="宋体"/>
          <w:b/>
          <w:color w:val="auto"/>
          <w:sz w:val="24"/>
          <w:highlight w:val="none"/>
        </w:rPr>
        <w:t>系统部署</w:t>
      </w:r>
    </w:p>
    <w:p w14:paraId="57BC02E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次项目计划部署在电子政务外网环境的信创云资源平台。基础设施层是整个台州海防无人机管理系统的物理基础层，由网络、数据中心构成。网络平台主要为电子政务外网，基础设施层为上层系统提供网络连通能力、计算处理能力和存储能力等业务支撑能力。</w:t>
      </w:r>
    </w:p>
    <w:p w14:paraId="2BE72EAB">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本项目估算要用到的电子政务外网资源如下表所示，以实际申请为准：</w:t>
      </w:r>
    </w:p>
    <w:tbl>
      <w:tblPr>
        <w:tblStyle w:val="36"/>
        <w:tblW w:w="4866" w:type="pct"/>
        <w:tblInd w:w="121" w:type="dxa"/>
        <w:tblLayout w:type="autofit"/>
        <w:tblCellMar>
          <w:top w:w="0" w:type="dxa"/>
          <w:left w:w="108" w:type="dxa"/>
          <w:bottom w:w="0" w:type="dxa"/>
          <w:right w:w="108" w:type="dxa"/>
        </w:tblCellMar>
      </w:tblPr>
      <w:tblGrid>
        <w:gridCol w:w="840"/>
        <w:gridCol w:w="1696"/>
        <w:gridCol w:w="3388"/>
        <w:gridCol w:w="1087"/>
        <w:gridCol w:w="1283"/>
      </w:tblGrid>
      <w:tr w14:paraId="5C7315AD">
        <w:tblPrEx>
          <w:tblCellMar>
            <w:top w:w="0" w:type="dxa"/>
            <w:left w:w="108" w:type="dxa"/>
            <w:bottom w:w="0" w:type="dxa"/>
            <w:right w:w="108" w:type="dxa"/>
          </w:tblCellMar>
        </w:tblPrEx>
        <w:trPr>
          <w:trHeight w:val="454" w:hRule="atLeast"/>
        </w:trPr>
        <w:tc>
          <w:tcPr>
            <w:tcW w:w="506" w:type="pct"/>
            <w:tcBorders>
              <w:top w:val="single" w:color="000000" w:sz="4" w:space="0"/>
              <w:left w:val="single" w:color="000000" w:sz="4" w:space="0"/>
              <w:bottom w:val="single" w:color="000000" w:sz="4" w:space="0"/>
              <w:right w:val="single" w:color="000000" w:sz="4" w:space="0"/>
            </w:tcBorders>
            <w:noWrap/>
            <w:vAlign w:val="center"/>
          </w:tcPr>
          <w:p w14:paraId="6B29752C">
            <w:pPr>
              <w:widowControl/>
              <w:jc w:val="center"/>
              <w:rPr>
                <w:rFonts w:ascii="宋体" w:hAnsi="宋体" w:cs="宋体"/>
                <w:b/>
                <w:bCs/>
                <w:color w:val="auto"/>
                <w:sz w:val="24"/>
                <w:highlight w:val="none"/>
              </w:rPr>
            </w:pPr>
            <w:r>
              <w:rPr>
                <w:rFonts w:hint="eastAsia" w:ascii="宋体" w:hAnsi="宋体" w:cs="宋体"/>
                <w:b/>
                <w:bCs/>
                <w:color w:val="auto"/>
                <w:kern w:val="0"/>
                <w:sz w:val="24"/>
                <w:highlight w:val="none"/>
              </w:rPr>
              <w:t>序号</w:t>
            </w:r>
          </w:p>
        </w:tc>
        <w:tc>
          <w:tcPr>
            <w:tcW w:w="1022" w:type="pct"/>
            <w:tcBorders>
              <w:top w:val="single" w:color="000000" w:sz="4" w:space="0"/>
              <w:left w:val="single" w:color="000000" w:sz="4" w:space="0"/>
              <w:bottom w:val="single" w:color="000000" w:sz="4" w:space="0"/>
              <w:right w:val="single" w:color="000000" w:sz="4" w:space="0"/>
            </w:tcBorders>
            <w:vAlign w:val="center"/>
          </w:tcPr>
          <w:p w14:paraId="64A518FA">
            <w:pPr>
              <w:widowControl/>
              <w:jc w:val="center"/>
              <w:rPr>
                <w:rFonts w:ascii="宋体" w:hAnsi="宋体" w:cs="宋体"/>
                <w:b/>
                <w:bCs/>
                <w:color w:val="auto"/>
                <w:sz w:val="24"/>
                <w:highlight w:val="none"/>
              </w:rPr>
            </w:pPr>
            <w:r>
              <w:rPr>
                <w:rFonts w:hint="eastAsia" w:ascii="宋体" w:hAnsi="宋体" w:cs="宋体"/>
                <w:b/>
                <w:bCs/>
                <w:color w:val="auto"/>
                <w:kern w:val="0"/>
                <w:sz w:val="24"/>
                <w:highlight w:val="none"/>
              </w:rPr>
              <w:t>设备名称</w:t>
            </w:r>
          </w:p>
        </w:tc>
        <w:tc>
          <w:tcPr>
            <w:tcW w:w="2042" w:type="pct"/>
            <w:tcBorders>
              <w:top w:val="single" w:color="000000" w:sz="4" w:space="0"/>
              <w:left w:val="single" w:color="000000" w:sz="4" w:space="0"/>
              <w:bottom w:val="single" w:color="000000" w:sz="4" w:space="0"/>
              <w:right w:val="single" w:color="000000" w:sz="4" w:space="0"/>
            </w:tcBorders>
            <w:vAlign w:val="center"/>
          </w:tcPr>
          <w:p w14:paraId="08B92FFF">
            <w:pPr>
              <w:widowControl/>
              <w:jc w:val="center"/>
              <w:rPr>
                <w:rFonts w:ascii="宋体" w:hAnsi="宋体" w:cs="宋体"/>
                <w:b/>
                <w:bCs/>
                <w:color w:val="auto"/>
                <w:sz w:val="24"/>
                <w:highlight w:val="none"/>
              </w:rPr>
            </w:pPr>
            <w:r>
              <w:rPr>
                <w:rFonts w:hint="eastAsia" w:ascii="宋体" w:hAnsi="宋体" w:cs="宋体"/>
                <w:b/>
                <w:bCs/>
                <w:color w:val="auto"/>
                <w:kern w:val="0"/>
                <w:sz w:val="24"/>
                <w:highlight w:val="none"/>
              </w:rPr>
              <w:t>规格型号</w:t>
            </w:r>
          </w:p>
        </w:tc>
        <w:tc>
          <w:tcPr>
            <w:tcW w:w="655" w:type="pct"/>
            <w:tcBorders>
              <w:top w:val="single" w:color="000000" w:sz="4" w:space="0"/>
              <w:left w:val="single" w:color="000000" w:sz="4" w:space="0"/>
              <w:bottom w:val="single" w:color="000000" w:sz="4" w:space="0"/>
              <w:right w:val="single" w:color="000000" w:sz="4" w:space="0"/>
            </w:tcBorders>
            <w:vAlign w:val="center"/>
          </w:tcPr>
          <w:p w14:paraId="08BBB976">
            <w:pPr>
              <w:widowControl/>
              <w:jc w:val="center"/>
              <w:rPr>
                <w:rFonts w:ascii="宋体" w:hAnsi="宋体" w:cs="宋体"/>
                <w:b/>
                <w:bCs/>
                <w:color w:val="auto"/>
                <w:sz w:val="24"/>
                <w:highlight w:val="none"/>
              </w:rPr>
            </w:pPr>
            <w:r>
              <w:rPr>
                <w:rFonts w:hint="eastAsia" w:ascii="宋体" w:hAnsi="宋体" w:cs="宋体"/>
                <w:b/>
                <w:bCs/>
                <w:color w:val="auto"/>
                <w:kern w:val="0"/>
                <w:sz w:val="24"/>
                <w:highlight w:val="none"/>
              </w:rPr>
              <w:t>单位</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203A1546">
            <w:pPr>
              <w:widowControl/>
              <w:jc w:val="center"/>
              <w:rPr>
                <w:rFonts w:ascii="宋体" w:hAnsi="宋体" w:cs="宋体"/>
                <w:b/>
                <w:bCs/>
                <w:color w:val="auto"/>
                <w:sz w:val="24"/>
                <w:highlight w:val="none"/>
              </w:rPr>
            </w:pPr>
            <w:r>
              <w:rPr>
                <w:rFonts w:hint="eastAsia" w:ascii="宋体" w:hAnsi="宋体" w:cs="宋体"/>
                <w:b/>
                <w:bCs/>
                <w:color w:val="auto"/>
                <w:kern w:val="0"/>
                <w:sz w:val="24"/>
                <w:highlight w:val="none"/>
              </w:rPr>
              <w:t>数量</w:t>
            </w:r>
          </w:p>
        </w:tc>
      </w:tr>
      <w:tr w14:paraId="7657772D">
        <w:tblPrEx>
          <w:tblCellMar>
            <w:top w:w="0" w:type="dxa"/>
            <w:left w:w="108" w:type="dxa"/>
            <w:bottom w:w="0" w:type="dxa"/>
            <w:right w:w="108" w:type="dxa"/>
          </w:tblCellMar>
        </w:tblPrEx>
        <w:trPr>
          <w:trHeight w:val="454"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78502696">
            <w:pPr>
              <w:widowControl/>
              <w:jc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022" w:type="pct"/>
            <w:tcBorders>
              <w:top w:val="single" w:color="000000" w:sz="4" w:space="0"/>
              <w:left w:val="single" w:color="000000" w:sz="4" w:space="0"/>
              <w:bottom w:val="single" w:color="000000" w:sz="4" w:space="0"/>
              <w:right w:val="single" w:color="000000" w:sz="4" w:space="0"/>
            </w:tcBorders>
            <w:vAlign w:val="center"/>
          </w:tcPr>
          <w:p w14:paraId="7E4DB773">
            <w:pPr>
              <w:widowControl/>
              <w:jc w:val="center"/>
              <w:rPr>
                <w:rFonts w:ascii="宋体" w:hAnsi="宋体" w:cs="宋体"/>
                <w:color w:val="auto"/>
                <w:sz w:val="24"/>
                <w:highlight w:val="none"/>
              </w:rPr>
            </w:pPr>
            <w:r>
              <w:rPr>
                <w:rFonts w:hint="eastAsia" w:ascii="宋体" w:hAnsi="宋体" w:cs="宋体"/>
                <w:color w:val="auto"/>
                <w:kern w:val="0"/>
                <w:sz w:val="24"/>
                <w:highlight w:val="none"/>
              </w:rPr>
              <w:t>信创云主机</w:t>
            </w:r>
          </w:p>
        </w:tc>
        <w:tc>
          <w:tcPr>
            <w:tcW w:w="2042" w:type="pct"/>
            <w:tcBorders>
              <w:top w:val="single" w:color="000000" w:sz="4" w:space="0"/>
              <w:left w:val="single" w:color="000000" w:sz="4" w:space="0"/>
              <w:bottom w:val="single" w:color="000000" w:sz="4" w:space="0"/>
              <w:right w:val="single" w:color="000000" w:sz="4" w:space="0"/>
            </w:tcBorders>
            <w:vAlign w:val="center"/>
          </w:tcPr>
          <w:p w14:paraId="3B663BFB">
            <w:pPr>
              <w:widowControl/>
              <w:jc w:val="left"/>
              <w:rPr>
                <w:rFonts w:ascii="宋体" w:hAnsi="宋体" w:cs="宋体"/>
                <w:color w:val="auto"/>
                <w:sz w:val="24"/>
                <w:highlight w:val="none"/>
              </w:rPr>
            </w:pPr>
            <w:r>
              <w:rPr>
                <w:rFonts w:hint="eastAsia" w:ascii="宋体" w:hAnsi="宋体" w:cs="宋体"/>
                <w:color w:val="auto"/>
                <w:kern w:val="0"/>
                <w:sz w:val="24"/>
                <w:highlight w:val="none"/>
              </w:rPr>
              <w:t xml:space="preserve">32核64G </w:t>
            </w:r>
          </w:p>
        </w:tc>
        <w:tc>
          <w:tcPr>
            <w:tcW w:w="655" w:type="pct"/>
            <w:tcBorders>
              <w:top w:val="single" w:color="000000" w:sz="4" w:space="0"/>
              <w:left w:val="single" w:color="000000" w:sz="4" w:space="0"/>
              <w:bottom w:val="single" w:color="000000" w:sz="4" w:space="0"/>
              <w:right w:val="single" w:color="000000" w:sz="4" w:space="0"/>
            </w:tcBorders>
            <w:vAlign w:val="center"/>
          </w:tcPr>
          <w:p w14:paraId="36967F1B">
            <w:pPr>
              <w:widowControl/>
              <w:jc w:val="center"/>
              <w:rPr>
                <w:rFonts w:ascii="宋体" w:hAnsi="宋体" w:cs="宋体"/>
                <w:color w:val="auto"/>
                <w:sz w:val="24"/>
                <w:highlight w:val="none"/>
              </w:rPr>
            </w:pPr>
            <w:r>
              <w:rPr>
                <w:rFonts w:hint="eastAsia" w:ascii="宋体" w:hAnsi="宋体" w:cs="宋体"/>
                <w:color w:val="auto"/>
                <w:kern w:val="0"/>
                <w:sz w:val="24"/>
                <w:highlight w:val="none"/>
              </w:rPr>
              <w:t>台</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F3E8D5E">
            <w:pPr>
              <w:widowControl/>
              <w:jc w:val="center"/>
              <w:rPr>
                <w:rFonts w:ascii="宋体" w:hAnsi="宋体" w:cs="宋体"/>
                <w:color w:val="auto"/>
                <w:sz w:val="24"/>
                <w:highlight w:val="none"/>
              </w:rPr>
            </w:pPr>
            <w:r>
              <w:rPr>
                <w:rFonts w:hint="eastAsia" w:ascii="宋体" w:hAnsi="宋体" w:cs="宋体"/>
                <w:color w:val="auto"/>
                <w:kern w:val="0"/>
                <w:sz w:val="24"/>
                <w:highlight w:val="none"/>
              </w:rPr>
              <w:t>1</w:t>
            </w:r>
          </w:p>
        </w:tc>
      </w:tr>
      <w:tr w14:paraId="09079848">
        <w:tblPrEx>
          <w:tblCellMar>
            <w:top w:w="0" w:type="dxa"/>
            <w:left w:w="108" w:type="dxa"/>
            <w:bottom w:w="0" w:type="dxa"/>
            <w:right w:w="108" w:type="dxa"/>
          </w:tblCellMar>
        </w:tblPrEx>
        <w:trPr>
          <w:trHeight w:val="454"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766178C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022" w:type="pct"/>
            <w:tcBorders>
              <w:top w:val="single" w:color="000000" w:sz="4" w:space="0"/>
              <w:left w:val="single" w:color="000000" w:sz="4" w:space="0"/>
              <w:bottom w:val="single" w:color="000000" w:sz="4" w:space="0"/>
              <w:right w:val="single" w:color="000000" w:sz="4" w:space="0"/>
            </w:tcBorders>
            <w:vAlign w:val="center"/>
          </w:tcPr>
          <w:p w14:paraId="4B34C6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信创云主机</w:t>
            </w:r>
          </w:p>
        </w:tc>
        <w:tc>
          <w:tcPr>
            <w:tcW w:w="2042" w:type="pct"/>
            <w:tcBorders>
              <w:top w:val="single" w:color="000000" w:sz="4" w:space="0"/>
              <w:left w:val="single" w:color="000000" w:sz="4" w:space="0"/>
              <w:bottom w:val="single" w:color="000000" w:sz="4" w:space="0"/>
              <w:right w:val="single" w:color="000000" w:sz="4" w:space="0"/>
            </w:tcBorders>
            <w:vAlign w:val="center"/>
          </w:tcPr>
          <w:p w14:paraId="6E2BA77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8核16G</w:t>
            </w:r>
          </w:p>
        </w:tc>
        <w:tc>
          <w:tcPr>
            <w:tcW w:w="655" w:type="pct"/>
            <w:tcBorders>
              <w:top w:val="single" w:color="000000" w:sz="4" w:space="0"/>
              <w:left w:val="single" w:color="000000" w:sz="4" w:space="0"/>
              <w:bottom w:val="single" w:color="000000" w:sz="4" w:space="0"/>
              <w:right w:val="single" w:color="000000" w:sz="4" w:space="0"/>
            </w:tcBorders>
            <w:vAlign w:val="center"/>
          </w:tcPr>
          <w:p w14:paraId="681A97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51A48F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13BEB22D">
        <w:tblPrEx>
          <w:tblCellMar>
            <w:top w:w="0" w:type="dxa"/>
            <w:left w:w="108" w:type="dxa"/>
            <w:bottom w:w="0" w:type="dxa"/>
            <w:right w:w="108" w:type="dxa"/>
          </w:tblCellMar>
        </w:tblPrEx>
        <w:trPr>
          <w:trHeight w:val="454"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0AF00434">
            <w:pPr>
              <w:widowControl/>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1022" w:type="pct"/>
            <w:tcBorders>
              <w:top w:val="single" w:color="000000" w:sz="4" w:space="0"/>
              <w:left w:val="single" w:color="000000" w:sz="4" w:space="0"/>
              <w:bottom w:val="single" w:color="000000" w:sz="4" w:space="0"/>
              <w:right w:val="single" w:color="000000" w:sz="4" w:space="0"/>
            </w:tcBorders>
            <w:vAlign w:val="center"/>
          </w:tcPr>
          <w:p w14:paraId="11936868">
            <w:pPr>
              <w:widowControl/>
              <w:jc w:val="center"/>
              <w:rPr>
                <w:rFonts w:ascii="宋体" w:hAnsi="宋体" w:cs="宋体"/>
                <w:color w:val="auto"/>
                <w:sz w:val="24"/>
                <w:highlight w:val="none"/>
              </w:rPr>
            </w:pPr>
            <w:r>
              <w:rPr>
                <w:rFonts w:hint="eastAsia" w:ascii="宋体" w:hAnsi="宋体" w:cs="宋体"/>
                <w:color w:val="auto"/>
                <w:kern w:val="0"/>
                <w:sz w:val="24"/>
                <w:highlight w:val="none"/>
              </w:rPr>
              <w:t>信创云主机数据盘</w:t>
            </w:r>
          </w:p>
        </w:tc>
        <w:tc>
          <w:tcPr>
            <w:tcW w:w="2042" w:type="pct"/>
            <w:tcBorders>
              <w:top w:val="single" w:color="000000" w:sz="4" w:space="0"/>
              <w:left w:val="single" w:color="000000" w:sz="4" w:space="0"/>
              <w:bottom w:val="single" w:color="000000" w:sz="4" w:space="0"/>
              <w:right w:val="single" w:color="000000" w:sz="4" w:space="0"/>
            </w:tcBorders>
            <w:vAlign w:val="center"/>
          </w:tcPr>
          <w:p w14:paraId="3C15A922">
            <w:pPr>
              <w:widowControl/>
              <w:jc w:val="left"/>
              <w:rPr>
                <w:rFonts w:ascii="宋体" w:hAnsi="宋体" w:cs="宋体"/>
                <w:color w:val="auto"/>
                <w:sz w:val="24"/>
                <w:highlight w:val="none"/>
              </w:rPr>
            </w:pPr>
            <w:r>
              <w:rPr>
                <w:rFonts w:hint="eastAsia" w:ascii="宋体" w:hAnsi="宋体" w:cs="宋体"/>
                <w:color w:val="auto"/>
                <w:kern w:val="0"/>
                <w:sz w:val="24"/>
                <w:highlight w:val="none"/>
              </w:rPr>
              <w:t>固态盘</w:t>
            </w:r>
          </w:p>
        </w:tc>
        <w:tc>
          <w:tcPr>
            <w:tcW w:w="655" w:type="pct"/>
            <w:tcBorders>
              <w:top w:val="single" w:color="000000" w:sz="4" w:space="0"/>
              <w:left w:val="single" w:color="000000" w:sz="4" w:space="0"/>
              <w:bottom w:val="single" w:color="000000" w:sz="4" w:space="0"/>
              <w:right w:val="single" w:color="000000" w:sz="4" w:space="0"/>
            </w:tcBorders>
            <w:vAlign w:val="center"/>
          </w:tcPr>
          <w:p w14:paraId="19C266B4">
            <w:pPr>
              <w:widowControl/>
              <w:jc w:val="center"/>
              <w:rPr>
                <w:rFonts w:ascii="宋体" w:hAnsi="宋体" w:cs="宋体"/>
                <w:color w:val="auto"/>
                <w:sz w:val="24"/>
                <w:highlight w:val="none"/>
              </w:rPr>
            </w:pPr>
            <w:r>
              <w:rPr>
                <w:rFonts w:hint="eastAsia" w:ascii="宋体" w:hAnsi="宋体" w:cs="宋体"/>
                <w:color w:val="auto"/>
                <w:kern w:val="0"/>
                <w:sz w:val="24"/>
                <w:highlight w:val="none"/>
              </w:rPr>
              <w:t>G</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774260B">
            <w:pPr>
              <w:widowControl/>
              <w:jc w:val="center"/>
              <w:rPr>
                <w:rFonts w:ascii="宋体" w:hAnsi="宋体" w:cs="宋体"/>
                <w:color w:val="auto"/>
                <w:sz w:val="24"/>
                <w:highlight w:val="none"/>
              </w:rPr>
            </w:pPr>
            <w:r>
              <w:rPr>
                <w:rFonts w:hint="eastAsia" w:ascii="宋体" w:hAnsi="宋体" w:cs="宋体"/>
                <w:color w:val="auto"/>
                <w:kern w:val="0"/>
                <w:sz w:val="24"/>
                <w:highlight w:val="none"/>
              </w:rPr>
              <w:t>1200</w:t>
            </w:r>
          </w:p>
        </w:tc>
      </w:tr>
      <w:tr w14:paraId="1C679E30">
        <w:tblPrEx>
          <w:tblCellMar>
            <w:top w:w="0" w:type="dxa"/>
            <w:left w:w="108" w:type="dxa"/>
            <w:bottom w:w="0" w:type="dxa"/>
            <w:right w:w="108" w:type="dxa"/>
          </w:tblCellMar>
        </w:tblPrEx>
        <w:trPr>
          <w:trHeight w:val="454"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5172D68E">
            <w:pPr>
              <w:widowControl/>
              <w:jc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022" w:type="pct"/>
            <w:tcBorders>
              <w:top w:val="single" w:color="000000" w:sz="4" w:space="0"/>
              <w:left w:val="single" w:color="000000" w:sz="4" w:space="0"/>
              <w:bottom w:val="single" w:color="000000" w:sz="4" w:space="0"/>
              <w:right w:val="single" w:color="000000" w:sz="4" w:space="0"/>
            </w:tcBorders>
            <w:vAlign w:val="center"/>
          </w:tcPr>
          <w:p w14:paraId="5D49AD5F">
            <w:pPr>
              <w:widowControl/>
              <w:jc w:val="center"/>
              <w:rPr>
                <w:rFonts w:ascii="宋体" w:hAnsi="宋体" w:cs="宋体"/>
                <w:color w:val="auto"/>
                <w:sz w:val="24"/>
                <w:highlight w:val="none"/>
              </w:rPr>
            </w:pPr>
            <w:r>
              <w:rPr>
                <w:rFonts w:hint="eastAsia" w:ascii="宋体" w:hAnsi="宋体" w:cs="宋体"/>
                <w:color w:val="auto"/>
                <w:kern w:val="0"/>
                <w:sz w:val="24"/>
                <w:highlight w:val="none"/>
              </w:rPr>
              <w:t>信创云主机数据盘</w:t>
            </w:r>
          </w:p>
        </w:tc>
        <w:tc>
          <w:tcPr>
            <w:tcW w:w="2042" w:type="pct"/>
            <w:tcBorders>
              <w:top w:val="single" w:color="000000" w:sz="4" w:space="0"/>
              <w:left w:val="single" w:color="000000" w:sz="4" w:space="0"/>
              <w:bottom w:val="single" w:color="000000" w:sz="4" w:space="0"/>
              <w:right w:val="single" w:color="000000" w:sz="4" w:space="0"/>
            </w:tcBorders>
            <w:vAlign w:val="center"/>
          </w:tcPr>
          <w:p w14:paraId="7147461A">
            <w:pPr>
              <w:widowControl/>
              <w:jc w:val="left"/>
              <w:rPr>
                <w:rFonts w:ascii="宋体" w:hAnsi="宋体" w:cs="宋体"/>
                <w:color w:val="auto"/>
                <w:sz w:val="24"/>
                <w:highlight w:val="none"/>
              </w:rPr>
            </w:pPr>
            <w:r>
              <w:rPr>
                <w:rFonts w:hint="eastAsia" w:ascii="宋体" w:hAnsi="宋体" w:cs="宋体"/>
                <w:color w:val="auto"/>
                <w:sz w:val="24"/>
                <w:highlight w:val="none"/>
              </w:rPr>
              <w:t>SATA盘</w:t>
            </w:r>
          </w:p>
        </w:tc>
        <w:tc>
          <w:tcPr>
            <w:tcW w:w="655" w:type="pct"/>
            <w:tcBorders>
              <w:top w:val="single" w:color="000000" w:sz="4" w:space="0"/>
              <w:left w:val="single" w:color="000000" w:sz="4" w:space="0"/>
              <w:bottom w:val="single" w:color="000000" w:sz="4" w:space="0"/>
              <w:right w:val="single" w:color="000000" w:sz="4" w:space="0"/>
            </w:tcBorders>
            <w:vAlign w:val="center"/>
          </w:tcPr>
          <w:p w14:paraId="67A0A1DA">
            <w:pPr>
              <w:widowControl/>
              <w:jc w:val="center"/>
              <w:rPr>
                <w:rFonts w:ascii="宋体" w:hAnsi="宋体" w:cs="宋体"/>
                <w:color w:val="auto"/>
                <w:sz w:val="24"/>
                <w:highlight w:val="none"/>
              </w:rPr>
            </w:pPr>
            <w:r>
              <w:rPr>
                <w:rFonts w:hint="eastAsia" w:ascii="宋体" w:hAnsi="宋体" w:cs="宋体"/>
                <w:color w:val="auto"/>
                <w:kern w:val="0"/>
                <w:sz w:val="24"/>
                <w:highlight w:val="none"/>
              </w:rPr>
              <w:t>G</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7611C36">
            <w:pPr>
              <w:widowControl/>
              <w:jc w:val="center"/>
              <w:rPr>
                <w:rFonts w:ascii="宋体" w:hAnsi="宋体" w:cs="宋体"/>
                <w:color w:val="auto"/>
                <w:sz w:val="24"/>
                <w:highlight w:val="none"/>
              </w:rPr>
            </w:pPr>
            <w:r>
              <w:rPr>
                <w:rFonts w:hint="eastAsia" w:ascii="宋体" w:hAnsi="宋体" w:cs="宋体"/>
                <w:color w:val="auto"/>
                <w:sz w:val="24"/>
                <w:highlight w:val="none"/>
              </w:rPr>
              <w:t>1920</w:t>
            </w:r>
          </w:p>
        </w:tc>
      </w:tr>
      <w:tr w14:paraId="3D035B30">
        <w:tblPrEx>
          <w:tblCellMar>
            <w:top w:w="0" w:type="dxa"/>
            <w:left w:w="108" w:type="dxa"/>
            <w:bottom w:w="0" w:type="dxa"/>
            <w:right w:w="108" w:type="dxa"/>
          </w:tblCellMar>
        </w:tblPrEx>
        <w:trPr>
          <w:trHeight w:val="454"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16EA7929">
            <w:pPr>
              <w:widowControl/>
              <w:jc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1022" w:type="pct"/>
            <w:tcBorders>
              <w:top w:val="single" w:color="000000" w:sz="4" w:space="0"/>
              <w:left w:val="single" w:color="000000" w:sz="4" w:space="0"/>
              <w:bottom w:val="single" w:color="000000" w:sz="4" w:space="0"/>
              <w:right w:val="single" w:color="000000" w:sz="4" w:space="0"/>
            </w:tcBorders>
            <w:vAlign w:val="center"/>
          </w:tcPr>
          <w:p w14:paraId="2D5D0A2D">
            <w:pPr>
              <w:widowControl/>
              <w:jc w:val="center"/>
              <w:rPr>
                <w:rFonts w:ascii="宋体" w:hAnsi="宋体" w:cs="宋体"/>
                <w:color w:val="auto"/>
                <w:sz w:val="24"/>
                <w:highlight w:val="none"/>
              </w:rPr>
            </w:pPr>
            <w:r>
              <w:rPr>
                <w:rFonts w:hint="eastAsia" w:ascii="宋体" w:hAnsi="宋体" w:cs="宋体"/>
                <w:color w:val="auto"/>
                <w:kern w:val="0"/>
                <w:sz w:val="24"/>
                <w:highlight w:val="none"/>
              </w:rPr>
              <w:t>信创数据库</w:t>
            </w:r>
          </w:p>
        </w:tc>
        <w:tc>
          <w:tcPr>
            <w:tcW w:w="2042" w:type="pct"/>
            <w:tcBorders>
              <w:top w:val="single" w:color="000000" w:sz="4" w:space="0"/>
              <w:left w:val="single" w:color="000000" w:sz="4" w:space="0"/>
              <w:bottom w:val="single" w:color="000000" w:sz="4" w:space="0"/>
              <w:right w:val="single" w:color="000000" w:sz="4" w:space="0"/>
            </w:tcBorders>
            <w:vAlign w:val="center"/>
          </w:tcPr>
          <w:p w14:paraId="3FB61BE1">
            <w:pPr>
              <w:widowControl/>
              <w:jc w:val="left"/>
              <w:rPr>
                <w:rFonts w:ascii="宋体" w:hAnsi="宋体" w:cs="宋体"/>
                <w:color w:val="auto"/>
                <w:sz w:val="24"/>
                <w:highlight w:val="none"/>
              </w:rPr>
            </w:pPr>
            <w:r>
              <w:rPr>
                <w:rFonts w:hint="eastAsia" w:ascii="宋体" w:hAnsi="宋体" w:cs="宋体"/>
                <w:color w:val="auto"/>
                <w:kern w:val="0"/>
                <w:sz w:val="24"/>
                <w:highlight w:val="none"/>
              </w:rPr>
              <w:t>高性能信创云数据库</w:t>
            </w:r>
          </w:p>
        </w:tc>
        <w:tc>
          <w:tcPr>
            <w:tcW w:w="655" w:type="pct"/>
            <w:tcBorders>
              <w:top w:val="single" w:color="000000" w:sz="4" w:space="0"/>
              <w:left w:val="single" w:color="000000" w:sz="4" w:space="0"/>
              <w:bottom w:val="single" w:color="000000" w:sz="4" w:space="0"/>
              <w:right w:val="single" w:color="000000" w:sz="4" w:space="0"/>
            </w:tcBorders>
            <w:vAlign w:val="center"/>
          </w:tcPr>
          <w:p w14:paraId="727CB460">
            <w:pPr>
              <w:widowControl/>
              <w:jc w:val="center"/>
              <w:rPr>
                <w:rFonts w:ascii="宋体" w:hAnsi="宋体" w:cs="宋体"/>
                <w:color w:val="auto"/>
                <w:sz w:val="24"/>
                <w:highlight w:val="none"/>
              </w:rPr>
            </w:pPr>
            <w:r>
              <w:rPr>
                <w:rFonts w:hint="eastAsia" w:ascii="宋体" w:hAnsi="宋体" w:cs="宋体"/>
                <w:color w:val="auto"/>
                <w:kern w:val="0"/>
                <w:sz w:val="24"/>
                <w:highlight w:val="none"/>
              </w:rPr>
              <w:t>G</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212EA03">
            <w:pPr>
              <w:widowControl/>
              <w:jc w:val="center"/>
              <w:rPr>
                <w:rFonts w:ascii="宋体" w:hAnsi="宋体" w:cs="宋体"/>
                <w:color w:val="auto"/>
                <w:sz w:val="24"/>
                <w:highlight w:val="none"/>
              </w:rPr>
            </w:pPr>
            <w:r>
              <w:rPr>
                <w:rFonts w:hint="eastAsia" w:ascii="宋体" w:hAnsi="宋体" w:cs="宋体"/>
                <w:color w:val="auto"/>
                <w:kern w:val="0"/>
                <w:sz w:val="24"/>
                <w:highlight w:val="none"/>
              </w:rPr>
              <w:t>60</w:t>
            </w:r>
          </w:p>
        </w:tc>
      </w:tr>
      <w:tr w14:paraId="24881C0E">
        <w:tblPrEx>
          <w:tblCellMar>
            <w:top w:w="0" w:type="dxa"/>
            <w:left w:w="108" w:type="dxa"/>
            <w:bottom w:w="0" w:type="dxa"/>
            <w:right w:w="108" w:type="dxa"/>
          </w:tblCellMar>
        </w:tblPrEx>
        <w:trPr>
          <w:trHeight w:val="454"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65B1971F">
            <w:pPr>
              <w:widowControl/>
              <w:jc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1022" w:type="pct"/>
            <w:tcBorders>
              <w:top w:val="single" w:color="000000" w:sz="4" w:space="0"/>
              <w:left w:val="single" w:color="000000" w:sz="4" w:space="0"/>
              <w:bottom w:val="single" w:color="000000" w:sz="4" w:space="0"/>
              <w:right w:val="single" w:color="000000" w:sz="4" w:space="0"/>
            </w:tcBorders>
            <w:vAlign w:val="center"/>
          </w:tcPr>
          <w:p w14:paraId="2E3D246F">
            <w:pPr>
              <w:widowControl/>
              <w:jc w:val="center"/>
              <w:rPr>
                <w:rFonts w:ascii="宋体" w:hAnsi="宋体" w:cs="宋体"/>
                <w:color w:val="auto"/>
                <w:sz w:val="24"/>
                <w:highlight w:val="none"/>
              </w:rPr>
            </w:pPr>
            <w:r>
              <w:rPr>
                <w:rFonts w:hint="eastAsia" w:ascii="宋体" w:hAnsi="宋体" w:cs="宋体"/>
                <w:color w:val="auto"/>
                <w:kern w:val="0"/>
                <w:sz w:val="24"/>
                <w:highlight w:val="none"/>
              </w:rPr>
              <w:t>信创服务器操作系统</w:t>
            </w:r>
          </w:p>
        </w:tc>
        <w:tc>
          <w:tcPr>
            <w:tcW w:w="2042" w:type="pct"/>
            <w:tcBorders>
              <w:top w:val="single" w:color="000000" w:sz="4" w:space="0"/>
              <w:left w:val="single" w:color="000000" w:sz="4" w:space="0"/>
              <w:bottom w:val="single" w:color="000000" w:sz="4" w:space="0"/>
              <w:right w:val="single" w:color="000000" w:sz="4" w:space="0"/>
            </w:tcBorders>
            <w:vAlign w:val="center"/>
          </w:tcPr>
          <w:p w14:paraId="5F5BB8E1">
            <w:pPr>
              <w:widowControl/>
              <w:jc w:val="left"/>
              <w:rPr>
                <w:rFonts w:ascii="宋体" w:hAnsi="宋体" w:cs="宋体"/>
                <w:color w:val="auto"/>
                <w:sz w:val="24"/>
                <w:highlight w:val="none"/>
              </w:rPr>
            </w:pPr>
            <w:r>
              <w:rPr>
                <w:rFonts w:hint="eastAsia" w:ascii="宋体" w:hAnsi="宋体" w:cs="宋体"/>
                <w:color w:val="auto"/>
                <w:kern w:val="0"/>
                <w:sz w:val="24"/>
                <w:highlight w:val="none"/>
              </w:rPr>
              <w:t>提供稳定、成熟的操作系统基础计算和服务器环境，良好的支持大数据、虚拟化等技术，可支持基于龙芯、兆芯、海光、申威、飞腾、华为鲲鹏芯片等信创服务器产品。</w:t>
            </w:r>
          </w:p>
        </w:tc>
        <w:tc>
          <w:tcPr>
            <w:tcW w:w="655" w:type="pct"/>
            <w:tcBorders>
              <w:top w:val="single" w:color="000000" w:sz="4" w:space="0"/>
              <w:left w:val="single" w:color="000000" w:sz="4" w:space="0"/>
              <w:bottom w:val="single" w:color="000000" w:sz="4" w:space="0"/>
              <w:right w:val="single" w:color="000000" w:sz="4" w:space="0"/>
            </w:tcBorders>
            <w:vAlign w:val="center"/>
          </w:tcPr>
          <w:p w14:paraId="30BCF8B8">
            <w:pPr>
              <w:widowControl/>
              <w:jc w:val="center"/>
              <w:rPr>
                <w:rFonts w:ascii="宋体" w:hAnsi="宋体" w:cs="宋体"/>
                <w:color w:val="auto"/>
                <w:sz w:val="24"/>
                <w:highlight w:val="none"/>
              </w:rPr>
            </w:pPr>
            <w:r>
              <w:rPr>
                <w:rFonts w:hint="eastAsia" w:ascii="宋体" w:hAnsi="宋体" w:cs="宋体"/>
                <w:color w:val="auto"/>
                <w:kern w:val="0"/>
                <w:sz w:val="24"/>
                <w:highlight w:val="none"/>
              </w:rPr>
              <w:t>套</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FE05BEA">
            <w:pPr>
              <w:widowControl/>
              <w:jc w:val="center"/>
              <w:rPr>
                <w:rFonts w:ascii="宋体" w:hAnsi="宋体" w:cs="宋体"/>
                <w:color w:val="auto"/>
                <w:sz w:val="24"/>
                <w:highlight w:val="none"/>
              </w:rPr>
            </w:pPr>
            <w:r>
              <w:rPr>
                <w:rFonts w:hint="eastAsia" w:ascii="宋体" w:hAnsi="宋体" w:cs="宋体"/>
                <w:color w:val="auto"/>
                <w:kern w:val="0"/>
                <w:sz w:val="24"/>
                <w:highlight w:val="none"/>
              </w:rPr>
              <w:t>3</w:t>
            </w:r>
          </w:p>
        </w:tc>
      </w:tr>
      <w:tr w14:paraId="5F8F8D01">
        <w:tblPrEx>
          <w:tblCellMar>
            <w:top w:w="0" w:type="dxa"/>
            <w:left w:w="108" w:type="dxa"/>
            <w:bottom w:w="0" w:type="dxa"/>
            <w:right w:w="108" w:type="dxa"/>
          </w:tblCellMar>
        </w:tblPrEx>
        <w:trPr>
          <w:trHeight w:val="454"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390F28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022" w:type="pct"/>
            <w:tcBorders>
              <w:top w:val="single" w:color="000000" w:sz="4" w:space="0"/>
              <w:left w:val="single" w:color="000000" w:sz="4" w:space="0"/>
              <w:bottom w:val="single" w:color="000000" w:sz="4" w:space="0"/>
              <w:right w:val="single" w:color="000000" w:sz="4" w:space="0"/>
            </w:tcBorders>
            <w:vAlign w:val="center"/>
          </w:tcPr>
          <w:p w14:paraId="37FA19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信创云存储</w:t>
            </w:r>
          </w:p>
        </w:tc>
        <w:tc>
          <w:tcPr>
            <w:tcW w:w="2042" w:type="pct"/>
            <w:tcBorders>
              <w:top w:val="single" w:color="000000" w:sz="4" w:space="0"/>
              <w:left w:val="single" w:color="000000" w:sz="4" w:space="0"/>
              <w:bottom w:val="single" w:color="000000" w:sz="4" w:space="0"/>
              <w:right w:val="single" w:color="000000" w:sz="4" w:space="0"/>
            </w:tcBorders>
            <w:vAlign w:val="center"/>
          </w:tcPr>
          <w:p w14:paraId="41EAC0A9">
            <w:pPr>
              <w:widowControl/>
              <w:rPr>
                <w:rFonts w:ascii="宋体" w:hAnsi="宋体" w:cs="宋体"/>
                <w:color w:val="auto"/>
                <w:kern w:val="0"/>
                <w:sz w:val="24"/>
                <w:highlight w:val="none"/>
              </w:rPr>
            </w:pPr>
            <w:r>
              <w:rPr>
                <w:rFonts w:hint="eastAsia" w:ascii="宋体" w:hAnsi="宋体" w:cs="宋体"/>
                <w:color w:val="auto"/>
                <w:kern w:val="0"/>
                <w:sz w:val="24"/>
                <w:highlight w:val="none"/>
              </w:rPr>
              <w:t>优先考虑与台州市公安局无人机管控平台云存储统一部署</w:t>
            </w:r>
          </w:p>
        </w:tc>
        <w:tc>
          <w:tcPr>
            <w:tcW w:w="655" w:type="pct"/>
            <w:tcBorders>
              <w:top w:val="single" w:color="000000" w:sz="4" w:space="0"/>
              <w:left w:val="single" w:color="000000" w:sz="4" w:space="0"/>
              <w:bottom w:val="single" w:color="000000" w:sz="4" w:space="0"/>
              <w:right w:val="single" w:color="000000" w:sz="4" w:space="0"/>
            </w:tcBorders>
            <w:vAlign w:val="center"/>
          </w:tcPr>
          <w:p w14:paraId="7ABC441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T</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EE9A0C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r>
      <w:tr w14:paraId="2CDECA53">
        <w:tblPrEx>
          <w:tblCellMar>
            <w:top w:w="0" w:type="dxa"/>
            <w:left w:w="108" w:type="dxa"/>
            <w:bottom w:w="0" w:type="dxa"/>
            <w:right w:w="108" w:type="dxa"/>
          </w:tblCellMar>
        </w:tblPrEx>
        <w:trPr>
          <w:trHeight w:val="454"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02F8FC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022" w:type="pct"/>
            <w:tcBorders>
              <w:top w:val="single" w:color="000000" w:sz="4" w:space="0"/>
              <w:left w:val="single" w:color="000000" w:sz="4" w:space="0"/>
              <w:bottom w:val="single" w:color="000000" w:sz="4" w:space="0"/>
              <w:right w:val="single" w:color="000000" w:sz="4" w:space="0"/>
            </w:tcBorders>
            <w:vAlign w:val="center"/>
          </w:tcPr>
          <w:p w14:paraId="7E3B9CA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带宽资源</w:t>
            </w:r>
          </w:p>
        </w:tc>
        <w:tc>
          <w:tcPr>
            <w:tcW w:w="2042" w:type="pct"/>
            <w:tcBorders>
              <w:top w:val="single" w:color="000000" w:sz="4" w:space="0"/>
              <w:left w:val="single" w:color="000000" w:sz="4" w:space="0"/>
              <w:bottom w:val="single" w:color="000000" w:sz="4" w:space="0"/>
              <w:right w:val="single" w:color="000000" w:sz="4" w:space="0"/>
            </w:tcBorders>
            <w:vAlign w:val="center"/>
          </w:tcPr>
          <w:p w14:paraId="491C83C3">
            <w:pPr>
              <w:widowControl/>
              <w:rPr>
                <w:rFonts w:ascii="宋体" w:hAnsi="宋体" w:cs="宋体"/>
                <w:color w:val="auto"/>
                <w:kern w:val="0"/>
                <w:sz w:val="24"/>
                <w:highlight w:val="none"/>
              </w:rPr>
            </w:pPr>
            <w:r>
              <w:rPr>
                <w:rFonts w:hint="eastAsia" w:ascii="宋体" w:hAnsi="宋体" w:cs="宋体"/>
                <w:color w:val="auto"/>
                <w:kern w:val="0"/>
                <w:sz w:val="24"/>
                <w:highlight w:val="none"/>
              </w:rPr>
              <w:t>100M含IP</w:t>
            </w:r>
          </w:p>
        </w:tc>
        <w:tc>
          <w:tcPr>
            <w:tcW w:w="655" w:type="pct"/>
            <w:tcBorders>
              <w:top w:val="single" w:color="000000" w:sz="4" w:space="0"/>
              <w:left w:val="single" w:color="000000" w:sz="4" w:space="0"/>
              <w:bottom w:val="single" w:color="000000" w:sz="4" w:space="0"/>
              <w:right w:val="single" w:color="000000" w:sz="4" w:space="0"/>
            </w:tcBorders>
            <w:vAlign w:val="center"/>
          </w:tcPr>
          <w:p w14:paraId="530B7A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34D927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bl>
    <w:p w14:paraId="0686299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本项目公安视频内网视频存储所需的网闸边界资源和视频存储资源由台州市公安局无人机管控平台统一考虑。</w:t>
      </w:r>
    </w:p>
    <w:p w14:paraId="2A21CFE1">
      <w:pPr>
        <w:keepNext w:val="0"/>
        <w:keepLines w:val="0"/>
        <w:pageBreakBefore w:val="0"/>
        <w:widowControl w:val="0"/>
        <w:numPr>
          <w:ilvl w:val="2"/>
          <w:numId w:val="9"/>
        </w:numPr>
        <w:kinsoku/>
        <w:wordWrap/>
        <w:overflowPunct/>
        <w:topLinePunct w:val="0"/>
        <w:autoSpaceDE/>
        <w:autoSpaceDN/>
        <w:bidi w:val="0"/>
        <w:adjustRightInd w:val="0"/>
        <w:snapToGrid/>
        <w:spacing w:line="360" w:lineRule="auto"/>
        <w:ind w:firstLine="602" w:firstLineChars="200"/>
        <w:textAlignment w:val="auto"/>
        <w:outlineLvl w:val="2"/>
        <w:rPr>
          <w:rFonts w:ascii="宋体" w:hAnsi="宋体" w:cs="宋体"/>
          <w:b/>
          <w:bCs/>
          <w:color w:val="auto"/>
          <w:sz w:val="30"/>
          <w:szCs w:val="30"/>
          <w:highlight w:val="none"/>
        </w:rPr>
      </w:pPr>
      <w:bookmarkStart w:id="28" w:name="_Toc29260"/>
      <w:r>
        <w:rPr>
          <w:rFonts w:hint="eastAsia" w:ascii="宋体" w:hAnsi="宋体" w:cs="宋体"/>
          <w:b/>
          <w:bCs/>
          <w:color w:val="auto"/>
          <w:sz w:val="30"/>
          <w:szCs w:val="30"/>
          <w:highlight w:val="none"/>
        </w:rPr>
        <w:t>低空通讯网络</w:t>
      </w:r>
    </w:p>
    <w:bookmarkEnd w:id="28"/>
    <w:p w14:paraId="6343DB03">
      <w:pPr>
        <w:keepNext w:val="0"/>
        <w:keepLines w:val="0"/>
        <w:pageBreakBefore w:val="0"/>
        <w:widowControl w:val="0"/>
        <w:numPr>
          <w:ilvl w:val="3"/>
          <w:numId w:val="9"/>
        </w:numPr>
        <w:kinsoku/>
        <w:wordWrap/>
        <w:overflowPunct/>
        <w:topLinePunct w:val="0"/>
        <w:autoSpaceDE/>
        <w:autoSpaceDN/>
        <w:bidi w:val="0"/>
        <w:adjustRightInd w:val="0"/>
        <w:snapToGrid/>
        <w:spacing w:line="360" w:lineRule="auto"/>
        <w:ind w:firstLine="602" w:firstLineChars="200"/>
        <w:textAlignment w:val="auto"/>
        <w:outlineLvl w:val="3"/>
        <w:rPr>
          <w:rFonts w:ascii="宋体" w:hAnsi="宋体" w:cs="宋体"/>
          <w:b/>
          <w:bCs/>
          <w:color w:val="auto"/>
          <w:sz w:val="30"/>
          <w:szCs w:val="30"/>
          <w:highlight w:val="none"/>
        </w:rPr>
      </w:pPr>
      <w:bookmarkStart w:id="29" w:name="_Toc3379"/>
      <w:r>
        <w:rPr>
          <w:rFonts w:hint="eastAsia" w:ascii="宋体" w:hAnsi="宋体" w:cs="宋体"/>
          <w:b/>
          <w:bCs/>
          <w:color w:val="auto"/>
          <w:sz w:val="30"/>
          <w:szCs w:val="30"/>
          <w:highlight w:val="none"/>
        </w:rPr>
        <w:t>无线自组网</w:t>
      </w:r>
      <w:bookmarkEnd w:id="29"/>
    </w:p>
    <w:p w14:paraId="141EE87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（1）无线自组网设备</w:t>
      </w:r>
    </w:p>
    <w:p w14:paraId="57FDCA6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由采购人</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w:t>
      </w:r>
    </w:p>
    <w:p w14:paraId="1041471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中标人应在投标文件中作出无推诿承诺</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提供书面承诺函并加盖公章</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台州市海防无人机管控系统项目(</w:t>
      </w:r>
      <w:r>
        <w:rPr>
          <w:rFonts w:hint="eastAsia" w:ascii="宋体" w:hAnsi="宋体" w:eastAsia="宋体" w:cs="宋体"/>
          <w:color w:val="auto"/>
          <w:sz w:val="24"/>
          <w:highlight w:val="none"/>
          <w:lang w:eastAsia="zh-CN"/>
        </w:rPr>
        <w:t>无线自组网设备</w:t>
      </w:r>
      <w:r>
        <w:rPr>
          <w:rFonts w:hint="eastAsia" w:ascii="宋体" w:hAnsi="宋体" w:eastAsia="宋体" w:cs="宋体"/>
          <w:color w:val="auto"/>
          <w:sz w:val="24"/>
          <w:highlight w:val="none"/>
        </w:rPr>
        <w:t>）中标承建单位共同完成无线通信专网搭建工作，满足采购人实际实战需求。</w:t>
      </w:r>
    </w:p>
    <w:p w14:paraId="235194B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bookmarkStart w:id="30" w:name="_Toc6277"/>
      <w:r>
        <w:rPr>
          <w:rFonts w:hint="eastAsia" w:ascii="宋体" w:hAnsi="宋体" w:cs="宋体"/>
          <w:color w:val="auto"/>
          <w:sz w:val="24"/>
          <w:highlight w:val="none"/>
        </w:rPr>
        <w:t>（2）建设点位</w:t>
      </w:r>
    </w:p>
    <w:p w14:paraId="226D5A1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综合雷达点位与借挂运营商点位，本次项目网络建设建议点位，包含13个雷达站（复用），8个运营商基站（3个陆地站、5个岛屿站，需投标人租用3年），3个已有大楼楼顶立杆，2个自建塔杆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要求均</w:t>
      </w:r>
      <w:r>
        <w:rPr>
          <w:rFonts w:hint="eastAsia" w:ascii="宋体" w:hAnsi="宋体" w:cs="宋体"/>
          <w:color w:val="auto"/>
          <w:sz w:val="24"/>
          <w:highlight w:val="none"/>
          <w:lang w:eastAsia="zh-CN"/>
        </w:rPr>
        <w:t>具备多类型设备接入条件和能力。</w:t>
      </w:r>
    </w:p>
    <w:p w14:paraId="38BE4E3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相关</w:t>
      </w:r>
      <w:r>
        <w:rPr>
          <w:rFonts w:hint="eastAsia" w:ascii="宋体" w:hAnsi="宋体" w:cs="宋体"/>
          <w:color w:val="auto"/>
          <w:sz w:val="24"/>
          <w:highlight w:val="none"/>
          <w:lang w:val="en-US" w:eastAsia="zh-CN"/>
        </w:rPr>
        <w:t>建设</w:t>
      </w:r>
      <w:r>
        <w:rPr>
          <w:rFonts w:hint="eastAsia" w:ascii="宋体" w:hAnsi="宋体" w:cs="宋体"/>
          <w:color w:val="auto"/>
          <w:sz w:val="24"/>
          <w:highlight w:val="none"/>
        </w:rPr>
        <w:t>点位信息如下：</w:t>
      </w:r>
    </w:p>
    <w:tbl>
      <w:tblPr>
        <w:tblStyle w:val="36"/>
        <w:tblW w:w="4830" w:type="pct"/>
        <w:jc w:val="center"/>
        <w:tblLayout w:type="fixed"/>
        <w:tblCellMar>
          <w:top w:w="0" w:type="dxa"/>
          <w:left w:w="108" w:type="dxa"/>
          <w:bottom w:w="0" w:type="dxa"/>
          <w:right w:w="108" w:type="dxa"/>
        </w:tblCellMar>
      </w:tblPr>
      <w:tblGrid>
        <w:gridCol w:w="805"/>
        <w:gridCol w:w="1029"/>
        <w:gridCol w:w="1740"/>
        <w:gridCol w:w="2447"/>
        <w:gridCol w:w="1334"/>
        <w:gridCol w:w="878"/>
      </w:tblGrid>
      <w:tr w14:paraId="59407DEB">
        <w:tblPrEx>
          <w:tblCellMar>
            <w:top w:w="0" w:type="dxa"/>
            <w:left w:w="108" w:type="dxa"/>
            <w:bottom w:w="0" w:type="dxa"/>
            <w:right w:w="108" w:type="dxa"/>
          </w:tblCellMar>
        </w:tblPrEx>
        <w:trPr>
          <w:trHeight w:val="454" w:hRule="atLeast"/>
          <w:tblHeader/>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67C">
            <w:pPr>
              <w:widowControl/>
              <w:spacing w:line="30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序号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68DE6">
            <w:pPr>
              <w:widowControl/>
              <w:spacing w:line="30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区县</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B6F9">
            <w:pPr>
              <w:widowControl/>
              <w:spacing w:line="30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类型</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0E34">
            <w:pPr>
              <w:widowControl/>
              <w:spacing w:line="30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物理站名</w:t>
            </w:r>
          </w:p>
        </w:tc>
        <w:tc>
          <w:tcPr>
            <w:tcW w:w="810" w:type="pct"/>
            <w:tcBorders>
              <w:top w:val="single" w:color="000000" w:sz="4" w:space="0"/>
              <w:left w:val="single" w:color="000000" w:sz="4" w:space="0"/>
              <w:bottom w:val="single" w:color="000000" w:sz="4" w:space="0"/>
              <w:right w:val="single" w:color="000000" w:sz="4" w:space="0"/>
            </w:tcBorders>
            <w:vAlign w:val="center"/>
          </w:tcPr>
          <w:p w14:paraId="449CF546">
            <w:pPr>
              <w:widowControl/>
              <w:spacing w:line="30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自组网</w:t>
            </w:r>
          </w:p>
          <w:p w14:paraId="30CE6C82">
            <w:pPr>
              <w:widowControl/>
              <w:spacing w:line="30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功率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E843">
            <w:pPr>
              <w:widowControl/>
              <w:spacing w:line="30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陆地/岛屿</w:t>
            </w:r>
          </w:p>
        </w:tc>
      </w:tr>
      <w:tr w14:paraId="040D4096">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A19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33B6">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椒江</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30C0">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运营商基站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07DB">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上大陈大半天</w:t>
            </w:r>
          </w:p>
        </w:tc>
        <w:tc>
          <w:tcPr>
            <w:tcW w:w="810" w:type="pct"/>
            <w:tcBorders>
              <w:top w:val="single" w:color="000000" w:sz="4" w:space="0"/>
              <w:left w:val="single" w:color="000000" w:sz="4" w:space="0"/>
              <w:bottom w:val="single" w:color="000000" w:sz="4" w:space="0"/>
              <w:right w:val="single" w:color="000000" w:sz="4" w:space="0"/>
            </w:tcBorders>
            <w:vAlign w:val="center"/>
          </w:tcPr>
          <w:p w14:paraId="66CB8708">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469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136028DF">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ECB3">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7075">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椒江</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5F1B">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CF9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上大陈雷达站</w:t>
            </w:r>
          </w:p>
        </w:tc>
        <w:tc>
          <w:tcPr>
            <w:tcW w:w="810" w:type="pct"/>
            <w:tcBorders>
              <w:top w:val="single" w:color="000000" w:sz="4" w:space="0"/>
              <w:left w:val="single" w:color="000000" w:sz="4" w:space="0"/>
              <w:bottom w:val="single" w:color="000000" w:sz="4" w:space="0"/>
              <w:right w:val="single" w:color="000000" w:sz="4" w:space="0"/>
            </w:tcBorders>
            <w:vAlign w:val="center"/>
          </w:tcPr>
          <w:p w14:paraId="5B3415F8">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373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21F469C7">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4858">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4035">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椒江</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5CEF">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DF1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下大陈雷达站</w:t>
            </w:r>
          </w:p>
        </w:tc>
        <w:tc>
          <w:tcPr>
            <w:tcW w:w="810" w:type="pct"/>
            <w:tcBorders>
              <w:top w:val="single" w:color="000000" w:sz="4" w:space="0"/>
              <w:left w:val="single" w:color="000000" w:sz="4" w:space="0"/>
              <w:bottom w:val="single" w:color="000000" w:sz="4" w:space="0"/>
              <w:right w:val="single" w:color="000000" w:sz="4" w:space="0"/>
            </w:tcBorders>
            <w:vAlign w:val="center"/>
          </w:tcPr>
          <w:p w14:paraId="7218FBA6">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EDFE">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岛屿</w:t>
            </w:r>
          </w:p>
        </w:tc>
      </w:tr>
      <w:tr w14:paraId="01641705">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0D18">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7B97">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椒江</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3AF0">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运营商基站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899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一江山岛</w:t>
            </w:r>
          </w:p>
        </w:tc>
        <w:tc>
          <w:tcPr>
            <w:tcW w:w="810" w:type="pct"/>
            <w:tcBorders>
              <w:top w:val="single" w:color="000000" w:sz="4" w:space="0"/>
              <w:left w:val="single" w:color="000000" w:sz="4" w:space="0"/>
              <w:bottom w:val="single" w:color="000000" w:sz="4" w:space="0"/>
              <w:right w:val="single" w:color="000000" w:sz="4" w:space="0"/>
            </w:tcBorders>
            <w:vAlign w:val="center"/>
          </w:tcPr>
          <w:p w14:paraId="734DD29F">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A86A">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4798BB04">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90F5">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B32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椒江</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7B9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运营商基站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B88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椒江区动物园</w:t>
            </w:r>
          </w:p>
        </w:tc>
        <w:tc>
          <w:tcPr>
            <w:tcW w:w="810" w:type="pct"/>
            <w:tcBorders>
              <w:top w:val="single" w:color="000000" w:sz="4" w:space="0"/>
              <w:left w:val="single" w:color="000000" w:sz="4" w:space="0"/>
              <w:bottom w:val="single" w:color="000000" w:sz="4" w:space="0"/>
              <w:right w:val="single" w:color="000000" w:sz="4" w:space="0"/>
            </w:tcBorders>
            <w:vAlign w:val="center"/>
          </w:tcPr>
          <w:p w14:paraId="009F3057">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2×10W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5D0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7D27397D">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3351">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6AA3">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临海</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F16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运营商基站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ADFC">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东矶岛</w:t>
            </w:r>
          </w:p>
        </w:tc>
        <w:tc>
          <w:tcPr>
            <w:tcW w:w="810" w:type="pct"/>
            <w:tcBorders>
              <w:top w:val="single" w:color="000000" w:sz="4" w:space="0"/>
              <w:left w:val="single" w:color="000000" w:sz="4" w:space="0"/>
              <w:bottom w:val="single" w:color="000000" w:sz="4" w:space="0"/>
              <w:right w:val="single" w:color="000000" w:sz="4" w:space="0"/>
            </w:tcBorders>
            <w:vAlign w:val="center"/>
          </w:tcPr>
          <w:p w14:paraId="5763F344">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B33C">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7F4DD7A3">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559A">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DFDC">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临海</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6C35">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654F">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大竹岛(HF)</w:t>
            </w:r>
          </w:p>
        </w:tc>
        <w:tc>
          <w:tcPr>
            <w:tcW w:w="810" w:type="pct"/>
            <w:tcBorders>
              <w:top w:val="single" w:color="000000" w:sz="4" w:space="0"/>
              <w:left w:val="single" w:color="000000" w:sz="4" w:space="0"/>
              <w:bottom w:val="single" w:color="000000" w:sz="4" w:space="0"/>
              <w:right w:val="single" w:color="000000" w:sz="4" w:space="0"/>
            </w:tcBorders>
            <w:vAlign w:val="center"/>
          </w:tcPr>
          <w:p w14:paraId="793812A8">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A71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74BCAB66">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E6FB">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5A8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临海</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FB60">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运营商基站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856D">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雀儿岛</w:t>
            </w:r>
          </w:p>
        </w:tc>
        <w:tc>
          <w:tcPr>
            <w:tcW w:w="810" w:type="pct"/>
            <w:tcBorders>
              <w:top w:val="single" w:color="000000" w:sz="4" w:space="0"/>
              <w:left w:val="single" w:color="000000" w:sz="4" w:space="0"/>
              <w:bottom w:val="single" w:color="000000" w:sz="4" w:space="0"/>
              <w:right w:val="single" w:color="000000" w:sz="4" w:space="0"/>
            </w:tcBorders>
            <w:vAlign w:val="center"/>
          </w:tcPr>
          <w:p w14:paraId="4AE5A04F">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AE6D">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38DFAB3F">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21AB">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0A32">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新区</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5410">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楼顶立杆</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0460">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月湖派出所</w:t>
            </w:r>
          </w:p>
        </w:tc>
        <w:tc>
          <w:tcPr>
            <w:tcW w:w="810" w:type="pct"/>
            <w:tcBorders>
              <w:top w:val="single" w:color="000000" w:sz="4" w:space="0"/>
              <w:left w:val="single" w:color="000000" w:sz="4" w:space="0"/>
              <w:bottom w:val="single" w:color="000000" w:sz="4" w:space="0"/>
              <w:right w:val="single" w:color="000000" w:sz="4" w:space="0"/>
            </w:tcBorders>
            <w:vAlign w:val="center"/>
          </w:tcPr>
          <w:p w14:paraId="03A7D889">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4328">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陆地</w:t>
            </w:r>
          </w:p>
        </w:tc>
      </w:tr>
      <w:tr w14:paraId="1348A58D">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73DF">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056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路桥</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EBBC">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3F98">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三山头岛(HF)</w:t>
            </w:r>
          </w:p>
        </w:tc>
        <w:tc>
          <w:tcPr>
            <w:tcW w:w="810" w:type="pct"/>
            <w:tcBorders>
              <w:top w:val="single" w:color="000000" w:sz="4" w:space="0"/>
              <w:left w:val="single" w:color="000000" w:sz="4" w:space="0"/>
              <w:bottom w:val="single" w:color="000000" w:sz="4" w:space="0"/>
              <w:right w:val="single" w:color="000000" w:sz="4" w:space="0"/>
            </w:tcBorders>
            <w:vAlign w:val="center"/>
          </w:tcPr>
          <w:p w14:paraId="78C7523D">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AE18">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4FBCD919">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A15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38C5">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三门</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BE96">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楼顶立杆</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3F88">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三门县海安委大楼</w:t>
            </w:r>
          </w:p>
        </w:tc>
        <w:tc>
          <w:tcPr>
            <w:tcW w:w="810" w:type="pct"/>
            <w:tcBorders>
              <w:top w:val="single" w:color="000000" w:sz="4" w:space="0"/>
              <w:left w:val="single" w:color="000000" w:sz="4" w:space="0"/>
              <w:bottom w:val="single" w:color="000000" w:sz="4" w:space="0"/>
              <w:right w:val="single" w:color="000000" w:sz="4" w:space="0"/>
            </w:tcBorders>
            <w:vAlign w:val="center"/>
          </w:tcPr>
          <w:p w14:paraId="57D09ABA">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9F80">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35532349">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52C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285D">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三门</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98E2">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运营商基站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BA3A">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浦坝港</w:t>
            </w:r>
          </w:p>
        </w:tc>
        <w:tc>
          <w:tcPr>
            <w:tcW w:w="810" w:type="pct"/>
            <w:tcBorders>
              <w:top w:val="single" w:color="000000" w:sz="4" w:space="0"/>
              <w:left w:val="single" w:color="000000" w:sz="4" w:space="0"/>
              <w:bottom w:val="single" w:color="000000" w:sz="4" w:space="0"/>
              <w:right w:val="single" w:color="000000" w:sz="4" w:space="0"/>
            </w:tcBorders>
            <w:vAlign w:val="center"/>
          </w:tcPr>
          <w:p w14:paraId="4193E16B">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2B48">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30B9B87D">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17BA">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662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三门</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83DC">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自建</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90AD">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隐龙山山顶</w:t>
            </w:r>
          </w:p>
        </w:tc>
        <w:tc>
          <w:tcPr>
            <w:tcW w:w="810" w:type="pct"/>
            <w:tcBorders>
              <w:top w:val="single" w:color="000000" w:sz="4" w:space="0"/>
              <w:left w:val="single" w:color="000000" w:sz="4" w:space="0"/>
              <w:bottom w:val="single" w:color="000000" w:sz="4" w:space="0"/>
              <w:right w:val="single" w:color="000000" w:sz="4" w:space="0"/>
            </w:tcBorders>
            <w:vAlign w:val="center"/>
          </w:tcPr>
          <w:p w14:paraId="535BD7EC">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2×10W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D851">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0ADD3696">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F8B2">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3E7F">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三门</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A35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B89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猫头山(HF)</w:t>
            </w:r>
          </w:p>
        </w:tc>
        <w:tc>
          <w:tcPr>
            <w:tcW w:w="810" w:type="pct"/>
            <w:tcBorders>
              <w:top w:val="single" w:color="000000" w:sz="4" w:space="0"/>
              <w:left w:val="single" w:color="000000" w:sz="4" w:space="0"/>
              <w:bottom w:val="single" w:color="000000" w:sz="4" w:space="0"/>
              <w:right w:val="single" w:color="000000" w:sz="4" w:space="0"/>
            </w:tcBorders>
            <w:vAlign w:val="center"/>
          </w:tcPr>
          <w:p w14:paraId="64A68820">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B652">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4D7C8136">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9C06">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2AF2">
            <w:pPr>
              <w:widowControl/>
              <w:spacing w:line="300" w:lineRule="auto"/>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三门</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0F5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自建</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2E4A">
            <w:pPr>
              <w:widowControl/>
              <w:spacing w:line="300" w:lineRule="auto"/>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五子岛</w:t>
            </w:r>
          </w:p>
        </w:tc>
        <w:tc>
          <w:tcPr>
            <w:tcW w:w="810" w:type="pct"/>
            <w:tcBorders>
              <w:top w:val="single" w:color="000000" w:sz="4" w:space="0"/>
              <w:left w:val="single" w:color="000000" w:sz="4" w:space="0"/>
              <w:bottom w:val="single" w:color="000000" w:sz="4" w:space="0"/>
              <w:right w:val="single" w:color="000000" w:sz="4" w:space="0"/>
            </w:tcBorders>
            <w:vAlign w:val="center"/>
          </w:tcPr>
          <w:p w14:paraId="6C583B7A">
            <w:pPr>
              <w:widowControl/>
              <w:spacing w:line="300" w:lineRule="auto"/>
              <w:jc w:val="center"/>
              <w:textAlignment w:val="bottom"/>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95A8">
            <w:pPr>
              <w:widowControl/>
              <w:spacing w:line="300" w:lineRule="auto"/>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岛屿</w:t>
            </w:r>
          </w:p>
        </w:tc>
      </w:tr>
      <w:tr w14:paraId="5E1D5677">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12F1">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F821">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三门</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3C46">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DF5F">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健跳入海口(HF)</w:t>
            </w:r>
          </w:p>
        </w:tc>
        <w:tc>
          <w:tcPr>
            <w:tcW w:w="810" w:type="pct"/>
            <w:tcBorders>
              <w:top w:val="single" w:color="000000" w:sz="4" w:space="0"/>
              <w:left w:val="single" w:color="000000" w:sz="4" w:space="0"/>
              <w:bottom w:val="single" w:color="000000" w:sz="4" w:space="0"/>
              <w:right w:val="single" w:color="000000" w:sz="4" w:space="0"/>
            </w:tcBorders>
            <w:vAlign w:val="center"/>
          </w:tcPr>
          <w:p w14:paraId="6BD0069C">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52E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05B812AF">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0266">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828F">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温岭</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44B6">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运营商基站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ED50">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石塘钓浜隔海南</w:t>
            </w:r>
          </w:p>
        </w:tc>
        <w:tc>
          <w:tcPr>
            <w:tcW w:w="810" w:type="pct"/>
            <w:tcBorders>
              <w:top w:val="single" w:color="000000" w:sz="4" w:space="0"/>
              <w:left w:val="single" w:color="000000" w:sz="4" w:space="0"/>
              <w:bottom w:val="single" w:color="000000" w:sz="4" w:space="0"/>
              <w:right w:val="single" w:color="000000" w:sz="4" w:space="0"/>
            </w:tcBorders>
            <w:vAlign w:val="center"/>
          </w:tcPr>
          <w:p w14:paraId="7AAD3986">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DF82">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4D49F732">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4947">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C8C5">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温岭</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744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EC3F">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金阿顶(HF)</w:t>
            </w:r>
          </w:p>
        </w:tc>
        <w:tc>
          <w:tcPr>
            <w:tcW w:w="810" w:type="pct"/>
            <w:tcBorders>
              <w:top w:val="single" w:color="000000" w:sz="4" w:space="0"/>
              <w:left w:val="single" w:color="000000" w:sz="4" w:space="0"/>
              <w:bottom w:val="single" w:color="000000" w:sz="4" w:space="0"/>
              <w:right w:val="single" w:color="000000" w:sz="4" w:space="0"/>
            </w:tcBorders>
            <w:vAlign w:val="center"/>
          </w:tcPr>
          <w:p w14:paraId="67B7A5C7">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6416">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7BD60619">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6F08">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481D">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温岭</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C1DD">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楼顶立杆</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B2A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石塘派出所</w:t>
            </w:r>
          </w:p>
        </w:tc>
        <w:tc>
          <w:tcPr>
            <w:tcW w:w="810" w:type="pct"/>
            <w:tcBorders>
              <w:top w:val="single" w:color="000000" w:sz="4" w:space="0"/>
              <w:left w:val="single" w:color="000000" w:sz="4" w:space="0"/>
              <w:bottom w:val="single" w:color="000000" w:sz="4" w:space="0"/>
              <w:right w:val="single" w:color="000000" w:sz="4" w:space="0"/>
            </w:tcBorders>
            <w:vAlign w:val="center"/>
          </w:tcPr>
          <w:p w14:paraId="21264CF3">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2×10W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69EA">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333E683F">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C70C">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E34D">
            <w:pPr>
              <w:widowControl/>
              <w:spacing w:line="300" w:lineRule="auto"/>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温岭</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88D1">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44F9">
            <w:pPr>
              <w:widowControl/>
              <w:spacing w:line="300" w:lineRule="auto"/>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铜门岛(HF)</w:t>
            </w:r>
          </w:p>
        </w:tc>
        <w:tc>
          <w:tcPr>
            <w:tcW w:w="810" w:type="pct"/>
            <w:tcBorders>
              <w:top w:val="single" w:color="000000" w:sz="4" w:space="0"/>
              <w:left w:val="single" w:color="000000" w:sz="4" w:space="0"/>
              <w:bottom w:val="single" w:color="000000" w:sz="4" w:space="0"/>
              <w:right w:val="single" w:color="000000" w:sz="4" w:space="0"/>
            </w:tcBorders>
            <w:vAlign w:val="center"/>
          </w:tcPr>
          <w:p w14:paraId="0F358EC1">
            <w:pPr>
              <w:widowControl/>
              <w:spacing w:line="300" w:lineRule="auto"/>
              <w:jc w:val="center"/>
              <w:textAlignment w:val="bottom"/>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D5AC">
            <w:pPr>
              <w:widowControl/>
              <w:spacing w:line="300" w:lineRule="auto"/>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岛屿</w:t>
            </w:r>
          </w:p>
        </w:tc>
      </w:tr>
      <w:tr w14:paraId="10A63FBD">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8039">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1240">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玉环</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4EB1">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9AE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鸡山岛(HF)</w:t>
            </w:r>
          </w:p>
        </w:tc>
        <w:tc>
          <w:tcPr>
            <w:tcW w:w="810" w:type="pct"/>
            <w:tcBorders>
              <w:top w:val="single" w:color="000000" w:sz="4" w:space="0"/>
              <w:left w:val="single" w:color="000000" w:sz="4" w:space="0"/>
              <w:bottom w:val="single" w:color="000000" w:sz="4" w:space="0"/>
              <w:right w:val="single" w:color="000000" w:sz="4" w:space="0"/>
            </w:tcBorders>
            <w:vAlign w:val="center"/>
          </w:tcPr>
          <w:p w14:paraId="1812F8F8">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EB0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596CCA84">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7F45">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8707">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玉环</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F9D6">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5F95">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大园头</w:t>
            </w:r>
          </w:p>
        </w:tc>
        <w:tc>
          <w:tcPr>
            <w:tcW w:w="810" w:type="pct"/>
            <w:tcBorders>
              <w:top w:val="single" w:color="000000" w:sz="4" w:space="0"/>
              <w:left w:val="single" w:color="000000" w:sz="4" w:space="0"/>
              <w:bottom w:val="single" w:color="000000" w:sz="4" w:space="0"/>
              <w:right w:val="single" w:color="000000" w:sz="4" w:space="0"/>
            </w:tcBorders>
            <w:vAlign w:val="center"/>
          </w:tcPr>
          <w:p w14:paraId="2F28E82E">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2×10W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05EA">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陆地</w:t>
            </w:r>
          </w:p>
        </w:tc>
      </w:tr>
      <w:tr w14:paraId="4449BCBC">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DABB">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3A8F">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玉环</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666A">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A35D">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披山岛</w:t>
            </w:r>
          </w:p>
        </w:tc>
        <w:tc>
          <w:tcPr>
            <w:tcW w:w="810" w:type="pct"/>
            <w:tcBorders>
              <w:top w:val="single" w:color="000000" w:sz="4" w:space="0"/>
              <w:left w:val="single" w:color="000000" w:sz="4" w:space="0"/>
              <w:bottom w:val="single" w:color="000000" w:sz="4" w:space="0"/>
              <w:right w:val="single" w:color="000000" w:sz="4" w:space="0"/>
            </w:tcBorders>
            <w:vAlign w:val="center"/>
          </w:tcPr>
          <w:p w14:paraId="54F9541C">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2×20W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940B">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r w14:paraId="1BEF800F">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9E5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D2B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玉环</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8670">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C31D">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滚装码头(HF)</w:t>
            </w:r>
          </w:p>
        </w:tc>
        <w:tc>
          <w:tcPr>
            <w:tcW w:w="810" w:type="pct"/>
            <w:tcBorders>
              <w:top w:val="single" w:color="000000" w:sz="4" w:space="0"/>
              <w:left w:val="single" w:color="000000" w:sz="4" w:space="0"/>
              <w:bottom w:val="single" w:color="000000" w:sz="4" w:space="0"/>
              <w:right w:val="single" w:color="000000" w:sz="4" w:space="0"/>
            </w:tcBorders>
            <w:vAlign w:val="center"/>
          </w:tcPr>
          <w:p w14:paraId="266511F1">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2×10W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9E4F">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2D00254B">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89F6">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6FE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玉环</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E46B">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运营商基站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9225">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陈屿龙湾</w:t>
            </w:r>
          </w:p>
        </w:tc>
        <w:tc>
          <w:tcPr>
            <w:tcW w:w="810" w:type="pct"/>
            <w:tcBorders>
              <w:top w:val="single" w:color="000000" w:sz="4" w:space="0"/>
              <w:left w:val="single" w:color="000000" w:sz="4" w:space="0"/>
              <w:bottom w:val="single" w:color="000000" w:sz="4" w:space="0"/>
              <w:right w:val="single" w:color="000000" w:sz="4" w:space="0"/>
            </w:tcBorders>
            <w:vAlign w:val="center"/>
          </w:tcPr>
          <w:p w14:paraId="340600F4">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2×10W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6C3C">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陆地</w:t>
            </w:r>
          </w:p>
        </w:tc>
      </w:tr>
      <w:tr w14:paraId="767AB4E0">
        <w:tblPrEx>
          <w:tblCellMar>
            <w:top w:w="0" w:type="dxa"/>
            <w:left w:w="108" w:type="dxa"/>
            <w:bottom w:w="0" w:type="dxa"/>
            <w:right w:w="108" w:type="dxa"/>
          </w:tblCellMar>
        </w:tblPrEx>
        <w:trPr>
          <w:trHeight w:val="454"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C848">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F594">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玉环</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68AD">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雷达站</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D361">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外黄门岛(HF)</w:t>
            </w:r>
          </w:p>
        </w:tc>
        <w:tc>
          <w:tcPr>
            <w:tcW w:w="810" w:type="pct"/>
            <w:tcBorders>
              <w:top w:val="single" w:color="000000" w:sz="4" w:space="0"/>
              <w:left w:val="single" w:color="000000" w:sz="4" w:space="0"/>
              <w:bottom w:val="single" w:color="000000" w:sz="4" w:space="0"/>
              <w:right w:val="single" w:color="000000" w:sz="4" w:space="0"/>
            </w:tcBorders>
            <w:vAlign w:val="center"/>
          </w:tcPr>
          <w:p w14:paraId="737EBAE3">
            <w:pPr>
              <w:widowControl/>
              <w:spacing w:line="300" w:lineRule="auto"/>
              <w:jc w:val="center"/>
              <w:textAlignment w:val="center"/>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2×10W</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9F39">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岛屿</w:t>
            </w:r>
          </w:p>
        </w:tc>
      </w:tr>
    </w:tbl>
    <w:p w14:paraId="750C325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（3）防雷接地要求</w:t>
      </w:r>
    </w:p>
    <w:p w14:paraId="4149DFC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本项目8个运营商基站依托于现有基础设施，新增设备需接入基站现有的防雷接地系统中以实现联合接地，同时为天馈线系统配置同轴避雷器，前端站点机房防雷接地条件由运营商提供。</w:t>
      </w:r>
    </w:p>
    <w:p w14:paraId="1D05E69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其他站点需要单独考虑防雷接地系统建设，要求塔顶安装避雷针，避雷针采用不小于φ25㎜的圆钢</w:t>
      </w:r>
      <w:bookmarkStart w:id="31" w:name="_Toc167635730"/>
      <w:bookmarkStart w:id="32" w:name="_Toc167184715"/>
      <w:bookmarkStart w:id="33" w:name="_Toc167635690"/>
      <w:r>
        <w:rPr>
          <w:rFonts w:hint="eastAsia" w:ascii="宋体" w:hAnsi="宋体" w:cs="宋体"/>
          <w:color w:val="auto"/>
          <w:sz w:val="24"/>
          <w:highlight w:val="none"/>
        </w:rPr>
        <w:t>，所有在室外安装的电子设备均应位于避雷针的保护角范围之内，并良好接地，要求接地电阻小于4Ω。相应的网络电缆、电源电缆、通讯电缆均应安装防雷器进行雷电防护。</w:t>
      </w:r>
      <w:bookmarkEnd w:id="31"/>
      <w:bookmarkEnd w:id="32"/>
      <w:bookmarkEnd w:id="33"/>
    </w:p>
    <w:p w14:paraId="12E7CCC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所有防雷设施需根据GB 50343-2004《建筑物电子信息系统防雷技术规范》，按建筑物电子信息系统的重要性和使用性质，确定前端基站的雷电防护等级为B级，防雷接地系统应符合有关规范要求，包括GB50689-2011《通信局（站）防雷与接地工程设计规范》等。</w:t>
      </w:r>
    </w:p>
    <w:p w14:paraId="0764BD34">
      <w:pPr>
        <w:keepNext w:val="0"/>
        <w:keepLines w:val="0"/>
        <w:pageBreakBefore w:val="0"/>
        <w:widowControl w:val="0"/>
        <w:numPr>
          <w:ilvl w:val="3"/>
          <w:numId w:val="9"/>
        </w:numPr>
        <w:kinsoku/>
        <w:wordWrap/>
        <w:overflowPunct/>
        <w:topLinePunct w:val="0"/>
        <w:autoSpaceDE/>
        <w:autoSpaceDN/>
        <w:bidi w:val="0"/>
        <w:adjustRightInd w:val="0"/>
        <w:snapToGrid/>
        <w:spacing w:line="360" w:lineRule="auto"/>
        <w:ind w:firstLine="602" w:firstLineChars="200"/>
        <w:textAlignment w:val="auto"/>
        <w:outlineLvl w:val="3"/>
        <w:rPr>
          <w:rFonts w:ascii="宋体" w:hAnsi="宋体" w:cs="宋体"/>
          <w:b/>
          <w:bCs/>
          <w:color w:val="auto"/>
          <w:sz w:val="30"/>
          <w:szCs w:val="30"/>
          <w:highlight w:val="none"/>
        </w:rPr>
      </w:pPr>
      <w:r>
        <w:rPr>
          <w:rFonts w:hint="eastAsia" w:ascii="宋体" w:hAnsi="宋体" w:cs="宋体"/>
          <w:b/>
          <w:bCs/>
          <w:color w:val="auto"/>
          <w:sz w:val="30"/>
          <w:szCs w:val="30"/>
          <w:highlight w:val="none"/>
        </w:rPr>
        <w:t>无线弱网增强</w:t>
      </w:r>
      <w:bookmarkEnd w:id="30"/>
      <w:r>
        <w:rPr>
          <w:rFonts w:hint="eastAsia" w:ascii="宋体" w:hAnsi="宋体" w:cs="宋体"/>
          <w:b/>
          <w:bCs/>
          <w:color w:val="auto"/>
          <w:sz w:val="30"/>
          <w:szCs w:val="30"/>
          <w:highlight w:val="none"/>
        </w:rPr>
        <w:t>系统</w:t>
      </w:r>
    </w:p>
    <w:p w14:paraId="38DFE90A">
      <w:pPr>
        <w:pStyle w:val="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b/>
          <w:bCs/>
          <w:color w:val="auto"/>
          <w:kern w:val="2"/>
          <w:sz w:val="24"/>
          <w:highlight w:val="none"/>
          <w:shd w:val="clear" w:color="auto" w:fill="auto"/>
        </w:rPr>
      </w:pPr>
      <w:r>
        <w:rPr>
          <w:rFonts w:hint="eastAsia" w:ascii="宋体" w:hAnsi="宋体" w:cs="宋体"/>
          <w:color w:val="auto"/>
          <w:kern w:val="2"/>
          <w:sz w:val="24"/>
          <w:highlight w:val="none"/>
          <w:shd w:val="clear" w:color="auto" w:fill="auto"/>
        </w:rPr>
        <w:t>（1）★具备弱网环境下的网络传输能力</w:t>
      </w:r>
      <w:r>
        <w:rPr>
          <w:rFonts w:hint="eastAsia" w:ascii="宋体" w:hAnsi="宋体" w:cs="宋体"/>
          <w:b/>
          <w:bCs/>
          <w:color w:val="auto"/>
          <w:kern w:val="2"/>
          <w:sz w:val="24"/>
          <w:highlight w:val="none"/>
          <w:shd w:val="clear" w:color="auto" w:fill="auto"/>
        </w:rPr>
        <w:t>（在投标文件中提供弱网环境下的技术规格以及证明材料）</w:t>
      </w:r>
    </w:p>
    <w:p w14:paraId="732F7681">
      <w:pPr>
        <w:pStyle w:val="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2"/>
          <w:sz w:val="24"/>
          <w:highlight w:val="none"/>
          <w:shd w:val="clear" w:color="auto" w:fill="auto"/>
        </w:rPr>
      </w:pPr>
      <w:r>
        <w:rPr>
          <w:rFonts w:hint="eastAsia" w:ascii="宋体" w:hAnsi="宋体" w:cs="宋体"/>
          <w:color w:val="auto"/>
          <w:kern w:val="2"/>
          <w:sz w:val="24"/>
          <w:highlight w:val="none"/>
          <w:shd w:val="clear" w:color="auto" w:fill="auto"/>
        </w:rPr>
        <w:t>在海防无人机管控系统嵌入弱网增强模块系统，确保无人机在弱网环境下，仍能顺利将无人机吊舱拍摄的视频、图片顺利、流畅回传。包含在以下极端弱网环境中的传输指标：</w:t>
      </w:r>
    </w:p>
    <w:p w14:paraId="112D645D">
      <w:pPr>
        <w:pStyle w:val="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2"/>
          <w:sz w:val="24"/>
          <w:highlight w:val="none"/>
          <w:shd w:val="clear" w:color="auto" w:fill="auto"/>
        </w:rPr>
      </w:pPr>
      <w:r>
        <w:rPr>
          <w:rFonts w:hint="eastAsia" w:ascii="宋体" w:hAnsi="宋体" w:cs="宋体"/>
          <w:color w:val="auto"/>
          <w:kern w:val="2"/>
          <w:sz w:val="24"/>
          <w:highlight w:val="none"/>
          <w:shd w:val="clear" w:color="auto" w:fill="auto"/>
        </w:rPr>
        <w:t>1）在80%丢包的极限弱网环境下，能够支持720p及以上视频实时流畅传输，视频延时2.5s内，600ms内卡顿率不高于10%。</w:t>
      </w:r>
    </w:p>
    <w:p w14:paraId="3C77D02A">
      <w:pPr>
        <w:pStyle w:val="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2"/>
          <w:sz w:val="24"/>
          <w:highlight w:val="none"/>
          <w:shd w:val="clear" w:color="auto" w:fill="auto"/>
        </w:rPr>
      </w:pPr>
      <w:r>
        <w:rPr>
          <w:rFonts w:hint="eastAsia" w:ascii="宋体" w:hAnsi="宋体" w:cs="宋体"/>
          <w:color w:val="auto"/>
          <w:kern w:val="2"/>
          <w:sz w:val="24"/>
          <w:highlight w:val="none"/>
          <w:shd w:val="clear" w:color="auto" w:fill="auto"/>
        </w:rPr>
        <w:t>2）在400kb带宽的极限弱网环境下，能够支持720p及以上视频实时流畅传输，视频延时2.5s内；600ms内卡顿率不高于5%。</w:t>
      </w:r>
    </w:p>
    <w:p w14:paraId="3EAF1C0D">
      <w:pPr>
        <w:pStyle w:val="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2"/>
          <w:sz w:val="24"/>
          <w:highlight w:val="none"/>
          <w:shd w:val="clear" w:color="auto" w:fill="auto"/>
        </w:rPr>
      </w:pPr>
      <w:r>
        <w:rPr>
          <w:rFonts w:hint="eastAsia" w:ascii="宋体" w:hAnsi="宋体" w:cs="宋体"/>
          <w:color w:val="auto"/>
          <w:kern w:val="2"/>
          <w:sz w:val="24"/>
          <w:highlight w:val="none"/>
          <w:shd w:val="clear" w:color="auto" w:fill="auto"/>
        </w:rPr>
        <w:t>3）在500ms网络延时的极限弱网环境下，能够支持720p及以上视频实时流畅传输，视频延时2.5s内，600ms内卡顿率不高于5%。</w:t>
      </w:r>
    </w:p>
    <w:p w14:paraId="7D6DEB71">
      <w:pPr>
        <w:pStyle w:val="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2"/>
          <w:sz w:val="24"/>
          <w:highlight w:val="none"/>
          <w:shd w:val="clear" w:color="auto" w:fill="auto"/>
        </w:rPr>
      </w:pPr>
      <w:r>
        <w:rPr>
          <w:rFonts w:hint="eastAsia" w:ascii="宋体" w:hAnsi="宋体" w:cs="宋体"/>
          <w:color w:val="auto"/>
          <w:kern w:val="2"/>
          <w:sz w:val="24"/>
          <w:highlight w:val="none"/>
          <w:shd w:val="clear" w:color="auto" w:fill="auto"/>
        </w:rPr>
        <w:t>（</w:t>
      </w:r>
      <w:r>
        <w:rPr>
          <w:rFonts w:ascii="宋体" w:hAnsi="宋体" w:cs="宋体"/>
          <w:color w:val="auto"/>
          <w:kern w:val="2"/>
          <w:sz w:val="24"/>
          <w:highlight w:val="none"/>
          <w:shd w:val="clear" w:color="auto" w:fill="auto"/>
        </w:rPr>
        <w:t>2</w:t>
      </w:r>
      <w:r>
        <w:rPr>
          <w:rFonts w:hint="eastAsia" w:ascii="宋体" w:hAnsi="宋体" w:cs="宋体"/>
          <w:color w:val="auto"/>
          <w:kern w:val="2"/>
          <w:sz w:val="24"/>
          <w:highlight w:val="none"/>
          <w:shd w:val="clear" w:color="auto" w:fill="auto"/>
        </w:rPr>
        <w:t>）★为确保无人机系统与弱网增强系统顺利对接，弱网增强系统分为机载端设备和接收端一体机设备，在飞机端安装弱网对抗机载设备，指挥中心部署弱网对抗接收端一体机。视频和无人机飞控数据可接入弱网增强系统，并预留设备参数调用、飞行控制、吊舱控制等定制化的开发接口。</w:t>
      </w:r>
    </w:p>
    <w:p w14:paraId="37C4D68F">
      <w:pPr>
        <w:pStyle w:val="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2"/>
          <w:sz w:val="24"/>
          <w:highlight w:val="none"/>
          <w:shd w:val="clear" w:color="auto" w:fill="auto"/>
        </w:rPr>
      </w:pPr>
      <w:r>
        <w:rPr>
          <w:rFonts w:hint="eastAsia" w:ascii="宋体" w:hAnsi="宋体" w:cs="宋体"/>
          <w:color w:val="auto"/>
          <w:kern w:val="2"/>
          <w:sz w:val="24"/>
          <w:highlight w:val="none"/>
          <w:shd w:val="clear" w:color="auto" w:fill="auto"/>
        </w:rPr>
        <w:t>（</w:t>
      </w:r>
      <w:r>
        <w:rPr>
          <w:rFonts w:ascii="宋体" w:hAnsi="宋体" w:cs="宋体"/>
          <w:color w:val="auto"/>
          <w:kern w:val="2"/>
          <w:sz w:val="24"/>
          <w:highlight w:val="none"/>
          <w:shd w:val="clear" w:color="auto" w:fill="auto"/>
        </w:rPr>
        <w:t>3</w:t>
      </w:r>
      <w:r>
        <w:rPr>
          <w:rFonts w:hint="eastAsia" w:ascii="宋体" w:hAnsi="宋体" w:cs="宋体"/>
          <w:color w:val="auto"/>
          <w:kern w:val="2"/>
          <w:sz w:val="24"/>
          <w:highlight w:val="none"/>
          <w:shd w:val="clear" w:color="auto" w:fill="auto"/>
        </w:rPr>
        <w:t>）需配置如下设备并满足指标：</w:t>
      </w:r>
    </w:p>
    <w:tbl>
      <w:tblPr>
        <w:tblStyle w:val="36"/>
        <w:tblW w:w="5007" w:type="pct"/>
        <w:tblInd w:w="0" w:type="dxa"/>
        <w:tblLayout w:type="autofit"/>
        <w:tblCellMar>
          <w:top w:w="0" w:type="dxa"/>
          <w:left w:w="108" w:type="dxa"/>
          <w:bottom w:w="0" w:type="dxa"/>
          <w:right w:w="108" w:type="dxa"/>
        </w:tblCellMar>
      </w:tblPr>
      <w:tblGrid>
        <w:gridCol w:w="2619"/>
        <w:gridCol w:w="5915"/>
      </w:tblGrid>
      <w:tr w14:paraId="5170966C">
        <w:trPr>
          <w:trHeight w:val="372"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DD6B">
            <w:pPr>
              <w:widowControl/>
              <w:spacing w:line="30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40F2">
            <w:pPr>
              <w:widowControl/>
              <w:spacing w:line="30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指标要求</w:t>
            </w:r>
          </w:p>
        </w:tc>
      </w:tr>
      <w:tr w14:paraId="440B4987">
        <w:tblPrEx>
          <w:tblCellMar>
            <w:top w:w="0" w:type="dxa"/>
            <w:left w:w="108" w:type="dxa"/>
            <w:bottom w:w="0" w:type="dxa"/>
            <w:right w:w="108" w:type="dxa"/>
          </w:tblCellMar>
        </w:tblPrEx>
        <w:trPr>
          <w:trHeight w:val="372"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C89E">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弱网对抗机载设备</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5003">
            <w:pPr>
              <w:widowControl/>
              <w:numPr>
                <w:ilvl w:val="0"/>
                <w:numId w:val="24"/>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支持USB3.0 、TypeC等多种接口</w:t>
            </w:r>
          </w:p>
          <w:p w14:paraId="6F6522FD">
            <w:pPr>
              <w:widowControl/>
              <w:numPr>
                <w:ilvl w:val="0"/>
                <w:numId w:val="24"/>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支持usb host 和usb device 模式</w:t>
            </w:r>
          </w:p>
          <w:p w14:paraId="3800710B">
            <w:pPr>
              <w:widowControl/>
              <w:numPr>
                <w:ilvl w:val="0"/>
                <w:numId w:val="24"/>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自适应：半双工/全双工自适应</w:t>
            </w:r>
          </w:p>
          <w:p w14:paraId="2F8A90B0">
            <w:pPr>
              <w:widowControl/>
              <w:numPr>
                <w:ilvl w:val="0"/>
                <w:numId w:val="24"/>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支持扩展IO</w:t>
            </w:r>
          </w:p>
          <w:p w14:paraId="2D2B4E25">
            <w:pPr>
              <w:widowControl/>
              <w:numPr>
                <w:ilvl w:val="0"/>
                <w:numId w:val="24"/>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电源要求：+12V~36V</w:t>
            </w:r>
          </w:p>
          <w:p w14:paraId="7C23B1F6">
            <w:pPr>
              <w:widowControl/>
              <w:numPr>
                <w:ilvl w:val="0"/>
                <w:numId w:val="24"/>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sz w:val="24"/>
                <w:highlight w:val="none"/>
              </w:rPr>
              <w:t>工作温度：-40~ — +65°C</w:t>
            </w:r>
          </w:p>
          <w:p w14:paraId="366C7401">
            <w:pPr>
              <w:widowControl/>
              <w:numPr>
                <w:ilvl w:val="0"/>
                <w:numId w:val="24"/>
              </w:numPr>
              <w:spacing w:line="300" w:lineRule="auto"/>
              <w:ind w:left="440" w:hanging="440"/>
              <w:jc w:val="left"/>
              <w:textAlignment w:val="center"/>
              <w:rPr>
                <w:rFonts w:ascii="宋体" w:hAnsi="宋体" w:cs="宋体"/>
                <w:color w:val="auto"/>
                <w:sz w:val="24"/>
                <w:highlight w:val="none"/>
              </w:rPr>
            </w:pPr>
            <w:r>
              <w:rPr>
                <w:rFonts w:hint="eastAsia" w:ascii="宋体" w:hAnsi="宋体" w:cs="宋体"/>
                <w:color w:val="auto"/>
                <w:kern w:val="0"/>
                <w:sz w:val="24"/>
                <w:highlight w:val="none"/>
              </w:rPr>
              <w:t>具备带宽预估模型、动态编码调整、全链路实时网络质量监测功能</w:t>
            </w:r>
          </w:p>
          <w:p w14:paraId="338FA869">
            <w:pPr>
              <w:widowControl/>
              <w:numPr>
                <w:ilvl w:val="0"/>
                <w:numId w:val="24"/>
              </w:numPr>
              <w:spacing w:line="300" w:lineRule="auto"/>
              <w:ind w:left="440" w:hanging="440"/>
              <w:jc w:val="left"/>
              <w:textAlignment w:val="center"/>
              <w:rPr>
                <w:rFonts w:ascii="宋体" w:hAnsi="宋体" w:cs="宋体"/>
                <w:color w:val="auto"/>
                <w:sz w:val="24"/>
                <w:highlight w:val="none"/>
              </w:rPr>
            </w:pPr>
            <w:r>
              <w:rPr>
                <w:rFonts w:hint="eastAsia" w:ascii="宋体" w:hAnsi="宋体" w:cs="宋体"/>
                <w:color w:val="auto"/>
                <w:sz w:val="24"/>
                <w:highlight w:val="none"/>
              </w:rPr>
              <w:t>设备重量≤250克</w:t>
            </w:r>
          </w:p>
        </w:tc>
      </w:tr>
      <w:tr w14:paraId="4CA01B3A">
        <w:tblPrEx>
          <w:tblCellMar>
            <w:top w:w="0" w:type="dxa"/>
            <w:left w:w="108" w:type="dxa"/>
            <w:bottom w:w="0" w:type="dxa"/>
            <w:right w:w="108" w:type="dxa"/>
          </w:tblCellMar>
        </w:tblPrEx>
        <w:trPr>
          <w:trHeight w:val="797"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C542">
            <w:pPr>
              <w:widowControl/>
              <w:spacing w:line="30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弱网对抗接收端一体机</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059B">
            <w:pPr>
              <w:widowControl/>
              <w:numPr>
                <w:ilvl w:val="0"/>
                <w:numId w:val="25"/>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CPU ：≥32C</w:t>
            </w:r>
          </w:p>
          <w:p w14:paraId="31026E4E">
            <w:pPr>
              <w:widowControl/>
              <w:numPr>
                <w:ilvl w:val="0"/>
                <w:numId w:val="25"/>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内存：≥64G</w:t>
            </w:r>
          </w:p>
          <w:p w14:paraId="6A473E20">
            <w:pPr>
              <w:widowControl/>
              <w:numPr>
                <w:ilvl w:val="0"/>
                <w:numId w:val="25"/>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固态硬盘：≥2×480G SSD系统盘（RAID1）</w:t>
            </w:r>
          </w:p>
          <w:p w14:paraId="786ED1AB">
            <w:pPr>
              <w:widowControl/>
              <w:numPr>
                <w:ilvl w:val="0"/>
                <w:numId w:val="25"/>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机械盘硬盘：≥2×600G SAS数据盘（RAID1）</w:t>
            </w:r>
          </w:p>
          <w:p w14:paraId="43A07A6E">
            <w:pPr>
              <w:widowControl/>
              <w:numPr>
                <w:ilvl w:val="0"/>
                <w:numId w:val="25"/>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阵列卡：独立阵列</w:t>
            </w:r>
          </w:p>
          <w:p w14:paraId="247A9E5D">
            <w:pPr>
              <w:widowControl/>
              <w:numPr>
                <w:ilvl w:val="0"/>
                <w:numId w:val="25"/>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电源：双电</w:t>
            </w:r>
          </w:p>
          <w:p w14:paraId="12A6D71C">
            <w:pPr>
              <w:widowControl/>
              <w:numPr>
                <w:ilvl w:val="0"/>
                <w:numId w:val="25"/>
              </w:numPr>
              <w:spacing w:line="300" w:lineRule="auto"/>
              <w:ind w:left="440" w:hanging="440"/>
              <w:jc w:val="left"/>
              <w:textAlignment w:val="center"/>
              <w:rPr>
                <w:rFonts w:ascii="宋体" w:hAnsi="宋体" w:cs="宋体"/>
                <w:color w:val="auto"/>
                <w:kern w:val="0"/>
                <w:sz w:val="24"/>
                <w:highlight w:val="none"/>
              </w:rPr>
            </w:pPr>
            <w:r>
              <w:rPr>
                <w:rFonts w:hint="eastAsia" w:ascii="宋体" w:hAnsi="宋体" w:cs="宋体"/>
                <w:color w:val="auto"/>
                <w:sz w:val="24"/>
                <w:highlight w:val="none"/>
              </w:rPr>
              <w:t>加速卡：算力≥50TFLOPS</w:t>
            </w:r>
          </w:p>
          <w:p w14:paraId="490180B6">
            <w:pPr>
              <w:widowControl/>
              <w:numPr>
                <w:ilvl w:val="0"/>
                <w:numId w:val="25"/>
              </w:numPr>
              <w:spacing w:line="300" w:lineRule="auto"/>
              <w:ind w:left="440" w:hanging="440"/>
              <w:jc w:val="left"/>
              <w:textAlignment w:val="center"/>
              <w:rPr>
                <w:rFonts w:ascii="宋体" w:hAnsi="宋体" w:cs="宋体"/>
                <w:color w:val="auto"/>
                <w:sz w:val="24"/>
                <w:highlight w:val="none"/>
              </w:rPr>
            </w:pPr>
            <w:r>
              <w:rPr>
                <w:rFonts w:hint="eastAsia" w:ascii="宋体" w:hAnsi="宋体" w:cs="宋体"/>
                <w:color w:val="auto"/>
                <w:kern w:val="0"/>
                <w:sz w:val="24"/>
                <w:highlight w:val="none"/>
              </w:rPr>
              <w:t>具备接收、解码、还原、流推送和播放模块功能</w:t>
            </w:r>
          </w:p>
        </w:tc>
      </w:tr>
    </w:tbl>
    <w:p w14:paraId="79E8220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）★其他要求：</w:t>
      </w:r>
      <w:r>
        <w:rPr>
          <w:rFonts w:hint="eastAsia" w:ascii="宋体" w:hAnsi="宋体" w:cs="宋体"/>
          <w:b/>
          <w:bCs/>
          <w:color w:val="auto"/>
          <w:sz w:val="24"/>
          <w:highlight w:val="none"/>
          <w:lang w:eastAsia="zh-CN"/>
        </w:rPr>
        <w:t>在投标文件中</w:t>
      </w:r>
      <w:r>
        <w:rPr>
          <w:rFonts w:hint="eastAsia" w:ascii="宋体" w:hAnsi="宋体" w:cs="宋体"/>
          <w:b/>
          <w:bCs/>
          <w:color w:val="auto"/>
          <w:sz w:val="24"/>
          <w:highlight w:val="none"/>
        </w:rPr>
        <w:t>提供书面承诺函</w:t>
      </w:r>
      <w:r>
        <w:rPr>
          <w:rFonts w:hint="eastAsia" w:ascii="宋体" w:hAnsi="宋体" w:cs="宋体"/>
          <w:b/>
          <w:bCs/>
          <w:color w:val="auto"/>
          <w:sz w:val="24"/>
          <w:highlight w:val="none"/>
          <w:lang w:val="en-US" w:eastAsia="zh-CN"/>
        </w:rPr>
        <w:t>并加盖公章</w:t>
      </w:r>
      <w:r>
        <w:rPr>
          <w:rFonts w:hint="eastAsia" w:ascii="宋体" w:hAnsi="宋体" w:cs="宋体"/>
          <w:color w:val="auto"/>
          <w:sz w:val="24"/>
          <w:highlight w:val="none"/>
        </w:rPr>
        <w:t>，承诺本无人机系统与弱网对抗系统进行对接，在机载端安装弱网对抗机载设备，视频和无人机飞控数据接入弱网对抗系统，并预留定制化开发接口。</w:t>
      </w:r>
    </w:p>
    <w:p w14:paraId="7C4EA679">
      <w:pPr>
        <w:keepNext w:val="0"/>
        <w:keepLines w:val="0"/>
        <w:pageBreakBefore w:val="0"/>
        <w:widowControl w:val="0"/>
        <w:numPr>
          <w:ilvl w:val="3"/>
          <w:numId w:val="9"/>
        </w:numPr>
        <w:kinsoku/>
        <w:wordWrap/>
        <w:overflowPunct/>
        <w:topLinePunct w:val="0"/>
        <w:autoSpaceDE/>
        <w:autoSpaceDN/>
        <w:bidi w:val="0"/>
        <w:adjustRightInd w:val="0"/>
        <w:snapToGrid/>
        <w:spacing w:line="360" w:lineRule="auto"/>
        <w:ind w:firstLine="562" w:firstLineChars="200"/>
        <w:textAlignment w:val="auto"/>
        <w:outlineLvl w:val="3"/>
        <w:rPr>
          <w:rFonts w:ascii="宋体" w:hAnsi="宋体" w:cs="宋体"/>
          <w:b/>
          <w:bCs/>
          <w:color w:val="auto"/>
          <w:sz w:val="28"/>
          <w:szCs w:val="28"/>
          <w:highlight w:val="none"/>
        </w:rPr>
      </w:pPr>
      <w:bookmarkStart w:id="34" w:name="_Toc5935"/>
      <w:r>
        <w:rPr>
          <w:rFonts w:hint="eastAsia" w:ascii="宋体" w:hAnsi="宋体" w:cs="宋体"/>
          <w:b/>
          <w:bCs/>
          <w:color w:val="auto"/>
          <w:sz w:val="28"/>
          <w:szCs w:val="28"/>
          <w:highlight w:val="none"/>
        </w:rPr>
        <w:t>陆地有线专网</w:t>
      </w:r>
      <w:bookmarkEnd w:id="34"/>
    </w:p>
    <w:p w14:paraId="707077F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具备条件的专线接入节点10个，专线链路带宽不低于10M，借挂运营商点位的基站优先通过专线接入网络，以增加自组网网络可靠性。3个节点需接入20M有线专网，3年使用期，7个节点需接入10M有线专网，3年使用期，具体点位要求如下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478"/>
        <w:gridCol w:w="1892"/>
        <w:gridCol w:w="2038"/>
        <w:gridCol w:w="1395"/>
      </w:tblGrid>
      <w:tr w14:paraId="5BAD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2" w:type="pct"/>
            <w:vAlign w:val="center"/>
          </w:tcPr>
          <w:p w14:paraId="4DF7BA19">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454" w:type="pct"/>
            <w:vAlign w:val="center"/>
          </w:tcPr>
          <w:p w14:paraId="63C091CC">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站名</w:t>
            </w:r>
          </w:p>
        </w:tc>
        <w:tc>
          <w:tcPr>
            <w:tcW w:w="1110" w:type="pct"/>
            <w:vAlign w:val="center"/>
          </w:tcPr>
          <w:p w14:paraId="279AE0FD">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带宽要求</w:t>
            </w:r>
          </w:p>
        </w:tc>
        <w:tc>
          <w:tcPr>
            <w:tcW w:w="1196" w:type="pct"/>
            <w:vAlign w:val="center"/>
          </w:tcPr>
          <w:p w14:paraId="3FB5C3D2">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节点类型</w:t>
            </w:r>
          </w:p>
        </w:tc>
        <w:tc>
          <w:tcPr>
            <w:tcW w:w="818" w:type="pct"/>
            <w:vAlign w:val="center"/>
          </w:tcPr>
          <w:p w14:paraId="7187223E">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接入需求</w:t>
            </w:r>
          </w:p>
        </w:tc>
      </w:tr>
      <w:tr w14:paraId="24C5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695ADD4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54" w:type="pct"/>
            <w:vAlign w:val="center"/>
          </w:tcPr>
          <w:p w14:paraId="4940CFB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三门县海安委大楼</w:t>
            </w:r>
          </w:p>
        </w:tc>
        <w:tc>
          <w:tcPr>
            <w:tcW w:w="1110" w:type="pct"/>
            <w:vAlign w:val="center"/>
          </w:tcPr>
          <w:p w14:paraId="234A5F0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≥20M</w:t>
            </w:r>
          </w:p>
        </w:tc>
        <w:tc>
          <w:tcPr>
            <w:tcW w:w="1196" w:type="pct"/>
            <w:vAlign w:val="center"/>
          </w:tcPr>
          <w:p w14:paraId="6CC0338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陆地节点</w:t>
            </w:r>
          </w:p>
        </w:tc>
        <w:tc>
          <w:tcPr>
            <w:tcW w:w="818" w:type="pct"/>
            <w:vAlign w:val="center"/>
          </w:tcPr>
          <w:p w14:paraId="374E4ED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r w14:paraId="5A66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279E026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54" w:type="pct"/>
            <w:vAlign w:val="center"/>
          </w:tcPr>
          <w:p w14:paraId="0A96A2B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月湖派出所</w:t>
            </w:r>
          </w:p>
        </w:tc>
        <w:tc>
          <w:tcPr>
            <w:tcW w:w="1110" w:type="pct"/>
            <w:vAlign w:val="center"/>
          </w:tcPr>
          <w:p w14:paraId="2620C92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≥20M</w:t>
            </w:r>
          </w:p>
        </w:tc>
        <w:tc>
          <w:tcPr>
            <w:tcW w:w="1196" w:type="pct"/>
            <w:vAlign w:val="center"/>
          </w:tcPr>
          <w:p w14:paraId="0B7E30F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陆地节点</w:t>
            </w:r>
          </w:p>
        </w:tc>
        <w:tc>
          <w:tcPr>
            <w:tcW w:w="818" w:type="pct"/>
            <w:vAlign w:val="center"/>
          </w:tcPr>
          <w:p w14:paraId="128EDD5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r w14:paraId="4B74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49A5935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454" w:type="pct"/>
            <w:vAlign w:val="center"/>
          </w:tcPr>
          <w:p w14:paraId="1629B4D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石塘派出所</w:t>
            </w:r>
          </w:p>
        </w:tc>
        <w:tc>
          <w:tcPr>
            <w:tcW w:w="1110" w:type="pct"/>
            <w:vAlign w:val="center"/>
          </w:tcPr>
          <w:p w14:paraId="0CF1589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≥20M</w:t>
            </w:r>
          </w:p>
        </w:tc>
        <w:tc>
          <w:tcPr>
            <w:tcW w:w="1196" w:type="pct"/>
            <w:vAlign w:val="center"/>
          </w:tcPr>
          <w:p w14:paraId="0C55C32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陆地节点</w:t>
            </w:r>
          </w:p>
        </w:tc>
        <w:tc>
          <w:tcPr>
            <w:tcW w:w="818" w:type="pct"/>
            <w:vAlign w:val="center"/>
          </w:tcPr>
          <w:p w14:paraId="212035F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r w14:paraId="0854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45C6C80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454" w:type="pct"/>
            <w:vAlign w:val="center"/>
          </w:tcPr>
          <w:p w14:paraId="2223DA2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上大陈雷达站</w:t>
            </w:r>
          </w:p>
        </w:tc>
        <w:tc>
          <w:tcPr>
            <w:tcW w:w="1110" w:type="pct"/>
            <w:vAlign w:val="center"/>
          </w:tcPr>
          <w:p w14:paraId="15E7D21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≥10M</w:t>
            </w:r>
          </w:p>
        </w:tc>
        <w:tc>
          <w:tcPr>
            <w:tcW w:w="1196" w:type="pct"/>
            <w:vAlign w:val="center"/>
          </w:tcPr>
          <w:p w14:paraId="4CB4511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岛屿节点</w:t>
            </w:r>
          </w:p>
        </w:tc>
        <w:tc>
          <w:tcPr>
            <w:tcW w:w="818" w:type="pct"/>
            <w:vAlign w:val="center"/>
          </w:tcPr>
          <w:p w14:paraId="4125C3A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r w14:paraId="181A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4437836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454" w:type="pct"/>
            <w:vAlign w:val="center"/>
          </w:tcPr>
          <w:p w14:paraId="204D250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下大陈雷达站</w:t>
            </w:r>
          </w:p>
        </w:tc>
        <w:tc>
          <w:tcPr>
            <w:tcW w:w="1110" w:type="pct"/>
            <w:vAlign w:val="center"/>
          </w:tcPr>
          <w:p w14:paraId="6568E4E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≥10M</w:t>
            </w:r>
          </w:p>
        </w:tc>
        <w:tc>
          <w:tcPr>
            <w:tcW w:w="1196" w:type="pct"/>
            <w:vAlign w:val="center"/>
          </w:tcPr>
          <w:p w14:paraId="3BB8841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岛屿节点</w:t>
            </w:r>
          </w:p>
        </w:tc>
        <w:tc>
          <w:tcPr>
            <w:tcW w:w="818" w:type="pct"/>
            <w:vAlign w:val="center"/>
          </w:tcPr>
          <w:p w14:paraId="2FADBF6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r w14:paraId="0D2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740E8FC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454" w:type="pct"/>
            <w:vAlign w:val="center"/>
          </w:tcPr>
          <w:p w14:paraId="710CD31A">
            <w:pPr>
              <w:tabs>
                <w:tab w:val="left" w:pos="892"/>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浦坝港</w:t>
            </w:r>
          </w:p>
        </w:tc>
        <w:tc>
          <w:tcPr>
            <w:tcW w:w="1110" w:type="pct"/>
            <w:vAlign w:val="center"/>
          </w:tcPr>
          <w:p w14:paraId="5D505EA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≥10M</w:t>
            </w:r>
          </w:p>
        </w:tc>
        <w:tc>
          <w:tcPr>
            <w:tcW w:w="1196" w:type="pct"/>
            <w:vAlign w:val="center"/>
          </w:tcPr>
          <w:p w14:paraId="443B902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陆地节点</w:t>
            </w:r>
          </w:p>
        </w:tc>
        <w:tc>
          <w:tcPr>
            <w:tcW w:w="818" w:type="pct"/>
            <w:vAlign w:val="center"/>
          </w:tcPr>
          <w:p w14:paraId="15B6408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r w14:paraId="52DF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03FC4CC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454" w:type="pct"/>
            <w:vAlign w:val="center"/>
          </w:tcPr>
          <w:p w14:paraId="2674B4E0">
            <w:pPr>
              <w:tabs>
                <w:tab w:val="left" w:pos="892"/>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东矶岛</w:t>
            </w:r>
          </w:p>
        </w:tc>
        <w:tc>
          <w:tcPr>
            <w:tcW w:w="1110" w:type="pct"/>
            <w:vAlign w:val="center"/>
          </w:tcPr>
          <w:p w14:paraId="7280D82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≥10M</w:t>
            </w:r>
          </w:p>
        </w:tc>
        <w:tc>
          <w:tcPr>
            <w:tcW w:w="1196" w:type="pct"/>
            <w:vAlign w:val="center"/>
          </w:tcPr>
          <w:p w14:paraId="4E08B30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岛屿节点</w:t>
            </w:r>
          </w:p>
        </w:tc>
        <w:tc>
          <w:tcPr>
            <w:tcW w:w="818" w:type="pct"/>
            <w:vAlign w:val="center"/>
          </w:tcPr>
          <w:p w14:paraId="6647EBF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r w14:paraId="086C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5FFFEE2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454" w:type="pct"/>
            <w:vAlign w:val="center"/>
          </w:tcPr>
          <w:p w14:paraId="2ACD832E">
            <w:pPr>
              <w:tabs>
                <w:tab w:val="left" w:pos="892"/>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滚装码头</w:t>
            </w:r>
          </w:p>
        </w:tc>
        <w:tc>
          <w:tcPr>
            <w:tcW w:w="1110" w:type="pct"/>
            <w:vAlign w:val="center"/>
          </w:tcPr>
          <w:p w14:paraId="17C4E98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≥10M</w:t>
            </w:r>
          </w:p>
        </w:tc>
        <w:tc>
          <w:tcPr>
            <w:tcW w:w="1196" w:type="pct"/>
            <w:vAlign w:val="center"/>
          </w:tcPr>
          <w:p w14:paraId="1E54B90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陆地节点</w:t>
            </w:r>
          </w:p>
        </w:tc>
        <w:tc>
          <w:tcPr>
            <w:tcW w:w="818" w:type="pct"/>
            <w:vAlign w:val="center"/>
          </w:tcPr>
          <w:p w14:paraId="539409B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r w14:paraId="24D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5BC21B0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454" w:type="pct"/>
            <w:vAlign w:val="center"/>
          </w:tcPr>
          <w:p w14:paraId="4547AA2A">
            <w:pPr>
              <w:tabs>
                <w:tab w:val="left" w:pos="892"/>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陈屿龙湾</w:t>
            </w:r>
          </w:p>
        </w:tc>
        <w:tc>
          <w:tcPr>
            <w:tcW w:w="1110" w:type="pct"/>
            <w:vAlign w:val="center"/>
          </w:tcPr>
          <w:p w14:paraId="7A6C0A6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≥10M</w:t>
            </w:r>
          </w:p>
        </w:tc>
        <w:tc>
          <w:tcPr>
            <w:tcW w:w="1196" w:type="pct"/>
            <w:vAlign w:val="center"/>
          </w:tcPr>
          <w:p w14:paraId="4643151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陆地节点</w:t>
            </w:r>
          </w:p>
        </w:tc>
        <w:tc>
          <w:tcPr>
            <w:tcW w:w="818" w:type="pct"/>
            <w:vAlign w:val="center"/>
          </w:tcPr>
          <w:p w14:paraId="1DE8916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r w14:paraId="097B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vAlign w:val="center"/>
          </w:tcPr>
          <w:p w14:paraId="1C8B32D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454" w:type="pct"/>
            <w:vAlign w:val="center"/>
          </w:tcPr>
          <w:p w14:paraId="6E754FF8">
            <w:pPr>
              <w:tabs>
                <w:tab w:val="left" w:pos="892"/>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外黄门岛</w:t>
            </w:r>
          </w:p>
        </w:tc>
        <w:tc>
          <w:tcPr>
            <w:tcW w:w="1110" w:type="pct"/>
            <w:vAlign w:val="center"/>
          </w:tcPr>
          <w:p w14:paraId="69A42FF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≥10M</w:t>
            </w:r>
          </w:p>
        </w:tc>
        <w:tc>
          <w:tcPr>
            <w:tcW w:w="1196" w:type="pct"/>
            <w:vAlign w:val="center"/>
          </w:tcPr>
          <w:p w14:paraId="0CAE8DB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岛屿节点</w:t>
            </w:r>
          </w:p>
        </w:tc>
        <w:tc>
          <w:tcPr>
            <w:tcW w:w="818" w:type="pct"/>
            <w:vAlign w:val="center"/>
          </w:tcPr>
          <w:p w14:paraId="05A5BDD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接入专线</w:t>
            </w:r>
          </w:p>
        </w:tc>
      </w:tr>
    </w:tbl>
    <w:p w14:paraId="2257B044">
      <w:pPr>
        <w:keepNext w:val="0"/>
        <w:keepLines w:val="0"/>
        <w:pageBreakBefore w:val="0"/>
        <w:numPr>
          <w:ilvl w:val="3"/>
          <w:numId w:val="9"/>
        </w:numPr>
        <w:kinsoku/>
        <w:wordWrap/>
        <w:overflowPunct/>
        <w:topLinePunct w:val="0"/>
        <w:autoSpaceDE/>
        <w:autoSpaceDN/>
        <w:bidi w:val="0"/>
        <w:adjustRightInd w:val="0"/>
        <w:snapToGrid/>
        <w:spacing w:line="360" w:lineRule="auto"/>
        <w:ind w:firstLine="562" w:firstLineChars="200"/>
        <w:textAlignment w:val="auto"/>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数据采集传输方案</w:t>
      </w:r>
    </w:p>
    <w:p w14:paraId="47A7AF5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视频流与数据流分离传输，无人机控制需要低时延双向传输，无人机控制功能集成至原有智慧海防外网平台。无人机控制通过专线接入电子政务外网智慧海防平台，进行无人机控制信令的传输。数据流通过专线接入电子政务外网智慧海防平台，数据根据应用需要进行各部门平台间的数据交换。视频流支持GB28181标准，通过专线接入警航无人机平台，然后通过视联网接入“雪亮工程”公共视频图像信息共享体系将前端视频流共享至智慧海防外网平台，另一方面分流至智慧海防内网平台。充分利旧可用的安全边界设备、通信链路等原有数据、视频交换体系。</w:t>
      </w:r>
    </w:p>
    <w:p w14:paraId="56A74C84">
      <w:pPr>
        <w:keepNext w:val="0"/>
        <w:keepLines w:val="0"/>
        <w:pageBreakBefore w:val="0"/>
        <w:numPr>
          <w:ilvl w:val="2"/>
          <w:numId w:val="9"/>
        </w:numPr>
        <w:kinsoku/>
        <w:wordWrap/>
        <w:overflowPunct/>
        <w:topLinePunct w:val="0"/>
        <w:autoSpaceDE/>
        <w:autoSpaceDN/>
        <w:bidi w:val="0"/>
        <w:adjustRightInd w:val="0"/>
        <w:snapToGrid/>
        <w:spacing w:line="360" w:lineRule="auto"/>
        <w:ind w:firstLine="562" w:firstLineChars="200"/>
        <w:textAlignment w:val="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系统安全等级保护</w:t>
      </w:r>
    </w:p>
    <w:p w14:paraId="4A860CD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本项目按照三级等保要求建设。根据最新等保国标要求开展安全等级保护评测工作，出具整改报告，使得本项目满足等保要求。</w:t>
      </w:r>
    </w:p>
    <w:p w14:paraId="4B04BBA8">
      <w:pPr>
        <w:keepNext w:val="0"/>
        <w:keepLines w:val="0"/>
        <w:pageBreakBefore w:val="0"/>
        <w:numPr>
          <w:ilvl w:val="2"/>
          <w:numId w:val="9"/>
        </w:numPr>
        <w:kinsoku/>
        <w:wordWrap/>
        <w:overflowPunct/>
        <w:topLinePunct w:val="0"/>
        <w:autoSpaceDE/>
        <w:autoSpaceDN/>
        <w:bidi w:val="0"/>
        <w:adjustRightInd w:val="0"/>
        <w:snapToGrid/>
        <w:spacing w:line="360" w:lineRule="auto"/>
        <w:ind w:firstLine="602" w:firstLineChars="200"/>
        <w:textAlignment w:val="auto"/>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“密评”</w:t>
      </w:r>
    </w:p>
    <w:p w14:paraId="3D6276D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根据《信息安全技术 信息系统密码应用基本要求》（GB/T39786-2021）等国标要求对本项目开展商用密码应用安全性评估，出具“密评”报告。</w:t>
      </w:r>
    </w:p>
    <w:p w14:paraId="4217F044">
      <w:pPr>
        <w:keepNext w:val="0"/>
        <w:keepLines w:val="0"/>
        <w:pageBreakBefore w:val="0"/>
        <w:numPr>
          <w:ilvl w:val="2"/>
          <w:numId w:val="9"/>
        </w:numPr>
        <w:kinsoku/>
        <w:wordWrap/>
        <w:overflowPunct/>
        <w:topLinePunct w:val="0"/>
        <w:autoSpaceDE/>
        <w:autoSpaceDN/>
        <w:bidi w:val="0"/>
        <w:adjustRightInd w:val="0"/>
        <w:snapToGrid/>
        <w:spacing w:line="360" w:lineRule="auto"/>
        <w:ind w:firstLine="602" w:firstLineChars="200"/>
        <w:textAlignment w:val="auto"/>
        <w:outlineLvl w:val="2"/>
        <w:rPr>
          <w:rFonts w:ascii="宋体" w:hAnsi="宋体" w:cs="宋体"/>
          <w:b/>
          <w:bCs/>
          <w:color w:val="auto"/>
          <w:sz w:val="30"/>
          <w:szCs w:val="30"/>
          <w:highlight w:val="none"/>
        </w:rPr>
      </w:pPr>
      <w:bookmarkStart w:id="35" w:name="_Toc3356"/>
      <w:bookmarkStart w:id="36" w:name="_Toc15275"/>
      <w:bookmarkStart w:id="37" w:name="_Toc20191"/>
      <w:bookmarkStart w:id="38" w:name="_Toc19391"/>
      <w:bookmarkStart w:id="39" w:name="_Toc9218"/>
      <w:bookmarkStart w:id="40" w:name="_Toc31711"/>
      <w:bookmarkStart w:id="41" w:name="_Toc9858"/>
      <w:bookmarkStart w:id="42" w:name="_Toc13451"/>
      <w:bookmarkStart w:id="43" w:name="_Toc2166"/>
      <w:bookmarkStart w:id="44" w:name="_Toc13839"/>
      <w:r>
        <w:rPr>
          <w:rFonts w:hint="eastAsia" w:ascii="宋体" w:hAnsi="宋体" w:cs="宋体"/>
          <w:b/>
          <w:bCs/>
          <w:color w:val="auto"/>
          <w:sz w:val="30"/>
          <w:szCs w:val="30"/>
          <w:highlight w:val="none"/>
        </w:rPr>
        <w:t>第三方软件检测</w:t>
      </w:r>
      <w:bookmarkEnd w:id="35"/>
      <w:bookmarkEnd w:id="36"/>
      <w:bookmarkEnd w:id="37"/>
      <w:bookmarkEnd w:id="38"/>
    </w:p>
    <w:p w14:paraId="3D43F54B">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b/>
          <w:bCs/>
          <w:color w:val="auto"/>
          <w:kern w:val="0"/>
          <w:sz w:val="30"/>
          <w:szCs w:val="30"/>
          <w:highlight w:val="none"/>
        </w:rPr>
      </w:pPr>
      <w:r>
        <w:rPr>
          <w:rFonts w:hint="eastAsia" w:ascii="宋体" w:hAnsi="宋体" w:cs="宋体"/>
          <w:color w:val="auto"/>
          <w:sz w:val="24"/>
          <w:highlight w:val="none"/>
        </w:rPr>
        <w:t>对台州市海防无人机管控系统项目开展第三方软件检测，测评内容主要包括功能测试、性能测试等。</w:t>
      </w:r>
      <w:bookmarkEnd w:id="39"/>
      <w:bookmarkEnd w:id="40"/>
      <w:bookmarkEnd w:id="41"/>
      <w:bookmarkEnd w:id="42"/>
      <w:bookmarkEnd w:id="43"/>
      <w:bookmarkEnd w:id="44"/>
    </w:p>
    <w:p w14:paraId="72FEF40E">
      <w:pPr>
        <w:keepNext w:val="0"/>
        <w:keepLines w:val="0"/>
        <w:pageBreakBefore w:val="0"/>
        <w:kinsoku/>
        <w:wordWrap/>
        <w:overflowPunct/>
        <w:topLinePunct w:val="0"/>
        <w:autoSpaceDE/>
        <w:autoSpaceDN/>
        <w:bidi w:val="0"/>
        <w:snapToGrid/>
        <w:spacing w:line="360" w:lineRule="auto"/>
        <w:ind w:firstLine="602" w:firstLineChars="200"/>
        <w:textAlignment w:val="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三、商务需求</w:t>
      </w:r>
    </w:p>
    <w:p w14:paraId="4ACD38E9">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1.质保期</w:t>
      </w:r>
      <w:r>
        <w:rPr>
          <w:rFonts w:hint="eastAsia" w:ascii="宋体" w:hAnsi="宋体" w:cs="宋体"/>
          <w:color w:val="auto"/>
          <w:sz w:val="24"/>
          <w:highlight w:val="none"/>
        </w:rPr>
        <w:t>：自项目通过终验之日起质保期不得低于3年（质保期内，“7×24”小时无间隙技术响应服务，保修期内产品出现故障，在接到采购人通知后30分钟响应，对于影响平台系统正常运行的严重故障，中标人工程师及其它相关技术人员必须在接到故障通知后4小时内赶到现场，查找原因，提出解决方案，并工作直至故障维修完全恢复正常服务为止，一般要求保证系统在48小时之内修复。利用各地充沛的备品备件储备，通过对投标设备可长期备货、并利用飞机、高铁等各种快捷运输方式，通过各种快捷运输方式实现8小时内备品备件应急送货。）</w:t>
      </w:r>
    </w:p>
    <w:p w14:paraId="39D2518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▲2.交付期</w:t>
      </w:r>
    </w:p>
    <w:p w14:paraId="53DF567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Cs/>
          <w:color w:val="auto"/>
          <w:sz w:val="24"/>
          <w:szCs w:val="22"/>
          <w:highlight w:val="none"/>
          <w:lang w:val="en-US" w:eastAsia="zh-CN" w:bidi="ar-SA"/>
        </w:rPr>
      </w:pPr>
      <w:r>
        <w:rPr>
          <w:rFonts w:hint="eastAsia" w:ascii="宋体" w:hAnsi="宋体" w:eastAsia="宋体" w:cs="宋体"/>
          <w:bCs/>
          <w:color w:val="auto"/>
          <w:sz w:val="24"/>
          <w:szCs w:val="22"/>
          <w:highlight w:val="none"/>
          <w:lang w:val="en-US" w:eastAsia="zh-CN" w:bidi="ar-SA"/>
        </w:rPr>
        <w:t>中标通知书发出后5日内，中标人和采购人共同对中标无人机产品（包括垂起固定翼无人机、智能停机舱（机库）、长航时油电混合垂起固定翼无人机）进行实地测试，如所投产品不具备实测条件或者不满足投标承诺参数的，视为虚假投标，移交至政府采购监管部门处理。</w:t>
      </w:r>
    </w:p>
    <w:p w14:paraId="7E7E8D5A">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eastAsia="宋体" w:cs="宋体"/>
          <w:b/>
          <w:bCs/>
          <w:color w:val="auto"/>
          <w:sz w:val="24"/>
          <w:szCs w:val="22"/>
          <w:highlight w:val="none"/>
          <w:lang w:val="en-US" w:eastAsia="zh-CN" w:bidi="ar-SA"/>
        </w:rPr>
      </w:pPr>
      <w:r>
        <w:rPr>
          <w:rFonts w:hint="eastAsia" w:ascii="宋体" w:hAnsi="宋体" w:eastAsia="宋体" w:cs="宋体"/>
          <w:b/>
          <w:bCs/>
          <w:color w:val="auto"/>
          <w:sz w:val="24"/>
          <w:szCs w:val="22"/>
          <w:highlight w:val="none"/>
          <w:lang w:val="en-US" w:eastAsia="zh-CN" w:bidi="ar-SA"/>
        </w:rPr>
        <w:t>合同签订后10日内完成项目踏勘调研及施工组织方案报审工作，合同签订后45日内完成全部设备到货，合同签订后60日内基本完成无线组网及两架无人机试飞工作，合同签订6个月内完成项目初验工作，合同签订后10个月内完成项目终验工作。</w:t>
      </w:r>
    </w:p>
    <w:p w14:paraId="5B6FBAA4">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eastAsia="宋体" w:cs="宋体"/>
          <w:bCs/>
          <w:color w:val="auto"/>
          <w:sz w:val="24"/>
          <w:szCs w:val="22"/>
          <w:highlight w:val="none"/>
          <w:lang w:val="en-US" w:eastAsia="zh-CN" w:bidi="ar-SA"/>
        </w:rPr>
      </w:pPr>
      <w:r>
        <w:rPr>
          <w:rFonts w:hint="eastAsia" w:ascii="宋体" w:hAnsi="宋体" w:eastAsia="宋体" w:cs="宋体"/>
          <w:b/>
          <w:bCs/>
          <w:color w:val="auto"/>
          <w:kern w:val="2"/>
          <w:sz w:val="24"/>
          <w:szCs w:val="22"/>
          <w:highlight w:val="none"/>
          <w:lang w:val="en-US" w:eastAsia="zh-CN" w:bidi="ar-SA"/>
        </w:rPr>
        <w:t>3.培训服务：</w:t>
      </w:r>
      <w:r>
        <w:rPr>
          <w:rFonts w:hint="eastAsia" w:ascii="宋体" w:hAnsi="宋体" w:eastAsia="宋体" w:cs="宋体"/>
          <w:bCs/>
          <w:color w:val="auto"/>
          <w:kern w:val="2"/>
          <w:sz w:val="24"/>
          <w:szCs w:val="22"/>
          <w:highlight w:val="none"/>
          <w:lang w:val="en-US" w:eastAsia="zh-CN" w:bidi="ar-SA"/>
        </w:rPr>
        <w:t>中标人提供本地化基础培训服务，培训内容包含但不限于航线规划、载荷设备系统操作、民航法规与空中交通管制、无人机概述与系统组成、通信链路与任务规划、航空气象与飞行环境等，并提供无人机及配套设备操作手册；培训服务面向甲方要求得相关部门，根据甲方不同业务需求展开培训，培训总次数不少于5次，单次服务培训时间不少于1天；培训地点由双方协商决定；培训方式包含但不限于线上培训、现场讲座、实际演练。中标人为采购人提供专业人员培训服务，并保证采购人方至少6名人员获取CAAC超视距垂起固定翼无人机驾驶执照</w:t>
      </w:r>
      <w:r>
        <w:rPr>
          <w:rFonts w:hint="eastAsia" w:ascii="宋体" w:hAnsi="宋体" w:eastAsia="宋体" w:cs="宋体"/>
          <w:b/>
          <w:bCs w:val="0"/>
          <w:color w:val="auto"/>
          <w:kern w:val="2"/>
          <w:sz w:val="24"/>
          <w:szCs w:val="22"/>
          <w:highlight w:val="none"/>
          <w:lang w:val="en-US" w:eastAsia="zh-CN" w:bidi="ar-SA"/>
        </w:rPr>
        <w:t>（海防垂起固定翼智能无人值守系统和海防长航时油电混合垂起无人机系统至少各3人）</w:t>
      </w:r>
      <w:r>
        <w:rPr>
          <w:rFonts w:hint="eastAsia" w:ascii="宋体" w:hAnsi="宋体" w:eastAsia="宋体" w:cs="宋体"/>
          <w:bCs/>
          <w:color w:val="auto"/>
          <w:kern w:val="2"/>
          <w:sz w:val="24"/>
          <w:szCs w:val="22"/>
          <w:highlight w:val="none"/>
          <w:lang w:val="en-US" w:eastAsia="zh-CN" w:bidi="ar-SA"/>
        </w:rPr>
        <w:t>。</w:t>
      </w:r>
    </w:p>
    <w:p w14:paraId="502123CF">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eastAsia="宋体" w:cs="宋体"/>
          <w:b/>
          <w:bCs w:val="0"/>
          <w:color w:val="auto"/>
          <w:kern w:val="2"/>
          <w:sz w:val="24"/>
          <w:szCs w:val="22"/>
          <w:highlight w:val="none"/>
          <w:lang w:val="en-US" w:eastAsia="zh-CN" w:bidi="ar-SA"/>
        </w:rPr>
      </w:pPr>
      <w:r>
        <w:rPr>
          <w:rFonts w:hint="eastAsia" w:ascii="宋体" w:hAnsi="宋体" w:eastAsia="宋体" w:cs="宋体"/>
          <w:b/>
          <w:bCs w:val="0"/>
          <w:color w:val="auto"/>
          <w:kern w:val="2"/>
          <w:sz w:val="24"/>
          <w:szCs w:val="22"/>
          <w:highlight w:val="none"/>
          <w:lang w:val="en-US" w:eastAsia="zh-CN" w:bidi="ar-SA"/>
        </w:rPr>
        <w:t>4.运维服务：</w:t>
      </w:r>
    </w:p>
    <w:p w14:paraId="6470014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1）除原配电池外，中标人额外提供两套无人机设备电池，并根据采购人需求及时提供充电和更换电池服务；</w:t>
      </w:r>
    </w:p>
    <w:p w14:paraId="06B5ADF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2）提供油电混合长航时垂起固定翼无人机3年燃油费用；</w:t>
      </w:r>
    </w:p>
    <w:p w14:paraId="725E823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3）提供1名运维人员驻场，运维期1年。</w:t>
      </w:r>
    </w:p>
    <w:p w14:paraId="6263B312">
      <w:pPr>
        <w:keepNext w:val="0"/>
        <w:keepLines w:val="0"/>
        <w:pageBreakBefore w:val="0"/>
        <w:tabs>
          <w:tab w:val="left" w:pos="0"/>
        </w:tabs>
        <w:kinsoku/>
        <w:wordWrap/>
        <w:overflowPunct/>
        <w:topLinePunct w:val="0"/>
        <w:autoSpaceDE/>
        <w:autoSpaceDN/>
        <w:bidi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5.履约保证金：</w:t>
      </w:r>
      <w:r>
        <w:rPr>
          <w:rFonts w:hint="eastAsia" w:asciiTheme="majorEastAsia" w:hAnsiTheme="majorEastAsia" w:eastAsiaTheme="majorEastAsia" w:cstheme="majorEastAsia"/>
          <w:color w:val="auto"/>
          <w:kern w:val="0"/>
          <w:sz w:val="24"/>
          <w:highlight w:val="none"/>
          <w:lang w:val="zh-CN"/>
        </w:rPr>
        <w:t>履约保证金为合同金额的1%，</w:t>
      </w:r>
      <w:r>
        <w:rPr>
          <w:rFonts w:hint="eastAsia" w:asciiTheme="majorEastAsia" w:hAnsiTheme="majorEastAsia" w:eastAsiaTheme="majorEastAsia" w:cstheme="majorEastAsia"/>
          <w:color w:val="auto"/>
          <w:kern w:val="0"/>
          <w:sz w:val="24"/>
          <w:highlight w:val="none"/>
        </w:rPr>
        <w:t>成交供应商自签订合同后7个工作日</w:t>
      </w:r>
      <w:r>
        <w:rPr>
          <w:rFonts w:hint="eastAsia" w:asciiTheme="majorEastAsia" w:hAnsiTheme="majorEastAsia" w:eastAsiaTheme="majorEastAsia" w:cstheme="majorEastAsia"/>
          <w:color w:val="auto"/>
          <w:kern w:val="0"/>
          <w:sz w:val="24"/>
          <w:highlight w:val="none"/>
          <w:lang w:val="zh-CN"/>
        </w:rPr>
        <w:t>内向采购人提交（履约保证金可采用</w:t>
      </w:r>
      <w:r>
        <w:rPr>
          <w:rFonts w:hint="eastAsia" w:asciiTheme="majorEastAsia" w:hAnsiTheme="majorEastAsia" w:eastAsiaTheme="majorEastAsia" w:cstheme="majorEastAsia"/>
          <w:color w:val="auto"/>
          <w:kern w:val="0"/>
          <w:sz w:val="24"/>
          <w:highlight w:val="none"/>
        </w:rPr>
        <w:t>网上银行转账、</w:t>
      </w:r>
      <w:r>
        <w:rPr>
          <w:rFonts w:hint="eastAsia" w:asciiTheme="majorEastAsia" w:hAnsiTheme="majorEastAsia" w:eastAsiaTheme="majorEastAsia" w:cstheme="majorEastAsia"/>
          <w:color w:val="auto"/>
          <w:kern w:val="0"/>
          <w:sz w:val="24"/>
          <w:highlight w:val="none"/>
          <w:lang w:val="zh-CN"/>
        </w:rPr>
        <w:t>保函、支票、汇票、</w:t>
      </w:r>
      <w:r>
        <w:rPr>
          <w:rFonts w:hint="eastAsia" w:asciiTheme="majorEastAsia" w:hAnsiTheme="majorEastAsia" w:eastAsiaTheme="majorEastAsia" w:cstheme="majorEastAsia"/>
          <w:color w:val="auto"/>
          <w:kern w:val="0"/>
          <w:sz w:val="24"/>
          <w:highlight w:val="none"/>
        </w:rPr>
        <w:t>本票</w:t>
      </w:r>
      <w:r>
        <w:rPr>
          <w:rFonts w:hint="eastAsia" w:asciiTheme="majorEastAsia" w:hAnsiTheme="majorEastAsia" w:eastAsiaTheme="majorEastAsia" w:cstheme="majorEastAsia"/>
          <w:color w:val="auto"/>
          <w:kern w:val="0"/>
          <w:sz w:val="24"/>
          <w:highlight w:val="none"/>
          <w:lang w:val="zh-CN"/>
        </w:rPr>
        <w:t>等形式），验收合格后5个工作日无息退还。</w:t>
      </w:r>
    </w:p>
    <w:p w14:paraId="63D06DF3">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6.付款方式：</w:t>
      </w:r>
      <w:r>
        <w:rPr>
          <w:rFonts w:hint="eastAsia" w:ascii="宋体" w:hAnsi="宋体" w:cs="宋体"/>
          <w:color w:val="auto"/>
          <w:sz w:val="24"/>
          <w:highlight w:val="none"/>
        </w:rPr>
        <w:t>合同签订后支付合同金额的40%；项目初验通过后支付合同款的30%；通过终验后支付剩余合同金额</w:t>
      </w:r>
      <w:r>
        <w:rPr>
          <w:rFonts w:hint="eastAsia" w:ascii="宋体" w:hAnsi="宋体"/>
          <w:color w:val="auto"/>
          <w:sz w:val="24"/>
          <w:highlight w:val="none"/>
        </w:rPr>
        <w:t>（以上付款条件是在采购人所在地财政资金下达且收到供应商正式发票后7个工作日内支付）</w:t>
      </w:r>
      <w:r>
        <w:rPr>
          <w:rFonts w:hint="eastAsia" w:ascii="宋体" w:hAnsi="宋体"/>
          <w:color w:val="auto"/>
          <w:sz w:val="24"/>
          <w:highlight w:val="none"/>
          <w:lang w:eastAsia="zh-CN"/>
        </w:rPr>
        <w:t>。</w:t>
      </w:r>
    </w:p>
    <w:p w14:paraId="43DE3F7D">
      <w:pPr>
        <w:pStyle w:val="53"/>
        <w:keepNext w:val="0"/>
        <w:keepLines w:val="0"/>
        <w:pageBreakBefore w:val="0"/>
        <w:kinsoku/>
        <w:wordWrap/>
        <w:overflowPunct/>
        <w:topLinePunct w:val="0"/>
        <w:autoSpaceDE/>
        <w:autoSpaceDN/>
        <w:bidi w:val="0"/>
        <w:snapToGrid/>
        <w:spacing w:line="360" w:lineRule="auto"/>
        <w:ind w:firstLine="482"/>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7.其他说明：</w:t>
      </w:r>
    </w:p>
    <w:p w14:paraId="033F1316">
      <w:pPr>
        <w:pStyle w:val="23"/>
        <w:keepNext w:val="0"/>
        <w:keepLines w:val="0"/>
        <w:pageBreakBefore w:val="0"/>
        <w:kinsoku/>
        <w:wordWrap/>
        <w:overflowPunct/>
        <w:topLinePunct w:val="0"/>
        <w:autoSpaceDE/>
        <w:autoSpaceDN/>
        <w:bidi w:val="0"/>
        <w:snapToGrid/>
        <w:spacing w:line="360" w:lineRule="auto"/>
        <w:ind w:firstLine="480" w:firstLineChars="200"/>
        <w:textAlignment w:val="auto"/>
        <w:outlineLvl w:val="0"/>
        <w:rPr>
          <w:rFonts w:hAnsi="宋体" w:cs="宋体"/>
          <w:color w:val="auto"/>
          <w:sz w:val="24"/>
          <w:highlight w:val="none"/>
        </w:rPr>
      </w:pPr>
      <w:r>
        <w:rPr>
          <w:rFonts w:hint="eastAsia"/>
          <w:color w:val="auto"/>
          <w:kern w:val="0"/>
          <w:sz w:val="24"/>
          <w:highlight w:val="none"/>
        </w:rPr>
        <w:t>1）所有产品均采用人民币报价。</w:t>
      </w:r>
      <w:r>
        <w:rPr>
          <w:rFonts w:hint="eastAsia" w:hAnsi="宋体" w:cs="宋体"/>
          <w:color w:val="auto"/>
          <w:kern w:val="0"/>
          <w:sz w:val="24"/>
          <w:highlight w:val="none"/>
        </w:rPr>
        <w:t>投标报价应是招标文件所确定的招标范围内全部工作内容的价格表现。其应</w:t>
      </w:r>
      <w:r>
        <w:rPr>
          <w:rFonts w:hint="eastAsia" w:hAnsi="宋体" w:cs="宋体"/>
          <w:bCs/>
          <w:color w:val="auto"/>
          <w:sz w:val="24"/>
          <w:highlight w:val="none"/>
        </w:rPr>
        <w:t>包含实现采购需求的所有功能及安全保障工作，采购人不再另外增加费用，</w:t>
      </w:r>
      <w:r>
        <w:rPr>
          <w:rFonts w:hint="eastAsia" w:hAnsi="宋体" w:cs="宋体"/>
          <w:color w:val="auto"/>
          <w:kern w:val="0"/>
          <w:sz w:val="24"/>
          <w:highlight w:val="none"/>
        </w:rPr>
        <w:t>其应包括（但不限于）本项目全部功能开发完善、全部所投货物及其标准配件费用、税费及包装、运至最终目的地的运输、保险、技术支持与培训、辅材、专用工具等整套设备及运行维护、第三方检测、验收、质保，管理、税金等，对于其他招标文件未列明、且是本项目配套所必需的文件、资料、设备等，或投标供应商认为必需的费用，投标供应商也应综合考虑，</w:t>
      </w:r>
      <w:r>
        <w:rPr>
          <w:rFonts w:hint="eastAsia" w:hAnsi="宋体" w:cs="宋体"/>
          <w:color w:val="auto"/>
          <w:sz w:val="24"/>
          <w:highlight w:val="none"/>
        </w:rPr>
        <w:t>包含在投标报价中。</w:t>
      </w:r>
    </w:p>
    <w:p w14:paraId="7C221378">
      <w:pPr>
        <w:pStyle w:val="23"/>
        <w:keepNext w:val="0"/>
        <w:keepLines w:val="0"/>
        <w:pageBreakBefore w:val="0"/>
        <w:kinsoku/>
        <w:wordWrap/>
        <w:overflowPunct/>
        <w:topLinePunct w:val="0"/>
        <w:autoSpaceDE/>
        <w:autoSpaceDN/>
        <w:bidi w:val="0"/>
        <w:snapToGrid/>
        <w:spacing w:line="360" w:lineRule="auto"/>
        <w:ind w:firstLine="480" w:firstLineChars="200"/>
        <w:textAlignment w:val="auto"/>
        <w:outlineLvl w:val="0"/>
        <w:rPr>
          <w:color w:val="auto"/>
          <w:kern w:val="0"/>
          <w:sz w:val="24"/>
          <w:highlight w:val="none"/>
        </w:rPr>
      </w:pPr>
      <w:r>
        <w:rPr>
          <w:rFonts w:hint="eastAsia"/>
          <w:color w:val="auto"/>
          <w:kern w:val="0"/>
          <w:sz w:val="24"/>
          <w:highlight w:val="none"/>
        </w:rPr>
        <w:t>2）项目的验收包括初验、试运行和终验。</w:t>
      </w:r>
    </w:p>
    <w:p w14:paraId="5B063AB2">
      <w:pPr>
        <w:pStyle w:val="23"/>
        <w:keepNext w:val="0"/>
        <w:keepLines w:val="0"/>
        <w:pageBreakBefore w:val="0"/>
        <w:kinsoku/>
        <w:wordWrap/>
        <w:overflowPunct/>
        <w:topLinePunct w:val="0"/>
        <w:autoSpaceDE/>
        <w:autoSpaceDN/>
        <w:bidi w:val="0"/>
        <w:snapToGrid/>
        <w:spacing w:line="360" w:lineRule="auto"/>
        <w:ind w:firstLine="480" w:firstLineChars="200"/>
        <w:textAlignment w:val="auto"/>
        <w:outlineLvl w:val="0"/>
        <w:rPr>
          <w:color w:val="auto"/>
          <w:kern w:val="0"/>
          <w:sz w:val="24"/>
          <w:highlight w:val="none"/>
        </w:rPr>
      </w:pPr>
      <w:r>
        <w:rPr>
          <w:rFonts w:hint="eastAsia"/>
          <w:color w:val="auto"/>
          <w:kern w:val="0"/>
          <w:sz w:val="24"/>
          <w:highlight w:val="none"/>
        </w:rPr>
        <w:t>项目初验</w:t>
      </w:r>
    </w:p>
    <w:p w14:paraId="3851E489">
      <w:pPr>
        <w:pStyle w:val="23"/>
        <w:keepNext w:val="0"/>
        <w:keepLines w:val="0"/>
        <w:pageBreakBefore w:val="0"/>
        <w:kinsoku/>
        <w:wordWrap/>
        <w:overflowPunct/>
        <w:topLinePunct w:val="0"/>
        <w:autoSpaceDE/>
        <w:autoSpaceDN/>
        <w:bidi w:val="0"/>
        <w:snapToGrid/>
        <w:spacing w:line="360" w:lineRule="auto"/>
        <w:ind w:firstLine="480" w:firstLineChars="200"/>
        <w:textAlignment w:val="auto"/>
        <w:outlineLvl w:val="0"/>
        <w:rPr>
          <w:color w:val="auto"/>
          <w:kern w:val="0"/>
          <w:sz w:val="24"/>
          <w:highlight w:val="none"/>
        </w:rPr>
      </w:pPr>
      <w:r>
        <w:rPr>
          <w:rFonts w:hint="eastAsia"/>
          <w:color w:val="auto"/>
          <w:kern w:val="0"/>
          <w:sz w:val="24"/>
          <w:highlight w:val="none"/>
        </w:rPr>
        <w:t>项目初验前，中标人应首先对系统进行自测，并将系统自测报告提交采购人和监理方审查。中标人依本合同约定向甲方提交成果及相关文档，并向采购人提出初验申请。采购人接到中标人初验申请后，组织相关单位或专家进行初验，初验合格后联合签署初验报告。</w:t>
      </w:r>
    </w:p>
    <w:p w14:paraId="7C82C645">
      <w:pPr>
        <w:pStyle w:val="23"/>
        <w:keepNext w:val="0"/>
        <w:keepLines w:val="0"/>
        <w:pageBreakBefore w:val="0"/>
        <w:kinsoku/>
        <w:wordWrap/>
        <w:overflowPunct/>
        <w:topLinePunct w:val="0"/>
        <w:autoSpaceDE/>
        <w:autoSpaceDN/>
        <w:bidi w:val="0"/>
        <w:snapToGrid/>
        <w:spacing w:line="360" w:lineRule="auto"/>
        <w:ind w:firstLine="480" w:firstLineChars="200"/>
        <w:textAlignment w:val="auto"/>
        <w:outlineLvl w:val="0"/>
        <w:rPr>
          <w:color w:val="auto"/>
          <w:kern w:val="0"/>
          <w:sz w:val="24"/>
          <w:highlight w:val="none"/>
        </w:rPr>
      </w:pPr>
      <w:r>
        <w:rPr>
          <w:rFonts w:hint="eastAsia"/>
          <w:color w:val="auto"/>
          <w:kern w:val="0"/>
          <w:sz w:val="24"/>
          <w:highlight w:val="none"/>
        </w:rPr>
        <w:t>试运行</w:t>
      </w:r>
    </w:p>
    <w:p w14:paraId="20F22D50">
      <w:pPr>
        <w:pStyle w:val="23"/>
        <w:keepNext w:val="0"/>
        <w:keepLines w:val="0"/>
        <w:pageBreakBefore w:val="0"/>
        <w:kinsoku/>
        <w:wordWrap/>
        <w:overflowPunct/>
        <w:topLinePunct w:val="0"/>
        <w:autoSpaceDE/>
        <w:autoSpaceDN/>
        <w:bidi w:val="0"/>
        <w:snapToGrid/>
        <w:spacing w:line="360" w:lineRule="auto"/>
        <w:ind w:firstLine="480" w:firstLineChars="200"/>
        <w:textAlignment w:val="auto"/>
        <w:outlineLvl w:val="0"/>
        <w:rPr>
          <w:color w:val="auto"/>
          <w:kern w:val="0"/>
          <w:sz w:val="24"/>
          <w:highlight w:val="none"/>
        </w:rPr>
      </w:pPr>
      <w:r>
        <w:rPr>
          <w:rFonts w:hint="eastAsia"/>
          <w:color w:val="auto"/>
          <w:kern w:val="0"/>
          <w:sz w:val="24"/>
          <w:highlight w:val="none"/>
        </w:rPr>
        <w:t>初验合格后，系统进入试运行，试运行时间</w:t>
      </w:r>
      <w:r>
        <w:rPr>
          <w:rFonts w:hint="eastAsia"/>
          <w:color w:val="auto"/>
          <w:kern w:val="0"/>
          <w:sz w:val="24"/>
          <w:highlight w:val="none"/>
          <w:lang w:val="en-US" w:eastAsia="zh-CN"/>
        </w:rPr>
        <w:t>不少于</w:t>
      </w:r>
      <w:r>
        <w:rPr>
          <w:rFonts w:hint="eastAsia"/>
          <w:color w:val="auto"/>
          <w:kern w:val="0"/>
          <w:sz w:val="24"/>
          <w:highlight w:val="none"/>
        </w:rPr>
        <w:t xml:space="preserve">3个月。 </w:t>
      </w:r>
    </w:p>
    <w:p w14:paraId="2127B001">
      <w:pPr>
        <w:pStyle w:val="23"/>
        <w:keepNext w:val="0"/>
        <w:keepLines w:val="0"/>
        <w:pageBreakBefore w:val="0"/>
        <w:kinsoku/>
        <w:wordWrap/>
        <w:overflowPunct/>
        <w:topLinePunct w:val="0"/>
        <w:autoSpaceDE/>
        <w:autoSpaceDN/>
        <w:bidi w:val="0"/>
        <w:snapToGrid/>
        <w:spacing w:line="360" w:lineRule="auto"/>
        <w:ind w:firstLine="480" w:firstLineChars="200"/>
        <w:textAlignment w:val="auto"/>
        <w:outlineLvl w:val="0"/>
        <w:rPr>
          <w:color w:val="auto"/>
          <w:kern w:val="0"/>
          <w:sz w:val="24"/>
          <w:highlight w:val="none"/>
        </w:rPr>
      </w:pPr>
      <w:r>
        <w:rPr>
          <w:rFonts w:hint="eastAsia"/>
          <w:color w:val="auto"/>
          <w:kern w:val="0"/>
          <w:sz w:val="24"/>
          <w:highlight w:val="none"/>
        </w:rPr>
        <w:t>终验</w:t>
      </w:r>
    </w:p>
    <w:p w14:paraId="78F4649C">
      <w:pPr>
        <w:pStyle w:val="23"/>
        <w:keepNext w:val="0"/>
        <w:keepLines w:val="0"/>
        <w:pageBreakBefore w:val="0"/>
        <w:kinsoku/>
        <w:wordWrap/>
        <w:overflowPunct/>
        <w:topLinePunct w:val="0"/>
        <w:autoSpaceDE/>
        <w:autoSpaceDN/>
        <w:bidi w:val="0"/>
        <w:snapToGrid/>
        <w:spacing w:line="360" w:lineRule="auto"/>
        <w:ind w:firstLine="480" w:firstLineChars="200"/>
        <w:textAlignment w:val="auto"/>
        <w:outlineLvl w:val="0"/>
        <w:rPr>
          <w:color w:val="auto"/>
          <w:kern w:val="0"/>
          <w:sz w:val="24"/>
          <w:highlight w:val="none"/>
        </w:rPr>
      </w:pPr>
      <w:r>
        <w:rPr>
          <w:rFonts w:hint="eastAsia"/>
          <w:color w:val="auto"/>
          <w:kern w:val="0"/>
          <w:sz w:val="24"/>
          <w:highlight w:val="none"/>
        </w:rPr>
        <w:t>系统通过试运行后，中标人向甲方提出终验申请，采购人组织相关单位及专家进行项目终验。系统终验收合格的条件必须至少满足以下要求：①已提供了合同要求的全部设备、软件和验收资料；②试运行时整体功能性能满足合同要求；③完成并通过第三方软件检测、等保检测以及“密评”，试运行期间出现的问题已被解决。</w:t>
      </w:r>
    </w:p>
    <w:p w14:paraId="605E5779">
      <w:pPr>
        <w:pStyle w:val="23"/>
        <w:keepNext w:val="0"/>
        <w:keepLines w:val="0"/>
        <w:pageBreakBefore w:val="0"/>
        <w:kinsoku/>
        <w:wordWrap/>
        <w:overflowPunct/>
        <w:topLinePunct w:val="0"/>
        <w:autoSpaceDE/>
        <w:autoSpaceDN/>
        <w:bidi w:val="0"/>
        <w:snapToGrid/>
        <w:spacing w:line="360" w:lineRule="auto"/>
        <w:ind w:firstLine="480" w:firstLineChars="200"/>
        <w:textAlignment w:val="auto"/>
        <w:outlineLvl w:val="0"/>
        <w:rPr>
          <w:color w:val="auto"/>
          <w:kern w:val="0"/>
          <w:sz w:val="24"/>
          <w:highlight w:val="none"/>
        </w:rPr>
      </w:pPr>
      <w:r>
        <w:rPr>
          <w:rFonts w:hint="eastAsia"/>
          <w:color w:val="auto"/>
          <w:kern w:val="0"/>
          <w:sz w:val="24"/>
          <w:highlight w:val="none"/>
        </w:rPr>
        <w:t>验收时投标人必须在现场，验收完毕后作出验收结果报告，验收费用含在总体费用中。</w:t>
      </w:r>
    </w:p>
    <w:p w14:paraId="2A01CC69">
      <w:pPr>
        <w:pStyle w:val="24"/>
        <w:keepNext w:val="0"/>
        <w:keepLines w:val="0"/>
        <w:pageBreakBefore w:val="0"/>
        <w:kinsoku/>
        <w:wordWrap/>
        <w:overflowPunct/>
        <w:topLinePunct w:val="0"/>
        <w:autoSpaceDE/>
        <w:autoSpaceDN/>
        <w:bidi w:val="0"/>
        <w:snapToGrid/>
        <w:spacing w:line="360" w:lineRule="auto"/>
        <w:ind w:left="0" w:leftChars="0" w:firstLine="482" w:firstLineChars="200"/>
        <w:textAlignment w:val="auto"/>
        <w:rPr>
          <w:rFonts w:hint="eastAsia" w:ascii="宋体" w:hAnsi="Courier New" w:eastAsia="宋体"/>
          <w:b/>
          <w:bCs/>
          <w:color w:val="auto"/>
          <w:kern w:val="0"/>
          <w:sz w:val="24"/>
          <w:szCs w:val="24"/>
          <w:highlight w:val="none"/>
        </w:rPr>
      </w:pPr>
      <w:r>
        <w:rPr>
          <w:rFonts w:hint="eastAsia" w:ascii="宋体" w:hAnsi="Courier New" w:eastAsia="宋体"/>
          <w:b/>
          <w:bCs/>
          <w:color w:val="auto"/>
          <w:kern w:val="0"/>
          <w:sz w:val="24"/>
          <w:szCs w:val="24"/>
          <w:highlight w:val="none"/>
          <w:lang w:val="en-US" w:eastAsia="zh-CN"/>
        </w:rPr>
        <w:t>在本项目合同履约期间，</w:t>
      </w:r>
      <w:r>
        <w:rPr>
          <w:rFonts w:hint="eastAsia" w:ascii="宋体" w:hAnsi="Courier New" w:eastAsia="宋体"/>
          <w:b/>
          <w:bCs/>
          <w:color w:val="auto"/>
          <w:kern w:val="0"/>
          <w:sz w:val="24"/>
          <w:szCs w:val="24"/>
          <w:highlight w:val="none"/>
        </w:rPr>
        <w:t>根据项目建设关键节点以及采购人要求，投标人的技术负责人</w:t>
      </w:r>
      <w:r>
        <w:rPr>
          <w:rFonts w:hint="eastAsia" w:ascii="宋体" w:hAnsi="Courier New" w:eastAsia="宋体"/>
          <w:b/>
          <w:bCs/>
          <w:color w:val="auto"/>
          <w:kern w:val="0"/>
          <w:sz w:val="24"/>
          <w:szCs w:val="24"/>
          <w:highlight w:val="none"/>
          <w:lang w:eastAsia="zh-CN"/>
        </w:rPr>
        <w:t>（</w:t>
      </w:r>
      <w:r>
        <w:rPr>
          <w:rFonts w:hint="eastAsia" w:ascii="宋体" w:hAnsi="Courier New" w:eastAsia="宋体"/>
          <w:b/>
          <w:bCs/>
          <w:color w:val="auto"/>
          <w:kern w:val="0"/>
          <w:sz w:val="24"/>
          <w:szCs w:val="24"/>
          <w:highlight w:val="none"/>
          <w:lang w:val="en-US" w:eastAsia="zh-CN"/>
        </w:rPr>
        <w:t>仅限1人</w:t>
      </w:r>
      <w:r>
        <w:rPr>
          <w:rFonts w:hint="eastAsia" w:ascii="宋体" w:hAnsi="Courier New" w:eastAsia="宋体"/>
          <w:b/>
          <w:bCs/>
          <w:color w:val="auto"/>
          <w:kern w:val="0"/>
          <w:sz w:val="24"/>
          <w:szCs w:val="24"/>
          <w:highlight w:val="none"/>
          <w:lang w:eastAsia="zh-CN"/>
        </w:rPr>
        <w:t>）</w:t>
      </w:r>
      <w:r>
        <w:rPr>
          <w:rFonts w:hint="eastAsia" w:ascii="宋体" w:hAnsi="Courier New" w:eastAsia="宋体"/>
          <w:b/>
          <w:bCs/>
          <w:color w:val="auto"/>
          <w:kern w:val="0"/>
          <w:sz w:val="24"/>
          <w:szCs w:val="24"/>
          <w:highlight w:val="none"/>
        </w:rPr>
        <w:t>应如期到岗，不到岗的，扣除5000元/次违约金。</w:t>
      </w:r>
    </w:p>
    <w:p w14:paraId="5084EF5F">
      <w:pPr>
        <w:pStyle w:val="24"/>
        <w:keepNext w:val="0"/>
        <w:keepLines w:val="0"/>
        <w:pageBreakBefore w:val="0"/>
        <w:kinsoku/>
        <w:wordWrap/>
        <w:overflowPunct/>
        <w:topLinePunct w:val="0"/>
        <w:autoSpaceDE/>
        <w:autoSpaceDN/>
        <w:bidi w:val="0"/>
        <w:snapToGrid/>
        <w:spacing w:line="360" w:lineRule="auto"/>
        <w:ind w:left="0" w:leftChars="0" w:firstLine="482" w:firstLineChars="200"/>
        <w:textAlignment w:val="auto"/>
        <w:rPr>
          <w:rFonts w:hint="default" w:eastAsia="宋体"/>
          <w:b/>
          <w:bCs/>
          <w:highlight w:val="none"/>
          <w:lang w:val="en-US" w:eastAsia="zh-CN"/>
        </w:rPr>
      </w:pPr>
      <w:r>
        <w:rPr>
          <w:rFonts w:hint="eastAsia" w:ascii="宋体" w:hAnsi="Courier New" w:eastAsia="宋体"/>
          <w:b/>
          <w:bCs/>
          <w:color w:val="auto"/>
          <w:kern w:val="0"/>
          <w:sz w:val="24"/>
          <w:szCs w:val="24"/>
          <w:highlight w:val="none"/>
          <w:lang w:val="en-US" w:eastAsia="zh-CN"/>
        </w:rPr>
        <w:t>在本项目合同履约期间，驻场服务人员（≥1人），应和采购人工作时间保持同步，并接受采购人的日常考核，如考核不达标，按以下条款进行处罚：①无故缺岗时间每1个工作日/人，扣除500元作为违约金；②因驻场服务人员明显工作履职不到位，导致无人机设备及智控系统等任一环节出现重大失误的，每发生一次扣除1000元作为违约金。</w:t>
      </w:r>
    </w:p>
    <w:p w14:paraId="54DF3B0F">
      <w:pPr>
        <w:pStyle w:val="24"/>
        <w:keepNext w:val="0"/>
        <w:keepLines w:val="0"/>
        <w:pageBreakBefore w:val="0"/>
        <w:kinsoku/>
        <w:wordWrap/>
        <w:overflowPunct/>
        <w:topLinePunct w:val="0"/>
        <w:autoSpaceDE/>
        <w:autoSpaceDN/>
        <w:bidi w:val="0"/>
        <w:snapToGrid/>
        <w:spacing w:line="360" w:lineRule="auto"/>
        <w:ind w:left="0" w:leftChars="0" w:firstLine="480" w:firstLineChars="200"/>
        <w:textAlignment w:val="auto"/>
        <w:rPr>
          <w:color w:val="auto"/>
          <w:highlight w:val="none"/>
        </w:rPr>
      </w:pPr>
      <w:r>
        <w:rPr>
          <w:rFonts w:hint="eastAsia" w:ascii="宋体" w:hAnsi="Courier New" w:eastAsia="宋体"/>
          <w:color w:val="auto"/>
          <w:kern w:val="0"/>
          <w:sz w:val="24"/>
          <w:szCs w:val="24"/>
          <w:highlight w:val="none"/>
        </w:rPr>
        <w:t>投标人应积极配合本项目监理单位，根据监理单位开出的工作联系单或整改通知单，及时予以回应并办理，否则，采购人有权扣除1000元/次违约金。</w:t>
      </w:r>
      <w:bookmarkEnd w:id="0"/>
    </w:p>
    <w:p w14:paraId="030B5987">
      <w:pPr>
        <w:rPr>
          <w:color w:val="auto"/>
          <w:highlight w:val="none"/>
        </w:rPr>
      </w:pPr>
      <w:r>
        <w:rPr>
          <w:color w:val="auto"/>
          <w:highlight w:val="none"/>
        </w:rPr>
        <w:br w:type="page"/>
      </w:r>
    </w:p>
    <w:p w14:paraId="2B8DB7D2">
      <w:pPr>
        <w:numPr>
          <w:ilvl w:val="0"/>
          <w:numId w:val="4"/>
        </w:numPr>
        <w:spacing w:line="360" w:lineRule="auto"/>
        <w:ind w:firstLine="723" w:firstLineChars="200"/>
        <w:jc w:val="center"/>
        <w:rPr>
          <w:rFonts w:hint="eastAsia" w:ascii="宋体" w:hAnsi="宋体"/>
          <w:b/>
          <w:color w:val="auto"/>
          <w:sz w:val="36"/>
          <w:szCs w:val="36"/>
          <w:highlight w:val="none"/>
        </w:rPr>
      </w:pPr>
      <w:r>
        <w:rPr>
          <w:rFonts w:hint="eastAsia" w:ascii="宋体" w:hAnsi="宋体"/>
          <w:b/>
          <w:color w:val="auto"/>
          <w:sz w:val="36"/>
          <w:szCs w:val="36"/>
          <w:highlight w:val="none"/>
        </w:rPr>
        <w:t>政府采购合同主要条款</w:t>
      </w:r>
    </w:p>
    <w:p w14:paraId="76D1B5D3">
      <w:pPr>
        <w:keepNext w:val="0"/>
        <w:keepLines w:val="0"/>
        <w:pageBreakBefore w:val="0"/>
        <w:widowControl/>
        <w:shd w:val="clear" w:color="auto" w:fill="FFFFFF"/>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以下为成交后签订本项目合同的通用条款，成交供应商不得提出实质性的修改，如有特殊条款将由采购人与成交供应商结合本项目具体情况协商后签订。</w:t>
      </w:r>
    </w:p>
    <w:p w14:paraId="663944E1">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台州市海防无人机管控系统项目</w:t>
      </w:r>
    </w:p>
    <w:p w14:paraId="3E1454DD">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D08760E">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甲方：（采购单位）                            所在地：                              </w:t>
      </w:r>
    </w:p>
    <w:p w14:paraId="38A5D3C6">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乙方：（中标供应商）                          所在地：</w:t>
      </w:r>
    </w:p>
    <w:p w14:paraId="4CBA20DB">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hAnsi="宋体" w:cs="宋体"/>
          <w:color w:val="auto"/>
          <w:sz w:val="24"/>
          <w:szCs w:val="24"/>
          <w:highlight w:val="none"/>
          <w:lang w:eastAsia="zh-CN"/>
        </w:rPr>
        <w:t>台州市海防无人机管控系统项目</w:t>
      </w:r>
      <w:r>
        <w:rPr>
          <w:rFonts w:hint="eastAsia" w:ascii="宋体" w:hAnsi="宋体" w:eastAsia="宋体" w:cs="宋体"/>
          <w:color w:val="auto"/>
          <w:sz w:val="24"/>
          <w:szCs w:val="24"/>
          <w:highlight w:val="none"/>
        </w:rPr>
        <w:t>公开招标的结果，签署本合同。</w:t>
      </w:r>
    </w:p>
    <w:p w14:paraId="1B8B47CE">
      <w:pPr>
        <w:keepNext w:val="0"/>
        <w:keepLines w:val="0"/>
        <w:pageBreakBefore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一、合同文件：</w:t>
      </w:r>
      <w:r>
        <w:rPr>
          <w:rFonts w:hint="eastAsia" w:ascii="宋体" w:hAnsi="宋体" w:eastAsia="宋体" w:cs="宋体"/>
          <w:color w:val="auto"/>
          <w:sz w:val="24"/>
          <w:szCs w:val="24"/>
          <w:highlight w:val="none"/>
          <w:lang w:val="zh-CN"/>
        </w:rPr>
        <w:t xml:space="preserve"> </w:t>
      </w:r>
    </w:p>
    <w:p w14:paraId="494E5FEF">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1.合同条款。</w:t>
      </w:r>
    </w:p>
    <w:p w14:paraId="5EC33335">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2.中标通知书。</w:t>
      </w:r>
    </w:p>
    <w:p w14:paraId="01905ADD">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3.更正补充文件。</w:t>
      </w:r>
    </w:p>
    <w:p w14:paraId="19FA8543">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4.招标文件。</w:t>
      </w:r>
    </w:p>
    <w:p w14:paraId="3AD71EED">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5.中标供应商投标文件。</w:t>
      </w:r>
    </w:p>
    <w:p w14:paraId="69CA494B">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6.其他。</w:t>
      </w:r>
    </w:p>
    <w:p w14:paraId="106AA6A7">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上述所指合同文件应认为是互相补充和解释的，但是有模棱两可或互相矛盾之处，以其所列内容顺序为准。</w:t>
      </w:r>
    </w:p>
    <w:p w14:paraId="6688176D">
      <w:pPr>
        <w:pStyle w:val="23"/>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82" w:firstLineChars="200"/>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合同内容</w:t>
      </w:r>
    </w:p>
    <w:p w14:paraId="0DF7AABC">
      <w:pPr>
        <w:pStyle w:val="24"/>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根据采购需求及乙方投标承诺确定</w:t>
      </w:r>
    </w:p>
    <w:p w14:paraId="715DA49E">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三、合同金额</w:t>
      </w:r>
    </w:p>
    <w:p w14:paraId="308135B0">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1.本合同金额为（大写）：_________元（￥______元）人民币。</w:t>
      </w:r>
    </w:p>
    <w:p w14:paraId="67F5772E">
      <w:pPr>
        <w:pStyle w:val="24"/>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金额应包括（但不限于）本项目全部功能开发完善、全部所投货物及其标准配件费用、税费及包装、运至最终目的地的运输、保险、技术支持与培训、辅材、专用工具等整套设备及运行维护、第三方检测、验收、质保，管理、税金等。</w:t>
      </w:r>
    </w:p>
    <w:p w14:paraId="4EE9FC2C">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四、技术资料</w:t>
      </w:r>
    </w:p>
    <w:p w14:paraId="017C035F">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1.乙方应按招标文件规定的时间向甲方提供使用软硬件的有关技术资料。</w:t>
      </w:r>
    </w:p>
    <w:p w14:paraId="0D9A0FC2">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2.本项目知识产权及源代码归属甲方。</w:t>
      </w:r>
    </w:p>
    <w:p w14:paraId="6A5B3A73">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DE433A">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五、知识产权</w:t>
      </w:r>
    </w:p>
    <w:p w14:paraId="11C5EA61">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1.乙方应保证所提供的软硬件或其任何一部分均不会侵犯任何第三方的知识产权。</w:t>
      </w:r>
    </w:p>
    <w:p w14:paraId="70BD4AB3">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2.若侵犯,由乙方赔偿甲方因此遭受的损失（包括但不限于应对及追偿过程中所支付的律师费、差旅费、诉讼费、保全费、鉴定费、评估费等）。</w:t>
      </w:r>
    </w:p>
    <w:p w14:paraId="28E7AF76">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六、产权担保</w:t>
      </w:r>
    </w:p>
    <w:p w14:paraId="5B431436">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乙方保证所交付软硬件的所有权完全属于乙方且无任何抵押、查封等产权瑕疵。</w:t>
      </w:r>
    </w:p>
    <w:p w14:paraId="376B4D5C">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七、履约保证金：</w:t>
      </w:r>
      <w:r>
        <w:rPr>
          <w:rFonts w:hint="eastAsia" w:ascii="宋体" w:hAnsi="宋体" w:eastAsia="宋体" w:cs="宋体"/>
          <w:color w:val="auto"/>
          <w:kern w:val="0"/>
          <w:sz w:val="24"/>
          <w:szCs w:val="24"/>
          <w:highlight w:val="none"/>
          <w:lang w:val="zh-CN"/>
        </w:rPr>
        <w:t>履约保证金为¥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zh-CN"/>
        </w:rPr>
        <w:t>合同金额的1%</w:t>
      </w:r>
      <w:r>
        <w:rPr>
          <w:rFonts w:hint="eastAsia" w:ascii="宋体" w:hAnsi="宋体" w:eastAsia="宋体" w:cs="宋体"/>
          <w:color w:val="auto"/>
          <w:kern w:val="0"/>
          <w:sz w:val="24"/>
          <w:szCs w:val="24"/>
          <w:highlight w:val="none"/>
        </w:rPr>
        <w:t>）乙方签订合同后</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rPr>
        <w:t>个工作日内向采购人提交（履约保证金可采用</w:t>
      </w:r>
      <w:r>
        <w:rPr>
          <w:rFonts w:hint="eastAsia" w:ascii="宋体" w:hAnsi="宋体" w:eastAsia="宋体" w:cs="宋体"/>
          <w:color w:val="auto"/>
          <w:kern w:val="0"/>
          <w:sz w:val="24"/>
          <w:szCs w:val="24"/>
          <w:highlight w:val="none"/>
        </w:rPr>
        <w:t>网上银行转账、</w:t>
      </w:r>
      <w:r>
        <w:rPr>
          <w:rFonts w:hint="eastAsia" w:ascii="宋体" w:hAnsi="宋体" w:eastAsia="宋体" w:cs="宋体"/>
          <w:color w:val="auto"/>
          <w:kern w:val="0"/>
          <w:sz w:val="24"/>
          <w:szCs w:val="24"/>
          <w:highlight w:val="none"/>
          <w:lang w:val="zh-CN"/>
        </w:rPr>
        <w:t>保函、支票、汇票、</w:t>
      </w:r>
      <w:r>
        <w:rPr>
          <w:rFonts w:hint="eastAsia" w:ascii="宋体" w:hAnsi="宋体" w:eastAsia="宋体" w:cs="宋体"/>
          <w:color w:val="auto"/>
          <w:kern w:val="0"/>
          <w:sz w:val="24"/>
          <w:szCs w:val="24"/>
          <w:highlight w:val="none"/>
        </w:rPr>
        <w:t>本票</w:t>
      </w:r>
      <w:r>
        <w:rPr>
          <w:rFonts w:hint="eastAsia" w:ascii="宋体" w:hAnsi="宋体" w:eastAsia="宋体" w:cs="宋体"/>
          <w:color w:val="auto"/>
          <w:kern w:val="0"/>
          <w:sz w:val="24"/>
          <w:szCs w:val="24"/>
          <w:highlight w:val="none"/>
          <w:lang w:val="zh-CN"/>
        </w:rPr>
        <w:t>等形式），验收合格后5个工作日无息退还。</w:t>
      </w:r>
    </w:p>
    <w:p w14:paraId="2A8391EC">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八、转包或分包</w:t>
      </w:r>
    </w:p>
    <w:p w14:paraId="1481D9DD">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不允许分包；</w:t>
      </w:r>
    </w:p>
    <w:p w14:paraId="548F9F91">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2.如有转让和未经甲方同意的分包行为，甲方有权解除合同，并按本合同第十六条第三款追究乙方的违约责任。</w:t>
      </w:r>
    </w:p>
    <w:p w14:paraId="24E964EE">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九、质保期</w:t>
      </w:r>
    </w:p>
    <w:p w14:paraId="28D1BD7A">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自项目通过终验之日起质保期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质保期内，“7×24”小时无间隙技术响应服务，保修期内产品出现故障，在接到甲方通知后30分钟响应，对于影响平台系统正常运行的严重故障，乙方工程师及其它相关技术人员必须在接到故障通知后4小时内赶到现场，查找原因，提出解决方案，并工作直至故障维修完全恢复正常服务为止，一般要求保证系统在48小时之内修复。利用各地充沛的备品备件储备，通过对投标设备可长期备货、并利用飞机、高铁等各种快捷运输方式，通过各种快捷运输方式实现8小时内备品备件应急送货。）</w:t>
      </w:r>
    </w:p>
    <w:p w14:paraId="115EC1F2">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十、交付期</w:t>
      </w:r>
    </w:p>
    <w:p w14:paraId="2FA6E34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Cs/>
          <w:color w:val="auto"/>
          <w:sz w:val="24"/>
          <w:szCs w:val="22"/>
          <w:highlight w:val="none"/>
          <w:lang w:val="en-US" w:eastAsia="zh-CN" w:bidi="ar-SA"/>
        </w:rPr>
      </w:pPr>
      <w:r>
        <w:rPr>
          <w:rFonts w:hint="eastAsia" w:ascii="宋体" w:hAnsi="宋体" w:cs="宋体"/>
          <w:bCs/>
          <w:color w:val="auto"/>
          <w:sz w:val="24"/>
          <w:szCs w:val="22"/>
          <w:highlight w:val="none"/>
          <w:lang w:val="en-US" w:eastAsia="zh-CN" w:bidi="ar-SA"/>
        </w:rPr>
        <w:t>1.</w:t>
      </w:r>
      <w:r>
        <w:rPr>
          <w:rFonts w:hint="eastAsia" w:ascii="宋体" w:hAnsi="宋体" w:eastAsia="宋体" w:cs="宋体"/>
          <w:bCs/>
          <w:color w:val="auto"/>
          <w:sz w:val="24"/>
          <w:szCs w:val="22"/>
          <w:highlight w:val="none"/>
          <w:lang w:val="en-US" w:eastAsia="zh-CN" w:bidi="ar-SA"/>
        </w:rPr>
        <w:t>中标通知书发出后5日内，中标人和采购人共同对中标无人机产品（包括垂起固定翼无人机、智能停机舱（机库）、长航时油电混合垂起固定翼无人机）进行实地测试，如所投产品不具备实测条件或者不满足投标承诺参数的，视为虚假投标，移交至政府采购监管部门处理。</w:t>
      </w:r>
    </w:p>
    <w:p w14:paraId="5A240FA0">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eastAsia="宋体" w:cs="宋体"/>
          <w:b/>
          <w:bCs/>
          <w:color w:val="auto"/>
          <w:sz w:val="24"/>
          <w:szCs w:val="22"/>
          <w:highlight w:val="none"/>
          <w:lang w:val="en-US" w:eastAsia="zh-CN" w:bidi="ar-SA"/>
        </w:rPr>
      </w:pPr>
      <w:r>
        <w:rPr>
          <w:rFonts w:hint="eastAsia" w:ascii="宋体" w:hAnsi="宋体" w:cs="宋体"/>
          <w:b/>
          <w:bCs/>
          <w:color w:val="auto"/>
          <w:sz w:val="24"/>
          <w:szCs w:val="22"/>
          <w:highlight w:val="none"/>
          <w:lang w:val="en-US" w:eastAsia="zh-CN" w:bidi="ar-SA"/>
        </w:rPr>
        <w:t>2.</w:t>
      </w:r>
      <w:r>
        <w:rPr>
          <w:rFonts w:hint="eastAsia" w:ascii="宋体" w:hAnsi="宋体" w:eastAsia="宋体" w:cs="宋体"/>
          <w:b/>
          <w:bCs/>
          <w:color w:val="auto"/>
          <w:sz w:val="24"/>
          <w:szCs w:val="22"/>
          <w:highlight w:val="none"/>
          <w:lang w:val="en-US" w:eastAsia="zh-CN" w:bidi="ar-SA"/>
        </w:rPr>
        <w:t>合同签订后10日内完成项目踏勘调研及施工组织方案报审工作，合同签订后45日内完成全部设备到货，合同签订后60日内基本完成无线组网及两架无人机试飞工作，合同签订6个月内完成项目初验工作，合同签订后10个月内完成项目终验工作。</w:t>
      </w:r>
    </w:p>
    <w:p w14:paraId="5A017483">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十一、货款支付</w:t>
      </w:r>
    </w:p>
    <w:p w14:paraId="04DFB29D">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合同签订后支付合同金额的40%；项目初验通过后支付合同款的30%；通过终验后支付剩余合同金额（以上付款条件是在甲方所在地财政资金下达且收到乙方正式发票后7个工作日内支付）</w:t>
      </w:r>
    </w:p>
    <w:p w14:paraId="14D3EF87">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十二、税费</w:t>
      </w:r>
    </w:p>
    <w:p w14:paraId="2198D441">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7F137CA7">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十三、质量保证及售后服务</w:t>
      </w:r>
    </w:p>
    <w:p w14:paraId="29A217F8">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1.乙方应按招标文件规定的货物性能、技术要求、质量标准向甲方提供未经使用的全新产品。</w:t>
      </w:r>
    </w:p>
    <w:p w14:paraId="4A7E3DF7">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2.乙方提供的成果在质保期内因本身的质量问题发生故障，乙方应负责免费提供后续服务。对达不到技术要求者，根据实际情况，经双方协商，可按以下办法处理：</w:t>
      </w:r>
    </w:p>
    <w:p w14:paraId="681C0166">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156E89A3">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4CA2F50D">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⑶退货处理：乙方应退还甲方支付的合同款，同时应承担该货物的直接费用（运输、清洗、保险、检验、货款利息及银行手续费等）。</w:t>
      </w:r>
    </w:p>
    <w:p w14:paraId="229FCE77">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上述三种方式如协商不成，甲方有权直接自行选择上述三项处理方式任一项进行处理，乙方不得异议。</w:t>
      </w:r>
    </w:p>
    <w:p w14:paraId="59CD399F">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质保期内，乙方应对成果出现的质量及安全问题负责处理解决并承担一切费用。</w:t>
      </w:r>
    </w:p>
    <w:p w14:paraId="312881D9">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十四、调试和验收</w:t>
      </w:r>
    </w:p>
    <w:p w14:paraId="353C1D50">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1.甲方对乙方提交的</w:t>
      </w:r>
      <w:r>
        <w:rPr>
          <w:rFonts w:hint="eastAsia" w:ascii="宋体" w:hAnsi="宋体" w:eastAsia="宋体" w:cs="宋体"/>
          <w:color w:val="auto"/>
          <w:kern w:val="0"/>
          <w:sz w:val="24"/>
          <w:szCs w:val="24"/>
          <w:highlight w:val="none"/>
        </w:rPr>
        <w:t>软件</w:t>
      </w:r>
      <w:r>
        <w:rPr>
          <w:rFonts w:hint="eastAsia" w:ascii="宋体" w:hAnsi="宋体" w:eastAsia="宋体" w:cs="宋体"/>
          <w:color w:val="auto"/>
          <w:sz w:val="24"/>
          <w:szCs w:val="24"/>
          <w:highlight w:val="none"/>
        </w:rPr>
        <w:t>依据招标文件上的技术规格要求和国家有关质量标准进行现场初步验收，外观、说明书符合招标文件技术要求的，给予签收，初步验收不合格的不予签收。</w:t>
      </w:r>
    </w:p>
    <w:p w14:paraId="5E3D551C">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（1）验收合格条件：</w:t>
      </w:r>
    </w:p>
    <w:p w14:paraId="71F70536">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①产品使用效果符合采购要求及国家相关标准；</w:t>
      </w:r>
    </w:p>
    <w:p w14:paraId="2C8FD3FE">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②在进行测试和试用过程中发生的故障和发现的问题已被排除，并得到采购人的认可；</w:t>
      </w:r>
    </w:p>
    <w:p w14:paraId="24C475FE">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③所有合同中规定的材料、配件和资料都已提交并得到接受。</w:t>
      </w:r>
    </w:p>
    <w:p w14:paraId="490F58AD">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Courier New" w:eastAsia="宋体"/>
          <w:color w:val="auto"/>
          <w:kern w:val="0"/>
          <w:sz w:val="24"/>
          <w:szCs w:val="24"/>
          <w:highlight w:val="none"/>
          <w:lang w:val="en-US" w:eastAsia="zh-CN"/>
        </w:rPr>
      </w:pPr>
      <w:r>
        <w:rPr>
          <w:rFonts w:hint="eastAsia" w:ascii="宋体" w:hAnsi="Courier New" w:eastAsia="宋体"/>
          <w:color w:val="auto"/>
          <w:kern w:val="0"/>
          <w:sz w:val="24"/>
          <w:szCs w:val="24"/>
          <w:highlight w:val="none"/>
          <w:lang w:val="en-US" w:eastAsia="zh-CN"/>
        </w:rPr>
        <w:t>项目初验</w:t>
      </w:r>
    </w:p>
    <w:p w14:paraId="6A52D9E2">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Courier New" w:eastAsia="宋体"/>
          <w:color w:val="auto"/>
          <w:kern w:val="0"/>
          <w:sz w:val="24"/>
          <w:szCs w:val="24"/>
          <w:highlight w:val="none"/>
          <w:lang w:val="en-US" w:eastAsia="zh-CN"/>
        </w:rPr>
      </w:pPr>
      <w:r>
        <w:rPr>
          <w:rFonts w:hint="eastAsia" w:ascii="宋体" w:hAnsi="Courier New" w:eastAsia="宋体"/>
          <w:color w:val="auto"/>
          <w:kern w:val="0"/>
          <w:sz w:val="24"/>
          <w:szCs w:val="24"/>
          <w:highlight w:val="none"/>
          <w:lang w:val="en-US" w:eastAsia="zh-CN"/>
        </w:rPr>
        <w:t>项目初验前，乙方应首先对系统进行自测，并将系统自测报告提交甲方和监理方审 查。乙方依本合同约定向甲方提交成果及相关文档，并向甲方提出初验申请。甲方接到乙方初验申请后，组织相关单位或专家进行初验，初验合格后联合签署初验报告。</w:t>
      </w:r>
    </w:p>
    <w:p w14:paraId="44941961">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Courier New" w:eastAsia="宋体"/>
          <w:color w:val="auto"/>
          <w:kern w:val="0"/>
          <w:sz w:val="24"/>
          <w:szCs w:val="24"/>
          <w:highlight w:val="none"/>
          <w:lang w:val="en-US" w:eastAsia="zh-CN"/>
        </w:rPr>
      </w:pPr>
      <w:r>
        <w:rPr>
          <w:rFonts w:hint="eastAsia" w:ascii="宋体" w:hAnsi="Courier New" w:eastAsia="宋体"/>
          <w:color w:val="auto"/>
          <w:kern w:val="0"/>
          <w:sz w:val="24"/>
          <w:szCs w:val="24"/>
          <w:highlight w:val="none"/>
          <w:lang w:val="en-US" w:eastAsia="zh-CN"/>
        </w:rPr>
        <w:t>试运行</w:t>
      </w:r>
    </w:p>
    <w:p w14:paraId="216761A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Courier New" w:eastAsia="宋体"/>
          <w:color w:val="auto"/>
          <w:kern w:val="0"/>
          <w:sz w:val="24"/>
          <w:szCs w:val="24"/>
          <w:highlight w:val="none"/>
          <w:lang w:val="en-US" w:eastAsia="zh-CN"/>
        </w:rPr>
      </w:pPr>
      <w:r>
        <w:rPr>
          <w:rFonts w:hint="eastAsia" w:ascii="宋体" w:hAnsi="Courier New" w:eastAsia="宋体"/>
          <w:color w:val="auto"/>
          <w:kern w:val="0"/>
          <w:sz w:val="24"/>
          <w:szCs w:val="24"/>
          <w:highlight w:val="none"/>
          <w:lang w:val="en-US" w:eastAsia="zh-CN"/>
        </w:rPr>
        <w:t xml:space="preserve">初验合格后，系统进入试运行，试运行时间为3个月。 </w:t>
      </w:r>
    </w:p>
    <w:p w14:paraId="4AEC9341">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Courier New" w:eastAsia="宋体"/>
          <w:color w:val="auto"/>
          <w:kern w:val="0"/>
          <w:sz w:val="24"/>
          <w:szCs w:val="24"/>
          <w:highlight w:val="none"/>
          <w:lang w:val="en-US" w:eastAsia="zh-CN"/>
        </w:rPr>
      </w:pPr>
      <w:r>
        <w:rPr>
          <w:rFonts w:hint="eastAsia" w:ascii="宋体" w:hAnsi="Courier New" w:eastAsia="宋体"/>
          <w:color w:val="auto"/>
          <w:kern w:val="0"/>
          <w:sz w:val="24"/>
          <w:szCs w:val="24"/>
          <w:highlight w:val="none"/>
          <w:lang w:val="en-US" w:eastAsia="zh-CN"/>
        </w:rPr>
        <w:t>终验</w:t>
      </w:r>
    </w:p>
    <w:p w14:paraId="35F7426A">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Courier New" w:eastAsia="宋体"/>
          <w:color w:val="auto"/>
          <w:kern w:val="0"/>
          <w:sz w:val="24"/>
          <w:szCs w:val="24"/>
          <w:highlight w:val="none"/>
          <w:lang w:val="en-US" w:eastAsia="zh-CN"/>
        </w:rPr>
      </w:pPr>
      <w:r>
        <w:rPr>
          <w:rFonts w:hint="eastAsia" w:ascii="宋体" w:hAnsi="Courier New" w:eastAsia="宋体"/>
          <w:color w:val="auto"/>
          <w:kern w:val="0"/>
          <w:sz w:val="24"/>
          <w:szCs w:val="24"/>
          <w:highlight w:val="none"/>
          <w:lang w:val="en-US" w:eastAsia="zh-CN"/>
        </w:rPr>
        <w:t>系统通过试运行后，乙方向甲方提出终验申请，甲方组织相关单位及专家进行项目终验。系统终验收合格的条件必须至少满足以下要求：①已提供了合同要求的全部设备、软件和验收资料；②试运行时整体功能性能满足合同要求；③完成并通过第三方软件检测、等保检测以及“密评”，试运行期间出现的问题已被解决。</w:t>
      </w:r>
    </w:p>
    <w:p w14:paraId="3DA9FE52">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Courier New" w:eastAsia="宋体"/>
          <w:color w:val="auto"/>
          <w:kern w:val="0"/>
          <w:sz w:val="24"/>
          <w:szCs w:val="24"/>
          <w:highlight w:val="none"/>
          <w:lang w:val="en-US" w:eastAsia="zh-CN"/>
        </w:rPr>
        <w:t>验收时乙方必须在现场，验收完毕后作出验收结果报告，验收费用含在</w:t>
      </w:r>
      <w:r>
        <w:rPr>
          <w:rFonts w:hint="eastAsia" w:ascii="宋体" w:eastAsia="宋体"/>
          <w:color w:val="auto"/>
          <w:kern w:val="0"/>
          <w:sz w:val="24"/>
          <w:szCs w:val="24"/>
          <w:highlight w:val="none"/>
          <w:lang w:val="en-US" w:eastAsia="zh-CN"/>
        </w:rPr>
        <w:t>合同金额</w:t>
      </w:r>
      <w:r>
        <w:rPr>
          <w:rFonts w:hint="eastAsia" w:ascii="宋体" w:hAnsi="Courier New" w:eastAsia="宋体"/>
          <w:color w:val="auto"/>
          <w:kern w:val="0"/>
          <w:sz w:val="24"/>
          <w:szCs w:val="24"/>
          <w:highlight w:val="none"/>
          <w:lang w:val="en-US" w:eastAsia="zh-CN"/>
        </w:rPr>
        <w:t>中。</w:t>
      </w:r>
    </w:p>
    <w:p w14:paraId="1FEF4606">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（3）甲方根据上述规定进行验收，并不能免除乙方根据本合同质量保证条款规定所应承担的质量保证责任。</w:t>
      </w:r>
    </w:p>
    <w:p w14:paraId="395E2939">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（4）本项目验收需满足招标文件及投标文件要求外还应满足国家有关质量标准或行业规范（有新文件的按新文件执行）。</w:t>
      </w:r>
    </w:p>
    <w:p w14:paraId="45E0E6CC">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2.乙方交付前应对产品作出全面检查和对验收文件进行整理，并列出清单，作为甲方验收和使用的技术条件依据，检验的结果应随货物交甲方。</w:t>
      </w:r>
    </w:p>
    <w:p w14:paraId="0473EB84">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3.甲方对乙方提供的软件在使用前进行调试时，乙方需负责安装并培训甲方的使用操作人员，并协助甲方一起调试，直到符合技术要求，甲方才做最终收。</w:t>
      </w:r>
    </w:p>
    <w:p w14:paraId="3115FAFA">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4.对技术复杂的部分，甲方应请国家认可的专业检测机构参与初步验收及最终验收，并由其出具质量检测报告。</w:t>
      </w:r>
    </w:p>
    <w:p w14:paraId="334A2775">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5.验收时乙方必须在现场，验收完毕后作出验收结果</w:t>
      </w:r>
      <w:r>
        <w:rPr>
          <w:rFonts w:hint="eastAsia" w:ascii="宋体" w:hAnsi="宋体" w:eastAsia="宋体" w:cs="宋体"/>
          <w:color w:val="auto"/>
          <w:sz w:val="24"/>
          <w:szCs w:val="24"/>
          <w:highlight w:val="none"/>
          <w:lang w:val="en-US" w:eastAsia="zh-CN"/>
        </w:rPr>
        <w:t>报告，验收费用包含在本项目合同金额中</w:t>
      </w:r>
      <w:r>
        <w:rPr>
          <w:rFonts w:hint="eastAsia" w:ascii="宋体" w:hAnsi="宋体" w:eastAsia="宋体" w:cs="宋体"/>
          <w:color w:val="auto"/>
          <w:sz w:val="24"/>
          <w:szCs w:val="24"/>
          <w:highlight w:val="none"/>
        </w:rPr>
        <w:t>。</w:t>
      </w:r>
    </w:p>
    <w:p w14:paraId="3ED876CA">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十五、违约责任</w:t>
      </w:r>
    </w:p>
    <w:p w14:paraId="11520192">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1.甲方无正当理由拒绝验收的，甲方向乙方偿付合同总值的</w:t>
      </w:r>
      <w:r>
        <w:rPr>
          <w:rFonts w:hint="eastAsia" w:ascii="宋体" w:hAnsi="宋体" w:eastAsia="宋体" w:cs="宋体"/>
          <w:color w:val="auto"/>
          <w:sz w:val="24"/>
          <w:szCs w:val="24"/>
          <w:highlight w:val="none"/>
          <w:u w:val="single"/>
        </w:rPr>
        <w:t>百分之五</w:t>
      </w:r>
      <w:r>
        <w:rPr>
          <w:rFonts w:hint="eastAsia" w:ascii="宋体" w:hAnsi="宋体" w:eastAsia="宋体" w:cs="宋体"/>
          <w:color w:val="auto"/>
          <w:sz w:val="24"/>
          <w:szCs w:val="24"/>
          <w:highlight w:val="none"/>
        </w:rPr>
        <w:t>违约金。</w:t>
      </w:r>
    </w:p>
    <w:p w14:paraId="1212FDE2">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2.甲方无故逾期验收和办理支付手续的,甲方应按逾期付款金额</w:t>
      </w:r>
      <w:r>
        <w:rPr>
          <w:rFonts w:hint="eastAsia" w:ascii="宋体" w:hAnsi="宋体" w:eastAsia="宋体" w:cs="宋体"/>
          <w:color w:val="auto"/>
          <w:sz w:val="24"/>
          <w:szCs w:val="24"/>
          <w:highlight w:val="none"/>
          <w:u w:val="single"/>
        </w:rPr>
        <w:t>万分之五</w:t>
      </w:r>
      <w:r>
        <w:rPr>
          <w:rFonts w:hint="eastAsia" w:ascii="宋体" w:hAnsi="宋体" w:eastAsia="宋体" w:cs="宋体"/>
          <w:color w:val="auto"/>
          <w:sz w:val="24"/>
          <w:szCs w:val="24"/>
          <w:highlight w:val="none"/>
        </w:rPr>
        <w:t>每日向乙方支付违约金。</w:t>
      </w:r>
    </w:p>
    <w:p w14:paraId="7DA27148">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3.乙方逾期交付的，乙方应按合同金额</w:t>
      </w:r>
      <w:r>
        <w:rPr>
          <w:rFonts w:hint="eastAsia" w:ascii="宋体" w:hAnsi="宋体" w:eastAsia="宋体" w:cs="宋体"/>
          <w:color w:val="auto"/>
          <w:sz w:val="24"/>
          <w:szCs w:val="24"/>
          <w:highlight w:val="none"/>
          <w:u w:val="single"/>
        </w:rPr>
        <w:t>千分之六</w:t>
      </w:r>
      <w:r>
        <w:rPr>
          <w:rFonts w:hint="eastAsia" w:ascii="宋体" w:hAnsi="宋体" w:eastAsia="宋体" w:cs="宋体"/>
          <w:color w:val="auto"/>
          <w:sz w:val="24"/>
          <w:szCs w:val="24"/>
          <w:highlight w:val="none"/>
        </w:rPr>
        <w:t>每日向甲方支付违约金，由甲方从待支付款中扣除。逾期超过约定日期</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 xml:space="preserve">个工作日不能交付的，甲方可解除本合同。因乙方逾期交付或因其他违约行为导致甲方解除合同的，乙方应向甲方支付合同总值的百分之五的违约金，还应退还甲方已支付的费用及承担自收取之日起至实际退还之日止按月利率2%计算的利息。如造成甲方损失超过上述费用的，超出部分由乙方继续承担赔偿责任。 </w:t>
      </w:r>
    </w:p>
    <w:p w14:paraId="5BE0E179">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交的货物功能、规格、技术参数、质量不符合合同规定及招标文件规定标准或不能使用的，甲方有权拒收，乙方愿意整改但逾期交付的，按乙方逾期交付处理。乙方拒绝整改的，甲方可单方面解除合同，并按本合同第十五条第三款追究乙方责任。</w:t>
      </w:r>
    </w:p>
    <w:p w14:paraId="5D36C4C8">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5.若发生纠纷，由违约方赔偿守约方因纠纷所支付的费用（包括但不限于律师费、差旅费、诉讼费、保全费、鉴定费、评估费等）</w:t>
      </w:r>
      <w:r>
        <w:rPr>
          <w:rFonts w:hint="eastAsia" w:ascii="宋体" w:hAnsi="宋体" w:eastAsia="宋体" w:cs="宋体"/>
          <w:color w:val="auto"/>
          <w:sz w:val="24"/>
          <w:szCs w:val="24"/>
          <w:highlight w:val="none"/>
          <w:lang w:eastAsia="zh-CN"/>
        </w:rPr>
        <w:t>。</w:t>
      </w:r>
    </w:p>
    <w:p w14:paraId="4A636B0B">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Courier New" w:eastAsia="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Courier New" w:eastAsia="宋体"/>
          <w:color w:val="auto"/>
          <w:kern w:val="0"/>
          <w:sz w:val="24"/>
          <w:szCs w:val="24"/>
          <w:highlight w:val="none"/>
          <w:lang w:val="en-US" w:eastAsia="zh-CN"/>
        </w:rPr>
        <w:t>根据项目建设关键节点以及采购人要求，乙方的技术负责人应如期到岗，不到岗的，扣除5000元/次违约金。</w:t>
      </w:r>
    </w:p>
    <w:p w14:paraId="09ACDFE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Courier New" w:eastAsia="宋体"/>
          <w:color w:val="auto"/>
          <w:kern w:val="0"/>
          <w:sz w:val="24"/>
          <w:szCs w:val="24"/>
          <w:highlight w:val="none"/>
          <w:lang w:val="en-US" w:eastAsia="zh-CN"/>
        </w:rPr>
        <w:t>7.乙方应积极配合本项目监理单位，根据监理单位开出的工作联系单或整改通知单，及时予以回应并办理，否则，采购人有权扣除1000元/次违约金。</w:t>
      </w:r>
    </w:p>
    <w:p w14:paraId="19282717">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十六、不可抗力事件处理</w:t>
      </w:r>
    </w:p>
    <w:p w14:paraId="58745807">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在合同有效期内，任何一方因不可抗力事件导致不能履行合同，则合同履行期可延长，其延长期与不可抗力影响期相同。</w:t>
      </w:r>
    </w:p>
    <w:p w14:paraId="0261DC4A">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不可抗力事件发生后，应立即通知对方，并寄送有关权威机构出具的证明。</w:t>
      </w:r>
    </w:p>
    <w:p w14:paraId="3B44ECE2">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不可抗力事件延续120天以上，双方应通过友好协商，确定是否继续履行合同。</w:t>
      </w:r>
    </w:p>
    <w:p w14:paraId="5E4074D7">
      <w:pPr>
        <w:pStyle w:val="23"/>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十七、解决争议的方法</w:t>
      </w:r>
    </w:p>
    <w:p w14:paraId="69CF34AB">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 如双方在履行合同时发生纠纷，应协商解决；协商不成时，可提请政府采购管理部门调解；调解不成的通过依法向甲方所在地人民法院提起诉讼方式解决</w:t>
      </w:r>
    </w:p>
    <w:p w14:paraId="4D2478C9">
      <w:pPr>
        <w:pStyle w:val="23"/>
        <w:keepNext w:val="0"/>
        <w:keepLines w:val="0"/>
        <w:pageBreakBefore w:val="0"/>
        <w:tabs>
          <w:tab w:val="left" w:pos="5790"/>
        </w:tabs>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十八、合同生效及其它</w:t>
      </w:r>
      <w:r>
        <w:rPr>
          <w:rFonts w:hint="eastAsia" w:ascii="宋体" w:hAnsi="宋体" w:eastAsia="宋体" w:cs="宋体"/>
          <w:b/>
          <w:color w:val="auto"/>
          <w:sz w:val="24"/>
          <w:szCs w:val="24"/>
          <w:highlight w:val="none"/>
        </w:rPr>
        <w:tab/>
      </w:r>
    </w:p>
    <w:p w14:paraId="0B3A89BE">
      <w:pPr>
        <w:pStyle w:val="17"/>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1.合同经双方法定代表人或授权代表签字并盖章后生效。</w:t>
      </w:r>
    </w:p>
    <w:p w14:paraId="5FC305E1">
      <w:pPr>
        <w:pStyle w:val="17"/>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2.本合同未尽事宜，遵照《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"https://baike.so.com/doc/24285488-25517578.html" \t "https://www.so.com/_blank"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中华人民共和国民法典</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》有关条文执行。</w:t>
      </w:r>
    </w:p>
    <w:p w14:paraId="57C569FE">
      <w:pPr>
        <w:pStyle w:val="17"/>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w:t>
      </w:r>
      <w:r>
        <w:rPr>
          <w:rFonts w:hint="eastAsia" w:ascii="宋体" w:hAnsi="宋体" w:eastAsia="宋体" w:cs="宋体"/>
          <w:color w:val="auto"/>
          <w:sz w:val="24"/>
          <w:szCs w:val="24"/>
          <w:highlight w:val="none"/>
          <w:u w:val="single"/>
          <w:lang w:val="en-US" w:eastAsia="zh-CN"/>
        </w:rPr>
        <w:t xml:space="preserve"> 陆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lang w:val="en-US" w:eastAsia="zh-CN"/>
        </w:rPr>
        <w:t xml:space="preserve"> 叁 </w:t>
      </w:r>
      <w:r>
        <w:rPr>
          <w:rFonts w:hint="eastAsia" w:ascii="宋体" w:hAnsi="宋体" w:eastAsia="宋体" w:cs="宋体"/>
          <w:color w:val="auto"/>
          <w:sz w:val="24"/>
          <w:szCs w:val="24"/>
          <w:highlight w:val="none"/>
        </w:rPr>
        <w:t>份。本项目未尽事宜以招标文件、投标文件及澄清文件等为准。</w:t>
      </w:r>
    </w:p>
    <w:p w14:paraId="0F3D2A42">
      <w:pPr>
        <w:keepNext w:val="0"/>
        <w:keepLines w:val="0"/>
        <w:pageBreakBefore w:val="0"/>
        <w:widowControl/>
        <w:kinsoku/>
        <w:wordWrap/>
        <w:overflowPunct/>
        <w:topLinePunct w:val="0"/>
        <w:bidi w:val="0"/>
        <w:adjustRightInd/>
        <w:snapToGrid/>
        <w:spacing w:line="360" w:lineRule="auto"/>
        <w:ind w:left="0" w:right="0" w:firstLine="0" w:firstLineChars="0"/>
        <w:textAlignment w:val="auto"/>
        <w:rPr>
          <w:rFonts w:hint="eastAsia" w:ascii="宋体" w:hAnsi="宋体" w:eastAsia="宋体" w:cs="宋体"/>
          <w:b/>
          <w:color w:val="auto"/>
          <w:sz w:val="24"/>
          <w:szCs w:val="24"/>
          <w:highlight w:val="none"/>
        </w:rPr>
      </w:pPr>
    </w:p>
    <w:p w14:paraId="388ACC91">
      <w:pPr>
        <w:keepNext w:val="0"/>
        <w:keepLines w:val="0"/>
        <w:pageBreakBefore w:val="0"/>
        <w:kinsoku/>
        <w:wordWrap/>
        <w:overflowPunct/>
        <w:topLinePunct w:val="0"/>
        <w:bidi w:val="0"/>
        <w:adjustRightInd/>
        <w:snapToGrid/>
        <w:spacing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乙方（章）</w:t>
      </w:r>
    </w:p>
    <w:p w14:paraId="3FD69F0F">
      <w:pPr>
        <w:keepNext w:val="0"/>
        <w:keepLines w:val="0"/>
        <w:pageBreakBefore w:val="0"/>
        <w:kinsoku/>
        <w:wordWrap/>
        <w:overflowPunct/>
        <w:topLinePunct w:val="0"/>
        <w:bidi w:val="0"/>
        <w:adjustRightInd/>
        <w:snapToGrid/>
        <w:spacing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27A0C7C2">
      <w:pPr>
        <w:keepNext w:val="0"/>
        <w:keepLines w:val="0"/>
        <w:pageBreakBefore w:val="0"/>
        <w:kinsoku/>
        <w:wordWrap/>
        <w:overflowPunct/>
        <w:topLinePunct w:val="0"/>
        <w:bidi w:val="0"/>
        <w:adjustRightInd/>
        <w:snapToGrid/>
        <w:spacing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5E1C37FD">
      <w:pPr>
        <w:keepNext w:val="0"/>
        <w:keepLines w:val="0"/>
        <w:pageBreakBefore w:val="0"/>
        <w:kinsoku/>
        <w:wordWrap/>
        <w:overflowPunct/>
        <w:topLinePunct w:val="0"/>
        <w:bidi w:val="0"/>
        <w:adjustRightInd/>
        <w:snapToGrid/>
        <w:spacing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7B9CCEEE">
      <w:pPr>
        <w:keepNext w:val="0"/>
        <w:keepLines w:val="0"/>
        <w:pageBreakBefore w:val="0"/>
        <w:kinsoku/>
        <w:wordWrap/>
        <w:overflowPunct/>
        <w:topLinePunct w:val="0"/>
        <w:bidi w:val="0"/>
        <w:adjustRightInd/>
        <w:snapToGrid/>
        <w:spacing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49BB817D">
      <w:pPr>
        <w:keepNext w:val="0"/>
        <w:keepLines w:val="0"/>
        <w:pageBreakBefore w:val="0"/>
        <w:kinsoku/>
        <w:wordWrap/>
        <w:overflowPunct/>
        <w:topLinePunct w:val="0"/>
        <w:bidi w:val="0"/>
        <w:adjustRightInd/>
        <w:snapToGrid/>
        <w:spacing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39636A28">
      <w:pPr>
        <w:keepNext w:val="0"/>
        <w:keepLines w:val="0"/>
        <w:pageBreakBefore w:val="0"/>
        <w:kinsoku/>
        <w:wordWrap/>
        <w:overflowPunct/>
        <w:topLinePunct w:val="0"/>
        <w:bidi w:val="0"/>
        <w:adjustRightInd/>
        <w:snapToGrid/>
        <w:spacing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地址及邮编：                                     地址及邮编：</w:t>
      </w:r>
    </w:p>
    <w:p w14:paraId="35EC60E4">
      <w:pPr>
        <w:keepNext w:val="0"/>
        <w:keepLines w:val="0"/>
        <w:pageBreakBefore w:val="0"/>
        <w:kinsoku/>
        <w:wordWrap/>
        <w:overflowPunct/>
        <w:topLinePunct w:val="0"/>
        <w:bidi w:val="0"/>
        <w:adjustRightInd/>
        <w:snapToGrid/>
        <w:spacing w:line="360" w:lineRule="auto"/>
        <w:ind w:left="0" w:right="0" w:firstLine="0" w:firstLineChars="0"/>
        <w:textAlignment w:val="auto"/>
        <w:rPr>
          <w:rFonts w:hint="eastAsia" w:ascii="宋体" w:hAnsi="宋体" w:eastAsia="宋体" w:cs="宋体"/>
          <w:color w:val="auto"/>
          <w:sz w:val="24"/>
          <w:szCs w:val="24"/>
          <w:highlight w:val="none"/>
        </w:rPr>
      </w:pPr>
    </w:p>
    <w:p w14:paraId="484DD4EF">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签订时间：    年   月    日</w:t>
      </w:r>
    </w:p>
    <w:p w14:paraId="6CEEA0F3">
      <w:pPr>
        <w:pStyle w:val="35"/>
        <w:ind w:firstLine="482"/>
        <w:rPr>
          <w:rFonts w:hint="eastAsia" w:ascii="宋体" w:hAnsi="宋体" w:cs="宋体"/>
          <w:b/>
          <w:snapToGrid w:val="0"/>
          <w:color w:val="auto"/>
          <w:kern w:val="0"/>
          <w:sz w:val="24"/>
          <w:highlight w:val="none"/>
        </w:rPr>
      </w:pPr>
    </w:p>
    <w:p w14:paraId="0EA41DBB">
      <w:pPr>
        <w:ind w:firstLine="480"/>
        <w:rPr>
          <w:rFonts w:hint="eastAsia" w:ascii="宋体" w:hAnsi="宋体" w:cs="宋体"/>
          <w:b/>
          <w:bCs/>
          <w:color w:val="auto"/>
          <w:sz w:val="24"/>
          <w:highlight w:val="none"/>
        </w:rPr>
      </w:pPr>
    </w:p>
    <w:p w14:paraId="49154269">
      <w:pPr>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FA187D1">
      <w:pPr>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合同附件一</w:t>
      </w:r>
    </w:p>
    <w:p w14:paraId="02E43652">
      <w:pPr>
        <w:ind w:firstLine="562" w:firstLineChars="20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公安网络与信息安全保密协议</w:t>
      </w:r>
    </w:p>
    <w:p w14:paraId="08048FA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台州市公安局</w:t>
      </w:r>
    </w:p>
    <w:p w14:paraId="3207C56D">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F2DA33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为切实保障公安网络和信息安全保密，根据《中华人民共和国保守国家秘密法》和有关法律、法规之规定，为确保甲方所涉及的国家秘密和警务工作秘密的网络与信息安全，双方同意签订如下保密协议：</w:t>
      </w:r>
    </w:p>
    <w:p w14:paraId="44DAF0D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一、保密范围</w:t>
      </w:r>
    </w:p>
    <w:p w14:paraId="1E559251">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乙方为甲方提供技术咨询、技术服务、系统建设而了解、掌握的甲方公安信息网络系统的拓扑结构、安全保密措施、各项参数等，以及甲方场地环境、硬件、软件、电子信息和所有资料内容（以上简称专有信息）。</w:t>
      </w:r>
    </w:p>
    <w:p w14:paraId="53DAE1BA">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二、保密责任</w:t>
      </w:r>
    </w:p>
    <w:p w14:paraId="0F126E2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乙方须确定项目开发与维护的专门人员，并将有关人员情况报甲方备案并须通过甲方审查和书面确认。其中，对涉密数据加载运行后承担系统维护的人员，甲乙双方须按照各自职责进行更为严格的审查。</w:t>
      </w:r>
    </w:p>
    <w:p w14:paraId="51193A0B">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乙方须在签订本保密协议后，才可使用甲方提供的有关专有信息开展相关工作。</w:t>
      </w:r>
    </w:p>
    <w:p w14:paraId="4FD48A57">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乙方须与参加项目的有关人员签订《保密协议》，经常对有关人员进行保密教育，监督个人履约情况；未经甲方书面确认，乙方不得随意增减、更换有关技术人员。</w:t>
      </w:r>
    </w:p>
    <w:p w14:paraId="27CC1D5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14:paraId="5C8EAED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建设涉密信息系统，乙方须具有国家保密工作部门核发的《资质证书》，制定甲方认可的安全保密管理方案，并采用适当的安全保密技术和措施对涉密系统进行集成。</w:t>
      </w:r>
    </w:p>
    <w:p w14:paraId="68D5F08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对项目实施过程中乙方出现的不符合保密规定的问题，甲方有责任及时指出，并督促乙方纠正。</w:t>
      </w:r>
    </w:p>
    <w:p w14:paraId="7278578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甲方向乙方提供的所有资料，仅</w:t>
      </w:r>
      <w:r>
        <w:rPr>
          <w:rFonts w:hint="eastAsia" w:ascii="宋体" w:hAnsi="宋体" w:cs="宋体"/>
          <w:color w:val="auto"/>
          <w:sz w:val="24"/>
          <w:highlight w:val="none"/>
        </w:rPr>
        <w:t>供项目小组人员参考使用，乙方须严守资料中所涉及秘密，妥善保管，不得遗失、复制。乙方发现保密范围内的有关事项已经泄露或可能泄露时应当报告甲方，并及时采取补救措施。</w:t>
      </w:r>
    </w:p>
    <w:p w14:paraId="0DC1FD7B">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当甲方以书面形式要求乙方交回专有信息时，乙方应当立即交回所有书面的或其他形式的专有信息以及所有描述和概括该专有信息的文件资料，不能以任何形式保留或擅自处理。</w:t>
      </w:r>
    </w:p>
    <w:p w14:paraId="662616D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w:t>
      </w:r>
      <w:r>
        <w:rPr>
          <w:rFonts w:ascii="宋体" w:hAnsi="宋体" w:cs="宋体"/>
          <w:color w:val="auto"/>
          <w:sz w:val="24"/>
          <w:highlight w:val="none"/>
        </w:rPr>
        <w:t>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14:paraId="5E476164">
      <w:pPr>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1.</w:t>
      </w:r>
      <w:r>
        <w:rPr>
          <w:rFonts w:ascii="宋体" w:hAnsi="宋体" w:cs="宋体"/>
          <w:color w:val="auto"/>
          <w:sz w:val="24"/>
          <w:highlight w:val="none"/>
        </w:rPr>
        <w:t>乙方不得在任何场合介绍和演示甲方产品项目的任何信息。</w:t>
      </w:r>
    </w:p>
    <w:p w14:paraId="73701C0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三、违约责任</w:t>
      </w:r>
    </w:p>
    <w:p w14:paraId="2EEF5B09">
      <w:pPr>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2.</w:t>
      </w:r>
      <w:r>
        <w:rPr>
          <w:rFonts w:ascii="宋体" w:hAnsi="宋体" w:cs="宋体"/>
          <w:color w:val="auto"/>
          <w:sz w:val="24"/>
          <w:highlight w:val="none"/>
        </w:rPr>
        <w:t>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14:paraId="2F8427B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四、保密期限</w:t>
      </w:r>
    </w:p>
    <w:p w14:paraId="7BF52B5D">
      <w:pPr>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14:paraId="078D8759">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五、附则</w:t>
      </w:r>
    </w:p>
    <w:p w14:paraId="5B8E1ED9">
      <w:pPr>
        <w:ind w:firstLine="480" w:firstLineChars="200"/>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4.</w:t>
      </w:r>
      <w:r>
        <w:rPr>
          <w:rFonts w:asciiTheme="minorEastAsia" w:hAnsiTheme="minorEastAsia" w:eastAsiaTheme="minorEastAsia" w:cstheme="minorEastAsia"/>
          <w:color w:val="auto"/>
          <w:sz w:val="24"/>
          <w:highlight w:val="none"/>
        </w:rPr>
        <w:t>本协议是合同有效组成部分。</w:t>
      </w:r>
    </w:p>
    <w:p w14:paraId="7642498A">
      <w:pPr>
        <w:pStyle w:val="6"/>
        <w:ind w:firstLine="482"/>
        <w:rPr>
          <w:rFonts w:ascii="Calibri" w:hAnsi="Calibri"/>
          <w:color w:val="auto"/>
          <w:sz w:val="24"/>
          <w:szCs w:val="24"/>
          <w:highlight w:val="none"/>
        </w:rPr>
      </w:pPr>
    </w:p>
    <w:p w14:paraId="680C23BF">
      <w:pPr>
        <w:spacing w:line="312" w:lineRule="auto"/>
        <w:ind w:firstLine="482"/>
        <w:rPr>
          <w:rFonts w:hint="eastAsia" w:ascii="宋体" w:hAnsi="宋体" w:cs="宋体"/>
          <w:color w:val="auto"/>
          <w:sz w:val="24"/>
          <w:highlight w:val="none"/>
        </w:rPr>
      </w:pPr>
    </w:p>
    <w:p w14:paraId="5A73DFEC">
      <w:pPr>
        <w:widowControl/>
        <w:spacing w:line="312" w:lineRule="auto"/>
        <w:ind w:firstLine="482"/>
        <w:rPr>
          <w:rFonts w:hint="eastAsia" w:ascii="宋体" w:hAnsi="宋体" w:cs="宋体"/>
          <w:snapToGrid w:val="0"/>
          <w:color w:val="auto"/>
          <w:sz w:val="2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B463002">
      <w:pPr>
        <w:ind w:firstLine="562" w:firstLineChars="200"/>
        <w:rPr>
          <w:color w:val="auto"/>
          <w:highlight w:val="none"/>
        </w:rPr>
      </w:pPr>
      <w:r>
        <w:rPr>
          <w:rFonts w:hint="eastAsia" w:ascii="宋体" w:hAnsi="宋体" w:cs="宋体"/>
          <w:b/>
          <w:bCs/>
          <w:color w:val="auto"/>
          <w:sz w:val="28"/>
          <w:szCs w:val="28"/>
          <w:highlight w:val="none"/>
        </w:rPr>
        <w:t>合同附件二</w:t>
      </w:r>
    </w:p>
    <w:p w14:paraId="7EACABFE">
      <w:pPr>
        <w:ind w:firstLine="562" w:firstLineChars="200"/>
        <w:jc w:val="center"/>
        <w:rPr>
          <w:rFonts w:ascii="Calibri" w:hAnsi="Calibri"/>
          <w:b/>
          <w:bCs/>
          <w:color w:val="auto"/>
          <w:sz w:val="28"/>
          <w:szCs w:val="28"/>
          <w:highlight w:val="none"/>
        </w:rPr>
      </w:pPr>
      <w:r>
        <w:rPr>
          <w:rFonts w:hint="eastAsia" w:ascii="宋体" w:hAnsi="宋体" w:cs="宋体"/>
          <w:b/>
          <w:bCs/>
          <w:color w:val="auto"/>
          <w:sz w:val="28"/>
          <w:szCs w:val="28"/>
          <w:highlight w:val="none"/>
        </w:rPr>
        <w:t>廉洁诚信协议</w:t>
      </w:r>
    </w:p>
    <w:p w14:paraId="414F2570">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14:paraId="145BFE66">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1.双方在整个项目采购、建设活动中，做到公平、公正、公开，不搞暗箱操作，不搞不正当竞争，双方工作人员及亲属不得违反以下规定：</w:t>
      </w:r>
    </w:p>
    <w:p w14:paraId="283B5830">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（1）不得收受或向对方馈送现金、贵重物品、有价证券、购物卡、充值卡等，不得收受回扣；</w:t>
      </w:r>
    </w:p>
    <w:p w14:paraId="07B2E7B5">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14:paraId="756FBC0E">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（3）不得接受对方或向对方在住房建修、婚丧嫁娶、出国考察、旅游、攻读学历学位等方面提供资助；</w:t>
      </w:r>
    </w:p>
    <w:p w14:paraId="5A8E52DB">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（4）不得参加或提供可能影响合作业务公平、公正的娱乐、宴请、健身等活动；</w:t>
      </w:r>
    </w:p>
    <w:p w14:paraId="210D7972">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（5）不得报销或为对方报销应由个人支付的费用。</w:t>
      </w:r>
    </w:p>
    <w:p w14:paraId="1CF8D4BF">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2.乙方人员若有违反第1条规定的行为，或者存在其它违反商业道德与市场规则的情况,甲方有义务向对方监察或相应部门举报。</w:t>
      </w:r>
    </w:p>
    <w:p w14:paraId="11065E0F">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3.甲方人员有违反第1条规定的行为，或者存在其它索贿、受贿行为或者徇私舞弊、滥用职权、严重渎职等情况时，乙方有义务向对方监察或相应部门举报。</w:t>
      </w:r>
    </w:p>
    <w:p w14:paraId="3C53218B">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4.双方及相关人员违反上述规定及其他廉洁诚信准则的，愿意接受党纪政纪及法律惩处。</w:t>
      </w:r>
    </w:p>
    <w:p w14:paraId="5C3A9EE5">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5.本保证及承诺的有效期与对应的合同或交易事项相同。</w:t>
      </w:r>
    </w:p>
    <w:p w14:paraId="4FEEA962">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6.本廉洁承诺约定作为双方签订的合同附件，具有同等法律效力。</w:t>
      </w:r>
    </w:p>
    <w:p w14:paraId="11E4E78D">
      <w:pPr>
        <w:spacing w:line="300" w:lineRule="auto"/>
        <w:ind w:firstLine="482"/>
        <w:rPr>
          <w:rFonts w:hint="eastAsia" w:ascii="宋体" w:hAnsi="宋体" w:cs="宋体"/>
          <w:color w:val="auto"/>
          <w:sz w:val="24"/>
          <w:highlight w:val="none"/>
        </w:rPr>
      </w:pPr>
    </w:p>
    <w:p w14:paraId="1593C2A0">
      <w:pPr>
        <w:pStyle w:val="48"/>
        <w:ind w:firstLine="482"/>
        <w:rPr>
          <w:color w:val="auto"/>
          <w:sz w:val="24"/>
          <w:highlight w:val="none"/>
        </w:rPr>
      </w:pPr>
    </w:p>
    <w:p w14:paraId="609E22A7">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台州市公安局举报渠道：   合作方举报渠道：</w:t>
      </w:r>
    </w:p>
    <w:p w14:paraId="2DA45927">
      <w:pPr>
        <w:pStyle w:val="6"/>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电话：12389                        电话：</w:t>
      </w:r>
    </w:p>
    <w:p w14:paraId="242D8461">
      <w:pPr>
        <w:spacing w:line="360" w:lineRule="auto"/>
        <w:jc w:val="left"/>
        <w:rPr>
          <w:rFonts w:hint="eastAsia" w:asciiTheme="majorEastAsia" w:hAnsiTheme="majorEastAsia" w:eastAsiaTheme="majorEastAsia"/>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F2A76C0">
      <w:pPr>
        <w:numPr>
          <w:ilvl w:val="0"/>
          <w:numId w:val="4"/>
        </w:numPr>
        <w:spacing w:line="360" w:lineRule="auto"/>
        <w:ind w:firstLine="723" w:firstLineChars="200"/>
        <w:jc w:val="center"/>
        <w:rPr>
          <w:rFonts w:hint="eastAsia" w:ascii="仿宋_GB2312" w:hAnsi="宋体" w:eastAsia="仿宋_GB2312"/>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14:paraId="32175E1D">
      <w:pPr>
        <w:snapToGrid w:val="0"/>
        <w:spacing w:before="50" w:after="50" w:line="360" w:lineRule="auto"/>
        <w:ind w:firstLine="723" w:firstLineChars="200"/>
        <w:jc w:val="center"/>
        <w:rPr>
          <w:rFonts w:hint="eastAsia" w:ascii="仿宋_GB2312" w:hAnsi="宋体" w:eastAsia="仿宋_GB2312"/>
          <w:b/>
          <w:bCs/>
          <w:color w:val="auto"/>
          <w:sz w:val="36"/>
          <w:szCs w:val="36"/>
          <w:highlight w:val="none"/>
        </w:rPr>
      </w:pPr>
      <w:r>
        <w:rPr>
          <w:rFonts w:hint="eastAsia" w:ascii="宋体" w:hAnsi="宋体"/>
          <w:b/>
          <w:bCs/>
          <w:color w:val="auto"/>
          <w:sz w:val="36"/>
          <w:szCs w:val="36"/>
          <w:highlight w:val="none"/>
        </w:rPr>
        <w:t>资格证明文件目录</w:t>
      </w:r>
    </w:p>
    <w:p w14:paraId="72EDF04B">
      <w:pPr>
        <w:snapToGrid w:val="0"/>
        <w:spacing w:line="360" w:lineRule="auto"/>
        <w:ind w:left="21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投标声明书（格式附后）；</w:t>
      </w:r>
    </w:p>
    <w:p w14:paraId="45BD048D">
      <w:pPr>
        <w:snapToGrid w:val="0"/>
        <w:spacing w:line="360" w:lineRule="auto"/>
        <w:ind w:left="21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授权委托书（格式附后）（法定代表人亲自办理投标事宜的，则无需提交）；</w:t>
      </w:r>
    </w:p>
    <w:p w14:paraId="379ADF99">
      <w:pPr>
        <w:snapToGrid w:val="0"/>
        <w:spacing w:line="360" w:lineRule="auto"/>
        <w:ind w:left="21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法人或者其他组织的营业执照等证明文件，自然人的身份证明；</w:t>
      </w:r>
    </w:p>
    <w:p w14:paraId="1EF364D4">
      <w:pPr>
        <w:snapToGrid w:val="0"/>
        <w:spacing w:line="360" w:lineRule="auto"/>
        <w:ind w:left="21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提供符合资格条件的声明函（声明函格式附后）或同时提供以下四项相关材料：①财务状况报告；②依法缴纳税收；③依法缴纳社会保障资金；④具备履行合同所必需的设备和专业技术能力的证明材料。</w:t>
      </w:r>
    </w:p>
    <w:p w14:paraId="6EE8346E">
      <w:pPr>
        <w:ind w:firstLine="562" w:firstLineChars="200"/>
        <w:rPr>
          <w:rFonts w:hint="eastAsia" w:ascii="宋体" w:hAnsi="宋体"/>
          <w:b/>
          <w:color w:val="auto"/>
          <w:sz w:val="28"/>
          <w:highlight w:val="none"/>
        </w:rPr>
      </w:pPr>
      <w:r>
        <w:rPr>
          <w:rFonts w:hint="eastAsia" w:ascii="宋体" w:hAnsi="宋体"/>
          <w:b/>
          <w:color w:val="auto"/>
          <w:sz w:val="28"/>
          <w:highlight w:val="none"/>
        </w:rPr>
        <w:br w:type="page"/>
      </w:r>
    </w:p>
    <w:p w14:paraId="5D3055E6">
      <w:pPr>
        <w:spacing w:line="360" w:lineRule="auto"/>
        <w:ind w:firstLine="562" w:firstLineChars="200"/>
        <w:rPr>
          <w:rFonts w:hint="eastAsia"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p>
    <w:p w14:paraId="225C2ECD">
      <w:pPr>
        <w:adjustRightInd w:val="0"/>
        <w:snapToGrid w:val="0"/>
        <w:spacing w:line="360" w:lineRule="auto"/>
        <w:ind w:right="480" w:firstLine="643" w:firstLineChars="200"/>
        <w:jc w:val="center"/>
        <w:rPr>
          <w:rFonts w:hint="eastAsia"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457C2492">
      <w:pPr>
        <w:snapToGrid w:val="0"/>
        <w:spacing w:before="156" w:beforeLines="50" w:after="50" w:line="360" w:lineRule="exact"/>
        <w:ind w:firstLine="480" w:firstLineChars="200"/>
        <w:rPr>
          <w:rFonts w:hint="eastAsia" w:ascii="宋体" w:hAnsi="宋体" w:cs="宋体"/>
          <w:color w:val="auto"/>
          <w:kern w:val="0"/>
          <w:sz w:val="24"/>
          <w:highlight w:val="none"/>
        </w:rPr>
      </w:pPr>
      <w:r>
        <w:rPr>
          <w:rFonts w:hint="eastAsia" w:ascii="宋体" w:hAnsi="宋体" w:cstheme="minorBidi"/>
          <w:color w:val="auto"/>
          <w:sz w:val="24"/>
          <w:highlight w:val="none"/>
          <w:u w:val="single"/>
        </w:rPr>
        <w:t>浙江百和工程咨询有限公司</w:t>
      </w:r>
      <w:r>
        <w:rPr>
          <w:rFonts w:hint="eastAsia" w:ascii="宋体" w:hAnsi="宋体" w:cs="宋体"/>
          <w:color w:val="auto"/>
          <w:kern w:val="0"/>
          <w:sz w:val="24"/>
          <w:highlight w:val="none"/>
        </w:rPr>
        <w:t>：</w:t>
      </w:r>
    </w:p>
    <w:p w14:paraId="4693D46C">
      <w:pPr>
        <w:snapToGrid w:val="0"/>
        <w:spacing w:before="156" w:beforeLines="50" w:after="50" w:line="3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304915D7">
      <w:pPr>
        <w:snapToGrid w:val="0"/>
        <w:spacing w:before="156" w:beforeLines="50" w:after="50" w:line="3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7ED7B471">
      <w:pPr>
        <w:snapToGrid w:val="0"/>
        <w:spacing w:before="156" w:beforeLines="50" w:after="50" w:line="360" w:lineRule="exact"/>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4323D00">
      <w:pPr>
        <w:snapToGrid w:val="0"/>
        <w:spacing w:before="156" w:beforeLines="50" w:after="50" w:line="3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14:paraId="065AFCD9">
      <w:pPr>
        <w:numPr>
          <w:ilvl w:val="255"/>
          <w:numId w:val="0"/>
        </w:numPr>
        <w:snapToGrid w:val="0"/>
        <w:spacing w:before="156" w:beforeLines="50" w:after="50"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6BA2CE1F">
      <w:pPr>
        <w:snapToGrid w:val="0"/>
        <w:spacing w:before="156" w:beforeLines="50" w:after="50" w:line="360" w:lineRule="exact"/>
        <w:ind w:firstLine="480" w:firstLineChars="200"/>
        <w:rPr>
          <w:rFonts w:hint="eastAsia"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5FCA6B6E">
      <w:pPr>
        <w:snapToGrid w:val="0"/>
        <w:spacing w:before="156" w:beforeLines="50" w:after="50" w:line="360" w:lineRule="exact"/>
        <w:ind w:firstLine="480" w:firstLineChars="200"/>
        <w:rPr>
          <w:rFonts w:hint="eastAsia"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738831A6">
      <w:pPr>
        <w:snapToGrid w:val="0"/>
        <w:spacing w:before="156" w:beforeLines="50" w:after="50"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4AE5B393">
      <w:pPr>
        <w:adjustRightInd w:val="0"/>
        <w:snapToGrid w:val="0"/>
        <w:spacing w:line="360" w:lineRule="exact"/>
        <w:ind w:firstLine="482"/>
        <w:rPr>
          <w:rFonts w:hint="eastAsia" w:ascii="宋体" w:hAnsi="宋体" w:cs="仿宋_GB2312"/>
          <w:color w:val="auto"/>
          <w:kern w:val="0"/>
          <w:sz w:val="24"/>
          <w:highlight w:val="none"/>
        </w:rPr>
      </w:pPr>
    </w:p>
    <w:p w14:paraId="6926FB6C">
      <w:pPr>
        <w:adjustRightInd w:val="0"/>
        <w:snapToGrid w:val="0"/>
        <w:spacing w:line="360" w:lineRule="exact"/>
        <w:ind w:firstLine="480" w:firstLineChars="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投标人名称(公章)：</w:t>
      </w:r>
    </w:p>
    <w:p w14:paraId="17884317">
      <w:pPr>
        <w:adjustRightInd w:val="0"/>
        <w:snapToGrid w:val="0"/>
        <w:spacing w:line="360" w:lineRule="exact"/>
        <w:ind w:firstLine="480" w:firstLineChars="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法定代表人或授权委托人(签章或签字)：</w:t>
      </w:r>
    </w:p>
    <w:p w14:paraId="61828F90">
      <w:pPr>
        <w:adjustRightInd w:val="0"/>
        <w:snapToGrid w:val="0"/>
        <w:spacing w:line="360" w:lineRule="exact"/>
        <w:ind w:right="480" w:firstLine="480" w:firstLineChars="200"/>
        <w:jc w:val="center"/>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68CA68B8">
      <w:pPr>
        <w:adjustRightInd w:val="0"/>
        <w:snapToGrid w:val="0"/>
        <w:spacing w:line="360" w:lineRule="auto"/>
        <w:ind w:right="480" w:firstLine="560"/>
        <w:rPr>
          <w:rFonts w:hint="eastAsia" w:ascii="宋体" w:hAnsi="宋体"/>
          <w:b/>
          <w:color w:val="auto"/>
          <w:sz w:val="28"/>
          <w:highlight w:val="none"/>
        </w:rPr>
      </w:pPr>
    </w:p>
    <w:p w14:paraId="382039C7">
      <w:pPr>
        <w:adjustRightInd w:val="0"/>
        <w:snapToGrid w:val="0"/>
        <w:spacing w:line="360" w:lineRule="auto"/>
        <w:ind w:right="480" w:firstLine="560"/>
        <w:rPr>
          <w:rFonts w:hint="eastAsia" w:ascii="宋体" w:hAnsi="宋体"/>
          <w:b/>
          <w:color w:val="auto"/>
          <w:sz w:val="28"/>
          <w:highlight w:val="none"/>
        </w:rPr>
      </w:pPr>
    </w:p>
    <w:p w14:paraId="01839861">
      <w:pPr>
        <w:adjustRightInd w:val="0"/>
        <w:snapToGrid w:val="0"/>
        <w:spacing w:line="360" w:lineRule="auto"/>
        <w:ind w:right="480" w:firstLine="56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2483DD8">
      <w:pPr>
        <w:adjustRightInd w:val="0"/>
        <w:snapToGrid w:val="0"/>
        <w:spacing w:line="360" w:lineRule="auto"/>
        <w:ind w:right="480" w:firstLine="562" w:firstLineChars="200"/>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2</w:t>
      </w:r>
    </w:p>
    <w:p w14:paraId="187948CF">
      <w:pPr>
        <w:spacing w:line="360" w:lineRule="auto"/>
        <w:ind w:firstLine="643" w:firstLineChars="200"/>
        <w:jc w:val="center"/>
        <w:rPr>
          <w:rFonts w:hint="eastAsia"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7FEAEFA8">
      <w:pPr>
        <w:snapToGrid w:val="0"/>
        <w:spacing w:before="156" w:beforeLines="50" w:after="50" w:line="360" w:lineRule="auto"/>
        <w:ind w:firstLine="480" w:firstLineChars="200"/>
        <w:rPr>
          <w:rFonts w:hint="eastAsia" w:ascii="宋体" w:hAnsi="宋体" w:cs="宋体"/>
          <w:color w:val="auto"/>
          <w:kern w:val="0"/>
          <w:sz w:val="24"/>
          <w:highlight w:val="none"/>
        </w:rPr>
      </w:pPr>
      <w:r>
        <w:rPr>
          <w:rFonts w:hint="eastAsia" w:ascii="宋体" w:hAnsi="宋体" w:cstheme="minorBidi"/>
          <w:color w:val="auto"/>
          <w:sz w:val="24"/>
          <w:highlight w:val="none"/>
          <w:u w:val="single"/>
        </w:rPr>
        <w:t>浙江百和工程咨询有限公司</w:t>
      </w:r>
      <w:r>
        <w:rPr>
          <w:rFonts w:hint="eastAsia" w:ascii="宋体" w:hAnsi="宋体" w:cs="宋体"/>
          <w:color w:val="auto"/>
          <w:kern w:val="0"/>
          <w:sz w:val="24"/>
          <w:highlight w:val="none"/>
        </w:rPr>
        <w:t>：</w:t>
      </w:r>
    </w:p>
    <w:p w14:paraId="72F904A7">
      <w:pPr>
        <w:pStyle w:val="23"/>
        <w:spacing w:line="360" w:lineRule="auto"/>
        <w:ind w:left="240" w:firstLine="480" w:firstLineChars="200"/>
        <w:rPr>
          <w:rFonts w:hint="eastAsia"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563467FD">
      <w:pPr>
        <w:pStyle w:val="23"/>
        <w:spacing w:line="360" w:lineRule="auto"/>
        <w:ind w:left="139" w:leftChars="66" w:firstLine="480" w:firstLineChars="200"/>
        <w:rPr>
          <w:rFonts w:hint="eastAsia"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33862F5A">
      <w:pPr>
        <w:pStyle w:val="23"/>
        <w:spacing w:line="360" w:lineRule="auto"/>
        <w:ind w:left="139" w:leftChars="66" w:firstLine="480" w:firstLineChars="200"/>
        <w:rPr>
          <w:rFonts w:hint="eastAsia" w:hAnsi="宋体"/>
          <w:color w:val="auto"/>
          <w:sz w:val="24"/>
          <w:highlight w:val="none"/>
        </w:rPr>
      </w:pPr>
      <w:r>
        <w:rPr>
          <w:rFonts w:hint="eastAsia" w:hAnsi="宋体"/>
          <w:color w:val="auto"/>
          <w:sz w:val="24"/>
          <w:highlight w:val="none"/>
        </w:rPr>
        <w:t>全权代表无转委托权，特此委托。</w:t>
      </w:r>
    </w:p>
    <w:p w14:paraId="3DD34C63">
      <w:pPr>
        <w:spacing w:line="360" w:lineRule="auto"/>
        <w:ind w:firstLine="482"/>
        <w:rPr>
          <w:color w:val="auto"/>
          <w:sz w:val="24"/>
          <w:highlight w:val="none"/>
        </w:rPr>
      </w:pPr>
    </w:p>
    <w:p w14:paraId="6E2650BF">
      <w:pPr>
        <w:spacing w:line="360" w:lineRule="auto"/>
        <w:ind w:firstLine="480" w:firstLineChars="200"/>
        <w:rPr>
          <w:color w:val="auto"/>
          <w:sz w:val="24"/>
          <w:highlight w:val="none"/>
        </w:rPr>
      </w:pPr>
      <w:r>
        <w:rPr>
          <w:rFonts w:hint="eastAsia" w:ascii="宋体"/>
          <w:color w:val="auto"/>
          <w:sz w:val="24"/>
          <w:highlight w:val="none"/>
        </w:rPr>
        <w:t>法定代表人签字或盖章：</w:t>
      </w:r>
    </w:p>
    <w:p w14:paraId="4EF4A6F9">
      <w:pPr>
        <w:spacing w:line="360" w:lineRule="auto"/>
        <w:ind w:firstLine="482"/>
        <w:rPr>
          <w:color w:val="auto"/>
          <w:sz w:val="24"/>
          <w:highlight w:val="none"/>
        </w:rPr>
      </w:pPr>
    </w:p>
    <w:p w14:paraId="1AB67467">
      <w:pPr>
        <w:spacing w:line="360" w:lineRule="auto"/>
        <w:ind w:firstLine="480" w:firstLineChars="200"/>
        <w:rPr>
          <w:color w:val="auto"/>
          <w:sz w:val="24"/>
          <w:highlight w:val="none"/>
        </w:rPr>
      </w:pPr>
      <w:r>
        <w:rPr>
          <w:rFonts w:hint="eastAsia" w:ascii="宋体"/>
          <w:color w:val="auto"/>
          <w:sz w:val="24"/>
          <w:highlight w:val="none"/>
        </w:rPr>
        <w:t>投标人全称（公章）：                              日期：</w:t>
      </w:r>
    </w:p>
    <w:p w14:paraId="649C5401">
      <w:pPr>
        <w:spacing w:line="360" w:lineRule="auto"/>
        <w:ind w:firstLine="482" w:firstLineChars="200"/>
        <w:rPr>
          <w:b/>
          <w:color w:val="auto"/>
          <w:sz w:val="24"/>
          <w:highlight w:val="none"/>
        </w:rPr>
      </w:pPr>
      <w:r>
        <w:rPr>
          <w:rFonts w:hint="eastAsia" w:ascii="宋体"/>
          <w:b/>
          <w:color w:val="auto"/>
          <w:sz w:val="24"/>
          <w:highlight w:val="none"/>
        </w:rPr>
        <w:t>附：</w:t>
      </w:r>
    </w:p>
    <w:tbl>
      <w:tblPr>
        <w:tblStyle w:val="3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0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C4F9A3B">
            <w:pPr>
              <w:spacing w:line="360" w:lineRule="auto"/>
              <w:ind w:firstLine="480"/>
              <w:rPr>
                <w:rFonts w:ascii="宋体"/>
                <w:b/>
                <w:color w:val="auto"/>
                <w:sz w:val="24"/>
                <w:highlight w:val="none"/>
              </w:rPr>
            </w:pPr>
          </w:p>
          <w:p w14:paraId="74DCAA8A">
            <w:pPr>
              <w:spacing w:line="360" w:lineRule="auto"/>
              <w:ind w:firstLine="482" w:firstLineChars="200"/>
              <w:rPr>
                <w:rFonts w:ascii="宋体"/>
                <w:b/>
                <w:color w:val="auto"/>
                <w:sz w:val="24"/>
                <w:highlight w:val="none"/>
              </w:rPr>
            </w:pPr>
            <w:r>
              <w:rPr>
                <w:rFonts w:hint="eastAsia" w:ascii="宋体"/>
                <w:b/>
                <w:color w:val="auto"/>
                <w:sz w:val="24"/>
                <w:highlight w:val="none"/>
              </w:rPr>
              <w:t>法定代表身份证扫描件粘帖处</w:t>
            </w:r>
          </w:p>
        </w:tc>
      </w:tr>
    </w:tbl>
    <w:p w14:paraId="73838C4D">
      <w:pPr>
        <w:spacing w:line="360" w:lineRule="auto"/>
        <w:ind w:firstLine="480" w:firstLineChars="200"/>
        <w:rPr>
          <w:color w:val="auto"/>
          <w:sz w:val="24"/>
          <w:highlight w:val="none"/>
        </w:rPr>
      </w:pPr>
      <w:r>
        <w:rPr>
          <w:rFonts w:hint="eastAsia" w:ascii="宋体"/>
          <w:color w:val="auto"/>
          <w:sz w:val="24"/>
          <w:highlight w:val="none"/>
        </w:rPr>
        <w:t xml:space="preserve">法定代表人姓名：                                 </w:t>
      </w:r>
    </w:p>
    <w:p w14:paraId="18AA5F82">
      <w:pPr>
        <w:spacing w:line="360" w:lineRule="auto"/>
        <w:ind w:firstLine="480" w:firstLineChars="200"/>
        <w:rPr>
          <w:color w:val="auto"/>
          <w:sz w:val="24"/>
          <w:highlight w:val="none"/>
        </w:rPr>
      </w:pPr>
      <w:r>
        <w:rPr>
          <w:rFonts w:hint="eastAsia" w:ascii="宋体"/>
          <w:color w:val="auto"/>
          <w:sz w:val="24"/>
          <w:highlight w:val="none"/>
        </w:rPr>
        <w:t>传真：</w:t>
      </w:r>
    </w:p>
    <w:p w14:paraId="5B1EC9AE">
      <w:pPr>
        <w:spacing w:line="360" w:lineRule="auto"/>
        <w:ind w:firstLine="480" w:firstLineChars="200"/>
        <w:rPr>
          <w:rFonts w:ascii="宋体"/>
          <w:color w:val="auto"/>
          <w:sz w:val="24"/>
          <w:highlight w:val="none"/>
        </w:rPr>
      </w:pPr>
      <w:r>
        <w:rPr>
          <w:rFonts w:hint="eastAsia" w:ascii="宋体"/>
          <w:color w:val="auto"/>
          <w:sz w:val="24"/>
          <w:highlight w:val="none"/>
        </w:rPr>
        <w:t>电话：</w:t>
      </w:r>
    </w:p>
    <w:p w14:paraId="472BEEAE">
      <w:pPr>
        <w:spacing w:line="360" w:lineRule="auto"/>
        <w:ind w:firstLine="480" w:firstLineChars="200"/>
        <w:rPr>
          <w:color w:val="auto"/>
          <w:sz w:val="24"/>
          <w:highlight w:val="none"/>
        </w:rPr>
      </w:pPr>
      <w:r>
        <w:rPr>
          <w:rFonts w:hint="eastAsia" w:ascii="宋体"/>
          <w:color w:val="auto"/>
          <w:sz w:val="24"/>
          <w:highlight w:val="none"/>
        </w:rPr>
        <w:t>详细通讯地址：</w:t>
      </w:r>
    </w:p>
    <w:p w14:paraId="7B705436">
      <w:pPr>
        <w:spacing w:line="360" w:lineRule="auto"/>
        <w:ind w:firstLine="480" w:firstLineChars="200"/>
        <w:rPr>
          <w:rFonts w:ascii="宋体"/>
          <w:color w:val="auto"/>
          <w:sz w:val="24"/>
          <w:highlight w:val="none"/>
        </w:rPr>
      </w:pPr>
      <w:r>
        <w:rPr>
          <w:rFonts w:hint="eastAsia" w:ascii="宋体"/>
          <w:color w:val="auto"/>
          <w:sz w:val="24"/>
          <w:highlight w:val="none"/>
        </w:rPr>
        <w:t>邮政编码：</w:t>
      </w:r>
    </w:p>
    <w:p w14:paraId="1F5B9501">
      <w:pPr>
        <w:spacing w:line="360" w:lineRule="auto"/>
        <w:ind w:firstLine="480"/>
        <w:rPr>
          <w:b/>
          <w:color w:val="auto"/>
          <w:sz w:val="24"/>
          <w:highlight w:val="none"/>
        </w:rPr>
      </w:pPr>
    </w:p>
    <w:tbl>
      <w:tblPr>
        <w:tblStyle w:val="3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A8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77004BB">
            <w:pPr>
              <w:spacing w:line="360" w:lineRule="auto"/>
              <w:ind w:firstLine="480"/>
              <w:rPr>
                <w:rFonts w:ascii="宋体"/>
                <w:b/>
                <w:color w:val="auto"/>
                <w:sz w:val="24"/>
                <w:highlight w:val="none"/>
              </w:rPr>
            </w:pPr>
          </w:p>
          <w:p w14:paraId="3F724AB5">
            <w:pPr>
              <w:spacing w:line="360" w:lineRule="auto"/>
              <w:ind w:firstLine="482" w:firstLineChars="200"/>
              <w:rPr>
                <w:rFonts w:ascii="宋体"/>
                <w:b/>
                <w:color w:val="auto"/>
                <w:sz w:val="24"/>
                <w:highlight w:val="none"/>
              </w:rPr>
            </w:pPr>
            <w:r>
              <w:rPr>
                <w:rFonts w:hint="eastAsia" w:ascii="宋体"/>
                <w:b/>
                <w:color w:val="auto"/>
                <w:sz w:val="24"/>
                <w:highlight w:val="none"/>
              </w:rPr>
              <w:t>全权代表身份证扫描件粘帖处</w:t>
            </w:r>
          </w:p>
        </w:tc>
      </w:tr>
    </w:tbl>
    <w:p w14:paraId="4DE37490">
      <w:pPr>
        <w:spacing w:line="360" w:lineRule="auto"/>
        <w:ind w:firstLine="480" w:firstLineChars="200"/>
        <w:rPr>
          <w:rFonts w:ascii="宋体"/>
          <w:color w:val="auto"/>
          <w:sz w:val="24"/>
          <w:highlight w:val="none"/>
        </w:rPr>
      </w:pPr>
      <w:r>
        <w:rPr>
          <w:rFonts w:hint="eastAsia" w:ascii="宋体"/>
          <w:color w:val="auto"/>
          <w:sz w:val="24"/>
          <w:highlight w:val="none"/>
        </w:rPr>
        <w:t xml:space="preserve">全权代表姓名：       </w:t>
      </w:r>
    </w:p>
    <w:p w14:paraId="29FBA5EF">
      <w:pPr>
        <w:spacing w:line="360" w:lineRule="auto"/>
        <w:ind w:firstLine="480" w:firstLineChars="200"/>
        <w:rPr>
          <w:color w:val="auto"/>
          <w:sz w:val="24"/>
          <w:highlight w:val="none"/>
        </w:rPr>
      </w:pPr>
      <w:r>
        <w:rPr>
          <w:rFonts w:hint="eastAsia" w:ascii="宋体"/>
          <w:color w:val="auto"/>
          <w:sz w:val="24"/>
          <w:highlight w:val="none"/>
        </w:rPr>
        <w:t xml:space="preserve">职务：                           </w:t>
      </w:r>
    </w:p>
    <w:p w14:paraId="361991B3">
      <w:pPr>
        <w:spacing w:line="360" w:lineRule="auto"/>
        <w:ind w:firstLine="480" w:firstLineChars="200"/>
        <w:rPr>
          <w:color w:val="auto"/>
          <w:sz w:val="24"/>
          <w:highlight w:val="none"/>
        </w:rPr>
      </w:pPr>
      <w:r>
        <w:rPr>
          <w:rFonts w:hint="eastAsia" w:ascii="宋体"/>
          <w:color w:val="auto"/>
          <w:sz w:val="24"/>
          <w:highlight w:val="none"/>
        </w:rPr>
        <w:t>传真：</w:t>
      </w:r>
    </w:p>
    <w:p w14:paraId="0DF74BA2">
      <w:pPr>
        <w:spacing w:line="360" w:lineRule="auto"/>
        <w:ind w:firstLine="480" w:firstLineChars="200"/>
        <w:rPr>
          <w:rFonts w:ascii="宋体"/>
          <w:color w:val="auto"/>
          <w:sz w:val="24"/>
          <w:highlight w:val="none"/>
        </w:rPr>
      </w:pPr>
      <w:r>
        <w:rPr>
          <w:rFonts w:hint="eastAsia" w:ascii="宋体"/>
          <w:color w:val="auto"/>
          <w:sz w:val="24"/>
          <w:highlight w:val="none"/>
        </w:rPr>
        <w:t>电话：</w:t>
      </w:r>
    </w:p>
    <w:p w14:paraId="631D43E4">
      <w:pPr>
        <w:spacing w:line="360" w:lineRule="auto"/>
        <w:ind w:firstLine="480" w:firstLineChars="200"/>
        <w:rPr>
          <w:color w:val="auto"/>
          <w:sz w:val="24"/>
          <w:highlight w:val="none"/>
        </w:rPr>
      </w:pPr>
      <w:r>
        <w:rPr>
          <w:rFonts w:hint="eastAsia" w:ascii="宋体"/>
          <w:color w:val="auto"/>
          <w:sz w:val="24"/>
          <w:highlight w:val="none"/>
        </w:rPr>
        <w:t>详细通讯地址：</w:t>
      </w:r>
    </w:p>
    <w:p w14:paraId="74C26AF3">
      <w:pPr>
        <w:spacing w:line="360" w:lineRule="auto"/>
        <w:ind w:firstLine="480" w:firstLineChars="200"/>
        <w:rPr>
          <w:rFonts w:ascii="宋体"/>
          <w:color w:val="auto"/>
          <w:sz w:val="24"/>
          <w:highlight w:val="none"/>
        </w:rPr>
      </w:pPr>
      <w:r>
        <w:rPr>
          <w:rFonts w:hint="eastAsia" w:ascii="宋体"/>
          <w:color w:val="auto"/>
          <w:sz w:val="24"/>
          <w:highlight w:val="none"/>
        </w:rPr>
        <w:t>邮政编码：</w:t>
      </w:r>
    </w:p>
    <w:p w14:paraId="618DE669">
      <w:pPr>
        <w:widowControl/>
        <w:ind w:firstLine="643" w:firstLineChars="200"/>
        <w:jc w:val="left"/>
        <w:rPr>
          <w:rFonts w:hint="eastAsia" w:ascii="微软雅黑" w:hAnsi="微软雅黑" w:eastAsia="微软雅黑" w:cs="微软雅黑"/>
          <w:b/>
          <w:bCs/>
          <w:color w:val="auto"/>
          <w:sz w:val="28"/>
          <w:szCs w:val="28"/>
          <w:highlight w:val="none"/>
        </w:rPr>
      </w:pPr>
      <w:r>
        <w:rPr>
          <w:rFonts w:hint="eastAsia" w:ascii="宋体" w:hAnsi="宋体"/>
          <w:b/>
          <w:bCs/>
          <w:color w:val="auto"/>
          <w:sz w:val="32"/>
          <w:szCs w:val="32"/>
          <w:highlight w:val="none"/>
          <w:lang w:val="zh-CN"/>
        </w:rPr>
        <w:br w:type="page"/>
      </w:r>
      <w:r>
        <w:rPr>
          <w:rFonts w:hint="eastAsia" w:ascii="宋体" w:hAnsi="宋体"/>
          <w:b/>
          <w:color w:val="auto"/>
          <w:sz w:val="28"/>
          <w:highlight w:val="none"/>
        </w:rPr>
        <w:t>附件3</w:t>
      </w:r>
    </w:p>
    <w:p w14:paraId="1BCD26FC">
      <w:pPr>
        <w:snapToGrid w:val="0"/>
        <w:spacing w:line="500" w:lineRule="exact"/>
        <w:ind w:firstLine="643" w:firstLineChars="200"/>
        <w:jc w:val="center"/>
        <w:rPr>
          <w:rFonts w:hint="eastAsia" w:ascii="宋体" w:hAnsi="宋体" w:cs="宋体"/>
          <w:b/>
          <w:bCs/>
          <w:color w:val="auto"/>
          <w:sz w:val="32"/>
          <w:szCs w:val="32"/>
          <w:highlight w:val="none"/>
          <w:lang w:val="zh-CN"/>
        </w:rPr>
      </w:pPr>
      <w:r>
        <w:rPr>
          <w:rFonts w:hint="eastAsia" w:ascii="宋体" w:hAnsi="宋体" w:cs="宋体"/>
          <w:b/>
          <w:bCs/>
          <w:color w:val="auto"/>
          <w:kern w:val="0"/>
          <w:sz w:val="32"/>
          <w:szCs w:val="32"/>
          <w:highlight w:val="none"/>
          <w:lang w:val="zh-CN"/>
        </w:rPr>
        <w:t>符合资格条件的声明函</w:t>
      </w:r>
    </w:p>
    <w:p w14:paraId="285D470C">
      <w:pPr>
        <w:spacing w:line="500" w:lineRule="exact"/>
        <w:ind w:firstLine="480" w:firstLineChars="200"/>
        <w:jc w:val="left"/>
        <w:rPr>
          <w:rFonts w:hint="eastAsia" w:ascii="宋体" w:hAnsi="宋体" w:cs="宋体"/>
          <w:color w:val="auto"/>
          <w:kern w:val="0"/>
          <w:sz w:val="24"/>
          <w:highlight w:val="none"/>
          <w:u w:val="single"/>
        </w:rPr>
      </w:pPr>
    </w:p>
    <w:p w14:paraId="1D7B655D">
      <w:pPr>
        <w:spacing w:line="520" w:lineRule="exact"/>
        <w:ind w:firstLine="456" w:firstLineChars="200"/>
        <w:jc w:val="left"/>
        <w:rPr>
          <w:rFonts w:hint="eastAsia" w:ascii="宋体" w:hAnsi="宋体" w:cs="宋体"/>
          <w:color w:val="auto"/>
          <w:spacing w:val="-6"/>
          <w:kern w:val="0"/>
          <w:sz w:val="24"/>
          <w:highlight w:val="none"/>
        </w:rPr>
      </w:pPr>
      <w:r>
        <w:rPr>
          <w:rFonts w:hint="eastAsia" w:ascii="宋体" w:hAnsi="宋体" w:cs="宋体"/>
          <w:color w:val="auto"/>
          <w:spacing w:val="-6"/>
          <w:kern w:val="0"/>
          <w:sz w:val="24"/>
          <w:highlight w:val="none"/>
          <w:u w:val="single"/>
        </w:rPr>
        <w:t>浙江百工程咨询有限公司</w:t>
      </w:r>
      <w:r>
        <w:rPr>
          <w:rFonts w:hint="eastAsia" w:ascii="宋体" w:hAnsi="宋体" w:cs="宋体"/>
          <w:color w:val="auto"/>
          <w:spacing w:val="-6"/>
          <w:kern w:val="0"/>
          <w:sz w:val="24"/>
          <w:highlight w:val="none"/>
        </w:rPr>
        <w:t>（采购代理机构名称）：</w:t>
      </w:r>
    </w:p>
    <w:p w14:paraId="21EC57A3">
      <w:pPr>
        <w:spacing w:line="520" w:lineRule="exact"/>
        <w:ind w:firstLine="456" w:firstLineChars="200"/>
        <w:jc w:val="left"/>
        <w:rPr>
          <w:rFonts w:hint="eastAsia" w:ascii="宋体" w:hAnsi="宋体" w:cs="宋体"/>
          <w:color w:val="auto"/>
          <w:spacing w:val="-6"/>
          <w:kern w:val="0"/>
          <w:sz w:val="24"/>
          <w:highlight w:val="none"/>
        </w:rPr>
      </w:pPr>
      <w:r>
        <w:rPr>
          <w:rFonts w:hint="eastAsia" w:ascii="宋体" w:hAnsi="宋体" w:cs="宋体"/>
          <w:color w:val="auto"/>
          <w:spacing w:val="-6"/>
          <w:kern w:val="0"/>
          <w:sz w:val="24"/>
          <w:highlight w:val="none"/>
        </w:rPr>
        <w:t>截至</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（采购人）</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项目编号）的投标截止时间，本公司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02EABA32">
      <w:pPr>
        <w:spacing w:line="520" w:lineRule="exact"/>
        <w:ind w:firstLine="456" w:firstLineChars="200"/>
        <w:jc w:val="left"/>
        <w:rPr>
          <w:rFonts w:hint="eastAsia" w:ascii="宋体" w:hAnsi="宋体" w:cs="宋体"/>
          <w:color w:val="auto"/>
          <w:spacing w:val="-6"/>
          <w:kern w:val="0"/>
          <w:sz w:val="24"/>
          <w:highlight w:val="none"/>
        </w:rPr>
      </w:pPr>
      <w:r>
        <w:rPr>
          <w:rFonts w:hint="eastAsia" w:ascii="宋体" w:hAnsi="宋体" w:cs="宋体"/>
          <w:color w:val="auto"/>
          <w:spacing w:val="-6"/>
          <w:kern w:val="0"/>
          <w:sz w:val="24"/>
          <w:highlight w:val="none"/>
        </w:rPr>
        <w:t>我方对上述声明的真实性负责。如有虚假，愿意承担相应责任，对此无任何异议。</w:t>
      </w:r>
    </w:p>
    <w:p w14:paraId="01F5C990">
      <w:pPr>
        <w:tabs>
          <w:tab w:val="left" w:pos="4860"/>
        </w:tabs>
        <w:spacing w:line="588" w:lineRule="exact"/>
        <w:ind w:right="1560" w:firstLine="456" w:firstLineChars="200"/>
        <w:jc w:val="left"/>
        <w:rPr>
          <w:rFonts w:hint="eastAsia" w:ascii="宋体" w:hAnsi="宋体" w:cs="宋体"/>
          <w:color w:val="auto"/>
          <w:spacing w:val="-6"/>
          <w:kern w:val="0"/>
          <w:sz w:val="24"/>
          <w:highlight w:val="none"/>
        </w:rPr>
      </w:pPr>
      <w:r>
        <w:rPr>
          <w:rFonts w:hint="eastAsia" w:ascii="宋体" w:hAnsi="宋体" w:cs="宋体"/>
          <w:color w:val="auto"/>
          <w:spacing w:val="-6"/>
          <w:kern w:val="0"/>
          <w:sz w:val="24"/>
          <w:highlight w:val="none"/>
        </w:rPr>
        <w:t>特此声明！</w:t>
      </w:r>
    </w:p>
    <w:p w14:paraId="4D425209">
      <w:pPr>
        <w:tabs>
          <w:tab w:val="left" w:pos="4860"/>
        </w:tabs>
        <w:spacing w:line="588" w:lineRule="exact"/>
        <w:ind w:right="1560" w:firstLine="456" w:firstLineChars="200"/>
        <w:jc w:val="left"/>
        <w:rPr>
          <w:rFonts w:hint="eastAsia" w:ascii="宋体" w:hAnsi="宋体" w:cs="宋体"/>
          <w:color w:val="auto"/>
          <w:spacing w:val="-6"/>
          <w:kern w:val="0"/>
          <w:sz w:val="24"/>
          <w:highlight w:val="none"/>
        </w:rPr>
      </w:pPr>
    </w:p>
    <w:p w14:paraId="04520101">
      <w:pPr>
        <w:tabs>
          <w:tab w:val="left" w:pos="4860"/>
        </w:tabs>
        <w:spacing w:line="588" w:lineRule="exact"/>
        <w:ind w:right="1560" w:firstLine="456" w:firstLineChars="200"/>
        <w:jc w:val="left"/>
        <w:rPr>
          <w:rFonts w:hint="eastAsia" w:ascii="宋体" w:hAnsi="宋体" w:cs="宋体"/>
          <w:color w:val="auto"/>
          <w:spacing w:val="-6"/>
          <w:kern w:val="0"/>
          <w:sz w:val="24"/>
          <w:highlight w:val="none"/>
        </w:rPr>
      </w:pPr>
    </w:p>
    <w:p w14:paraId="58FD381D">
      <w:pPr>
        <w:tabs>
          <w:tab w:val="left" w:pos="4860"/>
        </w:tabs>
        <w:spacing w:line="588" w:lineRule="exact"/>
        <w:ind w:right="156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投标人名称（单位公章）：</w:t>
      </w:r>
    </w:p>
    <w:p w14:paraId="055E8595">
      <w:pPr>
        <w:tabs>
          <w:tab w:val="left" w:pos="4860"/>
        </w:tabs>
        <w:spacing w:line="588" w:lineRule="exact"/>
        <w:ind w:right="156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16375ED4">
      <w:pPr>
        <w:tabs>
          <w:tab w:val="left" w:pos="4860"/>
        </w:tabs>
        <w:spacing w:line="588" w:lineRule="exact"/>
        <w:ind w:right="156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653D993F">
      <w:pPr>
        <w:rPr>
          <w:rFonts w:hint="eastAsia" w:ascii="宋体" w:hAnsi="宋体" w:cs="宋体"/>
          <w:color w:val="auto"/>
          <w:highlight w:val="none"/>
        </w:rPr>
      </w:pPr>
    </w:p>
    <w:p w14:paraId="072CE280">
      <w:pPr>
        <w:ind w:firstLine="640"/>
        <w:rPr>
          <w:rFonts w:hint="eastAsia" w:ascii="宋体" w:hAnsi="宋体" w:cs="宋体"/>
          <w:b/>
          <w:bCs/>
          <w:color w:val="auto"/>
          <w:sz w:val="32"/>
          <w:szCs w:val="32"/>
          <w:highlight w:val="none"/>
          <w:lang w:val="zh-CN"/>
        </w:rPr>
      </w:pPr>
    </w:p>
    <w:p w14:paraId="5FFA0F75">
      <w:pPr>
        <w:snapToGrid w:val="0"/>
        <w:spacing w:before="50" w:after="50" w:line="360" w:lineRule="auto"/>
        <w:ind w:firstLine="640"/>
        <w:jc w:val="center"/>
        <w:rPr>
          <w:rFonts w:hint="eastAsia" w:ascii="宋体" w:hAnsi="宋体"/>
          <w:b/>
          <w:bCs/>
          <w:color w:val="auto"/>
          <w:sz w:val="32"/>
          <w:szCs w:val="32"/>
          <w:highlight w:val="none"/>
          <w:lang w:val="zh-CN"/>
        </w:rPr>
      </w:pPr>
    </w:p>
    <w:p w14:paraId="1800DBAF">
      <w:pPr>
        <w:pStyle w:val="35"/>
        <w:rPr>
          <w:color w:val="auto"/>
          <w:highlight w:val="none"/>
          <w:lang w:val="zh-CN"/>
        </w:rPr>
      </w:pPr>
    </w:p>
    <w:p w14:paraId="4C71B83F">
      <w:pPr>
        <w:pStyle w:val="35"/>
        <w:rPr>
          <w:color w:val="auto"/>
          <w:highlight w:val="none"/>
          <w:lang w:val="zh-CN"/>
        </w:rPr>
      </w:pPr>
    </w:p>
    <w:p w14:paraId="73F8845D">
      <w:pPr>
        <w:snapToGrid w:val="0"/>
        <w:spacing w:before="50" w:after="50" w:line="360" w:lineRule="auto"/>
        <w:ind w:firstLine="640"/>
        <w:jc w:val="center"/>
        <w:rPr>
          <w:rFonts w:hint="eastAsia" w:ascii="宋体" w:hAnsi="宋体"/>
          <w:b/>
          <w:bCs/>
          <w:color w:val="auto"/>
          <w:sz w:val="32"/>
          <w:szCs w:val="32"/>
          <w:highlight w:val="none"/>
          <w:lang w:val="zh-CN"/>
        </w:rPr>
      </w:pPr>
    </w:p>
    <w:p w14:paraId="1FFAE20B">
      <w:pPr>
        <w:snapToGrid w:val="0"/>
        <w:spacing w:before="50" w:after="50" w:line="360" w:lineRule="auto"/>
        <w:ind w:firstLine="643" w:firstLineChars="200"/>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14:paraId="76BE7604">
      <w:pPr>
        <w:snapToGrid w:val="0"/>
        <w:spacing w:line="360" w:lineRule="auto"/>
        <w:rPr>
          <w:rFonts w:hint="eastAsia" w:ascii="宋体" w:hAnsi="宋体"/>
          <w:color w:val="auto"/>
          <w:sz w:val="28"/>
          <w:szCs w:val="28"/>
          <w:highlight w:val="none"/>
        </w:rPr>
      </w:pPr>
    </w:p>
    <w:p w14:paraId="03C2763C">
      <w:pPr>
        <w:adjustRightInd w:val="0"/>
        <w:snapToGrid w:val="0"/>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1.供应商基本情况表（格式附后）；</w:t>
      </w:r>
    </w:p>
    <w:p w14:paraId="493C63DA">
      <w:pPr>
        <w:adjustRightInd w:val="0"/>
        <w:snapToGrid w:val="0"/>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2.商务及技术需求响应表等（格式附后）；</w:t>
      </w:r>
    </w:p>
    <w:p w14:paraId="3711814F">
      <w:pPr>
        <w:adjustRightInd w:val="0"/>
        <w:snapToGrid w:val="0"/>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3.供货清单（格式附后）；</w:t>
      </w:r>
    </w:p>
    <w:p w14:paraId="70584044">
      <w:pPr>
        <w:pStyle w:val="35"/>
        <w:spacing w:line="360" w:lineRule="auto"/>
        <w:ind w:left="0" w:leftChars="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4.采购文件中标注“▲”内容的相关承诺或响应</w:t>
      </w:r>
      <w:r>
        <w:rPr>
          <w:rFonts w:hint="eastAsia" w:ascii="宋体" w:hAnsi="宋体" w:cs="宋体"/>
          <w:color w:val="auto"/>
          <w:sz w:val="28"/>
          <w:szCs w:val="28"/>
          <w:highlight w:val="none"/>
          <w:lang w:eastAsia="zh-CN"/>
        </w:rPr>
        <w:t>（格式自拟）</w:t>
      </w:r>
      <w:r>
        <w:rPr>
          <w:rFonts w:hint="eastAsia" w:ascii="宋体" w:hAnsi="宋体" w:cs="宋体"/>
          <w:color w:val="auto"/>
          <w:sz w:val="28"/>
          <w:szCs w:val="28"/>
          <w:highlight w:val="none"/>
        </w:rPr>
        <w:t>；</w:t>
      </w:r>
    </w:p>
    <w:p w14:paraId="1742DE08">
      <w:pPr>
        <w:adjustRightInd w:val="0"/>
        <w:snapToGrid w:val="0"/>
        <w:spacing w:line="360" w:lineRule="auto"/>
        <w:ind w:firstLine="560" w:firstLineChars="200"/>
        <w:rPr>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.项目实施人员一览表（格式附后）、项目负责人资格情况表（格式附后）、证书一览表（格式附后）、投标人类似项目实施情况一览表（格式附后）、售后服务情况表（格式附后）（如有）；</w:t>
      </w:r>
    </w:p>
    <w:p w14:paraId="73349344">
      <w:pPr>
        <w:adjustRightInd w:val="0"/>
        <w:snapToGrid w:val="0"/>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.其余内容根据评标办法自拟</w:t>
      </w:r>
      <w:r>
        <w:rPr>
          <w:rFonts w:hint="eastAsia" w:ascii="宋体" w:hAnsi="宋体" w:cs="宋体"/>
          <w:color w:val="auto"/>
          <w:sz w:val="28"/>
          <w:szCs w:val="28"/>
          <w:highlight w:val="none"/>
          <w:lang w:eastAsia="zh-CN"/>
        </w:rPr>
        <w:t>。</w:t>
      </w:r>
    </w:p>
    <w:p w14:paraId="7B4C9AD7">
      <w:pPr>
        <w:adjustRightInd w:val="0"/>
        <w:snapToGrid w:val="0"/>
        <w:spacing w:line="360" w:lineRule="auto"/>
        <w:ind w:firstLine="560" w:firstLineChars="200"/>
        <w:rPr>
          <w:rFonts w:hint="eastAsia" w:ascii="宋体" w:hAnsi="宋体" w:cs="宋体"/>
          <w:color w:val="auto"/>
          <w:sz w:val="28"/>
          <w:szCs w:val="28"/>
          <w:highlight w:val="none"/>
        </w:rPr>
      </w:pPr>
      <w:r>
        <w:rPr>
          <w:rFonts w:hint="eastAsia" w:hAnsi="宋体" w:cs="宋体"/>
          <w:color w:val="auto"/>
          <w:sz w:val="28"/>
          <w:szCs w:val="28"/>
          <w:highlight w:val="none"/>
        </w:rPr>
        <w:t>招标需求中要求提供的相关证明材料及根据评标办法提供的证明材料均需在投标文件中提供扫描件。</w:t>
      </w:r>
    </w:p>
    <w:p w14:paraId="174E143B">
      <w:pPr>
        <w:adjustRightInd w:val="0"/>
        <w:snapToGrid w:val="0"/>
        <w:spacing w:line="360" w:lineRule="auto"/>
        <w:ind w:firstLine="482"/>
        <w:rPr>
          <w:rFonts w:hint="eastAsia" w:ascii="宋体" w:hAnsi="宋体" w:cs="宋体"/>
          <w:color w:val="auto"/>
          <w:sz w:val="24"/>
          <w:highlight w:val="none"/>
        </w:rPr>
      </w:pPr>
    </w:p>
    <w:p w14:paraId="392D591E">
      <w:pPr>
        <w:adjustRightInd w:val="0"/>
        <w:snapToGrid w:val="0"/>
        <w:spacing w:line="360" w:lineRule="auto"/>
        <w:ind w:firstLine="482"/>
        <w:rPr>
          <w:rFonts w:hint="eastAsia" w:ascii="宋体" w:hAnsi="宋体" w:cs="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2C6F4CA">
      <w:pPr>
        <w:pStyle w:val="56"/>
        <w:shd w:val="clear" w:color="auto" w:fill="FFFFFF"/>
        <w:spacing w:before="0" w:beforeAutospacing="0" w:after="0" w:afterAutospacing="0" w:line="360" w:lineRule="auto"/>
        <w:ind w:firstLine="562" w:firstLineChars="200"/>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4</w:t>
      </w:r>
    </w:p>
    <w:p w14:paraId="55A9E085">
      <w:pPr>
        <w:pStyle w:val="56"/>
        <w:shd w:val="clear" w:color="auto" w:fill="FFFFFF"/>
        <w:spacing w:before="0" w:beforeAutospacing="0" w:after="0" w:afterAutospacing="0" w:line="360" w:lineRule="auto"/>
        <w:ind w:firstLine="643" w:firstLineChars="200"/>
        <w:jc w:val="center"/>
        <w:rPr>
          <w:rFonts w:hint="eastAsia"/>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3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98"/>
        <w:gridCol w:w="904"/>
        <w:gridCol w:w="1155"/>
        <w:gridCol w:w="169"/>
        <w:gridCol w:w="1028"/>
        <w:gridCol w:w="380"/>
        <w:gridCol w:w="1267"/>
        <w:gridCol w:w="339"/>
        <w:gridCol w:w="1267"/>
        <w:gridCol w:w="927"/>
      </w:tblGrid>
      <w:tr w14:paraId="7EA0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9" w:type="dxa"/>
          </w:tcPr>
          <w:p w14:paraId="711720F6">
            <w:pPr>
              <w:pStyle w:val="56"/>
              <w:shd w:val="clear" w:color="auto" w:fill="FFFFFF"/>
              <w:spacing w:line="360" w:lineRule="auto"/>
              <w:rPr>
                <w:rFonts w:hint="eastAsia"/>
                <w:bCs/>
                <w:color w:val="auto"/>
                <w:highlight w:val="none"/>
              </w:rPr>
            </w:pPr>
            <w:r>
              <w:rPr>
                <w:rFonts w:hint="eastAsia"/>
                <w:bCs/>
                <w:color w:val="auto"/>
                <w:spacing w:val="27"/>
                <w:highlight w:val="none"/>
              </w:rPr>
              <w:t>企业名称</w:t>
            </w:r>
          </w:p>
        </w:tc>
        <w:tc>
          <w:tcPr>
            <w:tcW w:w="3954" w:type="dxa"/>
            <w:gridSpan w:val="5"/>
          </w:tcPr>
          <w:p w14:paraId="1F58649F">
            <w:pPr>
              <w:pStyle w:val="56"/>
              <w:shd w:val="clear" w:color="auto" w:fill="FFFFFF"/>
              <w:spacing w:line="360" w:lineRule="auto"/>
              <w:rPr>
                <w:rFonts w:hint="eastAsia"/>
                <w:bCs/>
                <w:color w:val="auto"/>
                <w:highlight w:val="none"/>
              </w:rPr>
            </w:pPr>
          </w:p>
        </w:tc>
        <w:tc>
          <w:tcPr>
            <w:tcW w:w="1986" w:type="dxa"/>
            <w:gridSpan w:val="3"/>
          </w:tcPr>
          <w:p w14:paraId="1D18E6EE">
            <w:pPr>
              <w:pStyle w:val="56"/>
              <w:shd w:val="clear" w:color="auto" w:fill="FFFFFF"/>
              <w:spacing w:line="360" w:lineRule="auto"/>
              <w:rPr>
                <w:rFonts w:hint="eastAsia"/>
                <w:bCs/>
                <w:color w:val="auto"/>
                <w:highlight w:val="none"/>
              </w:rPr>
            </w:pPr>
            <w:r>
              <w:rPr>
                <w:rFonts w:hint="eastAsia"/>
                <w:bCs/>
                <w:color w:val="auto"/>
                <w:spacing w:val="16"/>
                <w:highlight w:val="none"/>
              </w:rPr>
              <w:t>法人代表</w:t>
            </w:r>
          </w:p>
        </w:tc>
        <w:tc>
          <w:tcPr>
            <w:tcW w:w="2194" w:type="dxa"/>
            <w:gridSpan w:val="2"/>
          </w:tcPr>
          <w:p w14:paraId="5F5FF0A8">
            <w:pPr>
              <w:pStyle w:val="56"/>
              <w:shd w:val="clear" w:color="auto" w:fill="FFFFFF"/>
              <w:spacing w:line="360" w:lineRule="auto"/>
              <w:ind w:firstLine="482"/>
              <w:rPr>
                <w:rFonts w:hint="eastAsia"/>
                <w:bCs/>
                <w:color w:val="auto"/>
                <w:highlight w:val="none"/>
              </w:rPr>
            </w:pPr>
          </w:p>
        </w:tc>
      </w:tr>
      <w:tr w14:paraId="09AF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9" w:type="dxa"/>
          </w:tcPr>
          <w:p w14:paraId="64B90B6C">
            <w:pPr>
              <w:pStyle w:val="56"/>
              <w:shd w:val="clear" w:color="auto" w:fill="FFFFFF"/>
              <w:spacing w:line="360" w:lineRule="auto"/>
              <w:rPr>
                <w:rFonts w:hint="eastAsia"/>
                <w:bCs/>
                <w:color w:val="auto"/>
                <w:spacing w:val="16"/>
                <w:highlight w:val="none"/>
              </w:rPr>
            </w:pPr>
            <w:r>
              <w:rPr>
                <w:rFonts w:hint="eastAsia"/>
                <w:bCs/>
                <w:color w:val="auto"/>
                <w:spacing w:val="27"/>
                <w:highlight w:val="none"/>
              </w:rPr>
              <w:t>地址</w:t>
            </w:r>
          </w:p>
        </w:tc>
        <w:tc>
          <w:tcPr>
            <w:tcW w:w="3954" w:type="dxa"/>
            <w:gridSpan w:val="5"/>
            <w:tcBorders>
              <w:bottom w:val="single" w:color="auto" w:sz="4" w:space="0"/>
            </w:tcBorders>
          </w:tcPr>
          <w:p w14:paraId="29F81410">
            <w:pPr>
              <w:pStyle w:val="56"/>
              <w:shd w:val="clear" w:color="auto" w:fill="FFFFFF"/>
              <w:spacing w:line="360" w:lineRule="auto"/>
              <w:ind w:firstLine="546"/>
              <w:rPr>
                <w:rFonts w:hint="eastAsia"/>
                <w:bCs/>
                <w:color w:val="auto"/>
                <w:spacing w:val="16"/>
                <w:highlight w:val="none"/>
              </w:rPr>
            </w:pPr>
          </w:p>
        </w:tc>
        <w:tc>
          <w:tcPr>
            <w:tcW w:w="1986" w:type="dxa"/>
            <w:gridSpan w:val="3"/>
          </w:tcPr>
          <w:p w14:paraId="2D267DE2">
            <w:pPr>
              <w:pStyle w:val="56"/>
              <w:shd w:val="clear" w:color="auto" w:fill="FFFFFF"/>
              <w:spacing w:line="360" w:lineRule="auto"/>
              <w:rPr>
                <w:rFonts w:hint="eastAsia"/>
                <w:bCs/>
                <w:color w:val="auto"/>
                <w:spacing w:val="16"/>
                <w:highlight w:val="none"/>
              </w:rPr>
            </w:pPr>
            <w:r>
              <w:rPr>
                <w:rFonts w:hint="eastAsia"/>
                <w:bCs/>
                <w:color w:val="auto"/>
                <w:spacing w:val="16"/>
                <w:highlight w:val="none"/>
              </w:rPr>
              <w:t>企业性质</w:t>
            </w:r>
          </w:p>
        </w:tc>
        <w:tc>
          <w:tcPr>
            <w:tcW w:w="2194" w:type="dxa"/>
            <w:gridSpan w:val="2"/>
          </w:tcPr>
          <w:p w14:paraId="38B8194C">
            <w:pPr>
              <w:pStyle w:val="56"/>
              <w:shd w:val="clear" w:color="auto" w:fill="FFFFFF"/>
              <w:spacing w:line="360" w:lineRule="auto"/>
              <w:ind w:firstLine="546"/>
              <w:rPr>
                <w:rFonts w:hint="eastAsia"/>
                <w:bCs/>
                <w:color w:val="auto"/>
                <w:spacing w:val="16"/>
                <w:highlight w:val="none"/>
              </w:rPr>
            </w:pPr>
          </w:p>
        </w:tc>
      </w:tr>
      <w:tr w14:paraId="38C0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9" w:type="dxa"/>
            <w:tcBorders>
              <w:bottom w:val="single" w:color="auto" w:sz="4" w:space="0"/>
            </w:tcBorders>
          </w:tcPr>
          <w:p w14:paraId="27792640">
            <w:pPr>
              <w:pStyle w:val="56"/>
              <w:shd w:val="clear" w:color="auto" w:fill="FFFFFF"/>
              <w:spacing w:line="360" w:lineRule="auto"/>
              <w:rPr>
                <w:rFonts w:hint="eastAsia"/>
                <w:bCs/>
                <w:color w:val="auto"/>
                <w:spacing w:val="16"/>
                <w:highlight w:val="none"/>
              </w:rPr>
            </w:pPr>
            <w:r>
              <w:rPr>
                <w:rFonts w:hint="eastAsia"/>
                <w:bCs/>
                <w:color w:val="auto"/>
                <w:spacing w:val="27"/>
                <w:highlight w:val="none"/>
              </w:rPr>
              <w:t>股东姓名</w:t>
            </w:r>
          </w:p>
        </w:tc>
        <w:tc>
          <w:tcPr>
            <w:tcW w:w="698" w:type="dxa"/>
            <w:tcBorders>
              <w:bottom w:val="single" w:color="auto" w:sz="4" w:space="0"/>
            </w:tcBorders>
          </w:tcPr>
          <w:p w14:paraId="6DBD339F">
            <w:pPr>
              <w:pStyle w:val="56"/>
              <w:shd w:val="clear" w:color="auto" w:fill="FFFFFF"/>
              <w:spacing w:before="0" w:beforeAutospacing="0" w:after="0" w:afterAutospacing="0" w:line="360" w:lineRule="auto"/>
              <w:ind w:firstLine="546"/>
              <w:rPr>
                <w:rFonts w:hint="eastAsia"/>
                <w:bCs/>
                <w:color w:val="auto"/>
                <w:spacing w:val="16"/>
                <w:highlight w:val="none"/>
              </w:rPr>
            </w:pPr>
          </w:p>
        </w:tc>
        <w:tc>
          <w:tcPr>
            <w:tcW w:w="904" w:type="dxa"/>
            <w:tcBorders>
              <w:bottom w:val="single" w:color="auto" w:sz="4" w:space="0"/>
            </w:tcBorders>
          </w:tcPr>
          <w:p w14:paraId="0E725AD1">
            <w:pPr>
              <w:pStyle w:val="56"/>
              <w:shd w:val="clear" w:color="auto" w:fill="FFFFFF"/>
              <w:spacing w:line="360" w:lineRule="auto"/>
              <w:rPr>
                <w:rFonts w:hint="eastAsia"/>
                <w:bCs/>
                <w:color w:val="auto"/>
                <w:spacing w:val="16"/>
                <w:highlight w:val="none"/>
              </w:rPr>
            </w:pPr>
            <w:r>
              <w:rPr>
                <w:rFonts w:hint="eastAsia"/>
                <w:bCs/>
                <w:color w:val="auto"/>
                <w:spacing w:val="16"/>
                <w:highlight w:val="none"/>
              </w:rPr>
              <w:t>股权结构（%）</w:t>
            </w:r>
          </w:p>
        </w:tc>
        <w:tc>
          <w:tcPr>
            <w:tcW w:w="2352" w:type="dxa"/>
            <w:gridSpan w:val="3"/>
            <w:tcBorders>
              <w:bottom w:val="single" w:color="auto" w:sz="4" w:space="0"/>
            </w:tcBorders>
          </w:tcPr>
          <w:p w14:paraId="5412C7BC">
            <w:pPr>
              <w:widowControl/>
              <w:spacing w:line="360" w:lineRule="auto"/>
              <w:ind w:firstLine="546"/>
              <w:jc w:val="left"/>
              <w:rPr>
                <w:rFonts w:hint="eastAsia" w:ascii="宋体" w:hAnsi="宋体" w:cs="宋体"/>
                <w:bCs/>
                <w:color w:val="auto"/>
                <w:spacing w:val="16"/>
                <w:kern w:val="0"/>
                <w:sz w:val="24"/>
                <w:highlight w:val="none"/>
              </w:rPr>
            </w:pPr>
          </w:p>
          <w:p w14:paraId="6F855FE5">
            <w:pPr>
              <w:pStyle w:val="56"/>
              <w:shd w:val="clear" w:color="auto" w:fill="FFFFFF"/>
              <w:spacing w:line="360" w:lineRule="auto"/>
              <w:ind w:firstLine="546"/>
              <w:rPr>
                <w:rFonts w:hint="eastAsia"/>
                <w:bCs/>
                <w:color w:val="auto"/>
                <w:spacing w:val="16"/>
                <w:highlight w:val="none"/>
              </w:rPr>
            </w:pPr>
          </w:p>
        </w:tc>
        <w:tc>
          <w:tcPr>
            <w:tcW w:w="1986" w:type="dxa"/>
            <w:gridSpan w:val="3"/>
          </w:tcPr>
          <w:p w14:paraId="6ABCC3E8">
            <w:pPr>
              <w:pStyle w:val="56"/>
              <w:shd w:val="clear" w:color="auto" w:fill="FFFFFF"/>
              <w:spacing w:line="360" w:lineRule="auto"/>
              <w:rPr>
                <w:rFonts w:hint="eastAsia"/>
                <w:bCs/>
                <w:color w:val="auto"/>
                <w:spacing w:val="16"/>
                <w:highlight w:val="none"/>
              </w:rPr>
            </w:pPr>
            <w:r>
              <w:rPr>
                <w:rFonts w:hint="eastAsia"/>
                <w:bCs/>
                <w:color w:val="auto"/>
                <w:spacing w:val="16"/>
                <w:highlight w:val="none"/>
              </w:rPr>
              <w:t>股东关系</w:t>
            </w:r>
          </w:p>
        </w:tc>
        <w:tc>
          <w:tcPr>
            <w:tcW w:w="2194" w:type="dxa"/>
            <w:gridSpan w:val="2"/>
          </w:tcPr>
          <w:p w14:paraId="66B494E3">
            <w:pPr>
              <w:pStyle w:val="56"/>
              <w:shd w:val="clear" w:color="auto" w:fill="FFFFFF"/>
              <w:spacing w:line="360" w:lineRule="auto"/>
              <w:ind w:left="107" w:firstLine="546"/>
              <w:rPr>
                <w:rFonts w:hint="eastAsia"/>
                <w:bCs/>
                <w:color w:val="auto"/>
                <w:spacing w:val="16"/>
                <w:highlight w:val="none"/>
              </w:rPr>
            </w:pPr>
          </w:p>
        </w:tc>
      </w:tr>
      <w:tr w14:paraId="2465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9" w:type="dxa"/>
            <w:vMerge w:val="restart"/>
          </w:tcPr>
          <w:p w14:paraId="55BCC6DB">
            <w:pPr>
              <w:pStyle w:val="56"/>
              <w:shd w:val="clear" w:color="auto" w:fill="FFFFFF"/>
              <w:spacing w:line="360" w:lineRule="auto"/>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8" w:type="dxa"/>
            <w:vMerge w:val="restart"/>
            <w:tcBorders>
              <w:top w:val="nil"/>
            </w:tcBorders>
          </w:tcPr>
          <w:p w14:paraId="4625932E">
            <w:pPr>
              <w:pStyle w:val="56"/>
              <w:shd w:val="clear" w:color="auto" w:fill="FFFFFF"/>
              <w:spacing w:line="360" w:lineRule="auto"/>
              <w:rPr>
                <w:rFonts w:hint="eastAsia"/>
                <w:bCs/>
                <w:color w:val="auto"/>
                <w:spacing w:val="16"/>
                <w:highlight w:val="none"/>
              </w:rPr>
            </w:pPr>
          </w:p>
        </w:tc>
        <w:tc>
          <w:tcPr>
            <w:tcW w:w="904" w:type="dxa"/>
            <w:tcBorders>
              <w:top w:val="nil"/>
              <w:bottom w:val="single" w:color="auto" w:sz="4" w:space="0"/>
            </w:tcBorders>
          </w:tcPr>
          <w:p w14:paraId="2A8C1A76">
            <w:pPr>
              <w:pStyle w:val="56"/>
              <w:shd w:val="clear" w:color="auto" w:fill="FFFFFF"/>
              <w:spacing w:line="360" w:lineRule="auto"/>
              <w:rPr>
                <w:rFonts w:hint="eastAsia"/>
                <w:bCs/>
                <w:color w:val="auto"/>
                <w:spacing w:val="16"/>
                <w:highlight w:val="none"/>
              </w:rPr>
            </w:pPr>
            <w:r>
              <w:rPr>
                <w:rFonts w:hint="eastAsia"/>
                <w:bCs/>
                <w:color w:val="auto"/>
                <w:spacing w:val="16"/>
                <w:highlight w:val="none"/>
              </w:rPr>
              <w:t>固定电话</w:t>
            </w:r>
          </w:p>
        </w:tc>
        <w:tc>
          <w:tcPr>
            <w:tcW w:w="2352" w:type="dxa"/>
            <w:gridSpan w:val="3"/>
            <w:tcBorders>
              <w:top w:val="nil"/>
              <w:bottom w:val="single" w:color="auto" w:sz="4" w:space="0"/>
            </w:tcBorders>
          </w:tcPr>
          <w:p w14:paraId="5BDFF709">
            <w:pPr>
              <w:widowControl/>
              <w:spacing w:line="360" w:lineRule="auto"/>
              <w:ind w:firstLine="546"/>
              <w:jc w:val="left"/>
              <w:rPr>
                <w:rFonts w:hint="eastAsia" w:ascii="宋体" w:hAnsi="宋体" w:cs="宋体"/>
                <w:bCs/>
                <w:color w:val="auto"/>
                <w:spacing w:val="16"/>
                <w:kern w:val="0"/>
                <w:sz w:val="24"/>
                <w:highlight w:val="none"/>
              </w:rPr>
            </w:pPr>
          </w:p>
          <w:p w14:paraId="3A14E9C3">
            <w:pPr>
              <w:pStyle w:val="56"/>
              <w:shd w:val="clear" w:color="auto" w:fill="FFFFFF"/>
              <w:spacing w:line="360" w:lineRule="auto"/>
              <w:ind w:firstLine="546"/>
              <w:rPr>
                <w:rFonts w:hint="eastAsia"/>
                <w:bCs/>
                <w:color w:val="auto"/>
                <w:spacing w:val="16"/>
                <w:highlight w:val="none"/>
              </w:rPr>
            </w:pPr>
          </w:p>
        </w:tc>
        <w:tc>
          <w:tcPr>
            <w:tcW w:w="1986" w:type="dxa"/>
            <w:gridSpan w:val="3"/>
            <w:vMerge w:val="restart"/>
          </w:tcPr>
          <w:p w14:paraId="4F58C158">
            <w:pPr>
              <w:pStyle w:val="56"/>
              <w:shd w:val="clear" w:color="auto" w:fill="FFFFFF"/>
              <w:spacing w:before="0" w:beforeAutospacing="0" w:after="0" w:afterAutospacing="0" w:line="360" w:lineRule="auto"/>
              <w:rPr>
                <w:rFonts w:hint="eastAsia"/>
                <w:bCs/>
                <w:color w:val="auto"/>
                <w:spacing w:val="16"/>
                <w:highlight w:val="none"/>
              </w:rPr>
            </w:pPr>
            <w:r>
              <w:rPr>
                <w:rFonts w:hint="eastAsia"/>
                <w:bCs/>
                <w:color w:val="auto"/>
                <w:spacing w:val="16"/>
                <w:highlight w:val="none"/>
              </w:rPr>
              <w:t>传真</w:t>
            </w:r>
          </w:p>
        </w:tc>
        <w:tc>
          <w:tcPr>
            <w:tcW w:w="2194" w:type="dxa"/>
            <w:gridSpan w:val="2"/>
            <w:vMerge w:val="restart"/>
          </w:tcPr>
          <w:p w14:paraId="1AFE2F34">
            <w:pPr>
              <w:pStyle w:val="56"/>
              <w:shd w:val="clear" w:color="auto" w:fill="FFFFFF"/>
              <w:spacing w:line="360" w:lineRule="auto"/>
              <w:ind w:firstLine="546"/>
              <w:rPr>
                <w:rFonts w:hint="eastAsia"/>
                <w:bCs/>
                <w:color w:val="auto"/>
                <w:spacing w:val="16"/>
                <w:highlight w:val="none"/>
              </w:rPr>
            </w:pPr>
          </w:p>
        </w:tc>
      </w:tr>
      <w:tr w14:paraId="6CC8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9" w:type="dxa"/>
            <w:vMerge w:val="continue"/>
            <w:tcBorders>
              <w:bottom w:val="single" w:color="auto" w:sz="4" w:space="0"/>
            </w:tcBorders>
          </w:tcPr>
          <w:p w14:paraId="68472C27">
            <w:pPr>
              <w:pStyle w:val="56"/>
              <w:shd w:val="clear" w:color="auto" w:fill="FFFFFF"/>
              <w:spacing w:line="360" w:lineRule="auto"/>
              <w:ind w:left="107" w:firstLine="482"/>
              <w:rPr>
                <w:rFonts w:hint="eastAsia"/>
                <w:bCs/>
                <w:color w:val="auto"/>
                <w:highlight w:val="none"/>
              </w:rPr>
            </w:pPr>
          </w:p>
        </w:tc>
        <w:tc>
          <w:tcPr>
            <w:tcW w:w="698" w:type="dxa"/>
            <w:vMerge w:val="continue"/>
            <w:tcBorders>
              <w:bottom w:val="single" w:color="auto" w:sz="4" w:space="0"/>
            </w:tcBorders>
          </w:tcPr>
          <w:p w14:paraId="0D75CC5B">
            <w:pPr>
              <w:pStyle w:val="56"/>
              <w:shd w:val="clear" w:color="auto" w:fill="FFFFFF"/>
              <w:spacing w:line="360" w:lineRule="auto"/>
              <w:ind w:firstLine="546"/>
              <w:rPr>
                <w:rFonts w:hint="eastAsia"/>
                <w:bCs/>
                <w:color w:val="auto"/>
                <w:spacing w:val="16"/>
                <w:highlight w:val="none"/>
              </w:rPr>
            </w:pPr>
          </w:p>
        </w:tc>
        <w:tc>
          <w:tcPr>
            <w:tcW w:w="904" w:type="dxa"/>
            <w:tcBorders>
              <w:bottom w:val="single" w:color="auto" w:sz="4" w:space="0"/>
            </w:tcBorders>
          </w:tcPr>
          <w:p w14:paraId="7B2D8005">
            <w:pPr>
              <w:pStyle w:val="56"/>
              <w:shd w:val="clear" w:color="auto" w:fill="FFFFFF"/>
              <w:spacing w:line="360" w:lineRule="auto"/>
              <w:rPr>
                <w:rFonts w:hint="eastAsia"/>
                <w:bCs/>
                <w:color w:val="auto"/>
                <w:spacing w:val="16"/>
                <w:highlight w:val="none"/>
              </w:rPr>
            </w:pPr>
            <w:r>
              <w:rPr>
                <w:rFonts w:hint="eastAsia"/>
                <w:bCs/>
                <w:color w:val="auto"/>
                <w:spacing w:val="27"/>
                <w:highlight w:val="none"/>
              </w:rPr>
              <w:t>手机</w:t>
            </w:r>
          </w:p>
        </w:tc>
        <w:tc>
          <w:tcPr>
            <w:tcW w:w="2352" w:type="dxa"/>
            <w:gridSpan w:val="3"/>
            <w:tcBorders>
              <w:bottom w:val="single" w:color="auto" w:sz="4" w:space="0"/>
            </w:tcBorders>
          </w:tcPr>
          <w:p w14:paraId="1B952C2A">
            <w:pPr>
              <w:pStyle w:val="56"/>
              <w:shd w:val="clear" w:color="auto" w:fill="FFFFFF"/>
              <w:spacing w:line="360" w:lineRule="auto"/>
              <w:ind w:firstLine="546"/>
              <w:rPr>
                <w:rFonts w:hint="eastAsia"/>
                <w:bCs/>
                <w:color w:val="auto"/>
                <w:spacing w:val="16"/>
                <w:highlight w:val="none"/>
              </w:rPr>
            </w:pPr>
          </w:p>
        </w:tc>
        <w:tc>
          <w:tcPr>
            <w:tcW w:w="1986" w:type="dxa"/>
            <w:gridSpan w:val="3"/>
            <w:vMerge w:val="continue"/>
          </w:tcPr>
          <w:p w14:paraId="44CC13E9">
            <w:pPr>
              <w:pStyle w:val="56"/>
              <w:shd w:val="clear" w:color="auto" w:fill="FFFFFF"/>
              <w:spacing w:line="360" w:lineRule="auto"/>
              <w:ind w:firstLine="546"/>
              <w:rPr>
                <w:rFonts w:hint="eastAsia"/>
                <w:bCs/>
                <w:color w:val="auto"/>
                <w:spacing w:val="16"/>
                <w:highlight w:val="none"/>
              </w:rPr>
            </w:pPr>
          </w:p>
        </w:tc>
        <w:tc>
          <w:tcPr>
            <w:tcW w:w="2194" w:type="dxa"/>
            <w:gridSpan w:val="2"/>
            <w:vMerge w:val="continue"/>
          </w:tcPr>
          <w:p w14:paraId="6424A483">
            <w:pPr>
              <w:pStyle w:val="56"/>
              <w:shd w:val="clear" w:color="auto" w:fill="FFFFFF"/>
              <w:spacing w:line="360" w:lineRule="auto"/>
              <w:ind w:firstLine="546"/>
              <w:rPr>
                <w:rFonts w:hint="eastAsia"/>
                <w:bCs/>
                <w:color w:val="auto"/>
                <w:spacing w:val="16"/>
                <w:highlight w:val="none"/>
              </w:rPr>
            </w:pPr>
          </w:p>
        </w:tc>
      </w:tr>
      <w:tr w14:paraId="14E7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79" w:type="dxa"/>
            <w:vMerge w:val="restart"/>
          </w:tcPr>
          <w:p w14:paraId="57294567">
            <w:pPr>
              <w:pStyle w:val="56"/>
              <w:shd w:val="clear" w:color="auto" w:fill="FFFFFF"/>
              <w:spacing w:line="360" w:lineRule="auto"/>
              <w:ind w:left="107" w:firstLine="480" w:firstLineChars="200"/>
              <w:rPr>
                <w:rFonts w:hint="eastAsia"/>
                <w:bCs/>
                <w:color w:val="auto"/>
                <w:highlight w:val="none"/>
              </w:rPr>
            </w:pPr>
            <w:r>
              <w:rPr>
                <w:bCs/>
                <w:color w:val="auto"/>
                <w:highlight w:val="none"/>
              </w:rPr>
              <w:t>1</w:t>
            </w:r>
            <w:r>
              <w:rPr>
                <w:rFonts w:hint="eastAsia"/>
                <w:bCs/>
                <w:color w:val="auto"/>
                <w:highlight w:val="none"/>
              </w:rPr>
              <w:t>.</w:t>
            </w:r>
          </w:p>
          <w:p w14:paraId="6558522A">
            <w:pPr>
              <w:pStyle w:val="56"/>
              <w:shd w:val="clear" w:color="auto" w:fill="FFFFFF"/>
              <w:spacing w:line="360" w:lineRule="auto"/>
              <w:ind w:left="107" w:firstLine="480" w:firstLineChars="200"/>
              <w:rPr>
                <w:rFonts w:hint="eastAsia"/>
                <w:bCs/>
                <w:color w:val="auto"/>
                <w:highlight w:val="none"/>
              </w:rPr>
            </w:pPr>
            <w:r>
              <w:rPr>
                <w:rFonts w:hint="eastAsia"/>
                <w:bCs/>
                <w:color w:val="auto"/>
                <w:highlight w:val="none"/>
              </w:rPr>
              <w:t>企</w:t>
            </w:r>
          </w:p>
          <w:p w14:paraId="0854F59F">
            <w:pPr>
              <w:pStyle w:val="56"/>
              <w:shd w:val="clear" w:color="auto" w:fill="FFFFFF"/>
              <w:spacing w:line="360" w:lineRule="auto"/>
              <w:ind w:left="107" w:firstLine="480" w:firstLineChars="200"/>
              <w:rPr>
                <w:rFonts w:hint="eastAsia"/>
                <w:bCs/>
                <w:color w:val="auto"/>
                <w:highlight w:val="none"/>
              </w:rPr>
            </w:pPr>
            <w:r>
              <w:rPr>
                <w:rFonts w:hint="eastAsia"/>
                <w:bCs/>
                <w:color w:val="auto"/>
                <w:highlight w:val="none"/>
              </w:rPr>
              <w:t>业</w:t>
            </w:r>
          </w:p>
          <w:p w14:paraId="3E5F7881">
            <w:pPr>
              <w:pStyle w:val="56"/>
              <w:shd w:val="clear" w:color="auto" w:fill="FFFFFF"/>
              <w:spacing w:line="360" w:lineRule="auto"/>
              <w:ind w:left="107" w:firstLine="588" w:firstLineChars="200"/>
              <w:rPr>
                <w:rFonts w:hint="eastAsia"/>
                <w:bCs/>
                <w:color w:val="auto"/>
                <w:spacing w:val="27"/>
                <w:highlight w:val="none"/>
              </w:rPr>
            </w:pPr>
            <w:r>
              <w:rPr>
                <w:rFonts w:hint="eastAsia"/>
                <w:bCs/>
                <w:color w:val="auto"/>
                <w:spacing w:val="27"/>
                <w:highlight w:val="none"/>
              </w:rPr>
              <w:t>概</w:t>
            </w:r>
          </w:p>
          <w:p w14:paraId="6F9EB8FD">
            <w:pPr>
              <w:pStyle w:val="56"/>
              <w:shd w:val="clear" w:color="auto" w:fill="FFFFFF"/>
              <w:spacing w:line="360" w:lineRule="auto"/>
              <w:ind w:left="107" w:firstLine="588" w:firstLineChars="200"/>
              <w:rPr>
                <w:rFonts w:hint="eastAsia"/>
                <w:bCs/>
                <w:color w:val="auto"/>
                <w:highlight w:val="none"/>
              </w:rPr>
            </w:pPr>
            <w:r>
              <w:rPr>
                <w:rFonts w:hint="eastAsia"/>
                <w:bCs/>
                <w:color w:val="auto"/>
                <w:spacing w:val="27"/>
                <w:highlight w:val="none"/>
              </w:rPr>
              <w:t>况</w:t>
            </w:r>
          </w:p>
        </w:tc>
        <w:tc>
          <w:tcPr>
            <w:tcW w:w="698" w:type="dxa"/>
            <w:tcBorders>
              <w:top w:val="nil"/>
            </w:tcBorders>
          </w:tcPr>
          <w:p w14:paraId="372BB0BB">
            <w:pPr>
              <w:pStyle w:val="56"/>
              <w:shd w:val="clear" w:color="auto" w:fill="FFFFFF"/>
              <w:spacing w:line="360" w:lineRule="auto"/>
              <w:rPr>
                <w:rFonts w:hint="eastAsia"/>
                <w:bCs/>
                <w:color w:val="auto"/>
                <w:spacing w:val="16"/>
                <w:highlight w:val="none"/>
              </w:rPr>
            </w:pPr>
            <w:r>
              <w:rPr>
                <w:rFonts w:hint="eastAsia"/>
                <w:bCs/>
                <w:color w:val="auto"/>
                <w:spacing w:val="16"/>
                <w:highlight w:val="none"/>
              </w:rPr>
              <w:t>职工人数</w:t>
            </w:r>
          </w:p>
        </w:tc>
        <w:tc>
          <w:tcPr>
            <w:tcW w:w="904" w:type="dxa"/>
            <w:tcBorders>
              <w:top w:val="nil"/>
            </w:tcBorders>
          </w:tcPr>
          <w:p w14:paraId="2227C24A">
            <w:pPr>
              <w:pStyle w:val="56"/>
              <w:shd w:val="clear" w:color="auto" w:fill="FFFFFF"/>
              <w:spacing w:line="360" w:lineRule="auto"/>
              <w:ind w:firstLine="546"/>
              <w:rPr>
                <w:rFonts w:hint="eastAsia"/>
                <w:bCs/>
                <w:color w:val="auto"/>
                <w:spacing w:val="16"/>
                <w:highlight w:val="none"/>
              </w:rPr>
            </w:pPr>
          </w:p>
        </w:tc>
        <w:tc>
          <w:tcPr>
            <w:tcW w:w="1155" w:type="dxa"/>
            <w:tcBorders>
              <w:top w:val="nil"/>
            </w:tcBorders>
          </w:tcPr>
          <w:p w14:paraId="6A5547E1">
            <w:pPr>
              <w:pStyle w:val="56"/>
              <w:shd w:val="clear" w:color="auto" w:fill="FFFFFF"/>
              <w:spacing w:before="0" w:beforeAutospacing="0" w:after="0" w:afterAutospacing="0" w:line="360" w:lineRule="auto"/>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97" w:type="dxa"/>
            <w:gridSpan w:val="2"/>
            <w:tcBorders>
              <w:top w:val="nil"/>
            </w:tcBorders>
          </w:tcPr>
          <w:p w14:paraId="64B36903">
            <w:pPr>
              <w:widowControl/>
              <w:spacing w:line="360" w:lineRule="auto"/>
              <w:ind w:firstLine="546"/>
              <w:jc w:val="left"/>
              <w:rPr>
                <w:rFonts w:hint="eastAsia" w:ascii="宋体" w:hAnsi="宋体" w:cs="宋体"/>
                <w:bCs/>
                <w:color w:val="auto"/>
                <w:spacing w:val="16"/>
                <w:kern w:val="0"/>
                <w:sz w:val="24"/>
                <w:highlight w:val="none"/>
              </w:rPr>
            </w:pPr>
          </w:p>
          <w:p w14:paraId="51D095F8">
            <w:pPr>
              <w:widowControl/>
              <w:spacing w:line="360" w:lineRule="auto"/>
              <w:ind w:firstLine="546"/>
              <w:jc w:val="left"/>
              <w:rPr>
                <w:rFonts w:hint="eastAsia" w:ascii="宋体" w:hAnsi="宋体" w:cs="宋体"/>
                <w:bCs/>
                <w:color w:val="auto"/>
                <w:spacing w:val="16"/>
                <w:kern w:val="0"/>
                <w:sz w:val="24"/>
                <w:highlight w:val="none"/>
              </w:rPr>
            </w:pPr>
          </w:p>
          <w:p w14:paraId="4A162AED">
            <w:pPr>
              <w:pStyle w:val="56"/>
              <w:shd w:val="clear" w:color="auto" w:fill="FFFFFF"/>
              <w:spacing w:line="360" w:lineRule="auto"/>
              <w:ind w:firstLine="546"/>
              <w:rPr>
                <w:rFonts w:hint="eastAsia"/>
                <w:bCs/>
                <w:color w:val="auto"/>
                <w:spacing w:val="16"/>
                <w:highlight w:val="none"/>
              </w:rPr>
            </w:pPr>
          </w:p>
        </w:tc>
        <w:tc>
          <w:tcPr>
            <w:tcW w:w="1986" w:type="dxa"/>
            <w:gridSpan w:val="3"/>
          </w:tcPr>
          <w:p w14:paraId="4F79AC26">
            <w:pPr>
              <w:pStyle w:val="56"/>
              <w:shd w:val="clear" w:color="auto" w:fill="FFFFFF"/>
              <w:spacing w:line="360" w:lineRule="auto"/>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94" w:type="dxa"/>
            <w:gridSpan w:val="2"/>
          </w:tcPr>
          <w:p w14:paraId="09CE16C8">
            <w:pPr>
              <w:widowControl/>
              <w:spacing w:line="360" w:lineRule="auto"/>
              <w:ind w:firstLine="546"/>
              <w:jc w:val="left"/>
              <w:rPr>
                <w:rFonts w:hint="eastAsia" w:ascii="宋体" w:hAnsi="宋体" w:cs="宋体"/>
                <w:bCs/>
                <w:color w:val="auto"/>
                <w:spacing w:val="16"/>
                <w:kern w:val="0"/>
                <w:sz w:val="24"/>
                <w:highlight w:val="none"/>
              </w:rPr>
            </w:pPr>
          </w:p>
          <w:p w14:paraId="424CBC7D">
            <w:pPr>
              <w:pStyle w:val="56"/>
              <w:shd w:val="clear" w:color="auto" w:fill="FFFFFF"/>
              <w:spacing w:line="360" w:lineRule="auto"/>
              <w:ind w:firstLine="546"/>
              <w:rPr>
                <w:rFonts w:hint="eastAsia"/>
                <w:bCs/>
                <w:color w:val="auto"/>
                <w:spacing w:val="16"/>
                <w:highlight w:val="none"/>
              </w:rPr>
            </w:pPr>
          </w:p>
        </w:tc>
      </w:tr>
      <w:tr w14:paraId="2D49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79" w:type="dxa"/>
            <w:vMerge w:val="continue"/>
          </w:tcPr>
          <w:p w14:paraId="206292C9">
            <w:pPr>
              <w:pStyle w:val="56"/>
              <w:shd w:val="clear" w:color="auto" w:fill="FFFFFF"/>
              <w:spacing w:line="360" w:lineRule="auto"/>
              <w:ind w:left="107" w:firstLine="482"/>
              <w:rPr>
                <w:rFonts w:hint="eastAsia"/>
                <w:bCs/>
                <w:color w:val="auto"/>
                <w:highlight w:val="none"/>
              </w:rPr>
            </w:pPr>
          </w:p>
        </w:tc>
        <w:tc>
          <w:tcPr>
            <w:tcW w:w="698" w:type="dxa"/>
          </w:tcPr>
          <w:p w14:paraId="00A5DFF2">
            <w:pPr>
              <w:pStyle w:val="56"/>
              <w:shd w:val="clear" w:color="auto" w:fill="FFFFFF"/>
              <w:spacing w:line="360" w:lineRule="auto"/>
              <w:rPr>
                <w:rFonts w:hint="eastAsia"/>
                <w:bCs/>
                <w:color w:val="auto"/>
                <w:highlight w:val="none"/>
              </w:rPr>
            </w:pPr>
            <w:r>
              <w:rPr>
                <w:rFonts w:hint="eastAsia"/>
                <w:bCs/>
                <w:color w:val="auto"/>
                <w:spacing w:val="16"/>
                <w:highlight w:val="none"/>
              </w:rPr>
              <w:t>占地面积</w:t>
            </w:r>
          </w:p>
        </w:tc>
        <w:tc>
          <w:tcPr>
            <w:tcW w:w="904" w:type="dxa"/>
          </w:tcPr>
          <w:p w14:paraId="768CFFDB">
            <w:pPr>
              <w:pStyle w:val="56"/>
              <w:shd w:val="clear" w:color="auto" w:fill="FFFFFF"/>
              <w:spacing w:line="360" w:lineRule="auto"/>
              <w:ind w:firstLine="482"/>
              <w:rPr>
                <w:rFonts w:hint="eastAsia"/>
                <w:bCs/>
                <w:color w:val="auto"/>
                <w:highlight w:val="none"/>
              </w:rPr>
            </w:pPr>
          </w:p>
        </w:tc>
        <w:tc>
          <w:tcPr>
            <w:tcW w:w="1155" w:type="dxa"/>
          </w:tcPr>
          <w:p w14:paraId="1A407690">
            <w:pPr>
              <w:pStyle w:val="56"/>
              <w:shd w:val="clear" w:color="auto" w:fill="FFFFFF"/>
              <w:spacing w:line="360" w:lineRule="auto"/>
              <w:rPr>
                <w:rFonts w:hint="eastAsia"/>
                <w:bCs/>
                <w:color w:val="auto"/>
                <w:highlight w:val="none"/>
              </w:rPr>
            </w:pPr>
            <w:r>
              <w:rPr>
                <w:rFonts w:hint="eastAsia"/>
                <w:bCs/>
                <w:color w:val="auto"/>
                <w:spacing w:val="16"/>
                <w:highlight w:val="none"/>
              </w:rPr>
              <w:t>建筑面积</w:t>
            </w:r>
          </w:p>
        </w:tc>
        <w:tc>
          <w:tcPr>
            <w:tcW w:w="1197" w:type="dxa"/>
            <w:gridSpan w:val="2"/>
          </w:tcPr>
          <w:p w14:paraId="36113706">
            <w:pPr>
              <w:pStyle w:val="56"/>
              <w:shd w:val="clear" w:color="auto" w:fill="FFFFFF"/>
              <w:spacing w:line="360" w:lineRule="auto"/>
              <w:rPr>
                <w:rFonts w:hint="eastAsia"/>
                <w:bCs/>
                <w:color w:val="auto"/>
                <w:highlight w:val="none"/>
              </w:rPr>
            </w:pPr>
            <w:r>
              <w:rPr>
                <w:rFonts w:hint="eastAsia"/>
                <w:bCs/>
                <w:color w:val="auto"/>
                <w:highlight w:val="none"/>
              </w:rPr>
              <w:t xml:space="preserve">平方米 </w:t>
            </w:r>
          </w:p>
          <w:p w14:paraId="4D78AA4F">
            <w:pPr>
              <w:pStyle w:val="56"/>
              <w:shd w:val="clear" w:color="auto" w:fill="FFFFFF"/>
              <w:spacing w:line="360" w:lineRule="auto"/>
              <w:rPr>
                <w:rFonts w:hint="eastAsia"/>
                <w:bCs/>
                <w:color w:val="auto"/>
                <w:highlight w:val="none"/>
              </w:rPr>
            </w:pPr>
            <w:r>
              <w:rPr>
                <w:rFonts w:hint="eastAsia"/>
                <w:bCs/>
                <w:color w:val="auto"/>
                <w:spacing w:val="16"/>
                <w:highlight w:val="none"/>
                <w:lang w:eastAsia="zh-CN"/>
              </w:rPr>
              <w:t>☑</w:t>
            </w:r>
            <w:r>
              <w:rPr>
                <w:rFonts w:hint="eastAsia"/>
                <w:bCs/>
                <w:color w:val="auto"/>
                <w:spacing w:val="16"/>
                <w:highlight w:val="none"/>
              </w:rPr>
              <w:t>自有□租賃</w:t>
            </w:r>
          </w:p>
        </w:tc>
        <w:tc>
          <w:tcPr>
            <w:tcW w:w="1986" w:type="dxa"/>
            <w:gridSpan w:val="3"/>
          </w:tcPr>
          <w:p w14:paraId="292A7D54">
            <w:pPr>
              <w:pStyle w:val="56"/>
              <w:shd w:val="clear" w:color="auto" w:fill="FFFFFF"/>
              <w:spacing w:line="360" w:lineRule="auto"/>
              <w:rPr>
                <w:rFonts w:hint="eastAsia"/>
                <w:bCs/>
                <w:color w:val="auto"/>
                <w:highlight w:val="none"/>
              </w:rPr>
            </w:pPr>
            <w:r>
              <w:rPr>
                <w:rFonts w:hint="eastAsia"/>
                <w:bCs/>
                <w:color w:val="auto"/>
                <w:spacing w:val="16"/>
                <w:highlight w:val="none"/>
              </w:rPr>
              <w:t>生产经营场所及场所的设施与设备</w:t>
            </w:r>
          </w:p>
        </w:tc>
        <w:tc>
          <w:tcPr>
            <w:tcW w:w="2194" w:type="dxa"/>
            <w:gridSpan w:val="2"/>
          </w:tcPr>
          <w:p w14:paraId="5E16D72E">
            <w:pPr>
              <w:pStyle w:val="56"/>
              <w:shd w:val="clear" w:color="auto" w:fill="FFFFFF"/>
              <w:spacing w:before="0" w:beforeAutospacing="0" w:after="0" w:afterAutospacing="0" w:line="360" w:lineRule="auto"/>
              <w:ind w:firstLine="546"/>
              <w:rPr>
                <w:rFonts w:hint="eastAsia"/>
                <w:bCs/>
                <w:color w:val="auto"/>
                <w:spacing w:val="16"/>
                <w:highlight w:val="none"/>
              </w:rPr>
            </w:pPr>
          </w:p>
        </w:tc>
      </w:tr>
      <w:tr w14:paraId="3CD1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9" w:type="dxa"/>
            <w:vMerge w:val="continue"/>
          </w:tcPr>
          <w:p w14:paraId="0828657F">
            <w:pPr>
              <w:pStyle w:val="56"/>
              <w:shd w:val="clear" w:color="auto" w:fill="FFFFFF"/>
              <w:spacing w:line="360" w:lineRule="auto"/>
              <w:ind w:left="107" w:firstLine="482"/>
              <w:rPr>
                <w:rFonts w:hint="eastAsia"/>
                <w:bCs/>
                <w:color w:val="auto"/>
                <w:highlight w:val="none"/>
              </w:rPr>
            </w:pPr>
          </w:p>
        </w:tc>
        <w:tc>
          <w:tcPr>
            <w:tcW w:w="698" w:type="dxa"/>
          </w:tcPr>
          <w:p w14:paraId="10CA7C80">
            <w:pPr>
              <w:pStyle w:val="56"/>
              <w:shd w:val="clear" w:color="auto" w:fill="FFFFFF"/>
              <w:spacing w:line="360" w:lineRule="auto"/>
              <w:rPr>
                <w:rFonts w:hint="eastAsia"/>
                <w:bCs/>
                <w:color w:val="auto"/>
                <w:spacing w:val="16"/>
                <w:highlight w:val="none"/>
              </w:rPr>
            </w:pPr>
            <w:r>
              <w:rPr>
                <w:rFonts w:hint="eastAsia"/>
                <w:bCs/>
                <w:color w:val="auto"/>
                <w:spacing w:val="16"/>
                <w:highlight w:val="none"/>
              </w:rPr>
              <w:t>注册资金</w:t>
            </w:r>
          </w:p>
        </w:tc>
        <w:tc>
          <w:tcPr>
            <w:tcW w:w="904" w:type="dxa"/>
          </w:tcPr>
          <w:p w14:paraId="4316F94A">
            <w:pPr>
              <w:pStyle w:val="56"/>
              <w:shd w:val="clear" w:color="auto" w:fill="FFFFFF"/>
              <w:spacing w:line="360" w:lineRule="auto"/>
              <w:ind w:left="2" w:firstLine="482"/>
              <w:rPr>
                <w:rFonts w:hint="eastAsia"/>
                <w:bCs/>
                <w:color w:val="auto"/>
                <w:highlight w:val="none"/>
              </w:rPr>
            </w:pPr>
          </w:p>
        </w:tc>
        <w:tc>
          <w:tcPr>
            <w:tcW w:w="1155" w:type="dxa"/>
          </w:tcPr>
          <w:p w14:paraId="63666DF6">
            <w:pPr>
              <w:pStyle w:val="56"/>
              <w:shd w:val="clear" w:color="auto" w:fill="FFFFFF"/>
              <w:spacing w:line="360" w:lineRule="auto"/>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183" w:type="dxa"/>
            <w:gridSpan w:val="5"/>
          </w:tcPr>
          <w:p w14:paraId="6B956DA7">
            <w:pPr>
              <w:widowControl/>
              <w:spacing w:line="360" w:lineRule="auto"/>
              <w:jc w:val="left"/>
              <w:rPr>
                <w:rFonts w:hint="eastAsia" w:ascii="宋体" w:hAnsi="宋体" w:cs="宋体"/>
                <w:bCs/>
                <w:color w:val="auto"/>
                <w:kern w:val="0"/>
                <w:sz w:val="24"/>
                <w:highlight w:val="none"/>
              </w:rPr>
            </w:pPr>
          </w:p>
          <w:p w14:paraId="5E9C8019">
            <w:pPr>
              <w:pStyle w:val="56"/>
              <w:shd w:val="clear" w:color="auto" w:fill="FFFFFF"/>
              <w:spacing w:line="360" w:lineRule="auto"/>
              <w:ind w:left="107" w:firstLine="482"/>
              <w:rPr>
                <w:rFonts w:hint="eastAsia"/>
                <w:bCs/>
                <w:color w:val="auto"/>
                <w:highlight w:val="none"/>
              </w:rPr>
            </w:pPr>
          </w:p>
        </w:tc>
        <w:tc>
          <w:tcPr>
            <w:tcW w:w="1267" w:type="dxa"/>
          </w:tcPr>
          <w:p w14:paraId="34EB3698">
            <w:pPr>
              <w:pStyle w:val="56"/>
              <w:shd w:val="clear" w:color="auto" w:fill="FFFFFF"/>
              <w:spacing w:line="360" w:lineRule="auto"/>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27" w:type="dxa"/>
          </w:tcPr>
          <w:p w14:paraId="3E9A3432">
            <w:pPr>
              <w:pStyle w:val="56"/>
              <w:shd w:val="clear" w:color="auto" w:fill="FFFFFF"/>
              <w:spacing w:line="360" w:lineRule="auto"/>
              <w:ind w:left="107" w:firstLine="482"/>
              <w:rPr>
                <w:rFonts w:hint="eastAsia"/>
                <w:bCs/>
                <w:color w:val="auto"/>
                <w:highlight w:val="none"/>
              </w:rPr>
            </w:pPr>
          </w:p>
        </w:tc>
      </w:tr>
      <w:tr w14:paraId="41BD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79" w:type="dxa"/>
            <w:vMerge w:val="continue"/>
          </w:tcPr>
          <w:p w14:paraId="3ECD2881">
            <w:pPr>
              <w:pStyle w:val="56"/>
              <w:shd w:val="clear" w:color="auto" w:fill="FFFFFF"/>
              <w:spacing w:line="360" w:lineRule="auto"/>
              <w:ind w:left="107" w:firstLine="482"/>
              <w:rPr>
                <w:rFonts w:hint="eastAsia"/>
                <w:bCs/>
                <w:color w:val="auto"/>
                <w:highlight w:val="none"/>
              </w:rPr>
            </w:pPr>
          </w:p>
        </w:tc>
        <w:tc>
          <w:tcPr>
            <w:tcW w:w="698" w:type="dxa"/>
          </w:tcPr>
          <w:p w14:paraId="5F97C17E">
            <w:pPr>
              <w:pStyle w:val="56"/>
              <w:shd w:val="clear" w:color="auto" w:fill="FFFFFF"/>
              <w:spacing w:line="360" w:lineRule="auto"/>
              <w:rPr>
                <w:rFonts w:hint="eastAsia"/>
                <w:bCs/>
                <w:color w:val="auto"/>
                <w:highlight w:val="none"/>
              </w:rPr>
            </w:pPr>
            <w:r>
              <w:rPr>
                <w:rFonts w:hint="eastAsia"/>
                <w:bCs/>
                <w:color w:val="auto"/>
                <w:highlight w:val="none"/>
              </w:rPr>
              <w:t>核准经营范围</w:t>
            </w:r>
          </w:p>
        </w:tc>
        <w:tc>
          <w:tcPr>
            <w:tcW w:w="7436" w:type="dxa"/>
            <w:gridSpan w:val="9"/>
          </w:tcPr>
          <w:p w14:paraId="5BE6D670">
            <w:pPr>
              <w:pStyle w:val="56"/>
              <w:shd w:val="clear" w:color="auto" w:fill="FFFFFF"/>
              <w:spacing w:line="360" w:lineRule="auto"/>
              <w:ind w:left="107" w:firstLine="482"/>
              <w:rPr>
                <w:rFonts w:hint="eastAsia"/>
                <w:bCs/>
                <w:color w:val="auto"/>
                <w:highlight w:val="none"/>
              </w:rPr>
            </w:pPr>
          </w:p>
        </w:tc>
      </w:tr>
      <w:tr w14:paraId="62D9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79" w:type="dxa"/>
            <w:vMerge w:val="continue"/>
          </w:tcPr>
          <w:p w14:paraId="1C298A51">
            <w:pPr>
              <w:pStyle w:val="56"/>
              <w:shd w:val="clear" w:color="auto" w:fill="FFFFFF"/>
              <w:spacing w:line="360" w:lineRule="auto"/>
              <w:ind w:left="107" w:firstLine="482"/>
              <w:rPr>
                <w:rFonts w:hint="eastAsia"/>
                <w:bCs/>
                <w:color w:val="auto"/>
                <w:highlight w:val="none"/>
              </w:rPr>
            </w:pPr>
          </w:p>
        </w:tc>
        <w:tc>
          <w:tcPr>
            <w:tcW w:w="8134" w:type="dxa"/>
            <w:gridSpan w:val="10"/>
          </w:tcPr>
          <w:p w14:paraId="00AC08CA">
            <w:pPr>
              <w:pStyle w:val="56"/>
              <w:shd w:val="clear" w:color="auto" w:fill="FFFFFF"/>
              <w:spacing w:line="360" w:lineRule="auto"/>
              <w:rPr>
                <w:rFonts w:hint="eastAsia"/>
                <w:bCs/>
                <w:color w:val="auto"/>
                <w:spacing w:val="13"/>
                <w:highlight w:val="none"/>
              </w:rPr>
            </w:pPr>
            <w:r>
              <w:rPr>
                <w:rFonts w:hint="eastAsia"/>
                <w:bCs/>
                <w:color w:val="auto"/>
                <w:spacing w:val="13"/>
                <w:highlight w:val="none"/>
              </w:rPr>
              <w:t>发展历程及主要荣誉：</w:t>
            </w:r>
          </w:p>
        </w:tc>
      </w:tr>
      <w:tr w14:paraId="2414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9" w:type="dxa"/>
            <w:vMerge w:val="restart"/>
          </w:tcPr>
          <w:p w14:paraId="5D463611">
            <w:pPr>
              <w:pStyle w:val="56"/>
              <w:shd w:val="clear" w:color="auto" w:fill="FFFFFF"/>
              <w:spacing w:line="360" w:lineRule="auto"/>
              <w:rPr>
                <w:rFonts w:hint="eastAsia"/>
                <w:bCs/>
                <w:color w:val="auto"/>
                <w:highlight w:val="none"/>
              </w:rPr>
            </w:pPr>
            <w:r>
              <w:rPr>
                <w:bCs/>
                <w:color w:val="auto"/>
                <w:highlight w:val="none"/>
              </w:rPr>
              <w:t>2</w:t>
            </w:r>
            <w:r>
              <w:rPr>
                <w:rFonts w:hint="eastAsia"/>
                <w:bCs/>
                <w:color w:val="auto"/>
                <w:highlight w:val="none"/>
              </w:rPr>
              <w:t>．</w:t>
            </w:r>
          </w:p>
          <w:p w14:paraId="6995068F">
            <w:pPr>
              <w:pStyle w:val="56"/>
              <w:shd w:val="clear" w:color="auto" w:fill="FFFFFF"/>
              <w:spacing w:line="360" w:lineRule="auto"/>
              <w:ind w:left="107" w:firstLine="480" w:firstLineChars="200"/>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602" w:type="dxa"/>
            <w:gridSpan w:val="2"/>
            <w:vMerge w:val="restart"/>
          </w:tcPr>
          <w:p w14:paraId="15299ABB">
            <w:pPr>
              <w:pStyle w:val="56"/>
              <w:shd w:val="clear" w:color="auto" w:fill="FFFFFF"/>
              <w:spacing w:before="0" w:beforeAutospacing="0" w:after="0" w:afterAutospacing="0" w:line="360" w:lineRule="auto"/>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24" w:type="dxa"/>
            <w:gridSpan w:val="2"/>
          </w:tcPr>
          <w:p w14:paraId="7821B84B">
            <w:pPr>
              <w:pStyle w:val="56"/>
              <w:shd w:val="clear" w:color="auto" w:fill="FFFFFF"/>
              <w:spacing w:line="360" w:lineRule="auto"/>
              <w:ind w:right="-78" w:rightChars="-37"/>
              <w:rPr>
                <w:rFonts w:hint="eastAsia"/>
                <w:bCs/>
                <w:color w:val="auto"/>
                <w:spacing w:val="16"/>
                <w:highlight w:val="none"/>
              </w:rPr>
            </w:pPr>
            <w:r>
              <w:rPr>
                <w:rFonts w:hint="eastAsia"/>
                <w:bCs/>
                <w:color w:val="auto"/>
                <w:spacing w:val="16"/>
                <w:highlight w:val="none"/>
              </w:rPr>
              <w:t>产品名称</w:t>
            </w:r>
          </w:p>
        </w:tc>
        <w:tc>
          <w:tcPr>
            <w:tcW w:w="1408" w:type="dxa"/>
            <w:gridSpan w:val="2"/>
          </w:tcPr>
          <w:p w14:paraId="40A81693">
            <w:pPr>
              <w:pStyle w:val="56"/>
              <w:shd w:val="clear" w:color="auto" w:fill="FFFFFF"/>
              <w:spacing w:before="0" w:beforeAutospacing="0" w:after="0" w:afterAutospacing="0" w:line="360" w:lineRule="auto"/>
              <w:rPr>
                <w:rFonts w:hint="eastAsia"/>
                <w:bCs/>
                <w:color w:val="auto"/>
                <w:highlight w:val="none"/>
              </w:rPr>
            </w:pPr>
            <w:r>
              <w:rPr>
                <w:rFonts w:hint="eastAsia"/>
                <w:bCs/>
                <w:color w:val="auto"/>
                <w:spacing w:val="16"/>
                <w:highlight w:val="none"/>
              </w:rPr>
              <w:t>发证机关</w:t>
            </w:r>
          </w:p>
        </w:tc>
        <w:tc>
          <w:tcPr>
            <w:tcW w:w="1267" w:type="dxa"/>
          </w:tcPr>
          <w:p w14:paraId="0B76CCAA">
            <w:pPr>
              <w:pStyle w:val="56"/>
              <w:shd w:val="clear" w:color="auto" w:fill="FFFFFF"/>
              <w:spacing w:line="360" w:lineRule="auto"/>
              <w:jc w:val="both"/>
              <w:rPr>
                <w:rFonts w:hint="eastAsia"/>
                <w:bCs/>
                <w:color w:val="auto"/>
                <w:highlight w:val="none"/>
              </w:rPr>
            </w:pPr>
            <w:r>
              <w:rPr>
                <w:rFonts w:hint="eastAsia"/>
                <w:bCs/>
                <w:color w:val="auto"/>
                <w:spacing w:val="27"/>
                <w:highlight w:val="none"/>
              </w:rPr>
              <w:t>编号</w:t>
            </w:r>
          </w:p>
        </w:tc>
        <w:tc>
          <w:tcPr>
            <w:tcW w:w="1606" w:type="dxa"/>
            <w:gridSpan w:val="2"/>
          </w:tcPr>
          <w:p w14:paraId="67963F44">
            <w:pPr>
              <w:pStyle w:val="56"/>
              <w:shd w:val="clear" w:color="auto" w:fill="FFFFFF"/>
              <w:spacing w:line="360" w:lineRule="auto"/>
              <w:jc w:val="both"/>
              <w:rPr>
                <w:rFonts w:hint="eastAsia"/>
                <w:bCs/>
                <w:color w:val="auto"/>
                <w:highlight w:val="none"/>
              </w:rPr>
            </w:pPr>
            <w:r>
              <w:rPr>
                <w:rFonts w:hint="eastAsia"/>
                <w:bCs/>
                <w:color w:val="auto"/>
                <w:spacing w:val="16"/>
                <w:highlight w:val="none"/>
              </w:rPr>
              <w:t>发证时间</w:t>
            </w:r>
          </w:p>
        </w:tc>
        <w:tc>
          <w:tcPr>
            <w:tcW w:w="927" w:type="dxa"/>
          </w:tcPr>
          <w:p w14:paraId="0A0605AC">
            <w:pPr>
              <w:pStyle w:val="56"/>
              <w:shd w:val="clear" w:color="auto" w:fill="FFFFFF"/>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4B5E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79" w:type="dxa"/>
            <w:vMerge w:val="continue"/>
          </w:tcPr>
          <w:p w14:paraId="3B21DECE">
            <w:pPr>
              <w:pStyle w:val="56"/>
              <w:shd w:val="clear" w:color="auto" w:fill="FFFFFF"/>
              <w:spacing w:line="360" w:lineRule="auto"/>
              <w:ind w:left="107" w:firstLine="482"/>
              <w:rPr>
                <w:rFonts w:hint="eastAsia"/>
                <w:bCs/>
                <w:color w:val="auto"/>
                <w:highlight w:val="none"/>
              </w:rPr>
            </w:pPr>
          </w:p>
        </w:tc>
        <w:tc>
          <w:tcPr>
            <w:tcW w:w="1602" w:type="dxa"/>
            <w:gridSpan w:val="2"/>
            <w:vMerge w:val="continue"/>
          </w:tcPr>
          <w:p w14:paraId="1D6D589C">
            <w:pPr>
              <w:pStyle w:val="56"/>
              <w:shd w:val="clear" w:color="auto" w:fill="FFFFFF"/>
              <w:spacing w:line="360" w:lineRule="auto"/>
              <w:ind w:firstLine="482"/>
              <w:rPr>
                <w:rFonts w:hint="eastAsia"/>
                <w:bCs/>
                <w:color w:val="auto"/>
                <w:highlight w:val="none"/>
              </w:rPr>
            </w:pPr>
          </w:p>
        </w:tc>
        <w:tc>
          <w:tcPr>
            <w:tcW w:w="1324" w:type="dxa"/>
            <w:gridSpan w:val="2"/>
          </w:tcPr>
          <w:p w14:paraId="06ED0F00">
            <w:pPr>
              <w:pStyle w:val="56"/>
              <w:shd w:val="clear" w:color="auto" w:fill="FFFFFF"/>
              <w:spacing w:line="360" w:lineRule="auto"/>
              <w:ind w:firstLine="482"/>
              <w:rPr>
                <w:rFonts w:hint="eastAsia"/>
                <w:bCs/>
                <w:color w:val="auto"/>
                <w:highlight w:val="none"/>
              </w:rPr>
            </w:pPr>
          </w:p>
        </w:tc>
        <w:tc>
          <w:tcPr>
            <w:tcW w:w="1408" w:type="dxa"/>
            <w:gridSpan w:val="2"/>
          </w:tcPr>
          <w:p w14:paraId="4F651A90">
            <w:pPr>
              <w:pStyle w:val="56"/>
              <w:shd w:val="clear" w:color="auto" w:fill="FFFFFF"/>
              <w:spacing w:line="360" w:lineRule="auto"/>
              <w:ind w:firstLine="482"/>
              <w:rPr>
                <w:rFonts w:hint="eastAsia"/>
                <w:bCs/>
                <w:color w:val="auto"/>
                <w:highlight w:val="none"/>
              </w:rPr>
            </w:pPr>
          </w:p>
        </w:tc>
        <w:tc>
          <w:tcPr>
            <w:tcW w:w="1267" w:type="dxa"/>
          </w:tcPr>
          <w:p w14:paraId="74B8DC8D">
            <w:pPr>
              <w:pStyle w:val="56"/>
              <w:shd w:val="clear" w:color="auto" w:fill="FFFFFF"/>
              <w:spacing w:line="360" w:lineRule="auto"/>
              <w:ind w:firstLine="482"/>
              <w:rPr>
                <w:rFonts w:hint="eastAsia"/>
                <w:bCs/>
                <w:color w:val="auto"/>
                <w:highlight w:val="none"/>
              </w:rPr>
            </w:pPr>
          </w:p>
        </w:tc>
        <w:tc>
          <w:tcPr>
            <w:tcW w:w="2533" w:type="dxa"/>
            <w:gridSpan w:val="3"/>
          </w:tcPr>
          <w:p w14:paraId="72F2100B">
            <w:pPr>
              <w:pStyle w:val="56"/>
              <w:shd w:val="clear" w:color="auto" w:fill="FFFFFF"/>
              <w:spacing w:line="360" w:lineRule="auto"/>
              <w:ind w:firstLine="482"/>
              <w:rPr>
                <w:rFonts w:hint="eastAsia"/>
                <w:bCs/>
                <w:color w:val="auto"/>
                <w:highlight w:val="none"/>
              </w:rPr>
            </w:pPr>
          </w:p>
        </w:tc>
      </w:tr>
      <w:tr w14:paraId="4CED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79" w:type="dxa"/>
            <w:vMerge w:val="continue"/>
          </w:tcPr>
          <w:p w14:paraId="02C3CA73">
            <w:pPr>
              <w:pStyle w:val="56"/>
              <w:shd w:val="clear" w:color="auto" w:fill="FFFFFF"/>
              <w:spacing w:line="360" w:lineRule="auto"/>
              <w:ind w:left="107" w:firstLine="546"/>
              <w:rPr>
                <w:rFonts w:hint="eastAsia"/>
                <w:bCs/>
                <w:color w:val="auto"/>
                <w:spacing w:val="16"/>
                <w:highlight w:val="none"/>
              </w:rPr>
            </w:pPr>
          </w:p>
        </w:tc>
        <w:tc>
          <w:tcPr>
            <w:tcW w:w="1602" w:type="dxa"/>
            <w:gridSpan w:val="2"/>
          </w:tcPr>
          <w:p w14:paraId="2C3A517B">
            <w:pPr>
              <w:pStyle w:val="56"/>
              <w:shd w:val="clear" w:color="auto" w:fill="FFFFFF"/>
              <w:spacing w:before="0" w:beforeAutospacing="0" w:after="0" w:afterAutospacing="0" w:line="360" w:lineRule="auto"/>
              <w:ind w:right="-107" w:rightChars="-51"/>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32" w:type="dxa"/>
            <w:gridSpan w:val="8"/>
          </w:tcPr>
          <w:p w14:paraId="54549BE6">
            <w:pPr>
              <w:pStyle w:val="56"/>
              <w:shd w:val="clear" w:color="auto" w:fill="FFFFFF"/>
              <w:spacing w:line="360" w:lineRule="auto"/>
              <w:ind w:firstLine="546"/>
              <w:rPr>
                <w:rFonts w:hint="eastAsia"/>
                <w:bCs/>
                <w:color w:val="auto"/>
                <w:spacing w:val="16"/>
                <w:highlight w:val="none"/>
              </w:rPr>
            </w:pPr>
          </w:p>
        </w:tc>
      </w:tr>
      <w:tr w14:paraId="466F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9" w:type="dxa"/>
            <w:vMerge w:val="continue"/>
          </w:tcPr>
          <w:p w14:paraId="54B602C6">
            <w:pPr>
              <w:pStyle w:val="56"/>
              <w:shd w:val="clear" w:color="auto" w:fill="FFFFFF"/>
              <w:spacing w:line="360" w:lineRule="auto"/>
              <w:ind w:left="107" w:firstLine="590"/>
              <w:rPr>
                <w:rFonts w:hint="eastAsia"/>
                <w:bCs/>
                <w:color w:val="auto"/>
                <w:spacing w:val="27"/>
                <w:highlight w:val="none"/>
              </w:rPr>
            </w:pPr>
          </w:p>
        </w:tc>
        <w:tc>
          <w:tcPr>
            <w:tcW w:w="1602" w:type="dxa"/>
            <w:gridSpan w:val="2"/>
          </w:tcPr>
          <w:p w14:paraId="65954E4E">
            <w:pPr>
              <w:pStyle w:val="56"/>
              <w:shd w:val="clear" w:color="auto" w:fill="FFFFFF"/>
              <w:spacing w:line="360" w:lineRule="auto"/>
              <w:rPr>
                <w:rFonts w:hint="eastAsia"/>
                <w:bCs/>
                <w:color w:val="auto"/>
                <w:spacing w:val="16"/>
                <w:highlight w:val="none"/>
              </w:rPr>
            </w:pPr>
            <w:r>
              <w:rPr>
                <w:rFonts w:hint="eastAsia"/>
                <w:bCs/>
                <w:color w:val="auto"/>
                <w:spacing w:val="10"/>
                <w:highlight w:val="none"/>
              </w:rPr>
              <w:t>企业获得专利情况</w:t>
            </w:r>
          </w:p>
        </w:tc>
        <w:tc>
          <w:tcPr>
            <w:tcW w:w="6532" w:type="dxa"/>
            <w:gridSpan w:val="8"/>
          </w:tcPr>
          <w:p w14:paraId="2BE9E127">
            <w:pPr>
              <w:pStyle w:val="56"/>
              <w:shd w:val="clear" w:color="auto" w:fill="FFFFFF"/>
              <w:spacing w:line="360" w:lineRule="auto"/>
              <w:ind w:firstLine="546"/>
              <w:rPr>
                <w:rFonts w:hint="eastAsia"/>
                <w:bCs/>
                <w:color w:val="auto"/>
                <w:spacing w:val="16"/>
                <w:highlight w:val="none"/>
              </w:rPr>
            </w:pPr>
          </w:p>
        </w:tc>
      </w:tr>
    </w:tbl>
    <w:p w14:paraId="371D29C9">
      <w:pPr>
        <w:pStyle w:val="56"/>
        <w:shd w:val="clear" w:color="auto" w:fill="FFFFFF"/>
        <w:spacing w:before="0" w:beforeAutospacing="0" w:after="0" w:afterAutospacing="0" w:line="360" w:lineRule="auto"/>
        <w:ind w:firstLine="422" w:firstLineChars="200"/>
        <w:rPr>
          <w:rFonts w:hint="eastAsia"/>
          <w:b/>
          <w:color w:val="auto"/>
          <w:sz w:val="21"/>
          <w:szCs w:val="21"/>
          <w:highlight w:val="none"/>
        </w:rPr>
      </w:pPr>
      <w:r>
        <w:rPr>
          <w:rFonts w:hint="eastAsia"/>
          <w:b/>
          <w:color w:val="auto"/>
          <w:sz w:val="21"/>
          <w:szCs w:val="21"/>
          <w:highlight w:val="none"/>
        </w:rPr>
        <w:t>要求：</w:t>
      </w:r>
    </w:p>
    <w:p w14:paraId="74D8D71D">
      <w:pPr>
        <w:pStyle w:val="56"/>
        <w:shd w:val="clear" w:color="auto" w:fill="FFFFFF"/>
        <w:spacing w:before="0" w:beforeAutospacing="0" w:after="0" w:afterAutospacing="0" w:line="360" w:lineRule="auto"/>
        <w:ind w:firstLine="420" w:firstLineChars="200"/>
        <w:rPr>
          <w:rFonts w:hint="eastAsia"/>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3DC15E3C">
      <w:pPr>
        <w:spacing w:line="360" w:lineRule="auto"/>
        <w:ind w:firstLine="482"/>
        <w:rPr>
          <w:rFonts w:hint="eastAsia" w:ascii="宋体" w:hAnsi="宋体"/>
          <w:color w:val="auto"/>
          <w:sz w:val="24"/>
          <w:highlight w:val="none"/>
        </w:rPr>
      </w:pPr>
    </w:p>
    <w:p w14:paraId="3E48F073">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投标人名称（公章）：</w:t>
      </w:r>
    </w:p>
    <w:p w14:paraId="0F3D3E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投标人代表签字或盖章：</w:t>
      </w:r>
    </w:p>
    <w:p w14:paraId="3B993C19">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职        务：</w:t>
      </w:r>
    </w:p>
    <w:p w14:paraId="1743E4D5">
      <w:pPr>
        <w:pStyle w:val="56"/>
        <w:shd w:val="clear" w:color="auto" w:fill="FFFFFF"/>
        <w:spacing w:before="0" w:beforeAutospacing="0" w:after="0" w:afterAutospacing="0" w:line="360" w:lineRule="auto"/>
        <w:ind w:firstLine="480" w:firstLineChars="200"/>
        <w:rPr>
          <w:rFonts w:hint="eastAsia" w:ascii="宋体" w:hAnsi="宋体"/>
          <w:b/>
          <w:color w:val="auto"/>
          <w:sz w:val="24"/>
          <w:highlight w:val="none"/>
        </w:rPr>
      </w:pPr>
      <w:r>
        <w:rPr>
          <w:rFonts w:hint="eastAsia"/>
          <w:color w:val="auto"/>
          <w:highlight w:val="none"/>
        </w:rPr>
        <w:t>日        期：：</w:t>
      </w:r>
    </w:p>
    <w:p w14:paraId="51AE7E23">
      <w:pPr>
        <w:spacing w:line="360" w:lineRule="auto"/>
        <w:ind w:firstLine="56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A732D7C">
      <w:pPr>
        <w:spacing w:line="360" w:lineRule="auto"/>
        <w:ind w:firstLine="562" w:firstLineChars="200"/>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14:paraId="4FA4A275">
      <w:pPr>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供货</w:t>
      </w:r>
      <w:r>
        <w:rPr>
          <w:rFonts w:ascii="宋体" w:hAnsi="宋体"/>
          <w:b/>
          <w:color w:val="auto"/>
          <w:sz w:val="32"/>
          <w:szCs w:val="32"/>
          <w:highlight w:val="none"/>
        </w:rPr>
        <w:t>清单</w:t>
      </w:r>
    </w:p>
    <w:p w14:paraId="79F951BB">
      <w:pPr>
        <w:spacing w:line="360" w:lineRule="auto"/>
        <w:ind w:left="480" w:firstLine="420" w:firstLineChars="200"/>
        <w:rPr>
          <w:rFonts w:hint="eastAsia" w:ascii="宋体" w:hAnsi="宋体"/>
          <w:color w:val="auto"/>
          <w:highlight w:val="none"/>
        </w:rPr>
      </w:pPr>
      <w:r>
        <w:rPr>
          <w:rFonts w:hint="eastAsia" w:ascii="宋体" w:hAnsi="宋体"/>
          <w:color w:val="auto"/>
          <w:highlight w:val="none"/>
        </w:rPr>
        <w:t>采购项目：</w:t>
      </w:r>
    </w:p>
    <w:tbl>
      <w:tblPr>
        <w:tblStyle w:val="3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12"/>
        <w:gridCol w:w="1154"/>
        <w:gridCol w:w="2965"/>
        <w:gridCol w:w="1223"/>
        <w:gridCol w:w="1454"/>
      </w:tblGrid>
      <w:tr w14:paraId="3084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915" w:type="dxa"/>
            <w:vAlign w:val="center"/>
          </w:tcPr>
          <w:p w14:paraId="6CC178C1">
            <w:pPr>
              <w:spacing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1812" w:type="dxa"/>
            <w:vAlign w:val="center"/>
          </w:tcPr>
          <w:p w14:paraId="55426DD6">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产品名称</w:t>
            </w:r>
          </w:p>
        </w:tc>
        <w:tc>
          <w:tcPr>
            <w:tcW w:w="1154" w:type="dxa"/>
            <w:vAlign w:val="center"/>
          </w:tcPr>
          <w:p w14:paraId="707C8FF8">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品牌</w:t>
            </w:r>
          </w:p>
        </w:tc>
        <w:tc>
          <w:tcPr>
            <w:tcW w:w="2965" w:type="dxa"/>
            <w:vAlign w:val="center"/>
          </w:tcPr>
          <w:p w14:paraId="75AC0624">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规格型号/技术参数</w:t>
            </w:r>
          </w:p>
        </w:tc>
        <w:tc>
          <w:tcPr>
            <w:tcW w:w="1223" w:type="dxa"/>
            <w:vAlign w:val="center"/>
          </w:tcPr>
          <w:p w14:paraId="63748664">
            <w:pPr>
              <w:spacing w:line="360" w:lineRule="auto"/>
              <w:jc w:val="center"/>
              <w:rPr>
                <w:rFonts w:hint="eastAsia" w:ascii="宋体" w:hAnsi="宋体"/>
                <w:b/>
                <w:color w:val="auto"/>
                <w:sz w:val="24"/>
                <w:highlight w:val="none"/>
              </w:rPr>
            </w:pPr>
            <w:r>
              <w:rPr>
                <w:rFonts w:hint="eastAsia" w:ascii="宋体" w:hAnsi="宋体"/>
                <w:b/>
                <w:color w:val="auto"/>
                <w:sz w:val="24"/>
                <w:highlight w:val="none"/>
              </w:rPr>
              <w:t>产地</w:t>
            </w:r>
          </w:p>
        </w:tc>
        <w:tc>
          <w:tcPr>
            <w:tcW w:w="1454" w:type="dxa"/>
            <w:vAlign w:val="center"/>
          </w:tcPr>
          <w:p w14:paraId="08549927">
            <w:pPr>
              <w:spacing w:line="360" w:lineRule="auto"/>
              <w:jc w:val="center"/>
              <w:rPr>
                <w:rFonts w:hint="eastAsia" w:ascii="宋体" w:hAnsi="宋体"/>
                <w:b/>
                <w:color w:val="auto"/>
                <w:sz w:val="24"/>
                <w:highlight w:val="none"/>
              </w:rPr>
            </w:pPr>
            <w:r>
              <w:rPr>
                <w:rFonts w:hint="eastAsia" w:ascii="宋体" w:hAnsi="宋体"/>
                <w:b/>
                <w:color w:val="auto"/>
                <w:sz w:val="24"/>
                <w:highlight w:val="none"/>
              </w:rPr>
              <w:t>数量</w:t>
            </w:r>
          </w:p>
        </w:tc>
      </w:tr>
      <w:tr w14:paraId="4844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5" w:type="dxa"/>
            <w:vAlign w:val="center"/>
          </w:tcPr>
          <w:p w14:paraId="55DCE305">
            <w:pPr>
              <w:spacing w:line="360" w:lineRule="auto"/>
              <w:ind w:firstLine="482"/>
              <w:rPr>
                <w:rFonts w:hint="eastAsia" w:ascii="宋体" w:hAnsi="宋体"/>
                <w:color w:val="auto"/>
                <w:sz w:val="24"/>
                <w:highlight w:val="none"/>
              </w:rPr>
            </w:pPr>
          </w:p>
        </w:tc>
        <w:tc>
          <w:tcPr>
            <w:tcW w:w="1812" w:type="dxa"/>
            <w:vAlign w:val="center"/>
          </w:tcPr>
          <w:p w14:paraId="15FE2138">
            <w:pPr>
              <w:spacing w:line="360" w:lineRule="auto"/>
              <w:ind w:firstLine="482"/>
              <w:rPr>
                <w:rFonts w:hint="eastAsia" w:ascii="宋体" w:hAnsi="宋体"/>
                <w:color w:val="auto"/>
                <w:sz w:val="24"/>
                <w:highlight w:val="none"/>
              </w:rPr>
            </w:pPr>
          </w:p>
        </w:tc>
        <w:tc>
          <w:tcPr>
            <w:tcW w:w="1154" w:type="dxa"/>
            <w:vAlign w:val="center"/>
          </w:tcPr>
          <w:p w14:paraId="514D121F">
            <w:pPr>
              <w:spacing w:line="360" w:lineRule="auto"/>
              <w:ind w:firstLine="482"/>
              <w:rPr>
                <w:rFonts w:hint="eastAsia" w:ascii="宋体" w:hAnsi="宋体"/>
                <w:color w:val="auto"/>
                <w:sz w:val="24"/>
                <w:highlight w:val="none"/>
              </w:rPr>
            </w:pPr>
          </w:p>
        </w:tc>
        <w:tc>
          <w:tcPr>
            <w:tcW w:w="2965" w:type="dxa"/>
            <w:vAlign w:val="center"/>
          </w:tcPr>
          <w:p w14:paraId="14BD129F">
            <w:pPr>
              <w:spacing w:line="360" w:lineRule="auto"/>
              <w:ind w:firstLine="482"/>
              <w:rPr>
                <w:rFonts w:hint="eastAsia" w:ascii="宋体" w:hAnsi="宋体"/>
                <w:color w:val="auto"/>
                <w:sz w:val="24"/>
                <w:highlight w:val="none"/>
              </w:rPr>
            </w:pPr>
          </w:p>
        </w:tc>
        <w:tc>
          <w:tcPr>
            <w:tcW w:w="1223" w:type="dxa"/>
            <w:vAlign w:val="center"/>
          </w:tcPr>
          <w:p w14:paraId="34800BB2">
            <w:pPr>
              <w:spacing w:line="360" w:lineRule="auto"/>
              <w:ind w:firstLine="482"/>
              <w:rPr>
                <w:rFonts w:hint="eastAsia" w:ascii="宋体" w:hAnsi="宋体"/>
                <w:color w:val="auto"/>
                <w:sz w:val="24"/>
                <w:highlight w:val="none"/>
              </w:rPr>
            </w:pPr>
          </w:p>
        </w:tc>
        <w:tc>
          <w:tcPr>
            <w:tcW w:w="1454" w:type="dxa"/>
            <w:vAlign w:val="center"/>
          </w:tcPr>
          <w:p w14:paraId="2F4D6C67">
            <w:pPr>
              <w:spacing w:line="360" w:lineRule="auto"/>
              <w:ind w:firstLine="482"/>
              <w:rPr>
                <w:rFonts w:hint="eastAsia" w:ascii="宋体" w:hAnsi="宋体"/>
                <w:color w:val="auto"/>
                <w:sz w:val="24"/>
                <w:highlight w:val="none"/>
              </w:rPr>
            </w:pPr>
          </w:p>
        </w:tc>
      </w:tr>
      <w:tr w14:paraId="3DB8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15" w:type="dxa"/>
            <w:vAlign w:val="center"/>
          </w:tcPr>
          <w:p w14:paraId="075D0ACA">
            <w:pPr>
              <w:spacing w:line="360" w:lineRule="auto"/>
              <w:ind w:firstLine="482"/>
              <w:rPr>
                <w:rFonts w:hint="eastAsia" w:ascii="宋体" w:hAnsi="宋体"/>
                <w:color w:val="auto"/>
                <w:sz w:val="24"/>
                <w:highlight w:val="none"/>
              </w:rPr>
            </w:pPr>
          </w:p>
        </w:tc>
        <w:tc>
          <w:tcPr>
            <w:tcW w:w="1812" w:type="dxa"/>
            <w:vAlign w:val="center"/>
          </w:tcPr>
          <w:p w14:paraId="1773AB32">
            <w:pPr>
              <w:spacing w:line="360" w:lineRule="auto"/>
              <w:ind w:firstLine="482"/>
              <w:rPr>
                <w:rFonts w:hint="eastAsia" w:ascii="宋体" w:hAnsi="宋体"/>
                <w:color w:val="auto"/>
                <w:sz w:val="24"/>
                <w:highlight w:val="none"/>
              </w:rPr>
            </w:pPr>
          </w:p>
        </w:tc>
        <w:tc>
          <w:tcPr>
            <w:tcW w:w="1154" w:type="dxa"/>
            <w:vAlign w:val="center"/>
          </w:tcPr>
          <w:p w14:paraId="4B7B5F66">
            <w:pPr>
              <w:spacing w:line="360" w:lineRule="auto"/>
              <w:ind w:firstLine="482"/>
              <w:rPr>
                <w:rFonts w:hint="eastAsia" w:ascii="宋体" w:hAnsi="宋体"/>
                <w:color w:val="auto"/>
                <w:sz w:val="24"/>
                <w:highlight w:val="none"/>
              </w:rPr>
            </w:pPr>
          </w:p>
        </w:tc>
        <w:tc>
          <w:tcPr>
            <w:tcW w:w="2965" w:type="dxa"/>
            <w:vAlign w:val="center"/>
          </w:tcPr>
          <w:p w14:paraId="5707BBC6">
            <w:pPr>
              <w:spacing w:line="360" w:lineRule="auto"/>
              <w:ind w:firstLine="482"/>
              <w:rPr>
                <w:rFonts w:hint="eastAsia" w:ascii="宋体" w:hAnsi="宋体"/>
                <w:color w:val="auto"/>
                <w:sz w:val="24"/>
                <w:highlight w:val="none"/>
              </w:rPr>
            </w:pPr>
          </w:p>
        </w:tc>
        <w:tc>
          <w:tcPr>
            <w:tcW w:w="1223" w:type="dxa"/>
            <w:vAlign w:val="center"/>
          </w:tcPr>
          <w:p w14:paraId="5EBB6E19">
            <w:pPr>
              <w:spacing w:line="360" w:lineRule="auto"/>
              <w:ind w:firstLine="482"/>
              <w:rPr>
                <w:rFonts w:hint="eastAsia" w:ascii="宋体" w:hAnsi="宋体"/>
                <w:color w:val="auto"/>
                <w:sz w:val="24"/>
                <w:highlight w:val="none"/>
              </w:rPr>
            </w:pPr>
          </w:p>
        </w:tc>
        <w:tc>
          <w:tcPr>
            <w:tcW w:w="1454" w:type="dxa"/>
            <w:vAlign w:val="center"/>
          </w:tcPr>
          <w:p w14:paraId="577BA6BF">
            <w:pPr>
              <w:spacing w:line="360" w:lineRule="auto"/>
              <w:ind w:firstLine="482"/>
              <w:rPr>
                <w:rFonts w:hint="eastAsia" w:ascii="宋体" w:hAnsi="宋体"/>
                <w:color w:val="auto"/>
                <w:sz w:val="24"/>
                <w:highlight w:val="none"/>
              </w:rPr>
            </w:pPr>
          </w:p>
        </w:tc>
      </w:tr>
      <w:tr w14:paraId="2496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15" w:type="dxa"/>
            <w:vAlign w:val="center"/>
          </w:tcPr>
          <w:p w14:paraId="77E78966">
            <w:pPr>
              <w:spacing w:line="360" w:lineRule="auto"/>
              <w:ind w:firstLine="482"/>
              <w:rPr>
                <w:rFonts w:hint="eastAsia" w:ascii="宋体" w:hAnsi="宋体"/>
                <w:color w:val="auto"/>
                <w:sz w:val="24"/>
                <w:highlight w:val="none"/>
              </w:rPr>
            </w:pPr>
          </w:p>
        </w:tc>
        <w:tc>
          <w:tcPr>
            <w:tcW w:w="1812" w:type="dxa"/>
            <w:vAlign w:val="center"/>
          </w:tcPr>
          <w:p w14:paraId="088F06B1">
            <w:pPr>
              <w:spacing w:line="360" w:lineRule="auto"/>
              <w:ind w:firstLine="482"/>
              <w:rPr>
                <w:rFonts w:hint="eastAsia" w:ascii="宋体" w:hAnsi="宋体"/>
                <w:color w:val="auto"/>
                <w:sz w:val="24"/>
                <w:highlight w:val="none"/>
              </w:rPr>
            </w:pPr>
          </w:p>
        </w:tc>
        <w:tc>
          <w:tcPr>
            <w:tcW w:w="1154" w:type="dxa"/>
            <w:vAlign w:val="center"/>
          </w:tcPr>
          <w:p w14:paraId="720078DC">
            <w:pPr>
              <w:spacing w:line="360" w:lineRule="auto"/>
              <w:ind w:firstLine="482"/>
              <w:rPr>
                <w:rFonts w:hint="eastAsia" w:ascii="宋体" w:hAnsi="宋体"/>
                <w:color w:val="auto"/>
                <w:sz w:val="24"/>
                <w:highlight w:val="none"/>
              </w:rPr>
            </w:pPr>
          </w:p>
        </w:tc>
        <w:tc>
          <w:tcPr>
            <w:tcW w:w="2965" w:type="dxa"/>
            <w:vAlign w:val="center"/>
          </w:tcPr>
          <w:p w14:paraId="1729717B">
            <w:pPr>
              <w:spacing w:line="360" w:lineRule="auto"/>
              <w:ind w:firstLine="482"/>
              <w:rPr>
                <w:rFonts w:hint="eastAsia" w:ascii="宋体" w:hAnsi="宋体"/>
                <w:color w:val="auto"/>
                <w:sz w:val="24"/>
                <w:highlight w:val="none"/>
              </w:rPr>
            </w:pPr>
          </w:p>
        </w:tc>
        <w:tc>
          <w:tcPr>
            <w:tcW w:w="1223" w:type="dxa"/>
            <w:vAlign w:val="center"/>
          </w:tcPr>
          <w:p w14:paraId="2BF34258">
            <w:pPr>
              <w:spacing w:line="360" w:lineRule="auto"/>
              <w:ind w:firstLine="482"/>
              <w:rPr>
                <w:rFonts w:hint="eastAsia" w:ascii="宋体" w:hAnsi="宋体"/>
                <w:color w:val="auto"/>
                <w:sz w:val="24"/>
                <w:highlight w:val="none"/>
              </w:rPr>
            </w:pPr>
          </w:p>
        </w:tc>
        <w:tc>
          <w:tcPr>
            <w:tcW w:w="1454" w:type="dxa"/>
            <w:vAlign w:val="center"/>
          </w:tcPr>
          <w:p w14:paraId="2E44E876">
            <w:pPr>
              <w:spacing w:line="360" w:lineRule="auto"/>
              <w:ind w:firstLine="482"/>
              <w:rPr>
                <w:rFonts w:hint="eastAsia" w:ascii="宋体" w:hAnsi="宋体"/>
                <w:color w:val="auto"/>
                <w:sz w:val="24"/>
                <w:highlight w:val="none"/>
              </w:rPr>
            </w:pPr>
          </w:p>
        </w:tc>
      </w:tr>
      <w:tr w14:paraId="6BE3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15" w:type="dxa"/>
            <w:vAlign w:val="center"/>
          </w:tcPr>
          <w:p w14:paraId="45E0634F">
            <w:pPr>
              <w:spacing w:line="360" w:lineRule="auto"/>
              <w:ind w:firstLine="482"/>
              <w:rPr>
                <w:rFonts w:hint="eastAsia" w:ascii="宋体" w:hAnsi="宋体"/>
                <w:color w:val="auto"/>
                <w:sz w:val="24"/>
                <w:highlight w:val="none"/>
              </w:rPr>
            </w:pPr>
          </w:p>
        </w:tc>
        <w:tc>
          <w:tcPr>
            <w:tcW w:w="1812" w:type="dxa"/>
            <w:vAlign w:val="center"/>
          </w:tcPr>
          <w:p w14:paraId="4C4EACA2">
            <w:pPr>
              <w:spacing w:line="360" w:lineRule="auto"/>
              <w:ind w:firstLine="482"/>
              <w:rPr>
                <w:rFonts w:hint="eastAsia" w:ascii="宋体" w:hAnsi="宋体"/>
                <w:color w:val="auto"/>
                <w:sz w:val="24"/>
                <w:highlight w:val="none"/>
              </w:rPr>
            </w:pPr>
          </w:p>
        </w:tc>
        <w:tc>
          <w:tcPr>
            <w:tcW w:w="1154" w:type="dxa"/>
            <w:vAlign w:val="center"/>
          </w:tcPr>
          <w:p w14:paraId="0141A204">
            <w:pPr>
              <w:spacing w:line="360" w:lineRule="auto"/>
              <w:ind w:firstLine="482"/>
              <w:rPr>
                <w:rFonts w:hint="eastAsia" w:ascii="宋体" w:hAnsi="宋体"/>
                <w:color w:val="auto"/>
                <w:sz w:val="24"/>
                <w:highlight w:val="none"/>
              </w:rPr>
            </w:pPr>
          </w:p>
        </w:tc>
        <w:tc>
          <w:tcPr>
            <w:tcW w:w="2965" w:type="dxa"/>
            <w:vAlign w:val="center"/>
          </w:tcPr>
          <w:p w14:paraId="4DF11ACA">
            <w:pPr>
              <w:spacing w:line="360" w:lineRule="auto"/>
              <w:ind w:firstLine="482"/>
              <w:rPr>
                <w:rFonts w:hint="eastAsia" w:ascii="宋体" w:hAnsi="宋体"/>
                <w:color w:val="auto"/>
                <w:sz w:val="24"/>
                <w:highlight w:val="none"/>
              </w:rPr>
            </w:pPr>
          </w:p>
        </w:tc>
        <w:tc>
          <w:tcPr>
            <w:tcW w:w="1223" w:type="dxa"/>
            <w:vAlign w:val="center"/>
          </w:tcPr>
          <w:p w14:paraId="359D9F16">
            <w:pPr>
              <w:spacing w:line="360" w:lineRule="auto"/>
              <w:ind w:firstLine="482"/>
              <w:rPr>
                <w:rFonts w:hint="eastAsia" w:ascii="宋体" w:hAnsi="宋体"/>
                <w:color w:val="auto"/>
                <w:sz w:val="24"/>
                <w:highlight w:val="none"/>
              </w:rPr>
            </w:pPr>
          </w:p>
        </w:tc>
        <w:tc>
          <w:tcPr>
            <w:tcW w:w="1454" w:type="dxa"/>
            <w:vAlign w:val="center"/>
          </w:tcPr>
          <w:p w14:paraId="7AECDCEA">
            <w:pPr>
              <w:spacing w:line="360" w:lineRule="auto"/>
              <w:ind w:firstLine="482"/>
              <w:rPr>
                <w:rFonts w:hint="eastAsia" w:ascii="宋体" w:hAnsi="宋体"/>
                <w:color w:val="auto"/>
                <w:sz w:val="24"/>
                <w:highlight w:val="none"/>
              </w:rPr>
            </w:pPr>
          </w:p>
        </w:tc>
      </w:tr>
      <w:tr w14:paraId="005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15" w:type="dxa"/>
            <w:vAlign w:val="center"/>
          </w:tcPr>
          <w:p w14:paraId="23EBD893">
            <w:pPr>
              <w:spacing w:line="360" w:lineRule="auto"/>
              <w:ind w:firstLine="482"/>
              <w:rPr>
                <w:rFonts w:hint="eastAsia" w:ascii="宋体" w:hAnsi="宋体"/>
                <w:color w:val="auto"/>
                <w:sz w:val="24"/>
                <w:highlight w:val="none"/>
              </w:rPr>
            </w:pPr>
          </w:p>
        </w:tc>
        <w:tc>
          <w:tcPr>
            <w:tcW w:w="1812" w:type="dxa"/>
            <w:vAlign w:val="center"/>
          </w:tcPr>
          <w:p w14:paraId="29E03F78">
            <w:pPr>
              <w:spacing w:line="360" w:lineRule="auto"/>
              <w:ind w:firstLine="482"/>
              <w:rPr>
                <w:rFonts w:hint="eastAsia" w:ascii="宋体" w:hAnsi="宋体"/>
                <w:color w:val="auto"/>
                <w:sz w:val="24"/>
                <w:highlight w:val="none"/>
              </w:rPr>
            </w:pPr>
          </w:p>
        </w:tc>
        <w:tc>
          <w:tcPr>
            <w:tcW w:w="1154" w:type="dxa"/>
            <w:vAlign w:val="center"/>
          </w:tcPr>
          <w:p w14:paraId="1AEF9DB0">
            <w:pPr>
              <w:spacing w:line="360" w:lineRule="auto"/>
              <w:ind w:firstLine="482"/>
              <w:rPr>
                <w:rFonts w:hint="eastAsia" w:ascii="宋体" w:hAnsi="宋体"/>
                <w:color w:val="auto"/>
                <w:sz w:val="24"/>
                <w:highlight w:val="none"/>
              </w:rPr>
            </w:pPr>
          </w:p>
        </w:tc>
        <w:tc>
          <w:tcPr>
            <w:tcW w:w="2965" w:type="dxa"/>
            <w:vAlign w:val="center"/>
          </w:tcPr>
          <w:p w14:paraId="75811A2A">
            <w:pPr>
              <w:spacing w:line="360" w:lineRule="auto"/>
              <w:ind w:firstLine="482"/>
              <w:rPr>
                <w:rFonts w:hint="eastAsia" w:ascii="宋体" w:hAnsi="宋体"/>
                <w:color w:val="auto"/>
                <w:sz w:val="24"/>
                <w:highlight w:val="none"/>
              </w:rPr>
            </w:pPr>
          </w:p>
        </w:tc>
        <w:tc>
          <w:tcPr>
            <w:tcW w:w="1223" w:type="dxa"/>
            <w:vAlign w:val="center"/>
          </w:tcPr>
          <w:p w14:paraId="74D5A40E">
            <w:pPr>
              <w:spacing w:line="360" w:lineRule="auto"/>
              <w:ind w:firstLine="482"/>
              <w:rPr>
                <w:rFonts w:hint="eastAsia" w:ascii="宋体" w:hAnsi="宋体"/>
                <w:color w:val="auto"/>
                <w:sz w:val="24"/>
                <w:highlight w:val="none"/>
              </w:rPr>
            </w:pPr>
          </w:p>
        </w:tc>
        <w:tc>
          <w:tcPr>
            <w:tcW w:w="1454" w:type="dxa"/>
            <w:vAlign w:val="center"/>
          </w:tcPr>
          <w:p w14:paraId="4303B561">
            <w:pPr>
              <w:spacing w:line="360" w:lineRule="auto"/>
              <w:ind w:firstLine="482"/>
              <w:rPr>
                <w:rFonts w:hint="eastAsia" w:ascii="宋体" w:hAnsi="宋体"/>
                <w:color w:val="auto"/>
                <w:sz w:val="24"/>
                <w:highlight w:val="none"/>
              </w:rPr>
            </w:pPr>
          </w:p>
        </w:tc>
      </w:tr>
      <w:tr w14:paraId="73CE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15" w:type="dxa"/>
            <w:vAlign w:val="center"/>
          </w:tcPr>
          <w:p w14:paraId="6C94CA09">
            <w:pPr>
              <w:spacing w:line="360" w:lineRule="auto"/>
              <w:ind w:firstLine="482"/>
              <w:rPr>
                <w:rFonts w:hint="eastAsia" w:ascii="宋体" w:hAnsi="宋体"/>
                <w:color w:val="auto"/>
                <w:sz w:val="24"/>
                <w:highlight w:val="none"/>
              </w:rPr>
            </w:pPr>
          </w:p>
        </w:tc>
        <w:tc>
          <w:tcPr>
            <w:tcW w:w="1812" w:type="dxa"/>
            <w:vAlign w:val="center"/>
          </w:tcPr>
          <w:p w14:paraId="2317ADD7">
            <w:pPr>
              <w:spacing w:line="360" w:lineRule="auto"/>
              <w:ind w:firstLine="482"/>
              <w:rPr>
                <w:rFonts w:hint="eastAsia" w:ascii="宋体" w:hAnsi="宋体"/>
                <w:color w:val="auto"/>
                <w:sz w:val="24"/>
                <w:highlight w:val="none"/>
              </w:rPr>
            </w:pPr>
          </w:p>
        </w:tc>
        <w:tc>
          <w:tcPr>
            <w:tcW w:w="1154" w:type="dxa"/>
            <w:vAlign w:val="center"/>
          </w:tcPr>
          <w:p w14:paraId="2C029DD7">
            <w:pPr>
              <w:spacing w:line="360" w:lineRule="auto"/>
              <w:ind w:firstLine="482"/>
              <w:rPr>
                <w:rFonts w:hint="eastAsia" w:ascii="宋体" w:hAnsi="宋体"/>
                <w:color w:val="auto"/>
                <w:sz w:val="24"/>
                <w:highlight w:val="none"/>
              </w:rPr>
            </w:pPr>
          </w:p>
        </w:tc>
        <w:tc>
          <w:tcPr>
            <w:tcW w:w="2965" w:type="dxa"/>
            <w:vAlign w:val="center"/>
          </w:tcPr>
          <w:p w14:paraId="414192D1">
            <w:pPr>
              <w:spacing w:line="360" w:lineRule="auto"/>
              <w:ind w:firstLine="482"/>
              <w:rPr>
                <w:rFonts w:hint="eastAsia" w:ascii="宋体" w:hAnsi="宋体"/>
                <w:color w:val="auto"/>
                <w:sz w:val="24"/>
                <w:highlight w:val="none"/>
              </w:rPr>
            </w:pPr>
          </w:p>
        </w:tc>
        <w:tc>
          <w:tcPr>
            <w:tcW w:w="1223" w:type="dxa"/>
            <w:vAlign w:val="center"/>
          </w:tcPr>
          <w:p w14:paraId="0BAA3CF6">
            <w:pPr>
              <w:spacing w:line="360" w:lineRule="auto"/>
              <w:ind w:firstLine="482"/>
              <w:rPr>
                <w:rFonts w:hint="eastAsia" w:ascii="宋体" w:hAnsi="宋体"/>
                <w:color w:val="auto"/>
                <w:sz w:val="24"/>
                <w:highlight w:val="none"/>
              </w:rPr>
            </w:pPr>
          </w:p>
        </w:tc>
        <w:tc>
          <w:tcPr>
            <w:tcW w:w="1454" w:type="dxa"/>
            <w:vAlign w:val="center"/>
          </w:tcPr>
          <w:p w14:paraId="1CF16576">
            <w:pPr>
              <w:spacing w:line="360" w:lineRule="auto"/>
              <w:ind w:firstLine="482"/>
              <w:rPr>
                <w:rFonts w:hint="eastAsia" w:ascii="宋体" w:hAnsi="宋体"/>
                <w:color w:val="auto"/>
                <w:sz w:val="24"/>
                <w:highlight w:val="none"/>
              </w:rPr>
            </w:pPr>
          </w:p>
        </w:tc>
      </w:tr>
      <w:tr w14:paraId="28FF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15" w:type="dxa"/>
            <w:vAlign w:val="center"/>
          </w:tcPr>
          <w:p w14:paraId="47AB7BE5">
            <w:pPr>
              <w:spacing w:line="360" w:lineRule="auto"/>
              <w:ind w:firstLine="482"/>
              <w:rPr>
                <w:rFonts w:hint="eastAsia" w:ascii="宋体" w:hAnsi="宋体"/>
                <w:color w:val="auto"/>
                <w:sz w:val="24"/>
                <w:highlight w:val="none"/>
              </w:rPr>
            </w:pPr>
          </w:p>
        </w:tc>
        <w:tc>
          <w:tcPr>
            <w:tcW w:w="1812" w:type="dxa"/>
            <w:vAlign w:val="center"/>
          </w:tcPr>
          <w:p w14:paraId="18BCD324">
            <w:pPr>
              <w:spacing w:line="360" w:lineRule="auto"/>
              <w:ind w:firstLine="482"/>
              <w:rPr>
                <w:rFonts w:hint="eastAsia" w:ascii="宋体" w:hAnsi="宋体"/>
                <w:color w:val="auto"/>
                <w:sz w:val="24"/>
                <w:highlight w:val="none"/>
              </w:rPr>
            </w:pPr>
          </w:p>
        </w:tc>
        <w:tc>
          <w:tcPr>
            <w:tcW w:w="1154" w:type="dxa"/>
            <w:vAlign w:val="center"/>
          </w:tcPr>
          <w:p w14:paraId="1EFCC27A">
            <w:pPr>
              <w:spacing w:line="360" w:lineRule="auto"/>
              <w:ind w:firstLine="482"/>
              <w:rPr>
                <w:rFonts w:hint="eastAsia" w:ascii="宋体" w:hAnsi="宋体"/>
                <w:color w:val="auto"/>
                <w:sz w:val="24"/>
                <w:highlight w:val="none"/>
              </w:rPr>
            </w:pPr>
          </w:p>
        </w:tc>
        <w:tc>
          <w:tcPr>
            <w:tcW w:w="2965" w:type="dxa"/>
            <w:vAlign w:val="center"/>
          </w:tcPr>
          <w:p w14:paraId="61BD9736">
            <w:pPr>
              <w:spacing w:line="360" w:lineRule="auto"/>
              <w:ind w:firstLine="482"/>
              <w:rPr>
                <w:rFonts w:hint="eastAsia" w:ascii="宋体" w:hAnsi="宋体"/>
                <w:color w:val="auto"/>
                <w:sz w:val="24"/>
                <w:highlight w:val="none"/>
              </w:rPr>
            </w:pPr>
          </w:p>
        </w:tc>
        <w:tc>
          <w:tcPr>
            <w:tcW w:w="1223" w:type="dxa"/>
            <w:vAlign w:val="center"/>
          </w:tcPr>
          <w:p w14:paraId="415EEB1A">
            <w:pPr>
              <w:spacing w:line="360" w:lineRule="auto"/>
              <w:ind w:firstLine="482"/>
              <w:rPr>
                <w:rFonts w:hint="eastAsia" w:ascii="宋体" w:hAnsi="宋体"/>
                <w:color w:val="auto"/>
                <w:sz w:val="24"/>
                <w:highlight w:val="none"/>
              </w:rPr>
            </w:pPr>
          </w:p>
        </w:tc>
        <w:tc>
          <w:tcPr>
            <w:tcW w:w="1454" w:type="dxa"/>
            <w:vAlign w:val="center"/>
          </w:tcPr>
          <w:p w14:paraId="716E2147">
            <w:pPr>
              <w:spacing w:line="360" w:lineRule="auto"/>
              <w:ind w:firstLine="482"/>
              <w:rPr>
                <w:rFonts w:hint="eastAsia" w:ascii="宋体" w:hAnsi="宋体"/>
                <w:color w:val="auto"/>
                <w:sz w:val="24"/>
                <w:highlight w:val="none"/>
              </w:rPr>
            </w:pPr>
          </w:p>
        </w:tc>
      </w:tr>
    </w:tbl>
    <w:p w14:paraId="7B1A22E0">
      <w:pPr>
        <w:spacing w:line="360" w:lineRule="auto"/>
        <w:rPr>
          <w:rFonts w:hint="eastAsia" w:ascii="宋体" w:hAnsi="宋体"/>
          <w:b/>
          <w:color w:val="auto"/>
          <w:szCs w:val="21"/>
          <w:highlight w:val="none"/>
        </w:rPr>
      </w:pPr>
      <w:r>
        <w:rPr>
          <w:rFonts w:hint="eastAsia" w:ascii="宋体" w:hAnsi="宋体"/>
          <w:b/>
          <w:color w:val="auto"/>
          <w:szCs w:val="21"/>
          <w:highlight w:val="none"/>
        </w:rPr>
        <w:t>要求：</w:t>
      </w:r>
    </w:p>
    <w:p w14:paraId="34B8E1FD">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本表中的产品名称、数量应与建设内容清单中相对应的产品名称、数量一致；</w:t>
      </w:r>
    </w:p>
    <w:p w14:paraId="33C26F11">
      <w:pPr>
        <w:spacing w:line="360" w:lineRule="auto"/>
        <w:ind w:firstLine="482"/>
        <w:rPr>
          <w:rFonts w:hint="eastAsia" w:ascii="宋体" w:hAnsi="宋体"/>
          <w:color w:val="auto"/>
          <w:sz w:val="24"/>
          <w:highlight w:val="none"/>
        </w:rPr>
      </w:pPr>
    </w:p>
    <w:p w14:paraId="452BB5F1">
      <w:pPr>
        <w:spacing w:line="360" w:lineRule="auto"/>
        <w:ind w:left="420" w:firstLine="482"/>
        <w:rPr>
          <w:rFonts w:hint="eastAsia" w:ascii="宋体" w:hAnsi="宋体"/>
          <w:color w:val="auto"/>
          <w:sz w:val="24"/>
          <w:highlight w:val="none"/>
        </w:rPr>
      </w:pPr>
    </w:p>
    <w:p w14:paraId="38EFC56E">
      <w:pPr>
        <w:spacing w:line="360" w:lineRule="auto"/>
        <w:rPr>
          <w:rFonts w:hint="eastAsia" w:ascii="宋体" w:hAnsi="宋体"/>
          <w:color w:val="auto"/>
          <w:sz w:val="24"/>
          <w:highlight w:val="none"/>
          <w:u w:val="single"/>
        </w:rPr>
      </w:pPr>
      <w:r>
        <w:rPr>
          <w:rFonts w:hint="eastAsia" w:ascii="宋体" w:hAnsi="宋体"/>
          <w:color w:val="auto"/>
          <w:sz w:val="24"/>
          <w:highlight w:val="none"/>
        </w:rPr>
        <w:t>投标人名称（公章）：</w:t>
      </w:r>
    </w:p>
    <w:p w14:paraId="6175CF7F">
      <w:pPr>
        <w:spacing w:line="360" w:lineRule="auto"/>
        <w:ind w:left="420" w:firstLine="482"/>
        <w:rPr>
          <w:rFonts w:hint="eastAsia" w:ascii="宋体" w:hAnsi="宋体"/>
          <w:color w:val="auto"/>
          <w:sz w:val="24"/>
          <w:highlight w:val="none"/>
        </w:rPr>
      </w:pPr>
    </w:p>
    <w:p w14:paraId="7FA6205C">
      <w:pPr>
        <w:spacing w:line="360" w:lineRule="auto"/>
        <w:rPr>
          <w:rFonts w:hint="eastAsia" w:ascii="宋体" w:hAnsi="宋体"/>
          <w:color w:val="auto"/>
          <w:sz w:val="24"/>
          <w:highlight w:val="none"/>
        </w:rPr>
      </w:pPr>
      <w:r>
        <w:rPr>
          <w:rFonts w:hint="eastAsia" w:ascii="宋体" w:hAnsi="宋体"/>
          <w:color w:val="auto"/>
          <w:sz w:val="24"/>
          <w:highlight w:val="none"/>
        </w:rPr>
        <w:t>投标人代表签字或盖章：</w:t>
      </w:r>
    </w:p>
    <w:p w14:paraId="233478D6">
      <w:pPr>
        <w:spacing w:line="360" w:lineRule="auto"/>
        <w:ind w:firstLine="482"/>
        <w:rPr>
          <w:rFonts w:hint="eastAsia" w:ascii="宋体" w:hAnsi="宋体"/>
          <w:color w:val="auto"/>
          <w:sz w:val="24"/>
          <w:highlight w:val="none"/>
        </w:rPr>
      </w:pPr>
    </w:p>
    <w:p w14:paraId="2F0C76B2">
      <w:pPr>
        <w:spacing w:line="360" w:lineRule="auto"/>
        <w:rPr>
          <w:rFonts w:hint="eastAsia" w:ascii="宋体" w:hAnsi="宋体"/>
          <w:color w:val="auto"/>
          <w:sz w:val="24"/>
          <w:highlight w:val="none"/>
        </w:rPr>
      </w:pPr>
      <w:r>
        <w:rPr>
          <w:rFonts w:hint="eastAsia" w:ascii="宋体" w:hAnsi="宋体"/>
          <w:color w:val="auto"/>
          <w:sz w:val="24"/>
          <w:highlight w:val="none"/>
        </w:rPr>
        <w:t>职        务：</w:t>
      </w:r>
    </w:p>
    <w:p w14:paraId="0C32530C">
      <w:pPr>
        <w:spacing w:line="360" w:lineRule="auto"/>
        <w:ind w:firstLine="482"/>
        <w:rPr>
          <w:rFonts w:hint="eastAsia" w:ascii="宋体" w:hAnsi="宋体"/>
          <w:color w:val="auto"/>
          <w:sz w:val="24"/>
          <w:highlight w:val="none"/>
        </w:rPr>
      </w:pPr>
    </w:p>
    <w:p w14:paraId="01A8B8AC">
      <w:pPr>
        <w:spacing w:line="360" w:lineRule="auto"/>
        <w:rPr>
          <w:rFonts w:hint="eastAsia" w:ascii="宋体" w:hAnsi="宋体"/>
          <w:color w:val="auto"/>
          <w:sz w:val="24"/>
          <w:highlight w:val="none"/>
        </w:rPr>
      </w:pPr>
      <w:r>
        <w:rPr>
          <w:rFonts w:hint="eastAsia" w:ascii="宋体" w:hAnsi="宋体"/>
          <w:color w:val="auto"/>
          <w:sz w:val="24"/>
          <w:highlight w:val="none"/>
        </w:rPr>
        <w:t>日        期：</w:t>
      </w:r>
    </w:p>
    <w:p w14:paraId="40C152A2">
      <w:pPr>
        <w:spacing w:line="360" w:lineRule="auto"/>
        <w:ind w:firstLine="482"/>
        <w:rPr>
          <w:rFonts w:hint="eastAsia" w:ascii="宋体" w:hAnsi="宋体"/>
          <w:color w:val="auto"/>
          <w:sz w:val="24"/>
          <w:highlight w:val="none"/>
        </w:rPr>
      </w:pPr>
    </w:p>
    <w:p w14:paraId="538BFAE0">
      <w:pPr>
        <w:snapToGrid w:val="0"/>
        <w:spacing w:before="156" w:beforeLines="50" w:after="50" w:line="360" w:lineRule="auto"/>
        <w:ind w:firstLine="640"/>
        <w:jc w:val="center"/>
        <w:rPr>
          <w:rFonts w:hint="eastAsia" w:ascii="宋体" w:hAnsi="宋体"/>
          <w:b/>
          <w:color w:val="auto"/>
          <w:sz w:val="32"/>
          <w:szCs w:val="32"/>
          <w:highlight w:val="none"/>
        </w:rPr>
      </w:pPr>
    </w:p>
    <w:p w14:paraId="3C244981">
      <w:pPr>
        <w:snapToGrid w:val="0"/>
        <w:spacing w:before="156" w:beforeLines="50" w:after="50" w:line="360" w:lineRule="auto"/>
        <w:ind w:firstLine="640"/>
        <w:jc w:val="center"/>
        <w:rPr>
          <w:rFonts w:hint="eastAsia" w:ascii="宋体" w:hAnsi="宋体"/>
          <w:b/>
          <w:color w:val="auto"/>
          <w:sz w:val="32"/>
          <w:szCs w:val="32"/>
          <w:highlight w:val="none"/>
        </w:rPr>
      </w:pPr>
    </w:p>
    <w:p w14:paraId="5724A371">
      <w:pPr>
        <w:spacing w:line="360" w:lineRule="auto"/>
        <w:ind w:firstLine="562" w:firstLineChars="200"/>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339F0E21">
      <w:pPr>
        <w:snapToGrid w:val="0"/>
        <w:spacing w:before="156" w:beforeLines="50" w:after="50"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项目实施人员一览表（标段）</w:t>
      </w:r>
    </w:p>
    <w:p w14:paraId="77EDC6ED">
      <w:pPr>
        <w:snapToGrid w:val="0"/>
        <w:spacing w:before="156" w:beforeLines="50" w:after="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（主要从业人员及其技术资格）</w:t>
      </w:r>
    </w:p>
    <w:tbl>
      <w:tblPr>
        <w:tblStyle w:val="36"/>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CA1D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7F5621D">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BC1E1A8">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7FAABE4">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6A13D11">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2B09D1A">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C87C5CF">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5FBC8E75">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center"/>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FB20CCC">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center"/>
              <w:textAlignment w:val="auto"/>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14:paraId="6546A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7A86E1E">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3955CAD">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411225A">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05FB7CE">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31B1CE5">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2306CD5">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6CC2855">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1340F96">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r>
      <w:tr w14:paraId="4AE85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226F56D">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BA24C3D">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C537A61">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98ABA3F">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A17E904">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2530808">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66802FC">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F473C7C">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r>
      <w:tr w14:paraId="5E3DA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D7AC1DB">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96BCFBD">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80D760E">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776BC3E">
            <w:pPr>
              <w:pStyle w:val="24"/>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1208977">
            <w:pPr>
              <w:pStyle w:val="24"/>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8466648">
            <w:pPr>
              <w:pStyle w:val="24"/>
              <w:keepNext w:val="0"/>
              <w:keepLines w:val="0"/>
              <w:pageBreakBefore w:val="0"/>
              <w:widowControl w:val="0"/>
              <w:kinsoku/>
              <w:wordWrap/>
              <w:overflowPunct/>
              <w:topLinePunct w:val="0"/>
              <w:autoSpaceDE/>
              <w:autoSpaceDN/>
              <w:bidi w:val="0"/>
              <w:adjustRightInd/>
              <w:spacing w:line="360" w:lineRule="auto"/>
              <w:ind w:left="0" w:leftChars="0" w:firstLine="0"/>
              <w:textAlignment w:val="auto"/>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FCEC002">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9A8DD45">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r>
      <w:tr w14:paraId="4CE1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EBE576D">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72CEB07">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1416441">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4AFDCFF">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9BDCBC5">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13F3A0E">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1A2FDBB">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4ECD62F">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r>
      <w:tr w14:paraId="7B133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8EE68C4">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D35EBC3">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8A27965">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C18048F">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073DF3A">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847A8E3">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026C6D5">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AA6C653">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auto"/>
                <w:kern w:val="44"/>
                <w:sz w:val="24"/>
                <w:szCs w:val="20"/>
                <w:highlight w:val="none"/>
              </w:rPr>
            </w:pPr>
          </w:p>
        </w:tc>
      </w:tr>
    </w:tbl>
    <w:p w14:paraId="2BF315F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要求：</w:t>
      </w:r>
    </w:p>
    <w:p w14:paraId="279E5F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1.在填写时，如本表格不适合投标单位的实际情况，可根据本表格式自行划表填写。</w:t>
      </w:r>
    </w:p>
    <w:p w14:paraId="01BEA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2.附人员证书扫描件；</w:t>
      </w:r>
    </w:p>
    <w:p w14:paraId="3D7B701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3.出具上述人员在本单位服务的社保证明，按评标办法要求提供。</w:t>
      </w:r>
    </w:p>
    <w:p w14:paraId="416C2D1B">
      <w:pPr>
        <w:spacing w:line="360" w:lineRule="auto"/>
        <w:ind w:firstLine="420" w:firstLineChars="200"/>
        <w:rPr>
          <w:rFonts w:hint="eastAsia" w:ascii="宋体" w:hAnsi="宋体" w:eastAsia="宋体" w:cs="Times New Roman"/>
          <w:color w:val="auto"/>
          <w:szCs w:val="21"/>
          <w:highlight w:val="none"/>
        </w:rPr>
      </w:pPr>
    </w:p>
    <w:p w14:paraId="668BBD5F">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投标人名称（公章）：</w:t>
      </w:r>
    </w:p>
    <w:p w14:paraId="19ECDF7F">
      <w:pPr>
        <w:spacing w:line="360" w:lineRule="auto"/>
        <w:ind w:left="420" w:firstLine="482"/>
        <w:rPr>
          <w:rFonts w:hint="eastAsia" w:ascii="宋体" w:hAnsi="宋体"/>
          <w:color w:val="auto"/>
          <w:sz w:val="24"/>
          <w:highlight w:val="none"/>
        </w:rPr>
      </w:pPr>
    </w:p>
    <w:p w14:paraId="2F46D9E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投标人代表签字或盖章：</w:t>
      </w:r>
    </w:p>
    <w:p w14:paraId="4C21AFA2">
      <w:pPr>
        <w:spacing w:line="360" w:lineRule="auto"/>
        <w:ind w:firstLine="482"/>
        <w:rPr>
          <w:rFonts w:hint="eastAsia" w:ascii="宋体" w:hAnsi="宋体"/>
          <w:color w:val="auto"/>
          <w:sz w:val="24"/>
          <w:highlight w:val="none"/>
        </w:rPr>
      </w:pPr>
    </w:p>
    <w:p w14:paraId="435BAF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职        务：</w:t>
      </w:r>
    </w:p>
    <w:p w14:paraId="2F62A67A">
      <w:pPr>
        <w:spacing w:line="360" w:lineRule="auto"/>
        <w:ind w:firstLine="482"/>
        <w:rPr>
          <w:rFonts w:hint="eastAsia" w:ascii="宋体" w:hAnsi="宋体"/>
          <w:color w:val="auto"/>
          <w:sz w:val="24"/>
          <w:highlight w:val="none"/>
        </w:rPr>
      </w:pPr>
    </w:p>
    <w:p w14:paraId="7699522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日        期：</w:t>
      </w:r>
    </w:p>
    <w:p w14:paraId="43780322">
      <w:pPr>
        <w:spacing w:line="360" w:lineRule="auto"/>
        <w:ind w:firstLine="562" w:firstLineChars="20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2F2DA4B">
      <w:pPr>
        <w:spacing w:line="360" w:lineRule="auto"/>
        <w:ind w:firstLine="562" w:firstLineChars="200"/>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69AD6DF3">
      <w:pPr>
        <w:spacing w:before="156" w:beforeLines="50" w:after="156" w:afterLines="50" w:line="360" w:lineRule="auto"/>
        <w:ind w:right="-10" w:firstLine="643" w:firstLineChars="200"/>
        <w:jc w:val="center"/>
        <w:rPr>
          <w:rFonts w:hint="eastAsia" w:ascii="宋体" w:hAnsi="宋体"/>
          <w:b/>
          <w:bCs/>
          <w:color w:val="auto"/>
          <w:sz w:val="32"/>
          <w:szCs w:val="32"/>
          <w:highlight w:val="none"/>
        </w:rPr>
      </w:pPr>
      <w:r>
        <w:rPr>
          <w:rFonts w:hint="eastAsia" w:ascii="宋体" w:hAnsi="宋体"/>
          <w:b/>
          <w:bCs/>
          <w:color w:val="auto"/>
          <w:sz w:val="32"/>
          <w:szCs w:val="32"/>
          <w:highlight w:val="none"/>
        </w:rPr>
        <w:t>项目负责人资格情况表</w:t>
      </w:r>
    </w:p>
    <w:p w14:paraId="3D5FE31C">
      <w:pPr>
        <w:spacing w:line="360" w:lineRule="auto"/>
        <w:ind w:firstLine="420" w:firstLineChars="200"/>
        <w:rPr>
          <w:rFonts w:hint="eastAsia" w:ascii="宋体" w:hAnsi="宋体"/>
          <w:color w:val="auto"/>
          <w:highlight w:val="none"/>
        </w:rPr>
      </w:pPr>
      <w:r>
        <w:rPr>
          <w:rFonts w:hint="eastAsia" w:ascii="宋体" w:hAnsi="宋体"/>
          <w:color w:val="auto"/>
          <w:highlight w:val="none"/>
        </w:rPr>
        <w:t>采购项目：                                            标段</w:t>
      </w:r>
      <w:r>
        <w:rPr>
          <w:rFonts w:ascii="宋体" w:hAnsi="宋体"/>
          <w:color w:val="auto"/>
          <w:highlight w:val="none"/>
        </w:rPr>
        <w:t>号</w:t>
      </w:r>
      <w:r>
        <w:rPr>
          <w:rFonts w:hint="eastAsia" w:ascii="宋体" w:hAnsi="宋体"/>
          <w:color w:val="auto"/>
          <w:highlight w:val="none"/>
        </w:rPr>
        <w:t>：</w:t>
      </w:r>
    </w:p>
    <w:tbl>
      <w:tblPr>
        <w:tblStyle w:val="3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292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22988F3A">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1BB66AE">
            <w:pPr>
              <w:autoSpaceDE w:val="0"/>
              <w:autoSpaceDN w:val="0"/>
              <w:adjustRightInd w:val="0"/>
              <w:snapToGrid w:val="0"/>
              <w:spacing w:line="360" w:lineRule="auto"/>
              <w:jc w:val="center"/>
              <w:rPr>
                <w:rFonts w:hint="eastAsia"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1D5F0D69">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lang w:val="zh-CN"/>
              </w:rPr>
              <w:t>近年来主要工作业绩</w:t>
            </w:r>
          </w:p>
        </w:tc>
      </w:tr>
      <w:tr w14:paraId="4AB1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DD69A4C">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CEA0C88">
            <w:pPr>
              <w:autoSpaceDE w:val="0"/>
              <w:autoSpaceDN w:val="0"/>
              <w:adjustRightInd w:val="0"/>
              <w:snapToGrid w:val="0"/>
              <w:spacing w:line="360" w:lineRule="auto"/>
              <w:jc w:val="center"/>
              <w:rPr>
                <w:rFonts w:hint="eastAsia"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9EF9CB7">
            <w:pPr>
              <w:autoSpaceDE w:val="0"/>
              <w:autoSpaceDN w:val="0"/>
              <w:adjustRightInd w:val="0"/>
              <w:snapToGrid w:val="0"/>
              <w:spacing w:line="360" w:lineRule="auto"/>
              <w:ind w:firstLine="420" w:firstLineChars="200"/>
              <w:jc w:val="center"/>
              <w:rPr>
                <w:rFonts w:hint="eastAsia" w:ascii="宋体" w:hAnsi="宋体"/>
                <w:color w:val="auto"/>
                <w:highlight w:val="none"/>
              </w:rPr>
            </w:pPr>
            <w:r>
              <w:rPr>
                <w:rFonts w:hint="eastAsia" w:ascii="宋体" w:hAnsi="宋体"/>
                <w:color w:val="auto"/>
                <w:highlight w:val="none"/>
              </w:rPr>
              <w:t>注：业绩证明应提供旁证材料</w:t>
            </w:r>
          </w:p>
          <w:p w14:paraId="085BF41F">
            <w:pPr>
              <w:autoSpaceDE w:val="0"/>
              <w:autoSpaceDN w:val="0"/>
              <w:adjustRightInd w:val="0"/>
              <w:snapToGrid w:val="0"/>
              <w:spacing w:line="360" w:lineRule="auto"/>
              <w:ind w:firstLine="420" w:firstLineChars="200"/>
              <w:jc w:val="center"/>
              <w:rPr>
                <w:rFonts w:hint="eastAsia" w:ascii="宋体" w:hAnsi="宋体"/>
                <w:color w:val="auto"/>
                <w:highlight w:val="none"/>
                <w:lang w:val="zh-CN"/>
              </w:rPr>
            </w:pPr>
            <w:r>
              <w:rPr>
                <w:rFonts w:hint="eastAsia" w:ascii="宋体" w:hAnsi="宋体"/>
                <w:color w:val="auto"/>
                <w:highlight w:val="none"/>
              </w:rPr>
              <w:t>（用人单位工作证明或劳务合同）。</w:t>
            </w:r>
          </w:p>
        </w:tc>
      </w:tr>
      <w:tr w14:paraId="6FC1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3B446A3">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6068C12">
            <w:pPr>
              <w:autoSpaceDE w:val="0"/>
              <w:autoSpaceDN w:val="0"/>
              <w:adjustRightInd w:val="0"/>
              <w:snapToGrid w:val="0"/>
              <w:spacing w:line="360" w:lineRule="auto"/>
              <w:jc w:val="center"/>
              <w:rPr>
                <w:rFonts w:hint="eastAsia"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4385280">
            <w:pPr>
              <w:autoSpaceDE w:val="0"/>
              <w:autoSpaceDN w:val="0"/>
              <w:adjustRightInd w:val="0"/>
              <w:snapToGrid w:val="0"/>
              <w:spacing w:line="360" w:lineRule="auto"/>
              <w:jc w:val="center"/>
              <w:rPr>
                <w:rFonts w:hint="eastAsia" w:ascii="宋体" w:hAnsi="宋体"/>
                <w:color w:val="auto"/>
                <w:highlight w:val="none"/>
                <w:lang w:val="zh-CN"/>
              </w:rPr>
            </w:pPr>
          </w:p>
        </w:tc>
      </w:tr>
      <w:tr w14:paraId="0ECE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83C55F5">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DBA925D">
            <w:pPr>
              <w:autoSpaceDE w:val="0"/>
              <w:autoSpaceDN w:val="0"/>
              <w:adjustRightInd w:val="0"/>
              <w:snapToGrid w:val="0"/>
              <w:spacing w:line="360" w:lineRule="auto"/>
              <w:jc w:val="center"/>
              <w:rPr>
                <w:rFonts w:hint="eastAsia"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98DC517">
            <w:pPr>
              <w:autoSpaceDE w:val="0"/>
              <w:autoSpaceDN w:val="0"/>
              <w:adjustRightInd w:val="0"/>
              <w:snapToGrid w:val="0"/>
              <w:spacing w:line="360" w:lineRule="auto"/>
              <w:jc w:val="center"/>
              <w:rPr>
                <w:rFonts w:hint="eastAsia" w:ascii="宋体" w:hAnsi="宋体"/>
                <w:color w:val="auto"/>
                <w:highlight w:val="none"/>
                <w:lang w:val="zh-CN"/>
              </w:rPr>
            </w:pPr>
          </w:p>
        </w:tc>
      </w:tr>
      <w:tr w14:paraId="6653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E7096B6">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0529664">
            <w:pPr>
              <w:autoSpaceDE w:val="0"/>
              <w:autoSpaceDN w:val="0"/>
              <w:adjustRightInd w:val="0"/>
              <w:snapToGrid w:val="0"/>
              <w:spacing w:line="360" w:lineRule="auto"/>
              <w:jc w:val="center"/>
              <w:rPr>
                <w:rFonts w:hint="eastAsia"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B603EBC">
            <w:pPr>
              <w:autoSpaceDE w:val="0"/>
              <w:autoSpaceDN w:val="0"/>
              <w:adjustRightInd w:val="0"/>
              <w:snapToGrid w:val="0"/>
              <w:spacing w:line="360" w:lineRule="auto"/>
              <w:jc w:val="center"/>
              <w:rPr>
                <w:rFonts w:hint="eastAsia" w:ascii="宋体" w:hAnsi="宋体"/>
                <w:color w:val="auto"/>
                <w:highlight w:val="none"/>
                <w:lang w:val="zh-CN"/>
              </w:rPr>
            </w:pPr>
          </w:p>
        </w:tc>
      </w:tr>
      <w:tr w14:paraId="4154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30514E8">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4FFDE72">
            <w:pPr>
              <w:autoSpaceDE w:val="0"/>
              <w:autoSpaceDN w:val="0"/>
              <w:adjustRightInd w:val="0"/>
              <w:snapToGrid w:val="0"/>
              <w:spacing w:line="360" w:lineRule="auto"/>
              <w:jc w:val="center"/>
              <w:rPr>
                <w:rFonts w:hint="eastAsia"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705B745">
            <w:pPr>
              <w:autoSpaceDE w:val="0"/>
              <w:autoSpaceDN w:val="0"/>
              <w:adjustRightInd w:val="0"/>
              <w:snapToGrid w:val="0"/>
              <w:spacing w:line="360" w:lineRule="auto"/>
              <w:jc w:val="center"/>
              <w:rPr>
                <w:rFonts w:hint="eastAsia" w:ascii="宋体" w:hAnsi="宋体"/>
                <w:color w:val="auto"/>
                <w:highlight w:val="none"/>
                <w:lang w:val="zh-CN"/>
              </w:rPr>
            </w:pPr>
          </w:p>
        </w:tc>
      </w:tr>
      <w:tr w14:paraId="0FAB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9C68445">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7FCD29EC">
            <w:pPr>
              <w:autoSpaceDE w:val="0"/>
              <w:autoSpaceDN w:val="0"/>
              <w:adjustRightInd w:val="0"/>
              <w:snapToGrid w:val="0"/>
              <w:spacing w:line="360" w:lineRule="auto"/>
              <w:jc w:val="center"/>
              <w:rPr>
                <w:rFonts w:hint="eastAsia"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CCE4149">
            <w:pPr>
              <w:autoSpaceDE w:val="0"/>
              <w:autoSpaceDN w:val="0"/>
              <w:adjustRightInd w:val="0"/>
              <w:snapToGrid w:val="0"/>
              <w:spacing w:line="360" w:lineRule="auto"/>
              <w:jc w:val="center"/>
              <w:rPr>
                <w:rFonts w:hint="eastAsia" w:ascii="宋体" w:hAnsi="宋体"/>
                <w:color w:val="auto"/>
                <w:highlight w:val="none"/>
                <w:lang w:val="zh-CN"/>
              </w:rPr>
            </w:pPr>
          </w:p>
        </w:tc>
      </w:tr>
      <w:tr w14:paraId="21BB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23811AA">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C0A6F96">
            <w:pPr>
              <w:autoSpaceDE w:val="0"/>
              <w:autoSpaceDN w:val="0"/>
              <w:adjustRightInd w:val="0"/>
              <w:snapToGrid w:val="0"/>
              <w:spacing w:line="360" w:lineRule="auto"/>
              <w:jc w:val="center"/>
              <w:rPr>
                <w:rFonts w:hint="eastAsia"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767BC9D">
            <w:pPr>
              <w:autoSpaceDE w:val="0"/>
              <w:autoSpaceDN w:val="0"/>
              <w:adjustRightInd w:val="0"/>
              <w:snapToGrid w:val="0"/>
              <w:spacing w:line="360" w:lineRule="auto"/>
              <w:jc w:val="center"/>
              <w:rPr>
                <w:rFonts w:hint="eastAsia" w:ascii="宋体" w:hAnsi="宋体"/>
                <w:color w:val="auto"/>
                <w:highlight w:val="none"/>
                <w:lang w:val="zh-CN"/>
              </w:rPr>
            </w:pPr>
          </w:p>
        </w:tc>
      </w:tr>
      <w:tr w14:paraId="7B22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344C086F">
            <w:pPr>
              <w:autoSpaceDE w:val="0"/>
              <w:autoSpaceDN w:val="0"/>
              <w:adjustRightInd w:val="0"/>
              <w:snapToGrid w:val="0"/>
              <w:spacing w:line="360" w:lineRule="auto"/>
              <w:jc w:val="center"/>
              <w:rPr>
                <w:rFonts w:hint="eastAsia"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3EC4BBC">
            <w:pPr>
              <w:autoSpaceDE w:val="0"/>
              <w:autoSpaceDN w:val="0"/>
              <w:adjustRightInd w:val="0"/>
              <w:snapToGrid w:val="0"/>
              <w:spacing w:line="360" w:lineRule="auto"/>
              <w:jc w:val="center"/>
              <w:rPr>
                <w:rFonts w:hint="eastAsia" w:ascii="宋体" w:hAnsi="宋体"/>
                <w:color w:val="auto"/>
                <w:highlight w:val="none"/>
                <w:lang w:val="zh-CN"/>
              </w:rPr>
            </w:pPr>
          </w:p>
        </w:tc>
      </w:tr>
    </w:tbl>
    <w:p w14:paraId="700D5B7E">
      <w:pPr>
        <w:spacing w:line="360" w:lineRule="auto"/>
        <w:ind w:left="420" w:firstLine="482"/>
        <w:rPr>
          <w:rFonts w:hint="eastAsia" w:ascii="宋体" w:hAnsi="宋体"/>
          <w:color w:val="auto"/>
          <w:sz w:val="24"/>
          <w:highlight w:val="none"/>
        </w:rPr>
      </w:pPr>
    </w:p>
    <w:p w14:paraId="4B7BDE65">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投标人名称（公章）：</w:t>
      </w:r>
    </w:p>
    <w:p w14:paraId="6A0F98A3">
      <w:pPr>
        <w:spacing w:line="360" w:lineRule="auto"/>
        <w:ind w:left="420" w:firstLine="482"/>
        <w:rPr>
          <w:rFonts w:hint="eastAsia" w:ascii="宋体" w:hAnsi="宋体"/>
          <w:color w:val="auto"/>
          <w:sz w:val="24"/>
          <w:highlight w:val="none"/>
        </w:rPr>
      </w:pPr>
    </w:p>
    <w:p w14:paraId="735F9E2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投标人代表签字或盖章：</w:t>
      </w:r>
    </w:p>
    <w:p w14:paraId="3642F817">
      <w:pPr>
        <w:spacing w:line="360" w:lineRule="auto"/>
        <w:ind w:firstLine="482"/>
        <w:rPr>
          <w:rFonts w:hint="eastAsia" w:ascii="宋体" w:hAnsi="宋体"/>
          <w:color w:val="auto"/>
          <w:sz w:val="24"/>
          <w:highlight w:val="none"/>
        </w:rPr>
      </w:pPr>
    </w:p>
    <w:p w14:paraId="42344D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职        务：</w:t>
      </w:r>
    </w:p>
    <w:p w14:paraId="6B908AE4">
      <w:pPr>
        <w:spacing w:line="360" w:lineRule="auto"/>
        <w:ind w:firstLine="482"/>
        <w:rPr>
          <w:rFonts w:hint="eastAsia" w:ascii="宋体" w:hAnsi="宋体"/>
          <w:color w:val="auto"/>
          <w:sz w:val="24"/>
          <w:highlight w:val="none"/>
        </w:rPr>
      </w:pPr>
    </w:p>
    <w:p w14:paraId="4305046A">
      <w:pPr>
        <w:spacing w:line="360" w:lineRule="auto"/>
        <w:ind w:firstLine="480" w:firstLineChars="20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        期：</w:t>
      </w:r>
    </w:p>
    <w:p w14:paraId="18A9A36B">
      <w:pPr>
        <w:spacing w:line="360" w:lineRule="auto"/>
        <w:ind w:firstLine="562" w:firstLineChars="200"/>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3EEF07F4">
      <w:pPr>
        <w:snapToGrid w:val="0"/>
        <w:spacing w:before="50" w:after="50" w:line="360" w:lineRule="auto"/>
        <w:ind w:firstLine="560"/>
        <w:rPr>
          <w:rFonts w:hint="eastAsia" w:ascii="宋体" w:hAnsi="宋体"/>
          <w:b/>
          <w:color w:val="auto"/>
          <w:sz w:val="28"/>
          <w:highlight w:val="none"/>
        </w:rPr>
      </w:pPr>
    </w:p>
    <w:p w14:paraId="7310EB70">
      <w:pPr>
        <w:pStyle w:val="23"/>
        <w:adjustRightInd w:val="0"/>
        <w:snapToGrid w:val="0"/>
        <w:spacing w:line="360" w:lineRule="auto"/>
        <w:ind w:firstLine="643" w:firstLineChars="200"/>
        <w:jc w:val="center"/>
        <w:rPr>
          <w:rFonts w:hint="eastAsia" w:hAnsi="宋体"/>
          <w:b/>
          <w:color w:val="auto"/>
          <w:sz w:val="32"/>
          <w:szCs w:val="32"/>
          <w:highlight w:val="none"/>
        </w:rPr>
      </w:pPr>
      <w:r>
        <w:rPr>
          <w:rFonts w:hint="eastAsia" w:hAnsi="宋体"/>
          <w:b/>
          <w:color w:val="auto"/>
          <w:sz w:val="32"/>
          <w:szCs w:val="32"/>
          <w:highlight w:val="none"/>
        </w:rPr>
        <w:t>商务及技术需求响应表</w:t>
      </w:r>
    </w:p>
    <w:p w14:paraId="6B2512AF">
      <w:pPr>
        <w:pStyle w:val="23"/>
        <w:adjustRightInd w:val="0"/>
        <w:snapToGrid w:val="0"/>
        <w:spacing w:line="360" w:lineRule="auto"/>
        <w:ind w:firstLine="482" w:firstLineChars="200"/>
        <w:jc w:val="left"/>
        <w:rPr>
          <w:rFonts w:hint="eastAsia" w:hAnsi="宋体" w:cs="Tahoma"/>
          <w:b/>
          <w:color w:val="auto"/>
          <w:sz w:val="24"/>
          <w:highlight w:val="none"/>
        </w:rPr>
      </w:pPr>
      <w:r>
        <w:rPr>
          <w:rFonts w:hint="eastAsia" w:hAnsi="宋体"/>
          <w:b/>
          <w:bCs/>
          <w:color w:val="auto"/>
          <w:sz w:val="24"/>
          <w:highlight w:val="none"/>
        </w:rPr>
        <w:t>项目名称及编号：</w:t>
      </w:r>
    </w:p>
    <w:tbl>
      <w:tblPr>
        <w:tblStyle w:val="36"/>
        <w:tblW w:w="8739" w:type="dxa"/>
        <w:tblInd w:w="0" w:type="dxa"/>
        <w:tblLayout w:type="fixed"/>
        <w:tblCellMar>
          <w:top w:w="0" w:type="dxa"/>
          <w:left w:w="108" w:type="dxa"/>
          <w:bottom w:w="0" w:type="dxa"/>
          <w:right w:w="108" w:type="dxa"/>
        </w:tblCellMar>
      </w:tblPr>
      <w:tblGrid>
        <w:gridCol w:w="1195"/>
        <w:gridCol w:w="2171"/>
        <w:gridCol w:w="2001"/>
        <w:gridCol w:w="1971"/>
        <w:gridCol w:w="1401"/>
      </w:tblGrid>
      <w:tr w14:paraId="3301992C">
        <w:tblPrEx>
          <w:tblCellMar>
            <w:top w:w="0" w:type="dxa"/>
            <w:left w:w="108" w:type="dxa"/>
            <w:bottom w:w="0" w:type="dxa"/>
            <w:right w:w="108" w:type="dxa"/>
          </w:tblCellMar>
        </w:tblPrEx>
        <w:trPr>
          <w:trHeight w:val="809" w:hRule="atLeast"/>
        </w:trPr>
        <w:tc>
          <w:tcPr>
            <w:tcW w:w="1195" w:type="dxa"/>
            <w:tcBorders>
              <w:top w:val="single" w:color="auto" w:sz="4" w:space="0"/>
              <w:left w:val="single" w:color="auto" w:sz="4" w:space="0"/>
              <w:bottom w:val="single" w:color="auto" w:sz="4" w:space="0"/>
              <w:right w:val="single" w:color="auto" w:sz="4" w:space="0"/>
            </w:tcBorders>
            <w:vAlign w:val="center"/>
          </w:tcPr>
          <w:p w14:paraId="084AAC1A">
            <w:pPr>
              <w:pStyle w:val="23"/>
              <w:adjustRightInd w:val="0"/>
              <w:snapToGrid w:val="0"/>
              <w:spacing w:line="360" w:lineRule="auto"/>
              <w:jc w:val="center"/>
              <w:rPr>
                <w:rFonts w:hint="eastAsia"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类别</w:t>
            </w:r>
          </w:p>
        </w:tc>
        <w:tc>
          <w:tcPr>
            <w:tcW w:w="2171" w:type="dxa"/>
            <w:tcBorders>
              <w:top w:val="single" w:color="auto" w:sz="4" w:space="0"/>
              <w:left w:val="single" w:color="auto" w:sz="4" w:space="0"/>
              <w:bottom w:val="single" w:color="auto" w:sz="4" w:space="0"/>
              <w:right w:val="single" w:color="auto" w:sz="4" w:space="0"/>
            </w:tcBorders>
            <w:vAlign w:val="center"/>
          </w:tcPr>
          <w:p w14:paraId="33B923E8">
            <w:pPr>
              <w:pStyle w:val="23"/>
              <w:adjustRightInd w:val="0"/>
              <w:snapToGrid w:val="0"/>
              <w:spacing w:line="360" w:lineRule="auto"/>
              <w:jc w:val="center"/>
              <w:rPr>
                <w:rFonts w:hint="eastAsia"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内容</w:t>
            </w:r>
          </w:p>
        </w:tc>
        <w:tc>
          <w:tcPr>
            <w:tcW w:w="2001" w:type="dxa"/>
            <w:tcBorders>
              <w:top w:val="single" w:color="auto" w:sz="4" w:space="0"/>
              <w:left w:val="single" w:color="auto" w:sz="4" w:space="0"/>
              <w:bottom w:val="single" w:color="auto" w:sz="4" w:space="0"/>
              <w:right w:val="single" w:color="auto" w:sz="4" w:space="0"/>
            </w:tcBorders>
            <w:vAlign w:val="center"/>
          </w:tcPr>
          <w:p w14:paraId="60A3598A">
            <w:pPr>
              <w:pStyle w:val="23"/>
              <w:adjustRightInd w:val="0"/>
              <w:snapToGrid w:val="0"/>
              <w:spacing w:line="360" w:lineRule="auto"/>
              <w:jc w:val="center"/>
              <w:rPr>
                <w:rFonts w:hint="eastAsia"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招标文件技术（或</w:t>
            </w:r>
            <w:r>
              <w:rPr>
                <w:rFonts w:hAnsi="宋体" w:cs="楷体_GB2312"/>
                <w:bCs/>
                <w:color w:val="auto"/>
                <w:spacing w:val="10"/>
                <w:kern w:val="0"/>
                <w:sz w:val="24"/>
                <w:szCs w:val="22"/>
                <w:highlight w:val="none"/>
              </w:rPr>
              <w:t>商务</w:t>
            </w:r>
            <w:r>
              <w:rPr>
                <w:rFonts w:hint="eastAsia" w:hAnsi="宋体" w:cs="楷体_GB2312"/>
                <w:bCs/>
                <w:color w:val="auto"/>
                <w:spacing w:val="10"/>
                <w:kern w:val="0"/>
                <w:sz w:val="24"/>
                <w:szCs w:val="22"/>
                <w:highlight w:val="none"/>
              </w:rPr>
              <w:t>）要求</w:t>
            </w:r>
          </w:p>
        </w:tc>
        <w:tc>
          <w:tcPr>
            <w:tcW w:w="1971" w:type="dxa"/>
            <w:tcBorders>
              <w:top w:val="single" w:color="auto" w:sz="4" w:space="0"/>
              <w:left w:val="single" w:color="auto" w:sz="4" w:space="0"/>
              <w:bottom w:val="single" w:color="auto" w:sz="4" w:space="0"/>
              <w:right w:val="single" w:color="auto" w:sz="4" w:space="0"/>
            </w:tcBorders>
            <w:vAlign w:val="center"/>
          </w:tcPr>
          <w:p w14:paraId="75AEF04D">
            <w:pPr>
              <w:pStyle w:val="23"/>
              <w:adjustRightInd w:val="0"/>
              <w:snapToGrid w:val="0"/>
              <w:spacing w:line="360" w:lineRule="auto"/>
              <w:jc w:val="center"/>
              <w:rPr>
                <w:rFonts w:hint="eastAsia"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投标文件技术（或</w:t>
            </w:r>
            <w:r>
              <w:rPr>
                <w:rFonts w:hAnsi="宋体" w:cs="楷体_GB2312"/>
                <w:bCs/>
                <w:color w:val="auto"/>
                <w:spacing w:val="10"/>
                <w:kern w:val="0"/>
                <w:sz w:val="24"/>
                <w:szCs w:val="22"/>
                <w:highlight w:val="none"/>
              </w:rPr>
              <w:t>商务</w:t>
            </w:r>
            <w:r>
              <w:rPr>
                <w:rFonts w:hint="eastAsia" w:hAnsi="宋体" w:cs="楷体_GB2312"/>
                <w:bCs/>
                <w:color w:val="auto"/>
                <w:spacing w:val="10"/>
                <w:kern w:val="0"/>
                <w:sz w:val="24"/>
                <w:szCs w:val="22"/>
                <w:highlight w:val="none"/>
              </w:rPr>
              <w:t>）响应</w:t>
            </w:r>
          </w:p>
        </w:tc>
        <w:tc>
          <w:tcPr>
            <w:tcW w:w="1401" w:type="dxa"/>
            <w:tcBorders>
              <w:top w:val="single" w:color="auto" w:sz="4" w:space="0"/>
              <w:left w:val="single" w:color="auto" w:sz="4" w:space="0"/>
              <w:bottom w:val="single" w:color="auto" w:sz="4" w:space="0"/>
              <w:right w:val="single" w:color="auto" w:sz="4" w:space="0"/>
            </w:tcBorders>
            <w:vAlign w:val="center"/>
          </w:tcPr>
          <w:p w14:paraId="5345ACC3">
            <w:pPr>
              <w:pStyle w:val="23"/>
              <w:adjustRightInd w:val="0"/>
              <w:snapToGrid w:val="0"/>
              <w:spacing w:line="360" w:lineRule="auto"/>
              <w:jc w:val="center"/>
              <w:rPr>
                <w:rFonts w:hint="eastAsia"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偏离情况</w:t>
            </w:r>
          </w:p>
        </w:tc>
      </w:tr>
      <w:tr w14:paraId="02A66CDE">
        <w:tblPrEx>
          <w:tblCellMar>
            <w:top w:w="0" w:type="dxa"/>
            <w:left w:w="108" w:type="dxa"/>
            <w:bottom w:w="0" w:type="dxa"/>
            <w:right w:w="108" w:type="dxa"/>
          </w:tblCellMar>
        </w:tblPrEx>
        <w:trPr>
          <w:trHeight w:val="206" w:hRule="atLeast"/>
        </w:trPr>
        <w:tc>
          <w:tcPr>
            <w:tcW w:w="1195" w:type="dxa"/>
            <w:vMerge w:val="restart"/>
            <w:tcBorders>
              <w:top w:val="single" w:color="auto" w:sz="4" w:space="0"/>
              <w:left w:val="single" w:color="auto" w:sz="4" w:space="0"/>
              <w:right w:val="single" w:color="auto" w:sz="4" w:space="0"/>
            </w:tcBorders>
            <w:vAlign w:val="center"/>
          </w:tcPr>
          <w:p w14:paraId="5F5DE8C7">
            <w:pPr>
              <w:widowControl/>
              <w:jc w:val="center"/>
              <w:rPr>
                <w:rFonts w:hint="eastAsia" w:ascii="宋体" w:hAnsi="宋体" w:cs="楷体_GB2312"/>
                <w:color w:val="auto"/>
                <w:kern w:val="0"/>
                <w:sz w:val="22"/>
                <w:szCs w:val="22"/>
                <w:highlight w:val="none"/>
              </w:rPr>
            </w:pPr>
            <w:r>
              <w:rPr>
                <w:rFonts w:hint="eastAsia" w:ascii="宋体" w:hAnsi="宋体" w:cs="楷体_GB2312"/>
                <w:color w:val="auto"/>
                <w:kern w:val="0"/>
                <w:sz w:val="22"/>
                <w:szCs w:val="22"/>
                <w:highlight w:val="none"/>
              </w:rPr>
              <w:t>响应情况</w:t>
            </w:r>
          </w:p>
        </w:tc>
        <w:tc>
          <w:tcPr>
            <w:tcW w:w="2171" w:type="dxa"/>
            <w:tcBorders>
              <w:top w:val="single" w:color="auto" w:sz="4" w:space="0"/>
              <w:left w:val="single" w:color="auto" w:sz="4" w:space="0"/>
              <w:bottom w:val="single" w:color="auto" w:sz="4" w:space="0"/>
              <w:right w:val="single" w:color="auto" w:sz="4" w:space="0"/>
            </w:tcBorders>
            <w:vAlign w:val="center"/>
          </w:tcPr>
          <w:p w14:paraId="30B7F22F">
            <w:pPr>
              <w:widowControl/>
              <w:jc w:val="center"/>
              <w:rPr>
                <w:rFonts w:hint="eastAsia" w:ascii="宋体" w:hAnsi="宋体" w:cs="楷体_GB2312"/>
                <w:bCs/>
                <w:color w:val="auto"/>
                <w:spacing w:val="10"/>
                <w:kern w:val="0"/>
                <w:sz w:val="24"/>
                <w:szCs w:val="22"/>
                <w:highlight w:val="none"/>
              </w:rPr>
            </w:pPr>
            <w:r>
              <w:rPr>
                <w:rFonts w:hint="eastAsia" w:ascii="宋体" w:hAnsi="宋体" w:cs="楷体_GB2312"/>
                <w:bCs/>
                <w:color w:val="auto"/>
                <w:spacing w:val="10"/>
                <w:kern w:val="0"/>
                <w:sz w:val="24"/>
                <w:szCs w:val="22"/>
                <w:highlight w:val="none"/>
              </w:rPr>
              <w:t>质保期</w:t>
            </w:r>
          </w:p>
        </w:tc>
        <w:tc>
          <w:tcPr>
            <w:tcW w:w="2001" w:type="dxa"/>
            <w:tcBorders>
              <w:top w:val="single" w:color="auto" w:sz="4" w:space="0"/>
              <w:left w:val="single" w:color="auto" w:sz="4" w:space="0"/>
              <w:bottom w:val="single" w:color="auto" w:sz="4" w:space="0"/>
              <w:right w:val="single" w:color="auto" w:sz="4" w:space="0"/>
            </w:tcBorders>
          </w:tcPr>
          <w:p w14:paraId="1BD2D163">
            <w:pPr>
              <w:pStyle w:val="23"/>
              <w:adjustRightInd w:val="0"/>
              <w:snapToGrid w:val="0"/>
              <w:spacing w:line="360" w:lineRule="auto"/>
              <w:jc w:val="center"/>
              <w:rPr>
                <w:rFonts w:hint="eastAsia"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01B7946B">
            <w:pPr>
              <w:pStyle w:val="23"/>
              <w:adjustRightInd w:val="0"/>
              <w:snapToGrid w:val="0"/>
              <w:spacing w:line="360" w:lineRule="auto"/>
              <w:jc w:val="center"/>
              <w:rPr>
                <w:rFonts w:hint="eastAsia"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7AC56AFD">
            <w:pPr>
              <w:pStyle w:val="23"/>
              <w:adjustRightInd w:val="0"/>
              <w:snapToGrid w:val="0"/>
              <w:spacing w:line="360" w:lineRule="auto"/>
              <w:jc w:val="center"/>
              <w:rPr>
                <w:rFonts w:hint="eastAsia" w:hAnsi="宋体"/>
                <w:color w:val="auto"/>
                <w:spacing w:val="20"/>
                <w:sz w:val="24"/>
                <w:highlight w:val="none"/>
              </w:rPr>
            </w:pPr>
          </w:p>
        </w:tc>
      </w:tr>
      <w:tr w14:paraId="02F21327">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45AB3BEB">
            <w:pPr>
              <w:widowControl/>
              <w:ind w:firstLine="442"/>
              <w:jc w:val="center"/>
              <w:rPr>
                <w:rFonts w:hint="eastAsia" w:ascii="宋体" w:hAnsi="宋体" w:cs="楷体_GB2312"/>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552673D9">
            <w:pPr>
              <w:widowControl/>
              <w:jc w:val="center"/>
              <w:rPr>
                <w:rFonts w:hint="eastAsia" w:ascii="宋体" w:hAnsi="宋体" w:cs="楷体_GB2312"/>
                <w:bCs/>
                <w:color w:val="auto"/>
                <w:spacing w:val="10"/>
                <w:kern w:val="0"/>
                <w:sz w:val="24"/>
                <w:szCs w:val="22"/>
                <w:highlight w:val="none"/>
              </w:rPr>
            </w:pPr>
            <w:r>
              <w:rPr>
                <w:rFonts w:hint="eastAsia" w:ascii="宋体" w:hAnsi="宋体" w:cs="楷体_GB2312"/>
                <w:bCs/>
                <w:color w:val="auto"/>
                <w:spacing w:val="10"/>
                <w:kern w:val="0"/>
                <w:sz w:val="24"/>
                <w:szCs w:val="22"/>
                <w:highlight w:val="none"/>
              </w:rPr>
              <w:t>交付期</w:t>
            </w:r>
          </w:p>
        </w:tc>
        <w:tc>
          <w:tcPr>
            <w:tcW w:w="2001" w:type="dxa"/>
            <w:tcBorders>
              <w:top w:val="single" w:color="auto" w:sz="4" w:space="0"/>
              <w:left w:val="single" w:color="auto" w:sz="4" w:space="0"/>
              <w:bottom w:val="single" w:color="auto" w:sz="4" w:space="0"/>
              <w:right w:val="single" w:color="auto" w:sz="4" w:space="0"/>
            </w:tcBorders>
          </w:tcPr>
          <w:p w14:paraId="3F3735A2">
            <w:pPr>
              <w:pStyle w:val="23"/>
              <w:adjustRightInd w:val="0"/>
              <w:snapToGrid w:val="0"/>
              <w:spacing w:line="360" w:lineRule="auto"/>
              <w:jc w:val="center"/>
              <w:rPr>
                <w:rFonts w:hint="eastAsia"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44114D9C">
            <w:pPr>
              <w:pStyle w:val="23"/>
              <w:adjustRightInd w:val="0"/>
              <w:snapToGrid w:val="0"/>
              <w:spacing w:line="360" w:lineRule="auto"/>
              <w:jc w:val="center"/>
              <w:rPr>
                <w:rFonts w:hint="eastAsia"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66DB37A1">
            <w:pPr>
              <w:pStyle w:val="23"/>
              <w:adjustRightInd w:val="0"/>
              <w:snapToGrid w:val="0"/>
              <w:spacing w:line="360" w:lineRule="auto"/>
              <w:jc w:val="center"/>
              <w:rPr>
                <w:rFonts w:hint="eastAsia" w:hAnsi="宋体"/>
                <w:color w:val="auto"/>
                <w:spacing w:val="20"/>
                <w:sz w:val="24"/>
                <w:highlight w:val="none"/>
              </w:rPr>
            </w:pPr>
          </w:p>
        </w:tc>
      </w:tr>
      <w:tr w14:paraId="4033292C">
        <w:tblPrEx>
          <w:tblCellMar>
            <w:top w:w="0" w:type="dxa"/>
            <w:left w:w="108" w:type="dxa"/>
            <w:bottom w:w="0" w:type="dxa"/>
            <w:right w:w="108" w:type="dxa"/>
          </w:tblCellMar>
        </w:tblPrEx>
        <w:trPr>
          <w:trHeight w:val="238" w:hRule="atLeast"/>
        </w:trPr>
        <w:tc>
          <w:tcPr>
            <w:tcW w:w="1195" w:type="dxa"/>
            <w:vMerge w:val="continue"/>
            <w:tcBorders>
              <w:left w:val="single" w:color="auto" w:sz="4" w:space="0"/>
              <w:right w:val="single" w:color="auto" w:sz="4" w:space="0"/>
            </w:tcBorders>
            <w:vAlign w:val="center"/>
          </w:tcPr>
          <w:p w14:paraId="1BD575B8">
            <w:pPr>
              <w:widowControl/>
              <w:ind w:firstLine="442"/>
              <w:jc w:val="center"/>
              <w:rPr>
                <w:rFonts w:hint="eastAsia" w:ascii="宋体" w:hAnsi="宋体" w:cs="楷体_GB2312"/>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6711D050">
            <w:pPr>
              <w:snapToGrid w:val="0"/>
              <w:spacing w:line="360" w:lineRule="auto"/>
              <w:jc w:val="center"/>
              <w:rPr>
                <w:rFonts w:hint="eastAsia" w:ascii="宋体" w:hAnsi="宋体" w:cs="楷体_GB2312"/>
                <w:bCs/>
                <w:color w:val="auto"/>
                <w:spacing w:val="10"/>
                <w:kern w:val="0"/>
                <w:sz w:val="24"/>
                <w:szCs w:val="22"/>
                <w:highlight w:val="none"/>
              </w:rPr>
            </w:pPr>
            <w:r>
              <w:rPr>
                <w:rFonts w:hint="eastAsia" w:ascii="宋体" w:hAnsi="宋体" w:cs="楷体_GB2312"/>
                <w:bCs/>
                <w:color w:val="auto"/>
                <w:spacing w:val="10"/>
                <w:kern w:val="0"/>
                <w:sz w:val="24"/>
                <w:szCs w:val="22"/>
                <w:highlight w:val="none"/>
              </w:rPr>
              <w:t>……</w:t>
            </w:r>
          </w:p>
        </w:tc>
        <w:tc>
          <w:tcPr>
            <w:tcW w:w="2001" w:type="dxa"/>
            <w:tcBorders>
              <w:top w:val="single" w:color="auto" w:sz="4" w:space="0"/>
              <w:left w:val="single" w:color="auto" w:sz="4" w:space="0"/>
              <w:bottom w:val="single" w:color="auto" w:sz="4" w:space="0"/>
              <w:right w:val="single" w:color="auto" w:sz="4" w:space="0"/>
            </w:tcBorders>
          </w:tcPr>
          <w:p w14:paraId="31716DF2">
            <w:pPr>
              <w:pStyle w:val="23"/>
              <w:adjustRightInd w:val="0"/>
              <w:snapToGrid w:val="0"/>
              <w:spacing w:line="360" w:lineRule="auto"/>
              <w:jc w:val="center"/>
              <w:rPr>
                <w:rFonts w:hint="eastAsia"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793B16E">
            <w:pPr>
              <w:pStyle w:val="23"/>
              <w:adjustRightInd w:val="0"/>
              <w:snapToGrid w:val="0"/>
              <w:spacing w:line="360" w:lineRule="auto"/>
              <w:jc w:val="center"/>
              <w:rPr>
                <w:rFonts w:hint="eastAsia"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80AC4F8">
            <w:pPr>
              <w:pStyle w:val="23"/>
              <w:adjustRightInd w:val="0"/>
              <w:snapToGrid w:val="0"/>
              <w:spacing w:line="360" w:lineRule="auto"/>
              <w:jc w:val="center"/>
              <w:rPr>
                <w:rFonts w:hint="eastAsia" w:hAnsi="宋体"/>
                <w:color w:val="auto"/>
                <w:spacing w:val="20"/>
                <w:sz w:val="24"/>
                <w:highlight w:val="none"/>
              </w:rPr>
            </w:pPr>
          </w:p>
        </w:tc>
      </w:tr>
      <w:tr w14:paraId="5A78D028">
        <w:tblPrEx>
          <w:tblCellMar>
            <w:top w:w="0" w:type="dxa"/>
            <w:left w:w="108" w:type="dxa"/>
            <w:bottom w:w="0" w:type="dxa"/>
            <w:right w:w="108" w:type="dxa"/>
          </w:tblCellMar>
        </w:tblPrEx>
        <w:trPr>
          <w:trHeight w:val="173" w:hRule="atLeast"/>
        </w:trPr>
        <w:tc>
          <w:tcPr>
            <w:tcW w:w="1195" w:type="dxa"/>
            <w:vMerge w:val="continue"/>
            <w:tcBorders>
              <w:left w:val="single" w:color="auto" w:sz="4" w:space="0"/>
              <w:right w:val="single" w:color="auto" w:sz="4" w:space="0"/>
            </w:tcBorders>
            <w:vAlign w:val="center"/>
          </w:tcPr>
          <w:p w14:paraId="05BF56FA">
            <w:pPr>
              <w:widowControl/>
              <w:ind w:firstLine="442"/>
              <w:jc w:val="center"/>
              <w:rPr>
                <w:rFonts w:hint="eastAsia" w:ascii="宋体" w:hAnsi="宋体" w:cs="楷体_GB2312"/>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18786E11">
            <w:pPr>
              <w:jc w:val="center"/>
              <w:rPr>
                <w:rFonts w:hint="eastAsia" w:ascii="宋体" w:hAnsi="宋体" w:cs="楷体_GB2312"/>
                <w:bCs/>
                <w:color w:val="auto"/>
                <w:spacing w:val="10"/>
                <w:kern w:val="0"/>
                <w:sz w:val="24"/>
                <w:szCs w:val="22"/>
                <w:highlight w:val="none"/>
              </w:rPr>
            </w:pPr>
            <w:r>
              <w:rPr>
                <w:rFonts w:hint="eastAsia" w:ascii="宋体" w:hAnsi="宋体" w:cs="楷体_GB2312"/>
                <w:bCs/>
                <w:color w:val="auto"/>
                <w:spacing w:val="10"/>
                <w:kern w:val="0"/>
                <w:sz w:val="24"/>
                <w:szCs w:val="22"/>
                <w:highlight w:val="none"/>
              </w:rPr>
              <w:t>（技术需求响应内容）</w:t>
            </w:r>
          </w:p>
        </w:tc>
        <w:tc>
          <w:tcPr>
            <w:tcW w:w="2001" w:type="dxa"/>
            <w:tcBorders>
              <w:top w:val="single" w:color="auto" w:sz="4" w:space="0"/>
              <w:left w:val="single" w:color="auto" w:sz="4" w:space="0"/>
              <w:bottom w:val="single" w:color="auto" w:sz="4" w:space="0"/>
              <w:right w:val="single" w:color="auto" w:sz="4" w:space="0"/>
            </w:tcBorders>
          </w:tcPr>
          <w:p w14:paraId="5F235352">
            <w:pPr>
              <w:pStyle w:val="23"/>
              <w:adjustRightInd w:val="0"/>
              <w:snapToGrid w:val="0"/>
              <w:spacing w:line="360" w:lineRule="auto"/>
              <w:jc w:val="center"/>
              <w:rPr>
                <w:rFonts w:hint="eastAsia"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9406620">
            <w:pPr>
              <w:pStyle w:val="23"/>
              <w:adjustRightInd w:val="0"/>
              <w:snapToGrid w:val="0"/>
              <w:spacing w:line="360" w:lineRule="auto"/>
              <w:jc w:val="center"/>
              <w:rPr>
                <w:rFonts w:hint="eastAsia"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669AC4B2">
            <w:pPr>
              <w:pStyle w:val="23"/>
              <w:adjustRightInd w:val="0"/>
              <w:snapToGrid w:val="0"/>
              <w:spacing w:line="360" w:lineRule="auto"/>
              <w:jc w:val="center"/>
              <w:rPr>
                <w:rFonts w:hint="eastAsia" w:hAnsi="宋体"/>
                <w:color w:val="auto"/>
                <w:spacing w:val="20"/>
                <w:sz w:val="24"/>
                <w:highlight w:val="none"/>
              </w:rPr>
            </w:pPr>
          </w:p>
        </w:tc>
      </w:tr>
      <w:tr w14:paraId="3C97FB7B">
        <w:tblPrEx>
          <w:tblCellMar>
            <w:top w:w="0" w:type="dxa"/>
            <w:left w:w="108" w:type="dxa"/>
            <w:bottom w:w="0" w:type="dxa"/>
            <w:right w:w="108" w:type="dxa"/>
          </w:tblCellMar>
        </w:tblPrEx>
        <w:trPr>
          <w:trHeight w:val="227" w:hRule="atLeast"/>
        </w:trPr>
        <w:tc>
          <w:tcPr>
            <w:tcW w:w="1195" w:type="dxa"/>
            <w:vMerge w:val="continue"/>
            <w:tcBorders>
              <w:left w:val="single" w:color="auto" w:sz="4" w:space="0"/>
              <w:right w:val="single" w:color="auto" w:sz="4" w:space="0"/>
            </w:tcBorders>
            <w:vAlign w:val="center"/>
          </w:tcPr>
          <w:p w14:paraId="67D67328">
            <w:pPr>
              <w:widowControl/>
              <w:ind w:firstLine="442"/>
              <w:jc w:val="center"/>
              <w:rPr>
                <w:rFonts w:hint="eastAsia" w:ascii="宋体" w:hAnsi="宋体" w:cs="楷体_GB2312"/>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90CC390">
            <w:pPr>
              <w:jc w:val="center"/>
              <w:rPr>
                <w:rFonts w:hint="eastAsia" w:ascii="宋体" w:hAnsi="宋体"/>
                <w:color w:val="auto"/>
                <w:sz w:val="24"/>
                <w:highlight w:val="none"/>
              </w:rPr>
            </w:pPr>
            <w:r>
              <w:rPr>
                <w:rFonts w:hint="eastAsia" w:hAnsi="宋体"/>
                <w:color w:val="auto"/>
                <w:sz w:val="24"/>
                <w:highlight w:val="none"/>
              </w:rPr>
              <w:t>……</w:t>
            </w:r>
          </w:p>
        </w:tc>
        <w:tc>
          <w:tcPr>
            <w:tcW w:w="2001" w:type="dxa"/>
            <w:tcBorders>
              <w:top w:val="single" w:color="auto" w:sz="4" w:space="0"/>
              <w:left w:val="single" w:color="auto" w:sz="4" w:space="0"/>
              <w:bottom w:val="single" w:color="auto" w:sz="4" w:space="0"/>
              <w:right w:val="single" w:color="auto" w:sz="4" w:space="0"/>
            </w:tcBorders>
          </w:tcPr>
          <w:p w14:paraId="69B732B8">
            <w:pPr>
              <w:pStyle w:val="23"/>
              <w:adjustRightInd w:val="0"/>
              <w:snapToGrid w:val="0"/>
              <w:spacing w:line="360" w:lineRule="auto"/>
              <w:jc w:val="center"/>
              <w:rPr>
                <w:rFonts w:hint="eastAsia"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34219AA8">
            <w:pPr>
              <w:pStyle w:val="23"/>
              <w:adjustRightInd w:val="0"/>
              <w:snapToGrid w:val="0"/>
              <w:spacing w:line="360" w:lineRule="auto"/>
              <w:jc w:val="center"/>
              <w:rPr>
                <w:rFonts w:hint="eastAsia"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836E265">
            <w:pPr>
              <w:pStyle w:val="23"/>
              <w:adjustRightInd w:val="0"/>
              <w:snapToGrid w:val="0"/>
              <w:spacing w:line="360" w:lineRule="auto"/>
              <w:jc w:val="center"/>
              <w:rPr>
                <w:rFonts w:hint="eastAsia" w:hAnsi="宋体"/>
                <w:color w:val="auto"/>
                <w:spacing w:val="20"/>
                <w:sz w:val="24"/>
                <w:highlight w:val="none"/>
              </w:rPr>
            </w:pPr>
          </w:p>
        </w:tc>
      </w:tr>
      <w:tr w14:paraId="2D60C3C5">
        <w:tblPrEx>
          <w:tblCellMar>
            <w:top w:w="0" w:type="dxa"/>
            <w:left w:w="108" w:type="dxa"/>
            <w:bottom w:w="0" w:type="dxa"/>
            <w:right w:w="108" w:type="dxa"/>
          </w:tblCellMar>
        </w:tblPrEx>
        <w:trPr>
          <w:trHeight w:val="90" w:hRule="atLeast"/>
        </w:trPr>
        <w:tc>
          <w:tcPr>
            <w:tcW w:w="1195" w:type="dxa"/>
            <w:vMerge w:val="continue"/>
            <w:tcBorders>
              <w:left w:val="single" w:color="auto" w:sz="4" w:space="0"/>
              <w:right w:val="single" w:color="auto" w:sz="4" w:space="0"/>
            </w:tcBorders>
            <w:vAlign w:val="center"/>
          </w:tcPr>
          <w:p w14:paraId="2D977FC4">
            <w:pPr>
              <w:widowControl/>
              <w:ind w:firstLine="442"/>
              <w:jc w:val="center"/>
              <w:rPr>
                <w:rFonts w:hint="eastAsia" w:ascii="宋体" w:hAnsi="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80D5321">
            <w:pPr>
              <w:ind w:firstLine="482"/>
              <w:jc w:val="center"/>
              <w:rPr>
                <w:rFonts w:hint="eastAsia" w:ascii="宋体" w:hAnsi="宋体"/>
                <w:color w:val="auto"/>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223AD30F">
            <w:pPr>
              <w:pStyle w:val="23"/>
              <w:adjustRightInd w:val="0"/>
              <w:snapToGrid w:val="0"/>
              <w:spacing w:line="360" w:lineRule="auto"/>
              <w:jc w:val="center"/>
              <w:rPr>
                <w:rFonts w:hint="eastAsia"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45BFB786">
            <w:pPr>
              <w:pStyle w:val="23"/>
              <w:adjustRightInd w:val="0"/>
              <w:snapToGrid w:val="0"/>
              <w:spacing w:line="360" w:lineRule="auto"/>
              <w:jc w:val="center"/>
              <w:rPr>
                <w:rFonts w:hint="eastAsia"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66F057AF">
            <w:pPr>
              <w:pStyle w:val="23"/>
              <w:adjustRightInd w:val="0"/>
              <w:snapToGrid w:val="0"/>
              <w:spacing w:line="360" w:lineRule="auto"/>
              <w:jc w:val="center"/>
              <w:rPr>
                <w:rFonts w:hint="eastAsia" w:hAnsi="宋体"/>
                <w:color w:val="auto"/>
                <w:spacing w:val="20"/>
                <w:sz w:val="24"/>
                <w:highlight w:val="none"/>
              </w:rPr>
            </w:pPr>
          </w:p>
        </w:tc>
      </w:tr>
      <w:tr w14:paraId="49BEBD06">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74432552">
            <w:pPr>
              <w:widowControl/>
              <w:ind w:firstLine="442"/>
              <w:jc w:val="center"/>
              <w:rPr>
                <w:rFonts w:hint="eastAsia" w:ascii="宋体" w:hAnsi="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4EFBA2F0">
            <w:pPr>
              <w:ind w:firstLine="482"/>
              <w:jc w:val="center"/>
              <w:rPr>
                <w:rFonts w:hint="eastAsia" w:ascii="宋体" w:hAnsi="宋体"/>
                <w:color w:val="auto"/>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26A6BD9C">
            <w:pPr>
              <w:pStyle w:val="23"/>
              <w:adjustRightInd w:val="0"/>
              <w:snapToGrid w:val="0"/>
              <w:spacing w:line="360" w:lineRule="auto"/>
              <w:jc w:val="center"/>
              <w:rPr>
                <w:rFonts w:hint="eastAsia"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5C4DD24">
            <w:pPr>
              <w:pStyle w:val="23"/>
              <w:adjustRightInd w:val="0"/>
              <w:snapToGrid w:val="0"/>
              <w:spacing w:line="360" w:lineRule="auto"/>
              <w:jc w:val="center"/>
              <w:rPr>
                <w:rFonts w:hint="eastAsia"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4C649541">
            <w:pPr>
              <w:pStyle w:val="23"/>
              <w:adjustRightInd w:val="0"/>
              <w:snapToGrid w:val="0"/>
              <w:spacing w:line="360" w:lineRule="auto"/>
              <w:jc w:val="center"/>
              <w:rPr>
                <w:rFonts w:hint="eastAsia" w:hAnsi="宋体"/>
                <w:color w:val="auto"/>
                <w:spacing w:val="20"/>
                <w:sz w:val="24"/>
                <w:highlight w:val="none"/>
              </w:rPr>
            </w:pPr>
          </w:p>
        </w:tc>
      </w:tr>
      <w:tr w14:paraId="6D8714FE">
        <w:tblPrEx>
          <w:tblCellMar>
            <w:top w:w="0" w:type="dxa"/>
            <w:left w:w="108" w:type="dxa"/>
            <w:bottom w:w="0" w:type="dxa"/>
            <w:right w:w="108" w:type="dxa"/>
          </w:tblCellMar>
        </w:tblPrEx>
        <w:trPr>
          <w:trHeight w:val="237" w:hRule="atLeast"/>
        </w:trPr>
        <w:tc>
          <w:tcPr>
            <w:tcW w:w="1195" w:type="dxa"/>
            <w:vMerge w:val="continue"/>
            <w:tcBorders>
              <w:left w:val="single" w:color="auto" w:sz="4" w:space="0"/>
              <w:bottom w:val="single" w:color="auto" w:sz="4" w:space="0"/>
              <w:right w:val="single" w:color="auto" w:sz="4" w:space="0"/>
            </w:tcBorders>
            <w:vAlign w:val="center"/>
          </w:tcPr>
          <w:p w14:paraId="356663ED">
            <w:pPr>
              <w:widowControl/>
              <w:ind w:firstLine="442"/>
              <w:jc w:val="center"/>
              <w:rPr>
                <w:rFonts w:hint="eastAsia" w:ascii="宋体" w:hAnsi="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34143F49">
            <w:pPr>
              <w:jc w:val="center"/>
              <w:rPr>
                <w:rFonts w:hint="eastAsia" w:hAnsi="宋体"/>
                <w:color w:val="auto"/>
                <w:spacing w:val="20"/>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07CC923D">
            <w:pPr>
              <w:pStyle w:val="23"/>
              <w:adjustRightInd w:val="0"/>
              <w:snapToGrid w:val="0"/>
              <w:spacing w:line="360" w:lineRule="auto"/>
              <w:jc w:val="center"/>
              <w:rPr>
                <w:rFonts w:hint="eastAsia"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4E12E2E9">
            <w:pPr>
              <w:pStyle w:val="23"/>
              <w:adjustRightInd w:val="0"/>
              <w:snapToGrid w:val="0"/>
              <w:spacing w:line="360" w:lineRule="auto"/>
              <w:jc w:val="center"/>
              <w:rPr>
                <w:rFonts w:hint="eastAsia"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4597D9B0">
            <w:pPr>
              <w:pStyle w:val="23"/>
              <w:adjustRightInd w:val="0"/>
              <w:snapToGrid w:val="0"/>
              <w:spacing w:line="360" w:lineRule="auto"/>
              <w:jc w:val="center"/>
              <w:rPr>
                <w:rFonts w:hint="eastAsia" w:hAnsi="宋体"/>
                <w:color w:val="auto"/>
                <w:spacing w:val="20"/>
                <w:sz w:val="24"/>
                <w:highlight w:val="none"/>
              </w:rPr>
            </w:pPr>
          </w:p>
        </w:tc>
      </w:tr>
    </w:tbl>
    <w:p w14:paraId="723D4F3A">
      <w:pPr>
        <w:pStyle w:val="58"/>
        <w:tabs>
          <w:tab w:val="left" w:pos="360"/>
        </w:tabs>
        <w:spacing w:line="360" w:lineRule="auto"/>
        <w:ind w:right="84" w:rightChars="40" w:firstLine="422" w:firstLineChars="200"/>
        <w:rPr>
          <w:rFonts w:ascii="宋体"/>
          <w:color w:val="auto"/>
          <w:szCs w:val="21"/>
          <w:highlight w:val="none"/>
        </w:rPr>
      </w:pPr>
      <w:r>
        <w:rPr>
          <w:rFonts w:hint="eastAsia" w:ascii="宋体"/>
          <w:b/>
          <w:color w:val="auto"/>
          <w:szCs w:val="21"/>
          <w:highlight w:val="none"/>
        </w:rPr>
        <w:t>要求：</w:t>
      </w:r>
      <w:r>
        <w:rPr>
          <w:rFonts w:hint="eastAsia" w:ascii="宋体"/>
          <w:color w:val="auto"/>
          <w:szCs w:val="21"/>
          <w:highlight w:val="none"/>
        </w:rPr>
        <w:t>1. 本表参照本招标文件第四章“公开招标需求”填制，投标人应根据招标需求</w:t>
      </w:r>
      <w:r>
        <w:rPr>
          <w:rFonts w:ascii="宋体"/>
          <w:color w:val="auto"/>
          <w:szCs w:val="21"/>
          <w:highlight w:val="none"/>
        </w:rPr>
        <w:t>的</w:t>
      </w:r>
      <w:r>
        <w:rPr>
          <w:rFonts w:hint="eastAsia" w:ascii="宋体"/>
          <w:color w:val="auto"/>
          <w:szCs w:val="21"/>
          <w:highlight w:val="none"/>
        </w:rPr>
        <w:t>服务指标，对照招标文件要求在“偏离情况”栏注明“正偏离”、“负偏离”或“无偏离”。</w:t>
      </w:r>
    </w:p>
    <w:p w14:paraId="3515671F">
      <w:pPr>
        <w:pStyle w:val="58"/>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2.</w:t>
      </w:r>
      <w:r>
        <w:rPr>
          <w:rFonts w:hint="eastAsia"/>
          <w:color w:val="auto"/>
          <w:highlight w:val="none"/>
        </w:rPr>
        <w:t xml:space="preserve"> </w:t>
      </w:r>
      <w:r>
        <w:rPr>
          <w:rFonts w:hint="eastAsia" w:ascii="宋体"/>
          <w:color w:val="auto"/>
          <w:szCs w:val="21"/>
          <w:highlight w:val="none"/>
        </w:rPr>
        <w:t>如未提供或未填写均视为完全相应采购需求内容。</w:t>
      </w:r>
    </w:p>
    <w:p w14:paraId="1121DE44">
      <w:pPr>
        <w:pStyle w:val="58"/>
        <w:tabs>
          <w:tab w:val="left" w:pos="360"/>
        </w:tabs>
        <w:spacing w:line="360" w:lineRule="auto"/>
        <w:ind w:right="84" w:rightChars="40"/>
        <w:rPr>
          <w:rFonts w:hint="eastAsia" w:ascii="宋体" w:hAnsi="宋体"/>
          <w:color w:val="auto"/>
          <w:sz w:val="24"/>
          <w:highlight w:val="none"/>
        </w:rPr>
      </w:pPr>
    </w:p>
    <w:p w14:paraId="5B588D8D">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投标人名称（公章）：</w:t>
      </w:r>
    </w:p>
    <w:p w14:paraId="6F3B3290">
      <w:pPr>
        <w:spacing w:line="360" w:lineRule="auto"/>
        <w:ind w:left="420" w:firstLine="482"/>
        <w:rPr>
          <w:rFonts w:hint="eastAsia" w:ascii="宋体" w:hAnsi="宋体"/>
          <w:color w:val="auto"/>
          <w:sz w:val="24"/>
          <w:highlight w:val="none"/>
        </w:rPr>
      </w:pPr>
    </w:p>
    <w:p w14:paraId="4D0F9E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投标人代表签字或盖章：</w:t>
      </w:r>
    </w:p>
    <w:p w14:paraId="6B2FF7C5">
      <w:pPr>
        <w:spacing w:line="360" w:lineRule="auto"/>
        <w:ind w:firstLine="482"/>
        <w:rPr>
          <w:rFonts w:hint="eastAsia" w:ascii="宋体" w:hAnsi="宋体"/>
          <w:color w:val="auto"/>
          <w:sz w:val="24"/>
          <w:highlight w:val="none"/>
        </w:rPr>
      </w:pPr>
    </w:p>
    <w:p w14:paraId="2A413B9A">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职        务：</w:t>
      </w:r>
    </w:p>
    <w:p w14:paraId="23984050">
      <w:pPr>
        <w:spacing w:line="360" w:lineRule="auto"/>
        <w:ind w:firstLine="482"/>
        <w:rPr>
          <w:rFonts w:hint="eastAsia" w:ascii="宋体" w:hAnsi="宋体"/>
          <w:color w:val="auto"/>
          <w:sz w:val="24"/>
          <w:highlight w:val="none"/>
        </w:rPr>
      </w:pPr>
    </w:p>
    <w:p w14:paraId="22E80DD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日        期：</w:t>
      </w:r>
    </w:p>
    <w:p w14:paraId="72202FC2">
      <w:pPr>
        <w:pStyle w:val="59"/>
        <w:spacing w:line="360" w:lineRule="auto"/>
        <w:jc w:val="left"/>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108067A">
      <w:pPr>
        <w:pStyle w:val="59"/>
        <w:spacing w:line="360" w:lineRule="auto"/>
        <w:ind w:firstLine="562" w:firstLineChars="200"/>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7BED3D93">
      <w:pPr>
        <w:pStyle w:val="60"/>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证书一览表</w:t>
      </w:r>
    </w:p>
    <w:p w14:paraId="576026A3">
      <w:pPr>
        <w:pStyle w:val="60"/>
        <w:spacing w:line="360" w:lineRule="auto"/>
        <w:jc w:val="center"/>
        <w:rPr>
          <w:rFonts w:hint="eastAsia" w:ascii="宋体" w:hAnsi="宋体" w:cs="Arial"/>
          <w:color w:val="auto"/>
          <w:sz w:val="28"/>
          <w:szCs w:val="28"/>
          <w:highlight w:val="none"/>
        </w:rPr>
      </w:pPr>
    </w:p>
    <w:tbl>
      <w:tblPr>
        <w:tblStyle w:val="3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99894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1EB72D55">
            <w:pPr>
              <w:pStyle w:val="60"/>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14:paraId="7452E1DA">
            <w:pPr>
              <w:pStyle w:val="60"/>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14:paraId="2AAF6F71">
            <w:pPr>
              <w:pStyle w:val="60"/>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14:paraId="275316A6">
            <w:pPr>
              <w:pStyle w:val="60"/>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证书有效期</w:t>
            </w:r>
          </w:p>
        </w:tc>
      </w:tr>
      <w:tr w14:paraId="0F6176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2D87D28B">
            <w:pPr>
              <w:pStyle w:val="60"/>
              <w:spacing w:line="360" w:lineRule="auto"/>
              <w:jc w:val="center"/>
              <w:rPr>
                <w:rFonts w:hint="eastAsia" w:ascii="宋体" w:hAnsi="宋体" w:cs="Arial"/>
                <w:color w:val="auto"/>
                <w:szCs w:val="21"/>
                <w:highlight w:val="none"/>
              </w:rPr>
            </w:pPr>
          </w:p>
        </w:tc>
        <w:tc>
          <w:tcPr>
            <w:tcW w:w="2258" w:type="dxa"/>
            <w:tcBorders>
              <w:top w:val="single" w:color="auto" w:sz="4" w:space="0"/>
            </w:tcBorders>
          </w:tcPr>
          <w:p w14:paraId="4EA4F8DC">
            <w:pPr>
              <w:pStyle w:val="60"/>
              <w:spacing w:line="360" w:lineRule="auto"/>
              <w:jc w:val="center"/>
              <w:rPr>
                <w:rFonts w:hint="eastAsia" w:ascii="宋体" w:hAnsi="宋体" w:cs="Arial"/>
                <w:color w:val="auto"/>
                <w:szCs w:val="21"/>
                <w:highlight w:val="none"/>
              </w:rPr>
            </w:pPr>
          </w:p>
        </w:tc>
        <w:tc>
          <w:tcPr>
            <w:tcW w:w="2260" w:type="dxa"/>
            <w:tcBorders>
              <w:top w:val="single" w:color="auto" w:sz="4" w:space="0"/>
            </w:tcBorders>
          </w:tcPr>
          <w:p w14:paraId="29EBEC03">
            <w:pPr>
              <w:pStyle w:val="60"/>
              <w:spacing w:line="360" w:lineRule="auto"/>
              <w:jc w:val="center"/>
              <w:rPr>
                <w:rFonts w:hint="eastAsia" w:ascii="宋体" w:hAnsi="宋体" w:cs="Arial"/>
                <w:color w:val="auto"/>
                <w:szCs w:val="21"/>
                <w:highlight w:val="none"/>
              </w:rPr>
            </w:pPr>
          </w:p>
        </w:tc>
        <w:tc>
          <w:tcPr>
            <w:tcW w:w="2047" w:type="dxa"/>
            <w:tcBorders>
              <w:top w:val="single" w:color="auto" w:sz="4" w:space="0"/>
              <w:right w:val="single" w:color="auto" w:sz="4" w:space="0"/>
            </w:tcBorders>
          </w:tcPr>
          <w:p w14:paraId="5AC9EBA1">
            <w:pPr>
              <w:pStyle w:val="60"/>
              <w:spacing w:line="360" w:lineRule="auto"/>
              <w:jc w:val="center"/>
              <w:rPr>
                <w:rFonts w:hint="eastAsia" w:ascii="宋体" w:hAnsi="宋体" w:cs="Arial"/>
                <w:color w:val="auto"/>
                <w:szCs w:val="21"/>
                <w:highlight w:val="none"/>
              </w:rPr>
            </w:pPr>
          </w:p>
        </w:tc>
      </w:tr>
      <w:tr w14:paraId="7FC3CB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9138A7E">
            <w:pPr>
              <w:pStyle w:val="60"/>
              <w:spacing w:line="360" w:lineRule="auto"/>
              <w:jc w:val="center"/>
              <w:rPr>
                <w:rFonts w:hint="eastAsia" w:ascii="宋体" w:hAnsi="宋体" w:cs="Arial"/>
                <w:color w:val="auto"/>
                <w:szCs w:val="21"/>
                <w:highlight w:val="none"/>
              </w:rPr>
            </w:pPr>
          </w:p>
        </w:tc>
        <w:tc>
          <w:tcPr>
            <w:tcW w:w="2258" w:type="dxa"/>
          </w:tcPr>
          <w:p w14:paraId="6DB4D8F7">
            <w:pPr>
              <w:pStyle w:val="60"/>
              <w:spacing w:line="360" w:lineRule="auto"/>
              <w:jc w:val="center"/>
              <w:rPr>
                <w:rFonts w:hint="eastAsia" w:ascii="宋体" w:hAnsi="宋体" w:cs="Arial"/>
                <w:color w:val="auto"/>
                <w:szCs w:val="21"/>
                <w:highlight w:val="none"/>
              </w:rPr>
            </w:pPr>
          </w:p>
        </w:tc>
        <w:tc>
          <w:tcPr>
            <w:tcW w:w="2260" w:type="dxa"/>
          </w:tcPr>
          <w:p w14:paraId="4DF469BA">
            <w:pPr>
              <w:pStyle w:val="60"/>
              <w:spacing w:line="360" w:lineRule="auto"/>
              <w:jc w:val="center"/>
              <w:rPr>
                <w:rFonts w:hint="eastAsia" w:ascii="宋体" w:hAnsi="宋体" w:cs="Arial"/>
                <w:color w:val="auto"/>
                <w:szCs w:val="21"/>
                <w:highlight w:val="none"/>
              </w:rPr>
            </w:pPr>
          </w:p>
        </w:tc>
        <w:tc>
          <w:tcPr>
            <w:tcW w:w="2047" w:type="dxa"/>
            <w:tcBorders>
              <w:right w:val="single" w:color="auto" w:sz="4" w:space="0"/>
            </w:tcBorders>
          </w:tcPr>
          <w:p w14:paraId="3488D0EC">
            <w:pPr>
              <w:pStyle w:val="60"/>
              <w:spacing w:line="360" w:lineRule="auto"/>
              <w:jc w:val="center"/>
              <w:rPr>
                <w:rFonts w:hint="eastAsia" w:ascii="宋体" w:hAnsi="宋体" w:cs="Arial"/>
                <w:color w:val="auto"/>
                <w:szCs w:val="21"/>
                <w:highlight w:val="none"/>
              </w:rPr>
            </w:pPr>
          </w:p>
        </w:tc>
      </w:tr>
      <w:tr w14:paraId="332844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5533E00">
            <w:pPr>
              <w:pStyle w:val="60"/>
              <w:spacing w:line="360" w:lineRule="auto"/>
              <w:jc w:val="center"/>
              <w:rPr>
                <w:rFonts w:hint="eastAsia" w:ascii="宋体" w:hAnsi="宋体" w:cs="Arial"/>
                <w:color w:val="auto"/>
                <w:szCs w:val="21"/>
                <w:highlight w:val="none"/>
              </w:rPr>
            </w:pPr>
          </w:p>
        </w:tc>
        <w:tc>
          <w:tcPr>
            <w:tcW w:w="2258" w:type="dxa"/>
          </w:tcPr>
          <w:p w14:paraId="357E373B">
            <w:pPr>
              <w:pStyle w:val="60"/>
              <w:spacing w:line="360" w:lineRule="auto"/>
              <w:jc w:val="center"/>
              <w:rPr>
                <w:rFonts w:hint="eastAsia" w:ascii="宋体" w:hAnsi="宋体" w:cs="Arial"/>
                <w:color w:val="auto"/>
                <w:szCs w:val="21"/>
                <w:highlight w:val="none"/>
              </w:rPr>
            </w:pPr>
          </w:p>
        </w:tc>
        <w:tc>
          <w:tcPr>
            <w:tcW w:w="2260" w:type="dxa"/>
          </w:tcPr>
          <w:p w14:paraId="461992DF">
            <w:pPr>
              <w:pStyle w:val="60"/>
              <w:spacing w:line="360" w:lineRule="auto"/>
              <w:jc w:val="center"/>
              <w:rPr>
                <w:rFonts w:hint="eastAsia" w:ascii="宋体" w:hAnsi="宋体" w:cs="Arial"/>
                <w:color w:val="auto"/>
                <w:szCs w:val="21"/>
                <w:highlight w:val="none"/>
              </w:rPr>
            </w:pPr>
          </w:p>
        </w:tc>
        <w:tc>
          <w:tcPr>
            <w:tcW w:w="2047" w:type="dxa"/>
            <w:tcBorders>
              <w:right w:val="single" w:color="auto" w:sz="4" w:space="0"/>
            </w:tcBorders>
          </w:tcPr>
          <w:p w14:paraId="5E2456F1">
            <w:pPr>
              <w:pStyle w:val="60"/>
              <w:spacing w:line="360" w:lineRule="auto"/>
              <w:jc w:val="center"/>
              <w:rPr>
                <w:rFonts w:hint="eastAsia" w:ascii="宋体" w:hAnsi="宋体" w:cs="Arial"/>
                <w:color w:val="auto"/>
                <w:szCs w:val="21"/>
                <w:highlight w:val="none"/>
              </w:rPr>
            </w:pPr>
          </w:p>
        </w:tc>
      </w:tr>
      <w:tr w14:paraId="7972E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AE8143B">
            <w:pPr>
              <w:pStyle w:val="60"/>
              <w:spacing w:line="360" w:lineRule="auto"/>
              <w:jc w:val="center"/>
              <w:rPr>
                <w:rFonts w:hint="eastAsia" w:ascii="宋体" w:hAnsi="宋体" w:cs="Arial"/>
                <w:color w:val="auto"/>
                <w:szCs w:val="21"/>
                <w:highlight w:val="none"/>
              </w:rPr>
            </w:pPr>
          </w:p>
        </w:tc>
        <w:tc>
          <w:tcPr>
            <w:tcW w:w="2258" w:type="dxa"/>
          </w:tcPr>
          <w:p w14:paraId="245CEBC2">
            <w:pPr>
              <w:pStyle w:val="60"/>
              <w:spacing w:line="360" w:lineRule="auto"/>
              <w:jc w:val="center"/>
              <w:rPr>
                <w:rFonts w:hint="eastAsia" w:ascii="宋体" w:hAnsi="宋体" w:cs="Arial"/>
                <w:color w:val="auto"/>
                <w:szCs w:val="21"/>
                <w:highlight w:val="none"/>
              </w:rPr>
            </w:pPr>
          </w:p>
        </w:tc>
        <w:tc>
          <w:tcPr>
            <w:tcW w:w="2260" w:type="dxa"/>
          </w:tcPr>
          <w:p w14:paraId="1BCD4087">
            <w:pPr>
              <w:pStyle w:val="60"/>
              <w:spacing w:line="360" w:lineRule="auto"/>
              <w:jc w:val="center"/>
              <w:rPr>
                <w:rFonts w:hint="eastAsia" w:ascii="宋体" w:hAnsi="宋体" w:cs="Arial"/>
                <w:color w:val="auto"/>
                <w:szCs w:val="21"/>
                <w:highlight w:val="none"/>
              </w:rPr>
            </w:pPr>
          </w:p>
        </w:tc>
        <w:tc>
          <w:tcPr>
            <w:tcW w:w="2047" w:type="dxa"/>
            <w:tcBorders>
              <w:right w:val="single" w:color="auto" w:sz="4" w:space="0"/>
            </w:tcBorders>
          </w:tcPr>
          <w:p w14:paraId="2C3146B9">
            <w:pPr>
              <w:pStyle w:val="60"/>
              <w:spacing w:line="360" w:lineRule="auto"/>
              <w:jc w:val="center"/>
              <w:rPr>
                <w:rFonts w:hint="eastAsia" w:ascii="宋体" w:hAnsi="宋体" w:cs="Arial"/>
                <w:color w:val="auto"/>
                <w:szCs w:val="21"/>
                <w:highlight w:val="none"/>
              </w:rPr>
            </w:pPr>
          </w:p>
        </w:tc>
      </w:tr>
      <w:tr w14:paraId="64B41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8DCDEFC">
            <w:pPr>
              <w:pStyle w:val="60"/>
              <w:spacing w:line="360" w:lineRule="auto"/>
              <w:jc w:val="center"/>
              <w:rPr>
                <w:rFonts w:hint="eastAsia" w:ascii="宋体" w:hAnsi="宋体" w:cs="Arial"/>
                <w:color w:val="auto"/>
                <w:szCs w:val="21"/>
                <w:highlight w:val="none"/>
              </w:rPr>
            </w:pPr>
          </w:p>
        </w:tc>
        <w:tc>
          <w:tcPr>
            <w:tcW w:w="2258" w:type="dxa"/>
          </w:tcPr>
          <w:p w14:paraId="5C633DB1">
            <w:pPr>
              <w:pStyle w:val="60"/>
              <w:spacing w:line="360" w:lineRule="auto"/>
              <w:jc w:val="center"/>
              <w:rPr>
                <w:rFonts w:hint="eastAsia" w:ascii="宋体" w:hAnsi="宋体" w:cs="Arial"/>
                <w:color w:val="auto"/>
                <w:szCs w:val="21"/>
                <w:highlight w:val="none"/>
              </w:rPr>
            </w:pPr>
          </w:p>
        </w:tc>
        <w:tc>
          <w:tcPr>
            <w:tcW w:w="2260" w:type="dxa"/>
          </w:tcPr>
          <w:p w14:paraId="66428877">
            <w:pPr>
              <w:pStyle w:val="60"/>
              <w:spacing w:line="360" w:lineRule="auto"/>
              <w:jc w:val="center"/>
              <w:rPr>
                <w:rFonts w:hint="eastAsia" w:ascii="宋体" w:hAnsi="宋体" w:cs="Arial"/>
                <w:color w:val="auto"/>
                <w:szCs w:val="21"/>
                <w:highlight w:val="none"/>
              </w:rPr>
            </w:pPr>
          </w:p>
        </w:tc>
        <w:tc>
          <w:tcPr>
            <w:tcW w:w="2047" w:type="dxa"/>
            <w:tcBorders>
              <w:right w:val="single" w:color="auto" w:sz="4" w:space="0"/>
            </w:tcBorders>
          </w:tcPr>
          <w:p w14:paraId="217A1CEB">
            <w:pPr>
              <w:pStyle w:val="60"/>
              <w:spacing w:line="360" w:lineRule="auto"/>
              <w:jc w:val="center"/>
              <w:rPr>
                <w:rFonts w:hint="eastAsia" w:ascii="宋体" w:hAnsi="宋体" w:cs="Arial"/>
                <w:color w:val="auto"/>
                <w:szCs w:val="21"/>
                <w:highlight w:val="none"/>
              </w:rPr>
            </w:pPr>
          </w:p>
        </w:tc>
      </w:tr>
      <w:tr w14:paraId="54B748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B9B377A">
            <w:pPr>
              <w:pStyle w:val="60"/>
              <w:spacing w:line="360" w:lineRule="auto"/>
              <w:jc w:val="center"/>
              <w:rPr>
                <w:rFonts w:hint="eastAsia" w:ascii="宋体" w:hAnsi="宋体" w:cs="Arial"/>
                <w:color w:val="auto"/>
                <w:szCs w:val="21"/>
                <w:highlight w:val="none"/>
              </w:rPr>
            </w:pPr>
          </w:p>
        </w:tc>
        <w:tc>
          <w:tcPr>
            <w:tcW w:w="2258" w:type="dxa"/>
          </w:tcPr>
          <w:p w14:paraId="3CAC2EC5">
            <w:pPr>
              <w:pStyle w:val="60"/>
              <w:spacing w:line="360" w:lineRule="auto"/>
              <w:jc w:val="center"/>
              <w:rPr>
                <w:rFonts w:hint="eastAsia" w:ascii="宋体" w:hAnsi="宋体" w:cs="Arial"/>
                <w:color w:val="auto"/>
                <w:szCs w:val="21"/>
                <w:highlight w:val="none"/>
              </w:rPr>
            </w:pPr>
          </w:p>
        </w:tc>
        <w:tc>
          <w:tcPr>
            <w:tcW w:w="2260" w:type="dxa"/>
          </w:tcPr>
          <w:p w14:paraId="348B0153">
            <w:pPr>
              <w:pStyle w:val="60"/>
              <w:spacing w:line="360" w:lineRule="auto"/>
              <w:jc w:val="center"/>
              <w:rPr>
                <w:rFonts w:hint="eastAsia" w:ascii="宋体" w:hAnsi="宋体" w:cs="Arial"/>
                <w:color w:val="auto"/>
                <w:szCs w:val="21"/>
                <w:highlight w:val="none"/>
              </w:rPr>
            </w:pPr>
          </w:p>
        </w:tc>
        <w:tc>
          <w:tcPr>
            <w:tcW w:w="2047" w:type="dxa"/>
            <w:tcBorders>
              <w:right w:val="single" w:color="auto" w:sz="4" w:space="0"/>
            </w:tcBorders>
          </w:tcPr>
          <w:p w14:paraId="53BEAB1D">
            <w:pPr>
              <w:pStyle w:val="60"/>
              <w:spacing w:line="360" w:lineRule="auto"/>
              <w:jc w:val="center"/>
              <w:rPr>
                <w:rFonts w:hint="eastAsia" w:ascii="宋体" w:hAnsi="宋体" w:cs="Arial"/>
                <w:color w:val="auto"/>
                <w:szCs w:val="21"/>
                <w:highlight w:val="none"/>
              </w:rPr>
            </w:pPr>
          </w:p>
        </w:tc>
      </w:tr>
      <w:tr w14:paraId="5C8AF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1671F04B">
            <w:pPr>
              <w:pStyle w:val="60"/>
              <w:spacing w:line="360" w:lineRule="auto"/>
              <w:jc w:val="center"/>
              <w:rPr>
                <w:rFonts w:hint="eastAsia" w:ascii="宋体" w:hAnsi="宋体" w:cs="Arial"/>
                <w:color w:val="auto"/>
                <w:szCs w:val="21"/>
                <w:highlight w:val="none"/>
              </w:rPr>
            </w:pPr>
          </w:p>
        </w:tc>
        <w:tc>
          <w:tcPr>
            <w:tcW w:w="2258" w:type="dxa"/>
            <w:tcBorders>
              <w:bottom w:val="single" w:color="auto" w:sz="4" w:space="0"/>
            </w:tcBorders>
          </w:tcPr>
          <w:p w14:paraId="2C1C29B7">
            <w:pPr>
              <w:pStyle w:val="60"/>
              <w:spacing w:line="360" w:lineRule="auto"/>
              <w:jc w:val="center"/>
              <w:rPr>
                <w:rFonts w:hint="eastAsia" w:ascii="宋体" w:hAnsi="宋体" w:cs="Arial"/>
                <w:color w:val="auto"/>
                <w:szCs w:val="21"/>
                <w:highlight w:val="none"/>
              </w:rPr>
            </w:pPr>
          </w:p>
        </w:tc>
        <w:tc>
          <w:tcPr>
            <w:tcW w:w="2260" w:type="dxa"/>
            <w:tcBorders>
              <w:bottom w:val="single" w:color="auto" w:sz="4" w:space="0"/>
            </w:tcBorders>
          </w:tcPr>
          <w:p w14:paraId="4F791B5C">
            <w:pPr>
              <w:pStyle w:val="60"/>
              <w:spacing w:line="360" w:lineRule="auto"/>
              <w:jc w:val="center"/>
              <w:rPr>
                <w:rFonts w:hint="eastAsia" w:ascii="宋体" w:hAnsi="宋体" w:cs="Arial"/>
                <w:color w:val="auto"/>
                <w:szCs w:val="21"/>
                <w:highlight w:val="none"/>
              </w:rPr>
            </w:pPr>
          </w:p>
        </w:tc>
        <w:tc>
          <w:tcPr>
            <w:tcW w:w="2047" w:type="dxa"/>
            <w:tcBorders>
              <w:bottom w:val="single" w:color="auto" w:sz="4" w:space="0"/>
              <w:right w:val="single" w:color="auto" w:sz="4" w:space="0"/>
            </w:tcBorders>
          </w:tcPr>
          <w:p w14:paraId="741B7601">
            <w:pPr>
              <w:pStyle w:val="60"/>
              <w:spacing w:line="360" w:lineRule="auto"/>
              <w:jc w:val="center"/>
              <w:rPr>
                <w:rFonts w:hint="eastAsia" w:ascii="宋体" w:hAnsi="宋体" w:cs="Arial"/>
                <w:color w:val="auto"/>
                <w:szCs w:val="21"/>
                <w:highlight w:val="none"/>
              </w:rPr>
            </w:pPr>
          </w:p>
        </w:tc>
      </w:tr>
    </w:tbl>
    <w:p w14:paraId="5B7A6903">
      <w:pPr>
        <w:pStyle w:val="60"/>
        <w:tabs>
          <w:tab w:val="left" w:pos="1050"/>
        </w:tabs>
        <w:spacing w:line="360" w:lineRule="auto"/>
        <w:rPr>
          <w:rFonts w:hint="eastAsia" w:ascii="仿宋_GB2312" w:hAnsi="宋体" w:eastAsia="仿宋_GB2312"/>
          <w:color w:val="auto"/>
          <w:sz w:val="24"/>
          <w:highlight w:val="none"/>
        </w:rPr>
      </w:pPr>
    </w:p>
    <w:p w14:paraId="021B790D">
      <w:pPr>
        <w:pStyle w:val="60"/>
        <w:tabs>
          <w:tab w:val="left" w:pos="1050"/>
        </w:tabs>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要求：</w:t>
      </w:r>
    </w:p>
    <w:p w14:paraId="72FF9CD8">
      <w:pPr>
        <w:pStyle w:val="60"/>
        <w:tabs>
          <w:tab w:val="left" w:pos="105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1.填写投标人获得资质、认证或企业信誉证书；</w:t>
      </w:r>
    </w:p>
    <w:p w14:paraId="5331025B">
      <w:pPr>
        <w:pStyle w:val="60"/>
        <w:tabs>
          <w:tab w:val="left" w:pos="105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2.附所列证书扫描件或其他证明材料。</w:t>
      </w:r>
    </w:p>
    <w:p w14:paraId="1A343F98">
      <w:pPr>
        <w:pStyle w:val="60"/>
        <w:tabs>
          <w:tab w:val="left" w:pos="1050"/>
        </w:tabs>
        <w:spacing w:line="360" w:lineRule="auto"/>
        <w:ind w:firstLine="720" w:firstLineChars="300"/>
        <w:rPr>
          <w:rFonts w:hint="eastAsia" w:ascii="仿宋_GB2312" w:hAnsi="宋体" w:eastAsia="仿宋_GB2312"/>
          <w:color w:val="auto"/>
          <w:sz w:val="24"/>
          <w:highlight w:val="none"/>
        </w:rPr>
      </w:pPr>
    </w:p>
    <w:p w14:paraId="61785839">
      <w:pPr>
        <w:pStyle w:val="60"/>
        <w:tabs>
          <w:tab w:val="left" w:pos="1050"/>
        </w:tabs>
        <w:spacing w:line="360" w:lineRule="auto"/>
        <w:ind w:firstLine="720" w:firstLineChars="300"/>
        <w:rPr>
          <w:rFonts w:hint="eastAsia" w:ascii="仿宋_GB2312" w:hAnsi="宋体" w:eastAsia="仿宋_GB2312"/>
          <w:color w:val="auto"/>
          <w:sz w:val="24"/>
          <w:highlight w:val="none"/>
        </w:rPr>
      </w:pPr>
    </w:p>
    <w:p w14:paraId="60DD70C6">
      <w:pPr>
        <w:pStyle w:val="60"/>
        <w:tabs>
          <w:tab w:val="left" w:pos="1050"/>
        </w:tabs>
        <w:spacing w:line="360" w:lineRule="auto"/>
        <w:ind w:firstLine="720" w:firstLineChars="300"/>
        <w:rPr>
          <w:rFonts w:hint="eastAsia" w:ascii="仿宋_GB2312" w:hAnsi="宋体" w:eastAsia="仿宋_GB2312"/>
          <w:color w:val="auto"/>
          <w:sz w:val="24"/>
          <w:highlight w:val="none"/>
        </w:rPr>
      </w:pPr>
    </w:p>
    <w:p w14:paraId="2A3C559D">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投标人名称（公章）：</w:t>
      </w:r>
    </w:p>
    <w:p w14:paraId="67AD4146">
      <w:pPr>
        <w:spacing w:line="360" w:lineRule="auto"/>
        <w:ind w:left="420" w:firstLine="482"/>
        <w:rPr>
          <w:rFonts w:hint="eastAsia" w:ascii="宋体" w:hAnsi="宋体"/>
          <w:color w:val="auto"/>
          <w:sz w:val="24"/>
          <w:highlight w:val="none"/>
        </w:rPr>
      </w:pPr>
    </w:p>
    <w:p w14:paraId="7CAE011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投标人代表签字或盖章：</w:t>
      </w:r>
    </w:p>
    <w:p w14:paraId="3A6C56A0">
      <w:pPr>
        <w:spacing w:line="360" w:lineRule="auto"/>
        <w:ind w:firstLine="482"/>
        <w:rPr>
          <w:rFonts w:hint="eastAsia" w:ascii="宋体" w:hAnsi="宋体"/>
          <w:color w:val="auto"/>
          <w:sz w:val="24"/>
          <w:highlight w:val="none"/>
        </w:rPr>
      </w:pPr>
    </w:p>
    <w:p w14:paraId="6944036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职        务：</w:t>
      </w:r>
    </w:p>
    <w:p w14:paraId="71445B7D">
      <w:pPr>
        <w:spacing w:line="360" w:lineRule="auto"/>
        <w:ind w:firstLine="424" w:firstLineChars="177"/>
        <w:rPr>
          <w:rFonts w:hint="eastAsia" w:ascii="宋体" w:hAnsi="宋体"/>
          <w:color w:val="auto"/>
          <w:sz w:val="24"/>
          <w:highlight w:val="none"/>
        </w:rPr>
      </w:pPr>
    </w:p>
    <w:p w14:paraId="6676C404">
      <w:pPr>
        <w:spacing w:line="360" w:lineRule="auto"/>
        <w:ind w:firstLine="420" w:firstLineChars="200"/>
        <w:rPr>
          <w:b/>
          <w:bCs/>
          <w:color w:val="auto"/>
          <w:spacing w:val="11"/>
          <w:highlight w:val="none"/>
        </w:rPr>
      </w:pPr>
      <w:r>
        <w:rPr>
          <w:rFonts w:hint="eastAsia"/>
          <w:color w:val="auto"/>
          <w:highlight w:val="none"/>
        </w:rPr>
        <w:t>日        期：：</w:t>
      </w:r>
    </w:p>
    <w:p w14:paraId="754AC629">
      <w:pPr>
        <w:spacing w:line="360" w:lineRule="auto"/>
        <w:ind w:firstLine="560"/>
        <w:rPr>
          <w:rFonts w:hint="eastAsia" w:ascii="宋体" w:hAnsi="宋体"/>
          <w:b/>
          <w:color w:val="auto"/>
          <w:sz w:val="28"/>
          <w:highlight w:val="none"/>
        </w:rPr>
      </w:pPr>
    </w:p>
    <w:p w14:paraId="50A104A3">
      <w:pPr>
        <w:spacing w:line="360" w:lineRule="auto"/>
        <w:ind w:firstLine="560"/>
        <w:rPr>
          <w:rFonts w:hint="eastAsia" w:ascii="宋体" w:hAnsi="宋体"/>
          <w:b/>
          <w:color w:val="auto"/>
          <w:sz w:val="28"/>
          <w:highlight w:val="none"/>
        </w:rPr>
      </w:pPr>
    </w:p>
    <w:p w14:paraId="4C3BB0DD">
      <w:pPr>
        <w:spacing w:line="360" w:lineRule="auto"/>
        <w:ind w:firstLine="562" w:firstLineChars="200"/>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0</w:t>
      </w:r>
    </w:p>
    <w:p w14:paraId="28FCEB59">
      <w:pPr>
        <w:pStyle w:val="59"/>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14:paraId="09DD7FBD">
      <w:pPr>
        <w:pStyle w:val="59"/>
        <w:spacing w:line="360" w:lineRule="auto"/>
        <w:jc w:val="center"/>
        <w:rPr>
          <w:rFonts w:ascii="仿宋_GB2312" w:eastAsia="仿宋_GB2312"/>
          <w:b/>
          <w:color w:val="auto"/>
          <w:sz w:val="28"/>
          <w:szCs w:val="28"/>
          <w:highlight w:val="none"/>
        </w:rPr>
      </w:pPr>
    </w:p>
    <w:tbl>
      <w:tblPr>
        <w:tblStyle w:val="3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2BCE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17A374D">
            <w:pPr>
              <w:pStyle w:val="59"/>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8A83CF2">
            <w:pPr>
              <w:pStyle w:val="59"/>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936DDB1">
            <w:pPr>
              <w:pStyle w:val="59"/>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8E3979C">
            <w:pPr>
              <w:pStyle w:val="59"/>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E3BFA02">
            <w:pPr>
              <w:pStyle w:val="59"/>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DF323BA">
            <w:pPr>
              <w:pStyle w:val="59"/>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3AE59EE">
            <w:pPr>
              <w:pStyle w:val="59"/>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4BB8F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739B3D1D">
            <w:pPr>
              <w:pStyle w:val="59"/>
              <w:spacing w:line="360" w:lineRule="auto"/>
              <w:jc w:val="center"/>
              <w:rPr>
                <w:rFonts w:hint="eastAsia"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258478D3">
            <w:pPr>
              <w:pStyle w:val="59"/>
              <w:spacing w:line="360" w:lineRule="auto"/>
              <w:rPr>
                <w:rFonts w:hint="eastAsia"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61BF0B8">
            <w:pPr>
              <w:pStyle w:val="59"/>
              <w:spacing w:line="360" w:lineRule="auto"/>
              <w:rPr>
                <w:rFonts w:hint="eastAsia"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8EEBA47">
            <w:pPr>
              <w:pStyle w:val="59"/>
              <w:spacing w:line="360" w:lineRule="auto"/>
              <w:rPr>
                <w:rFonts w:hint="eastAsia"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96D2429">
            <w:pPr>
              <w:pStyle w:val="59"/>
              <w:spacing w:line="360" w:lineRule="auto"/>
              <w:rPr>
                <w:rFonts w:hint="eastAsia"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B112816">
            <w:pPr>
              <w:pStyle w:val="59"/>
              <w:spacing w:line="360" w:lineRule="auto"/>
              <w:rPr>
                <w:rFonts w:hint="eastAsia"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C3BC31C">
            <w:pPr>
              <w:pStyle w:val="59"/>
              <w:spacing w:line="360" w:lineRule="auto"/>
              <w:rPr>
                <w:rFonts w:hint="eastAsia" w:ascii="宋体" w:hAnsi="宋体" w:cs="Arial"/>
                <w:color w:val="auto"/>
                <w:sz w:val="24"/>
                <w:highlight w:val="none"/>
              </w:rPr>
            </w:pPr>
          </w:p>
        </w:tc>
      </w:tr>
      <w:tr w14:paraId="1FF6B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110EC337">
            <w:pPr>
              <w:pStyle w:val="59"/>
              <w:spacing w:line="360" w:lineRule="auto"/>
              <w:jc w:val="center"/>
              <w:rPr>
                <w:rFonts w:hint="eastAsia"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7E63C215">
            <w:pPr>
              <w:pStyle w:val="59"/>
              <w:spacing w:line="360" w:lineRule="auto"/>
              <w:rPr>
                <w:rFonts w:hint="eastAsia"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419AD2B">
            <w:pPr>
              <w:pStyle w:val="59"/>
              <w:spacing w:line="360" w:lineRule="auto"/>
              <w:rPr>
                <w:rFonts w:hint="eastAsia"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815291A">
            <w:pPr>
              <w:pStyle w:val="59"/>
              <w:spacing w:line="360" w:lineRule="auto"/>
              <w:rPr>
                <w:rFonts w:hint="eastAsia"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ED6CC85">
            <w:pPr>
              <w:pStyle w:val="59"/>
              <w:spacing w:line="360" w:lineRule="auto"/>
              <w:rPr>
                <w:rFonts w:hint="eastAsia"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170F0BE">
            <w:pPr>
              <w:pStyle w:val="59"/>
              <w:spacing w:line="360" w:lineRule="auto"/>
              <w:rPr>
                <w:rFonts w:hint="eastAsia"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4D08E7B">
            <w:pPr>
              <w:pStyle w:val="59"/>
              <w:spacing w:line="360" w:lineRule="auto"/>
              <w:rPr>
                <w:rFonts w:hint="eastAsia" w:ascii="宋体" w:hAnsi="宋体" w:cs="Arial"/>
                <w:color w:val="auto"/>
                <w:sz w:val="24"/>
                <w:highlight w:val="none"/>
              </w:rPr>
            </w:pPr>
          </w:p>
        </w:tc>
      </w:tr>
      <w:tr w14:paraId="06AF0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6B35230">
            <w:pPr>
              <w:pStyle w:val="59"/>
              <w:spacing w:line="360" w:lineRule="auto"/>
              <w:jc w:val="center"/>
              <w:rPr>
                <w:rFonts w:hint="eastAsia"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3864D521">
            <w:pPr>
              <w:pStyle w:val="59"/>
              <w:spacing w:line="360" w:lineRule="auto"/>
              <w:rPr>
                <w:rFonts w:hint="eastAsia"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F5116BA">
            <w:pPr>
              <w:pStyle w:val="59"/>
              <w:spacing w:line="360" w:lineRule="auto"/>
              <w:rPr>
                <w:rFonts w:hint="eastAsia"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4E198D7">
            <w:pPr>
              <w:pStyle w:val="59"/>
              <w:spacing w:line="360" w:lineRule="auto"/>
              <w:rPr>
                <w:rFonts w:hint="eastAsia"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DB13D95">
            <w:pPr>
              <w:pStyle w:val="59"/>
              <w:spacing w:line="360" w:lineRule="auto"/>
              <w:rPr>
                <w:rFonts w:hint="eastAsia"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3944FED">
            <w:pPr>
              <w:pStyle w:val="59"/>
              <w:spacing w:line="360" w:lineRule="auto"/>
              <w:rPr>
                <w:rFonts w:hint="eastAsia"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BCB05ED">
            <w:pPr>
              <w:pStyle w:val="59"/>
              <w:spacing w:line="360" w:lineRule="auto"/>
              <w:rPr>
                <w:rFonts w:hint="eastAsia" w:ascii="宋体" w:hAnsi="宋体" w:cs="Arial"/>
                <w:color w:val="auto"/>
                <w:sz w:val="24"/>
                <w:highlight w:val="none"/>
              </w:rPr>
            </w:pPr>
          </w:p>
        </w:tc>
      </w:tr>
      <w:tr w14:paraId="496DA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4673B63">
            <w:pPr>
              <w:pStyle w:val="59"/>
              <w:spacing w:line="360" w:lineRule="auto"/>
              <w:rPr>
                <w:rFonts w:hint="eastAsia"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75E027C">
            <w:pPr>
              <w:pStyle w:val="59"/>
              <w:spacing w:line="360" w:lineRule="auto"/>
              <w:rPr>
                <w:rFonts w:hint="eastAsia"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C920765">
            <w:pPr>
              <w:pStyle w:val="59"/>
              <w:spacing w:line="360" w:lineRule="auto"/>
              <w:rPr>
                <w:rFonts w:hint="eastAsia"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93277F2">
            <w:pPr>
              <w:pStyle w:val="59"/>
              <w:spacing w:line="360" w:lineRule="auto"/>
              <w:rPr>
                <w:rFonts w:hint="eastAsia"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03058FB">
            <w:pPr>
              <w:pStyle w:val="59"/>
              <w:spacing w:line="360" w:lineRule="auto"/>
              <w:rPr>
                <w:rFonts w:hint="eastAsia"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9D25566">
            <w:pPr>
              <w:pStyle w:val="59"/>
              <w:spacing w:line="360" w:lineRule="auto"/>
              <w:rPr>
                <w:rFonts w:hint="eastAsia"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522F715">
            <w:pPr>
              <w:pStyle w:val="59"/>
              <w:spacing w:line="360" w:lineRule="auto"/>
              <w:rPr>
                <w:rFonts w:hint="eastAsia" w:ascii="宋体" w:hAnsi="宋体" w:cs="Arial"/>
                <w:color w:val="auto"/>
                <w:sz w:val="24"/>
                <w:highlight w:val="none"/>
              </w:rPr>
            </w:pPr>
          </w:p>
        </w:tc>
      </w:tr>
      <w:tr w14:paraId="78BD9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004F160">
            <w:pPr>
              <w:pStyle w:val="59"/>
              <w:spacing w:line="360" w:lineRule="auto"/>
              <w:rPr>
                <w:rFonts w:hint="eastAsia"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8ACA467">
            <w:pPr>
              <w:pStyle w:val="59"/>
              <w:spacing w:line="360" w:lineRule="auto"/>
              <w:rPr>
                <w:rFonts w:hint="eastAsia"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22BC390">
            <w:pPr>
              <w:pStyle w:val="59"/>
              <w:spacing w:line="360" w:lineRule="auto"/>
              <w:rPr>
                <w:rFonts w:hint="eastAsia"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3FA0B01">
            <w:pPr>
              <w:pStyle w:val="59"/>
              <w:spacing w:line="360" w:lineRule="auto"/>
              <w:rPr>
                <w:rFonts w:hint="eastAsia"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A851F34">
            <w:pPr>
              <w:pStyle w:val="59"/>
              <w:spacing w:line="360" w:lineRule="auto"/>
              <w:rPr>
                <w:rFonts w:hint="eastAsia"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00ABF58">
            <w:pPr>
              <w:pStyle w:val="59"/>
              <w:spacing w:line="360" w:lineRule="auto"/>
              <w:rPr>
                <w:rFonts w:hint="eastAsia"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75B6850">
            <w:pPr>
              <w:pStyle w:val="59"/>
              <w:spacing w:line="360" w:lineRule="auto"/>
              <w:rPr>
                <w:rFonts w:hint="eastAsia" w:ascii="宋体" w:hAnsi="宋体" w:cs="Arial"/>
                <w:color w:val="auto"/>
                <w:sz w:val="24"/>
                <w:highlight w:val="none"/>
              </w:rPr>
            </w:pPr>
          </w:p>
        </w:tc>
      </w:tr>
      <w:tr w14:paraId="7DA2E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CE1FCF7">
            <w:pPr>
              <w:pStyle w:val="59"/>
              <w:spacing w:line="360" w:lineRule="auto"/>
              <w:rPr>
                <w:rFonts w:hint="eastAsia"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4B2478E">
            <w:pPr>
              <w:pStyle w:val="59"/>
              <w:spacing w:line="360" w:lineRule="auto"/>
              <w:rPr>
                <w:rFonts w:hint="eastAsia"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66FD26C">
            <w:pPr>
              <w:pStyle w:val="59"/>
              <w:spacing w:line="360" w:lineRule="auto"/>
              <w:rPr>
                <w:rFonts w:hint="eastAsia"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AE87025">
            <w:pPr>
              <w:pStyle w:val="59"/>
              <w:spacing w:line="360" w:lineRule="auto"/>
              <w:rPr>
                <w:rFonts w:hint="eastAsia"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2231F65">
            <w:pPr>
              <w:pStyle w:val="59"/>
              <w:spacing w:line="360" w:lineRule="auto"/>
              <w:rPr>
                <w:rFonts w:hint="eastAsia"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8784B85">
            <w:pPr>
              <w:pStyle w:val="59"/>
              <w:spacing w:line="360" w:lineRule="auto"/>
              <w:rPr>
                <w:rFonts w:hint="eastAsia"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9F60176">
            <w:pPr>
              <w:pStyle w:val="59"/>
              <w:spacing w:line="360" w:lineRule="auto"/>
              <w:rPr>
                <w:rFonts w:hint="eastAsia" w:ascii="宋体" w:hAnsi="宋体" w:cs="Arial"/>
                <w:color w:val="auto"/>
                <w:sz w:val="24"/>
                <w:highlight w:val="none"/>
              </w:rPr>
            </w:pPr>
          </w:p>
        </w:tc>
      </w:tr>
      <w:tr w14:paraId="00B84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394396">
            <w:pPr>
              <w:pStyle w:val="59"/>
              <w:spacing w:line="360" w:lineRule="auto"/>
              <w:rPr>
                <w:rFonts w:hint="eastAsia"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8E2D00C">
            <w:pPr>
              <w:pStyle w:val="59"/>
              <w:spacing w:line="360" w:lineRule="auto"/>
              <w:rPr>
                <w:rFonts w:hint="eastAsia"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0542E42">
            <w:pPr>
              <w:pStyle w:val="59"/>
              <w:spacing w:line="360" w:lineRule="auto"/>
              <w:rPr>
                <w:rFonts w:hint="eastAsia"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87F61E8">
            <w:pPr>
              <w:pStyle w:val="59"/>
              <w:spacing w:line="360" w:lineRule="auto"/>
              <w:rPr>
                <w:rFonts w:hint="eastAsia"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9DBE982">
            <w:pPr>
              <w:pStyle w:val="59"/>
              <w:spacing w:line="360" w:lineRule="auto"/>
              <w:rPr>
                <w:rFonts w:hint="eastAsia"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499ED2E">
            <w:pPr>
              <w:pStyle w:val="59"/>
              <w:spacing w:line="360" w:lineRule="auto"/>
              <w:rPr>
                <w:rFonts w:hint="eastAsia"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02CC617">
            <w:pPr>
              <w:pStyle w:val="59"/>
              <w:spacing w:line="360" w:lineRule="auto"/>
              <w:rPr>
                <w:rFonts w:hint="eastAsia" w:ascii="宋体" w:hAnsi="宋体" w:cs="Arial"/>
                <w:color w:val="auto"/>
                <w:sz w:val="24"/>
                <w:highlight w:val="none"/>
              </w:rPr>
            </w:pPr>
          </w:p>
        </w:tc>
      </w:tr>
    </w:tbl>
    <w:p w14:paraId="39498322">
      <w:pPr>
        <w:autoSpaceDE w:val="0"/>
        <w:autoSpaceDN w:val="0"/>
        <w:adjustRightInd w:val="0"/>
        <w:spacing w:before="156" w:beforeLines="50" w:line="360" w:lineRule="auto"/>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543879FB">
      <w:pPr>
        <w:autoSpaceDE w:val="0"/>
        <w:autoSpaceDN w:val="0"/>
        <w:adjustRightInd w:val="0"/>
        <w:spacing w:before="156" w:beforeLines="50" w:line="360" w:lineRule="auto"/>
        <w:ind w:firstLine="420" w:firstLineChars="200"/>
        <w:rPr>
          <w:rFonts w:hint="eastAsia"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扫描件可只提供首页、含金额页、盖章页并加盖投标人公章</w:t>
      </w:r>
      <w:r>
        <w:rPr>
          <w:rFonts w:ascii="宋体" w:hAnsi="宋体" w:cs="Arial"/>
          <w:color w:val="auto"/>
          <w:szCs w:val="21"/>
          <w:highlight w:val="none"/>
        </w:rPr>
        <w:t>）；</w:t>
      </w:r>
    </w:p>
    <w:p w14:paraId="15AC7431">
      <w:pPr>
        <w:spacing w:line="360" w:lineRule="auto"/>
        <w:ind w:firstLine="420" w:firstLineChars="200"/>
        <w:jc w:val="left"/>
        <w:rPr>
          <w:rFonts w:hint="eastAsia"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13F245C2">
      <w:pPr>
        <w:spacing w:line="360" w:lineRule="auto"/>
        <w:ind w:firstLine="442"/>
        <w:rPr>
          <w:rFonts w:hint="eastAsia" w:ascii="宋体" w:hAnsi="宋体"/>
          <w:color w:val="auto"/>
          <w:sz w:val="22"/>
          <w:szCs w:val="22"/>
          <w:highlight w:val="none"/>
        </w:rPr>
      </w:pPr>
    </w:p>
    <w:p w14:paraId="506AE1AB">
      <w:pPr>
        <w:spacing w:line="360" w:lineRule="auto"/>
        <w:ind w:firstLine="442"/>
        <w:rPr>
          <w:rFonts w:hint="eastAsia" w:ascii="宋体" w:hAnsi="宋体"/>
          <w:color w:val="auto"/>
          <w:sz w:val="22"/>
          <w:szCs w:val="22"/>
          <w:highlight w:val="none"/>
        </w:rPr>
      </w:pPr>
    </w:p>
    <w:p w14:paraId="2F602DD2">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投标人名称（公章）：</w:t>
      </w:r>
    </w:p>
    <w:p w14:paraId="17CA9CD2">
      <w:pPr>
        <w:spacing w:line="360" w:lineRule="auto"/>
        <w:ind w:left="420" w:firstLine="482"/>
        <w:rPr>
          <w:rFonts w:hint="eastAsia" w:ascii="宋体" w:hAnsi="宋体"/>
          <w:color w:val="auto"/>
          <w:sz w:val="24"/>
          <w:highlight w:val="none"/>
        </w:rPr>
      </w:pPr>
    </w:p>
    <w:p w14:paraId="52EEDB5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投标人代表签字或盖章：</w:t>
      </w:r>
    </w:p>
    <w:p w14:paraId="306245AB">
      <w:pPr>
        <w:spacing w:line="360" w:lineRule="auto"/>
        <w:ind w:firstLine="482"/>
        <w:rPr>
          <w:rFonts w:hint="eastAsia" w:ascii="宋体" w:hAnsi="宋体"/>
          <w:color w:val="auto"/>
          <w:sz w:val="24"/>
          <w:highlight w:val="none"/>
        </w:rPr>
      </w:pPr>
    </w:p>
    <w:p w14:paraId="45178484">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职        务：</w:t>
      </w:r>
    </w:p>
    <w:p w14:paraId="32439C2A">
      <w:pPr>
        <w:spacing w:line="360" w:lineRule="auto"/>
        <w:ind w:firstLine="482"/>
        <w:rPr>
          <w:rFonts w:hint="eastAsia" w:ascii="宋体" w:hAnsi="宋体"/>
          <w:color w:val="auto"/>
          <w:sz w:val="24"/>
          <w:highlight w:val="none"/>
        </w:rPr>
      </w:pPr>
    </w:p>
    <w:p w14:paraId="66CAB36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日        期：</w:t>
      </w:r>
    </w:p>
    <w:p w14:paraId="095230F8">
      <w:pPr>
        <w:spacing w:line="360" w:lineRule="auto"/>
        <w:ind w:firstLine="482"/>
        <w:jc w:val="center"/>
        <w:outlineLvl w:val="2"/>
        <w:rPr>
          <w:rFonts w:hint="eastAsia" w:ascii="宋体" w:hAnsi="宋体" w:cs="宋体"/>
          <w:color w:val="auto"/>
          <w:sz w:val="24"/>
          <w:highlight w:val="none"/>
          <w:u w:val="single"/>
        </w:rPr>
      </w:pPr>
    </w:p>
    <w:p w14:paraId="312D61CD">
      <w:pPr>
        <w:spacing w:line="360" w:lineRule="auto"/>
        <w:ind w:firstLine="562" w:firstLineChars="200"/>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350DC8CB">
      <w:pPr>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售后服务情况表</w:t>
      </w:r>
    </w:p>
    <w:p w14:paraId="6CDCECFC">
      <w:pPr>
        <w:spacing w:line="360" w:lineRule="auto"/>
        <w:ind w:firstLine="720"/>
        <w:jc w:val="center"/>
        <w:rPr>
          <w:rFonts w:hint="eastAsia" w:ascii="宋体" w:hAnsi="宋体"/>
          <w:b/>
          <w:color w:val="auto"/>
          <w:sz w:val="36"/>
          <w:szCs w:val="36"/>
          <w:highlight w:val="none"/>
        </w:rPr>
      </w:pPr>
    </w:p>
    <w:tbl>
      <w:tblPr>
        <w:tblStyle w:val="3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7FF03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727C6632">
            <w:pPr>
              <w:pStyle w:val="61"/>
              <w:spacing w:line="360" w:lineRule="auto"/>
              <w:jc w:val="center"/>
              <w:rPr>
                <w:rFonts w:hint="eastAsia"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14:paraId="296986AC">
            <w:pPr>
              <w:pStyle w:val="61"/>
              <w:spacing w:line="360" w:lineRule="auto"/>
              <w:jc w:val="center"/>
              <w:rPr>
                <w:rFonts w:hint="eastAsia"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14:paraId="50604DB9">
            <w:pPr>
              <w:pStyle w:val="61"/>
              <w:spacing w:line="360" w:lineRule="auto"/>
              <w:jc w:val="center"/>
              <w:rPr>
                <w:rFonts w:hint="eastAsia" w:ascii="宋体" w:hAnsi="宋体" w:cs="Arial"/>
                <w:b/>
                <w:color w:val="auto"/>
                <w:sz w:val="24"/>
                <w:highlight w:val="none"/>
              </w:rPr>
            </w:pPr>
            <w:r>
              <w:rPr>
                <w:rFonts w:hint="eastAsia" w:ascii="宋体" w:hAnsi="宋体" w:cs="Arial"/>
                <w:b/>
                <w:color w:val="auto"/>
                <w:sz w:val="24"/>
                <w:highlight w:val="none"/>
              </w:rPr>
              <w:t>投标人情况</w:t>
            </w:r>
          </w:p>
        </w:tc>
        <w:tc>
          <w:tcPr>
            <w:tcW w:w="1373" w:type="dxa"/>
            <w:vAlign w:val="center"/>
          </w:tcPr>
          <w:p w14:paraId="199298DD">
            <w:pPr>
              <w:pStyle w:val="61"/>
              <w:spacing w:line="360" w:lineRule="auto"/>
              <w:jc w:val="center"/>
              <w:rPr>
                <w:rFonts w:hint="eastAsia" w:ascii="宋体" w:hAnsi="宋体" w:cs="Arial"/>
                <w:b/>
                <w:color w:val="auto"/>
                <w:sz w:val="24"/>
                <w:highlight w:val="none"/>
              </w:rPr>
            </w:pPr>
            <w:r>
              <w:rPr>
                <w:rFonts w:hint="eastAsia" w:ascii="宋体" w:hAnsi="宋体" w:cs="Arial"/>
                <w:b/>
                <w:color w:val="auto"/>
                <w:sz w:val="24"/>
                <w:highlight w:val="none"/>
              </w:rPr>
              <w:t>备注</w:t>
            </w:r>
          </w:p>
        </w:tc>
      </w:tr>
      <w:tr w14:paraId="344B39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7D461998">
            <w:pPr>
              <w:pStyle w:val="61"/>
              <w:spacing w:line="360" w:lineRule="auto"/>
              <w:jc w:val="center"/>
              <w:rPr>
                <w:rFonts w:hint="eastAsia"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14:paraId="0550EA83">
            <w:pPr>
              <w:pStyle w:val="61"/>
              <w:widowControl/>
              <w:spacing w:line="360" w:lineRule="auto"/>
              <w:jc w:val="left"/>
              <w:rPr>
                <w:rFonts w:hint="eastAsia" w:ascii="宋体" w:hAnsi="宋体" w:cs="Arial"/>
                <w:bCs/>
                <w:color w:val="auto"/>
                <w:sz w:val="24"/>
                <w:highlight w:val="none"/>
              </w:rPr>
            </w:pPr>
            <w:r>
              <w:rPr>
                <w:rFonts w:hint="eastAsia" w:ascii="宋体" w:hAnsi="宋体" w:cs="Arial"/>
                <w:bCs/>
                <w:color w:val="auto"/>
                <w:sz w:val="24"/>
                <w:highlight w:val="none"/>
              </w:rPr>
              <w:t>服务期内服务情况(</w:t>
            </w:r>
            <w:r>
              <w:rPr>
                <w:rFonts w:ascii="宋体" w:hAnsi="宋体" w:cs="Arial"/>
                <w:bCs/>
                <w:color w:val="auto"/>
                <w:sz w:val="24"/>
                <w:highlight w:val="none"/>
              </w:rPr>
              <w:t>服务</w:t>
            </w:r>
            <w:r>
              <w:rPr>
                <w:rFonts w:hint="eastAsia" w:ascii="宋体" w:hAnsi="宋体" w:cs="Arial"/>
                <w:bCs/>
                <w:color w:val="auto"/>
                <w:sz w:val="24"/>
                <w:highlight w:val="none"/>
              </w:rPr>
              <w:t>方式、服务网点</w:t>
            </w:r>
            <w:r>
              <w:rPr>
                <w:rFonts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14:paraId="0C4154AC">
            <w:pPr>
              <w:pStyle w:val="61"/>
              <w:spacing w:line="360" w:lineRule="auto"/>
              <w:rPr>
                <w:rFonts w:hint="eastAsia" w:ascii="宋体" w:hAnsi="宋体" w:cs="Arial"/>
                <w:bCs/>
                <w:color w:val="auto"/>
                <w:sz w:val="24"/>
                <w:highlight w:val="none"/>
              </w:rPr>
            </w:pPr>
            <w:r>
              <w:rPr>
                <w:rFonts w:hint="eastAsia" w:ascii="宋体" w:hAnsi="宋体" w:cs="Arial"/>
                <w:bCs/>
                <w:color w:val="auto"/>
                <w:sz w:val="24"/>
                <w:highlight w:val="none"/>
              </w:rPr>
              <w:t>服务期内服务情况：</w:t>
            </w:r>
          </w:p>
        </w:tc>
        <w:tc>
          <w:tcPr>
            <w:tcW w:w="1373" w:type="dxa"/>
          </w:tcPr>
          <w:p w14:paraId="4159FCFC">
            <w:pPr>
              <w:pStyle w:val="61"/>
              <w:spacing w:line="360" w:lineRule="auto"/>
              <w:rPr>
                <w:rFonts w:hint="eastAsia" w:ascii="宋体" w:hAnsi="宋体" w:cs="Arial"/>
                <w:bCs/>
                <w:color w:val="auto"/>
                <w:sz w:val="24"/>
                <w:highlight w:val="none"/>
              </w:rPr>
            </w:pPr>
          </w:p>
        </w:tc>
      </w:tr>
      <w:tr w14:paraId="64B4F3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4F23072">
            <w:pPr>
              <w:pStyle w:val="61"/>
              <w:widowControl/>
              <w:spacing w:line="360" w:lineRule="auto"/>
              <w:jc w:val="left"/>
              <w:rPr>
                <w:rFonts w:hint="eastAsia" w:ascii="宋体" w:hAnsi="宋体" w:cs="Arial"/>
                <w:bCs/>
                <w:color w:val="auto"/>
                <w:sz w:val="24"/>
                <w:highlight w:val="none"/>
              </w:rPr>
            </w:pPr>
          </w:p>
        </w:tc>
        <w:tc>
          <w:tcPr>
            <w:tcW w:w="2355" w:type="dxa"/>
            <w:vMerge w:val="continue"/>
            <w:vAlign w:val="center"/>
          </w:tcPr>
          <w:p w14:paraId="1A394EC6">
            <w:pPr>
              <w:pStyle w:val="61"/>
              <w:widowControl/>
              <w:spacing w:line="360" w:lineRule="auto"/>
              <w:jc w:val="left"/>
              <w:rPr>
                <w:rFonts w:hint="eastAsia" w:ascii="宋体" w:hAnsi="宋体" w:cs="Arial"/>
                <w:bCs/>
                <w:color w:val="auto"/>
                <w:sz w:val="24"/>
                <w:highlight w:val="none"/>
              </w:rPr>
            </w:pPr>
          </w:p>
        </w:tc>
        <w:tc>
          <w:tcPr>
            <w:tcW w:w="4061" w:type="dxa"/>
          </w:tcPr>
          <w:p w14:paraId="238FAEBD">
            <w:pPr>
              <w:pStyle w:val="61"/>
              <w:spacing w:line="360" w:lineRule="auto"/>
              <w:rPr>
                <w:rFonts w:hint="eastAsia" w:ascii="宋体" w:hAns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5A2F53F6">
            <w:pPr>
              <w:pStyle w:val="61"/>
              <w:spacing w:line="360" w:lineRule="auto"/>
              <w:jc w:val="left"/>
              <w:rPr>
                <w:rFonts w:hint="eastAsia" w:ascii="宋体" w:hAnsi="宋体" w:cs="Arial"/>
                <w:bCs/>
                <w:color w:val="auto"/>
                <w:sz w:val="24"/>
                <w:highlight w:val="none"/>
              </w:rPr>
            </w:pPr>
          </w:p>
        </w:tc>
      </w:tr>
      <w:tr w14:paraId="1BA8BE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2" w:hRule="exact"/>
          <w:jc w:val="center"/>
        </w:trPr>
        <w:tc>
          <w:tcPr>
            <w:tcW w:w="739" w:type="dxa"/>
            <w:vAlign w:val="center"/>
          </w:tcPr>
          <w:p w14:paraId="0CE52497">
            <w:pPr>
              <w:pStyle w:val="61"/>
              <w:spacing w:line="360" w:lineRule="auto"/>
              <w:jc w:val="center"/>
              <w:rPr>
                <w:rFonts w:hint="eastAsia"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14:paraId="4DB960C3">
            <w:pPr>
              <w:pStyle w:val="61"/>
              <w:spacing w:line="360" w:lineRule="auto"/>
              <w:rPr>
                <w:rFonts w:hint="eastAsia" w:ascii="宋体" w:hAnsi="宋体" w:cs="Arial"/>
                <w:bCs/>
                <w:color w:val="auto"/>
                <w:sz w:val="24"/>
                <w:highlight w:val="none"/>
              </w:rPr>
            </w:pPr>
            <w:r>
              <w:rPr>
                <w:rFonts w:hint="eastAsia" w:ascii="宋体" w:hAnsi="宋体" w:cs="Arial"/>
                <w:bCs/>
                <w:color w:val="auto"/>
                <w:sz w:val="24"/>
                <w:highlight w:val="none"/>
              </w:rPr>
              <w:t>服务期结束后服务</w:t>
            </w:r>
          </w:p>
        </w:tc>
        <w:tc>
          <w:tcPr>
            <w:tcW w:w="4061" w:type="dxa"/>
          </w:tcPr>
          <w:p w14:paraId="5BC2039C">
            <w:pPr>
              <w:pStyle w:val="61"/>
              <w:widowControl/>
              <w:spacing w:line="360" w:lineRule="auto"/>
              <w:jc w:val="left"/>
              <w:rPr>
                <w:rFonts w:hint="eastAsia" w:ascii="宋体" w:hAnsi="宋体" w:cs="Arial"/>
                <w:bCs/>
                <w:color w:val="auto"/>
                <w:sz w:val="24"/>
                <w:highlight w:val="none"/>
              </w:rPr>
            </w:pPr>
          </w:p>
          <w:p w14:paraId="3D1171A8">
            <w:pPr>
              <w:pStyle w:val="61"/>
              <w:widowControl/>
              <w:spacing w:line="360" w:lineRule="auto"/>
              <w:jc w:val="left"/>
              <w:rPr>
                <w:rFonts w:hint="eastAsia" w:ascii="宋体" w:hAnsi="宋体" w:cs="Arial"/>
                <w:bCs/>
                <w:color w:val="auto"/>
                <w:sz w:val="24"/>
                <w:highlight w:val="none"/>
              </w:rPr>
            </w:pPr>
          </w:p>
          <w:p w14:paraId="614208C7">
            <w:pPr>
              <w:pStyle w:val="61"/>
              <w:spacing w:line="360" w:lineRule="auto"/>
              <w:rPr>
                <w:rFonts w:hint="eastAsia" w:ascii="宋体" w:hAnsi="宋体" w:cs="Arial"/>
                <w:bCs/>
                <w:color w:val="auto"/>
                <w:sz w:val="24"/>
                <w:highlight w:val="none"/>
              </w:rPr>
            </w:pPr>
          </w:p>
        </w:tc>
        <w:tc>
          <w:tcPr>
            <w:tcW w:w="1373" w:type="dxa"/>
          </w:tcPr>
          <w:p w14:paraId="3D57B6D3">
            <w:pPr>
              <w:pStyle w:val="61"/>
              <w:widowControl/>
              <w:spacing w:line="360" w:lineRule="auto"/>
              <w:jc w:val="left"/>
              <w:rPr>
                <w:rFonts w:hint="eastAsia" w:ascii="宋体" w:hAnsi="宋体" w:cs="Arial"/>
                <w:bCs/>
                <w:color w:val="auto"/>
                <w:sz w:val="24"/>
                <w:highlight w:val="none"/>
              </w:rPr>
            </w:pPr>
          </w:p>
          <w:p w14:paraId="690D9225">
            <w:pPr>
              <w:pStyle w:val="61"/>
              <w:widowControl/>
              <w:spacing w:line="360" w:lineRule="auto"/>
              <w:jc w:val="left"/>
              <w:rPr>
                <w:rFonts w:hint="eastAsia" w:ascii="宋体" w:hAnsi="宋体" w:cs="Arial"/>
                <w:bCs/>
                <w:color w:val="auto"/>
                <w:sz w:val="24"/>
                <w:highlight w:val="none"/>
              </w:rPr>
            </w:pPr>
          </w:p>
          <w:p w14:paraId="48AC78F2">
            <w:pPr>
              <w:pStyle w:val="61"/>
              <w:spacing w:line="360" w:lineRule="auto"/>
              <w:rPr>
                <w:rFonts w:hint="eastAsia" w:ascii="宋体" w:hAnsi="宋体" w:cs="Arial"/>
                <w:bCs/>
                <w:color w:val="auto"/>
                <w:sz w:val="24"/>
                <w:highlight w:val="none"/>
              </w:rPr>
            </w:pPr>
          </w:p>
        </w:tc>
      </w:tr>
      <w:tr w14:paraId="6789C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exact"/>
          <w:jc w:val="center"/>
        </w:trPr>
        <w:tc>
          <w:tcPr>
            <w:tcW w:w="739" w:type="dxa"/>
            <w:vAlign w:val="center"/>
          </w:tcPr>
          <w:p w14:paraId="3393704D">
            <w:pPr>
              <w:pStyle w:val="61"/>
              <w:widowControl/>
              <w:spacing w:line="360" w:lineRule="auto"/>
              <w:jc w:val="left"/>
              <w:rPr>
                <w:rFonts w:hint="eastAsia"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vAlign w:val="center"/>
          </w:tcPr>
          <w:p w14:paraId="3A48122A">
            <w:pPr>
              <w:pStyle w:val="61"/>
              <w:widowControl/>
              <w:spacing w:line="360" w:lineRule="auto"/>
              <w:jc w:val="left"/>
              <w:rPr>
                <w:rFonts w:hint="eastAsia" w:ascii="宋体" w:hAnsi="宋体" w:cs="Arial"/>
                <w:bCs/>
                <w:color w:val="auto"/>
                <w:sz w:val="24"/>
                <w:highlight w:val="none"/>
              </w:rPr>
            </w:pPr>
          </w:p>
        </w:tc>
        <w:tc>
          <w:tcPr>
            <w:tcW w:w="4061" w:type="dxa"/>
          </w:tcPr>
          <w:p w14:paraId="79EDA714">
            <w:pPr>
              <w:pStyle w:val="61"/>
              <w:widowControl/>
              <w:spacing w:line="360" w:lineRule="auto"/>
              <w:jc w:val="left"/>
              <w:rPr>
                <w:rFonts w:hint="eastAsia" w:ascii="宋体" w:hAnsi="宋体" w:cs="Arial"/>
                <w:bCs/>
                <w:i/>
                <w:color w:val="auto"/>
                <w:sz w:val="24"/>
                <w:highlight w:val="none"/>
              </w:rPr>
            </w:pPr>
          </w:p>
          <w:p w14:paraId="2D2F9198">
            <w:pPr>
              <w:pStyle w:val="61"/>
              <w:widowControl/>
              <w:spacing w:line="360" w:lineRule="auto"/>
              <w:jc w:val="left"/>
              <w:rPr>
                <w:rFonts w:hint="eastAsia" w:ascii="宋体" w:hAnsi="宋体" w:cs="Arial"/>
                <w:bCs/>
                <w:i/>
                <w:color w:val="auto"/>
                <w:sz w:val="24"/>
                <w:highlight w:val="none"/>
              </w:rPr>
            </w:pPr>
          </w:p>
        </w:tc>
        <w:tc>
          <w:tcPr>
            <w:tcW w:w="1373" w:type="dxa"/>
          </w:tcPr>
          <w:p w14:paraId="14F13A48">
            <w:pPr>
              <w:pStyle w:val="61"/>
              <w:widowControl/>
              <w:spacing w:line="360" w:lineRule="auto"/>
              <w:jc w:val="left"/>
              <w:rPr>
                <w:rFonts w:hint="eastAsia" w:ascii="宋体" w:hAnsi="宋体" w:cs="Arial"/>
                <w:bCs/>
                <w:i/>
                <w:color w:val="auto"/>
                <w:sz w:val="24"/>
                <w:highlight w:val="none"/>
              </w:rPr>
            </w:pPr>
          </w:p>
          <w:p w14:paraId="05558944">
            <w:pPr>
              <w:pStyle w:val="61"/>
              <w:widowControl/>
              <w:spacing w:line="360" w:lineRule="auto"/>
              <w:jc w:val="left"/>
              <w:rPr>
                <w:rFonts w:hint="eastAsia" w:ascii="宋体" w:hAnsi="宋体" w:cs="Arial"/>
                <w:bCs/>
                <w:i/>
                <w:color w:val="auto"/>
                <w:sz w:val="24"/>
                <w:highlight w:val="none"/>
              </w:rPr>
            </w:pPr>
          </w:p>
          <w:p w14:paraId="3D7FB684">
            <w:pPr>
              <w:pStyle w:val="61"/>
              <w:widowControl/>
              <w:spacing w:line="360" w:lineRule="auto"/>
              <w:jc w:val="left"/>
              <w:rPr>
                <w:rFonts w:hint="eastAsia" w:ascii="宋体" w:hAnsi="宋体" w:cs="Arial"/>
                <w:bCs/>
                <w:i/>
                <w:color w:val="auto"/>
                <w:sz w:val="24"/>
                <w:highlight w:val="none"/>
              </w:rPr>
            </w:pPr>
          </w:p>
        </w:tc>
      </w:tr>
      <w:tr w14:paraId="08138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B3EF888">
            <w:pPr>
              <w:pStyle w:val="61"/>
              <w:widowControl/>
              <w:spacing w:line="360" w:lineRule="auto"/>
              <w:jc w:val="left"/>
              <w:rPr>
                <w:rFonts w:hint="eastAsia" w:ascii="宋体" w:hAnsi="宋体" w:cs="Arial"/>
                <w:bCs/>
                <w:color w:val="auto"/>
                <w:sz w:val="24"/>
                <w:highlight w:val="none"/>
              </w:rPr>
            </w:pPr>
            <w:r>
              <w:rPr>
                <w:rFonts w:ascii="宋体" w:hAnsi="宋体" w:cs="Arial"/>
                <w:bCs/>
                <w:color w:val="auto"/>
                <w:sz w:val="24"/>
                <w:highlight w:val="none"/>
              </w:rPr>
              <w:t>……</w:t>
            </w:r>
          </w:p>
        </w:tc>
        <w:tc>
          <w:tcPr>
            <w:tcW w:w="2355" w:type="dxa"/>
            <w:vAlign w:val="center"/>
          </w:tcPr>
          <w:p w14:paraId="29D13D98">
            <w:pPr>
              <w:pStyle w:val="61"/>
              <w:widowControl/>
              <w:spacing w:line="360" w:lineRule="auto"/>
              <w:jc w:val="left"/>
              <w:rPr>
                <w:rFonts w:hint="eastAsia" w:ascii="宋体" w:hAnsi="宋体" w:cs="Arial"/>
                <w:bCs/>
                <w:color w:val="auto"/>
                <w:sz w:val="24"/>
                <w:highlight w:val="none"/>
              </w:rPr>
            </w:pPr>
            <w:r>
              <w:rPr>
                <w:rFonts w:ascii="宋体" w:hAnsi="宋体" w:cs="Arial"/>
                <w:bCs/>
                <w:color w:val="auto"/>
                <w:sz w:val="24"/>
                <w:highlight w:val="none"/>
              </w:rPr>
              <w:t>……</w:t>
            </w:r>
          </w:p>
        </w:tc>
        <w:tc>
          <w:tcPr>
            <w:tcW w:w="4061" w:type="dxa"/>
          </w:tcPr>
          <w:p w14:paraId="5B34AEEF">
            <w:pPr>
              <w:pStyle w:val="61"/>
              <w:widowControl/>
              <w:spacing w:line="360" w:lineRule="auto"/>
              <w:jc w:val="left"/>
              <w:rPr>
                <w:rFonts w:hint="eastAsia" w:ascii="宋体" w:hAnsi="宋体" w:cs="Arial"/>
                <w:bCs/>
                <w:color w:val="auto"/>
                <w:sz w:val="24"/>
                <w:highlight w:val="none"/>
              </w:rPr>
            </w:pPr>
          </w:p>
        </w:tc>
        <w:tc>
          <w:tcPr>
            <w:tcW w:w="1373" w:type="dxa"/>
          </w:tcPr>
          <w:p w14:paraId="0F27E1F1">
            <w:pPr>
              <w:pStyle w:val="61"/>
              <w:widowControl/>
              <w:spacing w:line="360" w:lineRule="auto"/>
              <w:jc w:val="left"/>
              <w:rPr>
                <w:rFonts w:hint="eastAsia" w:ascii="宋体" w:hAnsi="宋体" w:cs="Arial"/>
                <w:bCs/>
                <w:color w:val="auto"/>
                <w:sz w:val="24"/>
                <w:highlight w:val="none"/>
              </w:rPr>
            </w:pPr>
          </w:p>
        </w:tc>
      </w:tr>
    </w:tbl>
    <w:p w14:paraId="70847C7D">
      <w:pPr>
        <w:spacing w:line="360" w:lineRule="auto"/>
        <w:ind w:left="420" w:firstLine="482"/>
        <w:rPr>
          <w:rFonts w:hint="eastAsia" w:ascii="宋体" w:hAnsi="宋体"/>
          <w:color w:val="auto"/>
          <w:sz w:val="24"/>
          <w:highlight w:val="none"/>
        </w:rPr>
      </w:pPr>
    </w:p>
    <w:p w14:paraId="25A8C25F">
      <w:pPr>
        <w:spacing w:line="360" w:lineRule="auto"/>
        <w:ind w:left="420" w:firstLine="482"/>
        <w:rPr>
          <w:rFonts w:hint="eastAsia" w:ascii="宋体" w:hAnsi="宋体"/>
          <w:color w:val="auto"/>
          <w:sz w:val="24"/>
          <w:highlight w:val="none"/>
        </w:rPr>
      </w:pPr>
    </w:p>
    <w:p w14:paraId="56356CD5">
      <w:pPr>
        <w:spacing w:line="360" w:lineRule="auto"/>
        <w:ind w:left="420" w:firstLine="482"/>
        <w:rPr>
          <w:rFonts w:hint="eastAsia" w:ascii="宋体" w:hAnsi="宋体"/>
          <w:color w:val="auto"/>
          <w:sz w:val="24"/>
          <w:highlight w:val="none"/>
        </w:rPr>
      </w:pPr>
    </w:p>
    <w:p w14:paraId="5A9D1BAB">
      <w:pPr>
        <w:spacing w:line="360" w:lineRule="auto"/>
        <w:ind w:left="420" w:firstLine="482"/>
        <w:rPr>
          <w:rFonts w:hint="eastAsia" w:ascii="宋体" w:hAnsi="宋体"/>
          <w:color w:val="auto"/>
          <w:sz w:val="24"/>
          <w:highlight w:val="none"/>
        </w:rPr>
      </w:pPr>
    </w:p>
    <w:p w14:paraId="583B455D">
      <w:pPr>
        <w:spacing w:line="360" w:lineRule="auto"/>
        <w:ind w:left="420" w:firstLine="482"/>
        <w:rPr>
          <w:rFonts w:hint="eastAsia" w:ascii="宋体" w:hAnsi="宋体"/>
          <w:color w:val="auto"/>
          <w:sz w:val="24"/>
          <w:highlight w:val="none"/>
        </w:rPr>
      </w:pPr>
    </w:p>
    <w:p w14:paraId="74E0DD3E">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投标人名称（公章）：</w:t>
      </w:r>
    </w:p>
    <w:p w14:paraId="71949945">
      <w:pPr>
        <w:spacing w:line="360" w:lineRule="auto"/>
        <w:ind w:left="420" w:firstLine="482"/>
        <w:rPr>
          <w:rFonts w:hint="eastAsia" w:ascii="宋体" w:hAnsi="宋体"/>
          <w:color w:val="auto"/>
          <w:sz w:val="24"/>
          <w:highlight w:val="none"/>
        </w:rPr>
      </w:pPr>
    </w:p>
    <w:p w14:paraId="6CC8CE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投标人代表签字或盖章：</w:t>
      </w:r>
    </w:p>
    <w:p w14:paraId="6EB057C4">
      <w:pPr>
        <w:spacing w:line="360" w:lineRule="auto"/>
        <w:ind w:firstLine="482"/>
        <w:rPr>
          <w:rFonts w:hint="eastAsia" w:ascii="宋体" w:hAnsi="宋体"/>
          <w:color w:val="auto"/>
          <w:sz w:val="24"/>
          <w:highlight w:val="none"/>
        </w:rPr>
      </w:pPr>
    </w:p>
    <w:p w14:paraId="7E23E7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职        务：</w:t>
      </w:r>
    </w:p>
    <w:p w14:paraId="42649AE5">
      <w:pPr>
        <w:spacing w:line="360" w:lineRule="auto"/>
        <w:ind w:firstLine="482"/>
        <w:rPr>
          <w:rFonts w:hint="eastAsia" w:ascii="宋体" w:hAnsi="宋体"/>
          <w:color w:val="auto"/>
          <w:sz w:val="24"/>
          <w:highlight w:val="none"/>
        </w:rPr>
      </w:pPr>
    </w:p>
    <w:p w14:paraId="289718B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日        期：</w:t>
      </w:r>
    </w:p>
    <w:p w14:paraId="479AD514">
      <w:pPr>
        <w:pStyle w:val="46"/>
        <w:rPr>
          <w:rFonts w:hint="eastAsia" w:ascii="仿宋_GB2312" w:hAnsi="宋体" w:eastAsia="仿宋_GB2312"/>
          <w:b/>
          <w:color w:val="auto"/>
          <w:sz w:val="36"/>
          <w:szCs w:val="36"/>
          <w:highlight w:val="none"/>
        </w:rPr>
      </w:pPr>
    </w:p>
    <w:p w14:paraId="19ED4280">
      <w:pPr>
        <w:ind w:firstLine="643" w:firstLineChars="200"/>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3E1CE0FF">
      <w:pPr>
        <w:spacing w:line="360" w:lineRule="auto"/>
        <w:ind w:right="-108"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报价文件目录</w:t>
      </w:r>
    </w:p>
    <w:p w14:paraId="74F06ED3">
      <w:pPr>
        <w:spacing w:line="360" w:lineRule="auto"/>
        <w:ind w:right="-108" w:firstLine="720"/>
        <w:jc w:val="center"/>
        <w:rPr>
          <w:rFonts w:hint="eastAsia" w:ascii="仿宋_GB2312" w:hAnsi="宋体" w:eastAsia="仿宋_GB2312"/>
          <w:b/>
          <w:color w:val="auto"/>
          <w:sz w:val="36"/>
          <w:szCs w:val="36"/>
          <w:highlight w:val="none"/>
        </w:rPr>
      </w:pPr>
    </w:p>
    <w:p w14:paraId="46D88CD6">
      <w:pPr>
        <w:spacing w:line="360" w:lineRule="auto"/>
        <w:ind w:firstLine="482"/>
        <w:rPr>
          <w:rFonts w:hint="eastAsia" w:ascii="宋体" w:hAnsi="宋体"/>
          <w:color w:val="auto"/>
          <w:sz w:val="24"/>
          <w:highlight w:val="none"/>
        </w:rPr>
      </w:pPr>
    </w:p>
    <w:p w14:paraId="7C9FD511">
      <w:pPr>
        <w:numPr>
          <w:ilvl w:val="0"/>
          <w:numId w:val="26"/>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开标一览表（格式附后）；</w:t>
      </w:r>
    </w:p>
    <w:p w14:paraId="1ABDD986">
      <w:pPr>
        <w:numPr>
          <w:ilvl w:val="0"/>
          <w:numId w:val="26"/>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报价明细表（格式附后）</w:t>
      </w:r>
    </w:p>
    <w:p w14:paraId="004EB656">
      <w:pPr>
        <w:numPr>
          <w:ilvl w:val="0"/>
          <w:numId w:val="26"/>
        </w:numPr>
        <w:spacing w:line="360" w:lineRule="auto"/>
        <w:ind w:firstLine="480" w:firstLineChars="200"/>
        <w:rPr>
          <w:rFonts w:hint="eastAsia" w:ascii="宋体" w:hAnsi="宋体"/>
          <w:color w:val="auto"/>
          <w:kern w:val="0"/>
          <w:sz w:val="24"/>
          <w:highlight w:val="none"/>
        </w:rPr>
      </w:pPr>
      <w:r>
        <w:rPr>
          <w:rFonts w:hint="eastAsia" w:ascii="宋体" w:hAnsi="宋体"/>
          <w:color w:val="auto"/>
          <w:sz w:val="24"/>
          <w:highlight w:val="none"/>
        </w:rPr>
        <w:t>供应商认为其他需要说明的内容</w:t>
      </w:r>
      <w:r>
        <w:rPr>
          <w:rFonts w:hint="eastAsia" w:ascii="宋体" w:hAnsi="宋体"/>
          <w:color w:val="auto"/>
          <w:sz w:val="24"/>
          <w:highlight w:val="none"/>
          <w:lang w:eastAsia="zh-CN"/>
        </w:rPr>
        <w:t>如《中小企业声明函》（格式附后）等</w:t>
      </w:r>
      <w:r>
        <w:rPr>
          <w:rFonts w:hint="eastAsia" w:ascii="宋体" w:hAnsi="宋体"/>
          <w:bCs/>
          <w:color w:val="auto"/>
          <w:kern w:val="0"/>
          <w:sz w:val="24"/>
          <w:highlight w:val="none"/>
        </w:rPr>
        <w:t>。</w:t>
      </w:r>
    </w:p>
    <w:p w14:paraId="66B5ADBF">
      <w:pPr>
        <w:spacing w:line="360" w:lineRule="auto"/>
        <w:ind w:firstLine="560"/>
        <w:rPr>
          <w:rFonts w:hint="eastAsia" w:ascii="宋体" w:hAnsi="宋体"/>
          <w:b/>
          <w:color w:val="auto"/>
          <w:sz w:val="28"/>
          <w:highlight w:val="none"/>
        </w:rPr>
      </w:pPr>
    </w:p>
    <w:p w14:paraId="62D7748B">
      <w:pPr>
        <w:spacing w:line="360" w:lineRule="auto"/>
        <w:ind w:left="480" w:firstLine="560"/>
        <w:rPr>
          <w:rFonts w:hint="eastAsia" w:ascii="宋体" w:hAnsi="宋体"/>
          <w:b/>
          <w:color w:val="auto"/>
          <w:sz w:val="28"/>
          <w:highlight w:val="none"/>
        </w:rPr>
      </w:pPr>
    </w:p>
    <w:p w14:paraId="7E9EDFE5">
      <w:pPr>
        <w:spacing w:line="360" w:lineRule="auto"/>
        <w:ind w:left="480" w:firstLine="560"/>
        <w:rPr>
          <w:rFonts w:hint="eastAsia" w:ascii="宋体" w:hAnsi="宋体"/>
          <w:b/>
          <w:color w:val="auto"/>
          <w:sz w:val="28"/>
          <w:highlight w:val="none"/>
        </w:rPr>
      </w:pPr>
    </w:p>
    <w:p w14:paraId="30004782">
      <w:pPr>
        <w:spacing w:line="360" w:lineRule="auto"/>
        <w:ind w:left="480" w:firstLine="560"/>
        <w:rPr>
          <w:rFonts w:hint="eastAsia" w:ascii="宋体" w:hAnsi="宋体"/>
          <w:b/>
          <w:color w:val="auto"/>
          <w:sz w:val="28"/>
          <w:highlight w:val="none"/>
        </w:rPr>
      </w:pPr>
    </w:p>
    <w:p w14:paraId="15C40EAF">
      <w:pPr>
        <w:spacing w:line="360" w:lineRule="auto"/>
        <w:ind w:left="480" w:firstLine="560"/>
        <w:rPr>
          <w:rFonts w:hint="eastAsia" w:ascii="宋体" w:hAnsi="宋体"/>
          <w:b/>
          <w:color w:val="auto"/>
          <w:sz w:val="28"/>
          <w:highlight w:val="none"/>
        </w:rPr>
      </w:pPr>
    </w:p>
    <w:p w14:paraId="1D741BDB">
      <w:pPr>
        <w:spacing w:line="360" w:lineRule="auto"/>
        <w:ind w:left="480" w:firstLine="560"/>
        <w:rPr>
          <w:rFonts w:hint="eastAsia" w:ascii="宋体" w:hAnsi="宋体"/>
          <w:b/>
          <w:color w:val="auto"/>
          <w:sz w:val="28"/>
          <w:highlight w:val="none"/>
        </w:rPr>
      </w:pPr>
    </w:p>
    <w:p w14:paraId="0A5D5097">
      <w:pPr>
        <w:spacing w:line="360" w:lineRule="auto"/>
        <w:ind w:left="480" w:firstLine="560"/>
        <w:rPr>
          <w:rFonts w:hint="eastAsia" w:ascii="宋体" w:hAnsi="宋体"/>
          <w:b/>
          <w:color w:val="auto"/>
          <w:sz w:val="28"/>
          <w:highlight w:val="none"/>
        </w:rPr>
      </w:pPr>
    </w:p>
    <w:p w14:paraId="38E974E4">
      <w:pPr>
        <w:spacing w:line="360" w:lineRule="auto"/>
        <w:ind w:left="480" w:firstLine="560"/>
        <w:rPr>
          <w:rFonts w:hint="eastAsia" w:ascii="宋体" w:hAnsi="宋体"/>
          <w:b/>
          <w:color w:val="auto"/>
          <w:sz w:val="28"/>
          <w:highlight w:val="none"/>
        </w:rPr>
      </w:pPr>
    </w:p>
    <w:p w14:paraId="6F3625F8">
      <w:pPr>
        <w:spacing w:line="360" w:lineRule="auto"/>
        <w:ind w:left="480" w:firstLine="560"/>
        <w:rPr>
          <w:rFonts w:hint="eastAsia" w:ascii="宋体" w:hAnsi="宋体"/>
          <w:b/>
          <w:color w:val="auto"/>
          <w:sz w:val="28"/>
          <w:highlight w:val="none"/>
        </w:rPr>
      </w:pPr>
    </w:p>
    <w:p w14:paraId="0B5B7E74">
      <w:pPr>
        <w:spacing w:line="360" w:lineRule="auto"/>
        <w:ind w:left="480" w:firstLine="560"/>
        <w:rPr>
          <w:rFonts w:hint="eastAsia" w:ascii="宋体" w:hAnsi="宋体"/>
          <w:b/>
          <w:color w:val="auto"/>
          <w:sz w:val="28"/>
          <w:highlight w:val="none"/>
        </w:rPr>
      </w:pPr>
    </w:p>
    <w:p w14:paraId="500ED639">
      <w:pPr>
        <w:spacing w:line="360" w:lineRule="auto"/>
        <w:ind w:left="480" w:firstLine="560"/>
        <w:rPr>
          <w:rFonts w:hint="eastAsia" w:ascii="宋体" w:hAnsi="宋体"/>
          <w:b/>
          <w:color w:val="auto"/>
          <w:sz w:val="28"/>
          <w:highlight w:val="none"/>
        </w:rPr>
      </w:pPr>
    </w:p>
    <w:p w14:paraId="643D1761">
      <w:pPr>
        <w:spacing w:line="360" w:lineRule="auto"/>
        <w:ind w:left="480" w:firstLine="560"/>
        <w:rPr>
          <w:rFonts w:hint="eastAsia" w:ascii="宋体" w:hAnsi="宋体"/>
          <w:b/>
          <w:color w:val="auto"/>
          <w:sz w:val="28"/>
          <w:highlight w:val="none"/>
        </w:rPr>
      </w:pPr>
    </w:p>
    <w:p w14:paraId="16B6D9CE">
      <w:pPr>
        <w:spacing w:line="360" w:lineRule="auto"/>
        <w:ind w:left="480" w:firstLine="560"/>
        <w:rPr>
          <w:rFonts w:hint="eastAsia" w:ascii="宋体" w:hAnsi="宋体"/>
          <w:b/>
          <w:color w:val="auto"/>
          <w:sz w:val="28"/>
          <w:highlight w:val="none"/>
        </w:rPr>
      </w:pPr>
    </w:p>
    <w:p w14:paraId="7FCE6715">
      <w:pPr>
        <w:spacing w:line="360" w:lineRule="auto"/>
        <w:ind w:left="480" w:firstLine="560"/>
        <w:rPr>
          <w:rFonts w:hint="eastAsia" w:ascii="宋体" w:hAnsi="宋体"/>
          <w:b/>
          <w:color w:val="auto"/>
          <w:sz w:val="28"/>
          <w:highlight w:val="none"/>
        </w:rPr>
      </w:pPr>
    </w:p>
    <w:p w14:paraId="372C8C7F">
      <w:pPr>
        <w:spacing w:line="360" w:lineRule="auto"/>
        <w:ind w:firstLine="56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6B067D16">
      <w:pPr>
        <w:spacing w:line="360" w:lineRule="auto"/>
        <w:ind w:firstLine="562" w:firstLineChars="200"/>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72F9AF6C">
      <w:pPr>
        <w:spacing w:line="360" w:lineRule="auto"/>
        <w:ind w:left="-2"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开标一览表</w:t>
      </w:r>
    </w:p>
    <w:p w14:paraId="6FCBBAF1">
      <w:pPr>
        <w:pStyle w:val="23"/>
        <w:spacing w:line="360" w:lineRule="auto"/>
        <w:ind w:firstLine="482" w:firstLineChars="200"/>
        <w:rPr>
          <w:rFonts w:hint="eastAsia" w:hAnsi="宋体"/>
          <w:b/>
          <w:color w:val="auto"/>
          <w:sz w:val="24"/>
          <w:highlight w:val="none"/>
        </w:rPr>
      </w:pPr>
      <w:r>
        <w:rPr>
          <w:rFonts w:hAnsi="宋体"/>
          <w:b/>
          <w:color w:val="auto"/>
          <w:sz w:val="24"/>
          <w:highlight w:val="none"/>
        </w:rPr>
        <w:t>项目编号：</w:t>
      </w:r>
    </w:p>
    <w:p w14:paraId="75CFA15D">
      <w:pPr>
        <w:pStyle w:val="65"/>
        <w:spacing w:line="360" w:lineRule="auto"/>
        <w:ind w:right="480" w:firstLine="482" w:firstLineChars="200"/>
        <w:jc w:val="left"/>
        <w:rPr>
          <w:rFonts w:hint="eastAsia" w:ascii="宋体" w:hAnsi="宋体"/>
          <w:color w:val="auto"/>
          <w:sz w:val="24"/>
          <w:highlight w:val="none"/>
        </w:rPr>
      </w:pPr>
      <w:r>
        <w:rPr>
          <w:rFonts w:hAnsi="宋体"/>
          <w:b/>
          <w:color w:val="auto"/>
          <w:sz w:val="24"/>
          <w:highlight w:val="none"/>
        </w:rPr>
        <w:t>项目名称：</w:t>
      </w:r>
      <w:r>
        <w:rPr>
          <w:rFonts w:hint="eastAsia" w:hAnsi="宋体"/>
          <w:b/>
          <w:color w:val="auto"/>
          <w:sz w:val="24"/>
          <w:highlight w:val="none"/>
        </w:rPr>
        <w:t xml:space="preserve">                               </w:t>
      </w:r>
      <w:r>
        <w:rPr>
          <w:rFonts w:ascii="宋体" w:hAnsi="宋体"/>
          <w:color w:val="auto"/>
          <w:sz w:val="24"/>
          <w:highlight w:val="none"/>
        </w:rPr>
        <w:t>〔</w:t>
      </w:r>
      <w:r>
        <w:rPr>
          <w:rFonts w:hint="eastAsia" w:ascii="宋体" w:hAnsi="宋体"/>
          <w:color w:val="auto"/>
          <w:sz w:val="24"/>
          <w:highlight w:val="none"/>
        </w:rPr>
        <w:t>货币单位：</w:t>
      </w:r>
      <w:r>
        <w:rPr>
          <w:rFonts w:hint="eastAsia" w:ascii="宋体" w:hAnsi="宋体"/>
          <w:color w:val="auto"/>
          <w:sz w:val="24"/>
          <w:highlight w:val="none"/>
          <w:u w:val="single"/>
        </w:rPr>
        <w:t>人民币元</w:t>
      </w:r>
      <w:r>
        <w:rPr>
          <w:rFonts w:ascii="宋体" w:hAnsi="宋体"/>
          <w:color w:val="auto"/>
          <w:sz w:val="24"/>
          <w:highlight w:val="none"/>
        </w:rPr>
        <w:t>〕</w:t>
      </w:r>
    </w:p>
    <w:tbl>
      <w:tblPr>
        <w:tblStyle w:val="36"/>
        <w:tblW w:w="87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15"/>
        <w:gridCol w:w="1359"/>
        <w:gridCol w:w="4665"/>
      </w:tblGrid>
      <w:tr w14:paraId="482AA58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50" w:hRule="atLeast"/>
          <w:jc w:val="center"/>
        </w:trPr>
        <w:tc>
          <w:tcPr>
            <w:tcW w:w="2715" w:type="dxa"/>
            <w:vMerge w:val="restart"/>
            <w:tcBorders>
              <w:top w:val="single" w:color="auto" w:sz="12" w:space="0"/>
              <w:left w:val="single" w:color="auto" w:sz="12" w:space="0"/>
              <w:bottom w:val="single" w:color="auto" w:sz="4" w:space="0"/>
              <w:right w:val="single" w:color="auto" w:sz="4" w:space="0"/>
            </w:tcBorders>
            <w:vAlign w:val="center"/>
          </w:tcPr>
          <w:p w14:paraId="396E69B1">
            <w:pPr>
              <w:autoSpaceDE w:val="0"/>
              <w:autoSpaceDN w:val="0"/>
              <w:spacing w:line="450" w:lineRule="exact"/>
              <w:ind w:firstLine="482"/>
              <w:jc w:val="center"/>
              <w:textAlignment w:val="bottom"/>
              <w:rPr>
                <w:rFonts w:hint="eastAsia" w:ascii="宋体" w:hAnsi="宋体"/>
                <w:color w:val="auto"/>
                <w:sz w:val="24"/>
                <w:highlight w:val="none"/>
              </w:rPr>
            </w:pPr>
            <w:r>
              <w:rPr>
                <w:rFonts w:hint="eastAsia" w:ascii="宋体" w:hAnsi="宋体"/>
                <w:color w:val="auto"/>
                <w:sz w:val="24"/>
                <w:highlight w:val="none"/>
              </w:rPr>
              <w:t>总报价(元)</w:t>
            </w:r>
          </w:p>
        </w:tc>
        <w:tc>
          <w:tcPr>
            <w:tcW w:w="1359" w:type="dxa"/>
            <w:tcBorders>
              <w:top w:val="single" w:color="auto" w:sz="12" w:space="0"/>
              <w:left w:val="single" w:color="auto" w:sz="4" w:space="0"/>
              <w:bottom w:val="single" w:color="auto" w:sz="4" w:space="0"/>
              <w:right w:val="single" w:color="auto" w:sz="4" w:space="0"/>
            </w:tcBorders>
            <w:vAlign w:val="center"/>
          </w:tcPr>
          <w:p w14:paraId="5BD97D59">
            <w:pPr>
              <w:autoSpaceDE w:val="0"/>
              <w:autoSpaceDN w:val="0"/>
              <w:spacing w:line="450" w:lineRule="exact"/>
              <w:ind w:firstLine="482"/>
              <w:jc w:val="center"/>
              <w:textAlignment w:val="bottom"/>
              <w:rPr>
                <w:rFonts w:hint="eastAsia" w:ascii="宋体" w:hAnsi="宋体"/>
                <w:color w:val="auto"/>
                <w:sz w:val="24"/>
                <w:highlight w:val="none"/>
              </w:rPr>
            </w:pPr>
            <w:r>
              <w:rPr>
                <w:rFonts w:hint="eastAsia" w:ascii="宋体" w:hAnsi="宋体"/>
                <w:color w:val="auto"/>
                <w:sz w:val="24"/>
                <w:highlight w:val="none"/>
              </w:rPr>
              <w:t>大写</w:t>
            </w:r>
          </w:p>
        </w:tc>
        <w:tc>
          <w:tcPr>
            <w:tcW w:w="4665" w:type="dxa"/>
            <w:tcBorders>
              <w:top w:val="single" w:color="auto" w:sz="12" w:space="0"/>
              <w:left w:val="single" w:color="auto" w:sz="4" w:space="0"/>
              <w:bottom w:val="single" w:color="auto" w:sz="4" w:space="0"/>
              <w:right w:val="single" w:color="auto" w:sz="12" w:space="0"/>
            </w:tcBorders>
            <w:vAlign w:val="center"/>
          </w:tcPr>
          <w:p w14:paraId="41AA9533">
            <w:pPr>
              <w:autoSpaceDE w:val="0"/>
              <w:autoSpaceDN w:val="0"/>
              <w:spacing w:line="450" w:lineRule="exact"/>
              <w:ind w:firstLine="482"/>
              <w:jc w:val="center"/>
              <w:textAlignment w:val="bottom"/>
              <w:rPr>
                <w:rFonts w:hint="eastAsia" w:ascii="宋体" w:hAnsi="宋体"/>
                <w:color w:val="auto"/>
                <w:sz w:val="24"/>
                <w:highlight w:val="none"/>
              </w:rPr>
            </w:pPr>
          </w:p>
        </w:tc>
      </w:tr>
      <w:tr w14:paraId="3B8438B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99" w:hRule="atLeast"/>
          <w:jc w:val="center"/>
        </w:trPr>
        <w:tc>
          <w:tcPr>
            <w:tcW w:w="2715" w:type="dxa"/>
            <w:vMerge w:val="continue"/>
            <w:tcBorders>
              <w:top w:val="single" w:color="auto" w:sz="12" w:space="0"/>
              <w:left w:val="single" w:color="auto" w:sz="12" w:space="0"/>
              <w:bottom w:val="single" w:color="auto" w:sz="4" w:space="0"/>
              <w:right w:val="single" w:color="auto" w:sz="4" w:space="0"/>
            </w:tcBorders>
            <w:vAlign w:val="center"/>
          </w:tcPr>
          <w:p w14:paraId="271C6038">
            <w:pPr>
              <w:ind w:firstLine="482"/>
              <w:rPr>
                <w:rFonts w:hint="eastAsia" w:ascii="宋体" w:hAnsi="宋体"/>
                <w:color w:val="auto"/>
                <w:sz w:val="24"/>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14:paraId="06A3FEB7">
            <w:pPr>
              <w:autoSpaceDE w:val="0"/>
              <w:autoSpaceDN w:val="0"/>
              <w:spacing w:line="450" w:lineRule="exact"/>
              <w:ind w:firstLine="482"/>
              <w:jc w:val="center"/>
              <w:textAlignment w:val="bottom"/>
              <w:rPr>
                <w:rFonts w:hint="eastAsia" w:ascii="宋体" w:hAnsi="宋体"/>
                <w:color w:val="auto"/>
                <w:sz w:val="24"/>
                <w:highlight w:val="none"/>
              </w:rPr>
            </w:pPr>
            <w:r>
              <w:rPr>
                <w:rFonts w:hint="eastAsia" w:ascii="宋体" w:hAnsi="宋体"/>
                <w:color w:val="auto"/>
                <w:sz w:val="24"/>
                <w:highlight w:val="none"/>
              </w:rPr>
              <w:t>小写</w:t>
            </w:r>
          </w:p>
        </w:tc>
        <w:tc>
          <w:tcPr>
            <w:tcW w:w="4665" w:type="dxa"/>
            <w:tcBorders>
              <w:top w:val="single" w:color="auto" w:sz="4" w:space="0"/>
              <w:left w:val="single" w:color="auto" w:sz="4" w:space="0"/>
              <w:bottom w:val="single" w:color="auto" w:sz="4" w:space="0"/>
              <w:right w:val="single" w:color="auto" w:sz="12" w:space="0"/>
            </w:tcBorders>
            <w:vAlign w:val="center"/>
          </w:tcPr>
          <w:p w14:paraId="5C6F7910">
            <w:pPr>
              <w:autoSpaceDE w:val="0"/>
              <w:autoSpaceDN w:val="0"/>
              <w:spacing w:line="450" w:lineRule="exact"/>
              <w:ind w:firstLine="482"/>
              <w:jc w:val="center"/>
              <w:textAlignment w:val="bottom"/>
              <w:rPr>
                <w:rFonts w:hint="eastAsia" w:ascii="宋体" w:hAnsi="宋体"/>
                <w:color w:val="auto"/>
                <w:sz w:val="24"/>
                <w:highlight w:val="none"/>
              </w:rPr>
            </w:pPr>
          </w:p>
        </w:tc>
      </w:tr>
    </w:tbl>
    <w:p w14:paraId="5A7FF55B">
      <w:pPr>
        <w:pStyle w:val="65"/>
        <w:spacing w:line="360" w:lineRule="auto"/>
        <w:ind w:right="480"/>
        <w:jc w:val="left"/>
        <w:rPr>
          <w:rFonts w:hint="eastAsia" w:ascii="宋体" w:hAnsi="宋体"/>
          <w:color w:val="auto"/>
          <w:sz w:val="24"/>
          <w:highlight w:val="none"/>
        </w:rPr>
      </w:pPr>
    </w:p>
    <w:p w14:paraId="79F48516">
      <w:pPr>
        <w:spacing w:line="360" w:lineRule="auto"/>
        <w:ind w:firstLine="422" w:firstLineChars="200"/>
        <w:rPr>
          <w:rFonts w:hint="eastAsia" w:ascii="宋体" w:hAnsi="宋体"/>
          <w:color w:val="auto"/>
          <w:sz w:val="24"/>
          <w:highlight w:val="none"/>
        </w:rPr>
      </w:pPr>
      <w:r>
        <w:rPr>
          <w:rFonts w:hint="eastAsia" w:ascii="宋体" w:hAnsi="宋体"/>
          <w:b/>
          <w:color w:val="auto"/>
          <w:szCs w:val="21"/>
          <w:highlight w:val="none"/>
        </w:rPr>
        <w:t>填报要求：</w:t>
      </w:r>
    </w:p>
    <w:p w14:paraId="34A2A5D0">
      <w:pPr>
        <w:numPr>
          <w:ilvl w:val="0"/>
          <w:numId w:val="27"/>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所有产品均采用人民币报价。投标报价应是招标文件所确定的招标范围内全部工作内容的价格表现。其应包含实现采购需求的所有功能及安全保障工作，采购人不再另外增加费用，其应包括（但不限于）本项目全部功能开发完善、全部所投货物及其标准配件费用、税费及包装、运至最终目的地的运输、保险、技术支持与培训、辅材、专用工具等整套设备及运行维护、第三方检测、验收、质保，管理、税金等，对于其他招标文件未列明、且是本项目配套所必需的文件、资料、设备等，或投标供应商认为必需的费用，投标供应商也应综合考虑，包含在投标报价中。</w:t>
      </w:r>
    </w:p>
    <w:p w14:paraId="5EBFEA1D">
      <w:pPr>
        <w:numPr>
          <w:ilvl w:val="0"/>
          <w:numId w:val="27"/>
        </w:numPr>
        <w:spacing w:line="360"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报价一经涂改，应在涂改处加盖单位公章，或者由法定代表人或全权代表签字或盖章，否则其投标作无效标处理。</w:t>
      </w:r>
    </w:p>
    <w:p w14:paraId="46BD59DA">
      <w:pPr>
        <w:numPr>
          <w:ilvl w:val="0"/>
          <w:numId w:val="0"/>
        </w:numPr>
        <w:spacing w:line="360" w:lineRule="auto"/>
        <w:rPr>
          <w:rFonts w:hint="eastAsia" w:ascii="宋体" w:hAnsi="宋体"/>
          <w:color w:val="auto"/>
          <w:szCs w:val="21"/>
          <w:highlight w:val="none"/>
        </w:rPr>
      </w:pPr>
    </w:p>
    <w:p w14:paraId="283438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投标人名称（公章）：</w:t>
      </w:r>
    </w:p>
    <w:p w14:paraId="766F22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投标人代表签字或盖章：</w:t>
      </w:r>
    </w:p>
    <w:p w14:paraId="2085F1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p w14:paraId="4D85D9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23008ED9">
      <w:pPr>
        <w:snapToGrid w:val="0"/>
        <w:spacing w:before="156" w:beforeLines="50" w:after="50" w:line="360" w:lineRule="auto"/>
        <w:ind w:firstLine="560"/>
        <w:rPr>
          <w:rFonts w:hint="eastAsia" w:ascii="宋体" w:hAnsi="宋体"/>
          <w:b/>
          <w:color w:val="auto"/>
          <w:sz w:val="28"/>
          <w:highlight w:val="none"/>
        </w:rPr>
      </w:pPr>
    </w:p>
    <w:p w14:paraId="6774CF5B">
      <w:pPr>
        <w:snapToGrid w:val="0"/>
        <w:spacing w:before="156" w:beforeLines="50" w:after="50" w:line="360" w:lineRule="auto"/>
        <w:ind w:firstLine="560"/>
        <w:rPr>
          <w:rFonts w:hint="eastAsia" w:ascii="宋体" w:hAnsi="宋体"/>
          <w:b/>
          <w:color w:val="auto"/>
          <w:sz w:val="28"/>
          <w:highlight w:val="none"/>
        </w:rPr>
      </w:pPr>
    </w:p>
    <w:p w14:paraId="4CA5A65F">
      <w:pPr>
        <w:pStyle w:val="46"/>
        <w:rPr>
          <w:rFonts w:hint="eastAsia" w:ascii="宋体" w:hAnsi="宋体"/>
          <w:b/>
          <w:color w:val="auto"/>
          <w:sz w:val="28"/>
          <w:highlight w:val="none"/>
        </w:rPr>
      </w:pPr>
    </w:p>
    <w:p w14:paraId="2AD1D1AF">
      <w:pPr>
        <w:rPr>
          <w:rFonts w:hint="eastAsia" w:ascii="宋体" w:hAnsi="宋体"/>
          <w:b/>
          <w:color w:val="auto"/>
          <w:sz w:val="28"/>
          <w:highlight w:val="none"/>
        </w:rPr>
      </w:pPr>
      <w:r>
        <w:rPr>
          <w:rFonts w:hint="eastAsia" w:ascii="宋体" w:hAnsi="宋体"/>
          <w:b/>
          <w:color w:val="auto"/>
          <w:sz w:val="28"/>
          <w:highlight w:val="none"/>
        </w:rPr>
        <w:br w:type="page"/>
      </w:r>
    </w:p>
    <w:p w14:paraId="09EC5DFC">
      <w:pPr>
        <w:spacing w:line="360" w:lineRule="auto"/>
        <w:ind w:left="-2" w:firstLine="562" w:firstLineChars="200"/>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3</w:t>
      </w:r>
    </w:p>
    <w:p w14:paraId="2A4AA0D5">
      <w:pPr>
        <w:spacing w:line="360" w:lineRule="auto"/>
        <w:ind w:left="-2" w:firstLine="643" w:firstLineChars="200"/>
        <w:jc w:val="center"/>
        <w:rPr>
          <w:rFonts w:hint="eastAsia" w:ascii="宋体" w:hAnsi="宋体"/>
          <w:color w:val="auto"/>
          <w:highlight w:val="none"/>
        </w:rPr>
      </w:pPr>
      <w:r>
        <w:rPr>
          <w:rFonts w:hint="eastAsia" w:ascii="宋体" w:hAnsi="宋体"/>
          <w:b/>
          <w:color w:val="auto"/>
          <w:sz w:val="32"/>
          <w:szCs w:val="32"/>
          <w:highlight w:val="none"/>
        </w:rPr>
        <w:t>报价明细表</w:t>
      </w:r>
    </w:p>
    <w:p w14:paraId="0C08E020">
      <w:pPr>
        <w:pStyle w:val="65"/>
        <w:spacing w:line="360" w:lineRule="auto"/>
        <w:ind w:right="480"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项目编号：                               [货币单位：</w:t>
      </w:r>
      <w:r>
        <w:rPr>
          <w:rFonts w:hint="eastAsia" w:ascii="宋体" w:hAnsi="宋体"/>
          <w:color w:val="auto"/>
          <w:sz w:val="24"/>
          <w:highlight w:val="none"/>
          <w:u w:val="single"/>
        </w:rPr>
        <w:t>人民币</w:t>
      </w:r>
      <w:r>
        <w:rPr>
          <w:rFonts w:ascii="宋体" w:hAnsi="宋体"/>
          <w:color w:val="auto"/>
          <w:sz w:val="24"/>
          <w:highlight w:val="none"/>
          <w:u w:val="single"/>
        </w:rPr>
        <w:t>元</w:t>
      </w:r>
      <w:r>
        <w:rPr>
          <w:rFonts w:hint="eastAsia" w:ascii="宋体" w:hAnsi="宋体"/>
          <w:color w:val="auto"/>
          <w:sz w:val="24"/>
          <w:highlight w:val="none"/>
        </w:rPr>
        <w:t>]</w:t>
      </w:r>
    </w:p>
    <w:tbl>
      <w:tblPr>
        <w:tblStyle w:val="36"/>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83"/>
        <w:gridCol w:w="1868"/>
        <w:gridCol w:w="695"/>
        <w:gridCol w:w="1023"/>
        <w:gridCol w:w="829"/>
        <w:gridCol w:w="903"/>
        <w:gridCol w:w="900"/>
      </w:tblGrid>
      <w:tr w14:paraId="0B95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70" w:type="dxa"/>
            <w:vAlign w:val="center"/>
          </w:tcPr>
          <w:p w14:paraId="4B8AEFCF">
            <w:pPr>
              <w:widowControl/>
              <w:jc w:val="center"/>
              <w:textAlignment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序号</w:t>
            </w:r>
          </w:p>
        </w:tc>
        <w:tc>
          <w:tcPr>
            <w:tcW w:w="1683" w:type="dxa"/>
            <w:vAlign w:val="center"/>
          </w:tcPr>
          <w:p w14:paraId="2C1EBD47">
            <w:pPr>
              <w:widowControl/>
              <w:jc w:val="center"/>
              <w:textAlignment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项目名称</w:t>
            </w:r>
          </w:p>
        </w:tc>
        <w:tc>
          <w:tcPr>
            <w:tcW w:w="1868" w:type="dxa"/>
            <w:vAlign w:val="center"/>
          </w:tcPr>
          <w:p w14:paraId="325027E8">
            <w:pPr>
              <w:widowControl/>
              <w:jc w:val="center"/>
              <w:textAlignment w:val="center"/>
              <w:rPr>
                <w:rFonts w:hint="eastAsia" w:ascii="宋体" w:hAnsi="宋体"/>
                <w:b/>
                <w:color w:val="auto"/>
                <w:sz w:val="24"/>
                <w:highlight w:val="none"/>
              </w:rPr>
            </w:pPr>
            <w:r>
              <w:rPr>
                <w:rFonts w:hint="eastAsia" w:ascii="宋体" w:hAnsi="宋体" w:cs="宋体"/>
                <w:b/>
                <w:color w:val="auto"/>
                <w:kern w:val="0"/>
                <w:szCs w:val="21"/>
                <w:highlight w:val="none"/>
                <w:lang w:bidi="ar"/>
              </w:rPr>
              <w:t>规格型号</w:t>
            </w:r>
          </w:p>
        </w:tc>
        <w:tc>
          <w:tcPr>
            <w:tcW w:w="695" w:type="dxa"/>
            <w:vAlign w:val="center"/>
          </w:tcPr>
          <w:p w14:paraId="4817C453">
            <w:pPr>
              <w:widowControl/>
              <w:jc w:val="center"/>
              <w:textAlignment w:val="center"/>
              <w:rPr>
                <w:rFonts w:hint="eastAsia" w:ascii="宋体" w:hAnsi="宋体"/>
                <w:b/>
                <w:color w:val="auto"/>
                <w:sz w:val="24"/>
                <w:highlight w:val="none"/>
              </w:rPr>
            </w:pPr>
            <w:r>
              <w:rPr>
                <w:rFonts w:hint="eastAsia" w:ascii="宋体" w:hAnsi="宋体" w:cs="宋体"/>
                <w:b/>
                <w:color w:val="auto"/>
                <w:kern w:val="0"/>
                <w:szCs w:val="21"/>
                <w:highlight w:val="none"/>
                <w:lang w:bidi="ar"/>
              </w:rPr>
              <w:t>单位</w:t>
            </w:r>
          </w:p>
        </w:tc>
        <w:tc>
          <w:tcPr>
            <w:tcW w:w="1023" w:type="dxa"/>
            <w:vAlign w:val="center"/>
          </w:tcPr>
          <w:p w14:paraId="52D38436">
            <w:pPr>
              <w:widowControl/>
              <w:jc w:val="center"/>
              <w:textAlignment w:val="center"/>
              <w:rPr>
                <w:rFonts w:hint="eastAsia" w:ascii="宋体" w:hAnsi="宋体"/>
                <w:b/>
                <w:color w:val="auto"/>
                <w:sz w:val="24"/>
                <w:highlight w:val="none"/>
              </w:rPr>
            </w:pPr>
            <w:r>
              <w:rPr>
                <w:rFonts w:hint="eastAsia" w:ascii="宋体" w:hAnsi="宋体" w:cs="宋体"/>
                <w:b/>
                <w:color w:val="auto"/>
                <w:kern w:val="0"/>
                <w:szCs w:val="21"/>
                <w:highlight w:val="none"/>
                <w:lang w:bidi="ar"/>
              </w:rPr>
              <w:t>数量</w:t>
            </w:r>
          </w:p>
        </w:tc>
        <w:tc>
          <w:tcPr>
            <w:tcW w:w="829" w:type="dxa"/>
            <w:vAlign w:val="center"/>
          </w:tcPr>
          <w:p w14:paraId="1783E037">
            <w:pPr>
              <w:widowControl/>
              <w:jc w:val="center"/>
              <w:textAlignment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单价（元）</w:t>
            </w:r>
          </w:p>
        </w:tc>
        <w:tc>
          <w:tcPr>
            <w:tcW w:w="903" w:type="dxa"/>
            <w:vAlign w:val="center"/>
          </w:tcPr>
          <w:p w14:paraId="393D543B">
            <w:pPr>
              <w:widowControl/>
              <w:jc w:val="center"/>
              <w:textAlignment w:val="center"/>
              <w:rPr>
                <w:rFonts w:hint="eastAsia" w:ascii="宋体" w:hAnsi="宋体"/>
                <w:b/>
                <w:color w:val="auto"/>
                <w:sz w:val="24"/>
                <w:highlight w:val="none"/>
              </w:rPr>
            </w:pPr>
            <w:r>
              <w:rPr>
                <w:rFonts w:hint="eastAsia" w:ascii="宋体" w:hAnsi="宋体" w:cs="宋体"/>
                <w:b/>
                <w:color w:val="auto"/>
                <w:kern w:val="0"/>
                <w:szCs w:val="21"/>
                <w:highlight w:val="none"/>
                <w:lang w:bidi="ar"/>
              </w:rPr>
              <w:t>小计（元）</w:t>
            </w:r>
          </w:p>
        </w:tc>
        <w:tc>
          <w:tcPr>
            <w:tcW w:w="900" w:type="dxa"/>
            <w:vAlign w:val="center"/>
          </w:tcPr>
          <w:p w14:paraId="00D52265">
            <w:pPr>
              <w:widowControl/>
              <w:jc w:val="center"/>
              <w:textAlignment w:val="center"/>
              <w:rPr>
                <w:rFonts w:hint="eastAsia" w:ascii="宋体" w:hAnsi="宋体"/>
                <w:b/>
                <w:color w:val="auto"/>
                <w:sz w:val="24"/>
                <w:highlight w:val="none"/>
              </w:rPr>
            </w:pPr>
            <w:r>
              <w:rPr>
                <w:rFonts w:hint="eastAsia" w:ascii="宋体" w:hAnsi="宋体" w:cs="宋体"/>
                <w:b/>
                <w:color w:val="auto"/>
                <w:kern w:val="0"/>
                <w:szCs w:val="21"/>
                <w:highlight w:val="none"/>
                <w:lang w:bidi="ar"/>
              </w:rPr>
              <w:t>备注</w:t>
            </w:r>
          </w:p>
        </w:tc>
      </w:tr>
      <w:tr w14:paraId="375E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0" w:type="dxa"/>
            <w:vAlign w:val="center"/>
          </w:tcPr>
          <w:p w14:paraId="7579D263">
            <w:pPr>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1683" w:type="dxa"/>
            <w:vAlign w:val="center"/>
          </w:tcPr>
          <w:p w14:paraId="5D890E5F">
            <w:pPr>
              <w:spacing w:line="360" w:lineRule="auto"/>
              <w:ind w:firstLine="482"/>
              <w:rPr>
                <w:rFonts w:hint="eastAsia" w:ascii="宋体" w:hAnsi="宋体"/>
                <w:color w:val="auto"/>
                <w:sz w:val="24"/>
                <w:highlight w:val="none"/>
              </w:rPr>
            </w:pPr>
          </w:p>
        </w:tc>
        <w:tc>
          <w:tcPr>
            <w:tcW w:w="1868" w:type="dxa"/>
            <w:vAlign w:val="center"/>
          </w:tcPr>
          <w:p w14:paraId="6DF9320B">
            <w:pPr>
              <w:spacing w:line="360" w:lineRule="auto"/>
              <w:ind w:firstLine="482"/>
              <w:rPr>
                <w:rFonts w:hint="eastAsia" w:ascii="宋体" w:hAnsi="宋体"/>
                <w:color w:val="auto"/>
                <w:sz w:val="24"/>
                <w:highlight w:val="none"/>
              </w:rPr>
            </w:pPr>
          </w:p>
        </w:tc>
        <w:tc>
          <w:tcPr>
            <w:tcW w:w="695" w:type="dxa"/>
            <w:vAlign w:val="center"/>
          </w:tcPr>
          <w:p w14:paraId="0C01C08B">
            <w:pPr>
              <w:spacing w:line="360" w:lineRule="auto"/>
              <w:ind w:firstLine="482"/>
              <w:rPr>
                <w:rFonts w:hint="eastAsia" w:ascii="宋体" w:hAnsi="宋体"/>
                <w:color w:val="auto"/>
                <w:sz w:val="24"/>
                <w:highlight w:val="none"/>
              </w:rPr>
            </w:pPr>
          </w:p>
        </w:tc>
        <w:tc>
          <w:tcPr>
            <w:tcW w:w="1023" w:type="dxa"/>
            <w:vAlign w:val="center"/>
          </w:tcPr>
          <w:p w14:paraId="3A444161">
            <w:pPr>
              <w:spacing w:line="360" w:lineRule="auto"/>
              <w:ind w:firstLine="482"/>
              <w:rPr>
                <w:rFonts w:hint="eastAsia" w:ascii="宋体" w:hAnsi="宋体"/>
                <w:color w:val="auto"/>
                <w:sz w:val="24"/>
                <w:highlight w:val="none"/>
              </w:rPr>
            </w:pPr>
          </w:p>
        </w:tc>
        <w:tc>
          <w:tcPr>
            <w:tcW w:w="829" w:type="dxa"/>
            <w:vAlign w:val="center"/>
          </w:tcPr>
          <w:p w14:paraId="678CF882">
            <w:pPr>
              <w:spacing w:line="360" w:lineRule="auto"/>
              <w:ind w:firstLine="482"/>
              <w:rPr>
                <w:rFonts w:hint="eastAsia" w:ascii="宋体" w:hAnsi="宋体"/>
                <w:color w:val="auto"/>
                <w:sz w:val="24"/>
                <w:highlight w:val="none"/>
              </w:rPr>
            </w:pPr>
          </w:p>
        </w:tc>
        <w:tc>
          <w:tcPr>
            <w:tcW w:w="903" w:type="dxa"/>
            <w:vAlign w:val="center"/>
          </w:tcPr>
          <w:p w14:paraId="26267E00">
            <w:pPr>
              <w:spacing w:line="360" w:lineRule="auto"/>
              <w:ind w:firstLine="482"/>
              <w:rPr>
                <w:rFonts w:hint="eastAsia" w:ascii="宋体" w:hAnsi="宋体"/>
                <w:color w:val="auto"/>
                <w:sz w:val="24"/>
                <w:highlight w:val="none"/>
              </w:rPr>
            </w:pPr>
          </w:p>
        </w:tc>
        <w:tc>
          <w:tcPr>
            <w:tcW w:w="900" w:type="dxa"/>
            <w:vAlign w:val="center"/>
          </w:tcPr>
          <w:p w14:paraId="2DBC999F">
            <w:pPr>
              <w:spacing w:line="360" w:lineRule="auto"/>
              <w:ind w:firstLine="482"/>
              <w:rPr>
                <w:rFonts w:hint="eastAsia" w:ascii="宋体" w:hAnsi="宋体"/>
                <w:color w:val="auto"/>
                <w:sz w:val="24"/>
                <w:highlight w:val="none"/>
              </w:rPr>
            </w:pPr>
          </w:p>
        </w:tc>
      </w:tr>
      <w:tr w14:paraId="1454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0" w:type="dxa"/>
            <w:vAlign w:val="center"/>
          </w:tcPr>
          <w:p w14:paraId="348472C2">
            <w:pPr>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1683" w:type="dxa"/>
            <w:vAlign w:val="center"/>
          </w:tcPr>
          <w:p w14:paraId="583351F8">
            <w:pPr>
              <w:spacing w:line="360" w:lineRule="auto"/>
              <w:ind w:firstLine="482"/>
              <w:rPr>
                <w:rFonts w:hint="eastAsia" w:ascii="宋体" w:hAnsi="宋体"/>
                <w:color w:val="auto"/>
                <w:sz w:val="24"/>
                <w:highlight w:val="none"/>
              </w:rPr>
            </w:pPr>
          </w:p>
        </w:tc>
        <w:tc>
          <w:tcPr>
            <w:tcW w:w="1868" w:type="dxa"/>
            <w:vAlign w:val="center"/>
          </w:tcPr>
          <w:p w14:paraId="43DC7A99">
            <w:pPr>
              <w:spacing w:line="360" w:lineRule="auto"/>
              <w:ind w:firstLine="482"/>
              <w:rPr>
                <w:rFonts w:hint="eastAsia" w:ascii="宋体" w:hAnsi="宋体"/>
                <w:color w:val="auto"/>
                <w:sz w:val="24"/>
                <w:highlight w:val="none"/>
              </w:rPr>
            </w:pPr>
          </w:p>
        </w:tc>
        <w:tc>
          <w:tcPr>
            <w:tcW w:w="695" w:type="dxa"/>
            <w:vAlign w:val="center"/>
          </w:tcPr>
          <w:p w14:paraId="7C5821CF">
            <w:pPr>
              <w:spacing w:line="360" w:lineRule="auto"/>
              <w:ind w:firstLine="482"/>
              <w:rPr>
                <w:rFonts w:hint="eastAsia" w:ascii="宋体" w:hAnsi="宋体"/>
                <w:color w:val="auto"/>
                <w:sz w:val="24"/>
                <w:highlight w:val="none"/>
              </w:rPr>
            </w:pPr>
          </w:p>
        </w:tc>
        <w:tc>
          <w:tcPr>
            <w:tcW w:w="1023" w:type="dxa"/>
            <w:vAlign w:val="center"/>
          </w:tcPr>
          <w:p w14:paraId="5C16076C">
            <w:pPr>
              <w:spacing w:line="360" w:lineRule="auto"/>
              <w:ind w:firstLine="482"/>
              <w:rPr>
                <w:rFonts w:hint="eastAsia" w:ascii="宋体" w:hAnsi="宋体"/>
                <w:color w:val="auto"/>
                <w:sz w:val="24"/>
                <w:highlight w:val="none"/>
              </w:rPr>
            </w:pPr>
          </w:p>
        </w:tc>
        <w:tc>
          <w:tcPr>
            <w:tcW w:w="829" w:type="dxa"/>
            <w:vAlign w:val="center"/>
          </w:tcPr>
          <w:p w14:paraId="54279293">
            <w:pPr>
              <w:spacing w:line="360" w:lineRule="auto"/>
              <w:ind w:firstLine="482"/>
              <w:rPr>
                <w:rFonts w:hint="eastAsia" w:ascii="宋体" w:hAnsi="宋体"/>
                <w:color w:val="auto"/>
                <w:sz w:val="24"/>
                <w:highlight w:val="none"/>
              </w:rPr>
            </w:pPr>
          </w:p>
        </w:tc>
        <w:tc>
          <w:tcPr>
            <w:tcW w:w="903" w:type="dxa"/>
            <w:vAlign w:val="center"/>
          </w:tcPr>
          <w:p w14:paraId="0D2EF12A">
            <w:pPr>
              <w:spacing w:line="360" w:lineRule="auto"/>
              <w:ind w:firstLine="482"/>
              <w:rPr>
                <w:rFonts w:hint="eastAsia" w:ascii="宋体" w:hAnsi="宋体"/>
                <w:color w:val="auto"/>
                <w:sz w:val="24"/>
                <w:highlight w:val="none"/>
              </w:rPr>
            </w:pPr>
          </w:p>
        </w:tc>
        <w:tc>
          <w:tcPr>
            <w:tcW w:w="900" w:type="dxa"/>
            <w:vAlign w:val="center"/>
          </w:tcPr>
          <w:p w14:paraId="5CE690FA">
            <w:pPr>
              <w:spacing w:line="360" w:lineRule="auto"/>
              <w:ind w:firstLine="482"/>
              <w:rPr>
                <w:rFonts w:hint="eastAsia" w:ascii="宋体" w:hAnsi="宋体"/>
                <w:color w:val="auto"/>
                <w:sz w:val="24"/>
                <w:highlight w:val="none"/>
              </w:rPr>
            </w:pPr>
          </w:p>
        </w:tc>
      </w:tr>
      <w:tr w14:paraId="5ABC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70" w:type="dxa"/>
            <w:vAlign w:val="center"/>
          </w:tcPr>
          <w:p w14:paraId="108703D5">
            <w:pPr>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1683" w:type="dxa"/>
            <w:vAlign w:val="center"/>
          </w:tcPr>
          <w:p w14:paraId="26AAC478">
            <w:pPr>
              <w:spacing w:line="360" w:lineRule="auto"/>
              <w:ind w:firstLine="482"/>
              <w:rPr>
                <w:rFonts w:hint="eastAsia" w:ascii="宋体" w:hAnsi="宋体"/>
                <w:color w:val="auto"/>
                <w:sz w:val="24"/>
                <w:highlight w:val="none"/>
              </w:rPr>
            </w:pPr>
          </w:p>
        </w:tc>
        <w:tc>
          <w:tcPr>
            <w:tcW w:w="1868" w:type="dxa"/>
            <w:vAlign w:val="center"/>
          </w:tcPr>
          <w:p w14:paraId="003FEB04">
            <w:pPr>
              <w:spacing w:line="360" w:lineRule="auto"/>
              <w:ind w:firstLine="482"/>
              <w:rPr>
                <w:rFonts w:hint="eastAsia" w:ascii="宋体" w:hAnsi="宋体"/>
                <w:color w:val="auto"/>
                <w:sz w:val="24"/>
                <w:highlight w:val="none"/>
              </w:rPr>
            </w:pPr>
          </w:p>
        </w:tc>
        <w:tc>
          <w:tcPr>
            <w:tcW w:w="695" w:type="dxa"/>
            <w:vAlign w:val="center"/>
          </w:tcPr>
          <w:p w14:paraId="2F27AD81">
            <w:pPr>
              <w:spacing w:line="360" w:lineRule="auto"/>
              <w:ind w:firstLine="482"/>
              <w:rPr>
                <w:rFonts w:hint="eastAsia" w:ascii="宋体" w:hAnsi="宋体"/>
                <w:color w:val="auto"/>
                <w:sz w:val="24"/>
                <w:highlight w:val="none"/>
              </w:rPr>
            </w:pPr>
          </w:p>
        </w:tc>
        <w:tc>
          <w:tcPr>
            <w:tcW w:w="1023" w:type="dxa"/>
            <w:vAlign w:val="center"/>
          </w:tcPr>
          <w:p w14:paraId="2037F86C">
            <w:pPr>
              <w:spacing w:line="360" w:lineRule="auto"/>
              <w:ind w:firstLine="482"/>
              <w:rPr>
                <w:rFonts w:hint="eastAsia" w:ascii="宋体" w:hAnsi="宋体"/>
                <w:color w:val="auto"/>
                <w:sz w:val="24"/>
                <w:highlight w:val="none"/>
              </w:rPr>
            </w:pPr>
          </w:p>
        </w:tc>
        <w:tc>
          <w:tcPr>
            <w:tcW w:w="829" w:type="dxa"/>
            <w:vAlign w:val="center"/>
          </w:tcPr>
          <w:p w14:paraId="1E41FED5">
            <w:pPr>
              <w:spacing w:line="360" w:lineRule="auto"/>
              <w:ind w:firstLine="482"/>
              <w:rPr>
                <w:rFonts w:hint="eastAsia" w:ascii="宋体" w:hAnsi="宋体"/>
                <w:color w:val="auto"/>
                <w:sz w:val="24"/>
                <w:highlight w:val="none"/>
              </w:rPr>
            </w:pPr>
          </w:p>
        </w:tc>
        <w:tc>
          <w:tcPr>
            <w:tcW w:w="903" w:type="dxa"/>
            <w:vAlign w:val="center"/>
          </w:tcPr>
          <w:p w14:paraId="64DA02AD">
            <w:pPr>
              <w:spacing w:line="360" w:lineRule="auto"/>
              <w:ind w:firstLine="482"/>
              <w:rPr>
                <w:rFonts w:hint="eastAsia" w:ascii="宋体" w:hAnsi="宋体"/>
                <w:color w:val="auto"/>
                <w:sz w:val="24"/>
                <w:highlight w:val="none"/>
              </w:rPr>
            </w:pPr>
          </w:p>
        </w:tc>
        <w:tc>
          <w:tcPr>
            <w:tcW w:w="900" w:type="dxa"/>
            <w:vAlign w:val="center"/>
          </w:tcPr>
          <w:p w14:paraId="1AA583C3">
            <w:pPr>
              <w:spacing w:line="360" w:lineRule="auto"/>
              <w:ind w:firstLine="482"/>
              <w:rPr>
                <w:rFonts w:hint="eastAsia" w:ascii="宋体" w:hAnsi="宋体"/>
                <w:color w:val="auto"/>
                <w:sz w:val="24"/>
                <w:highlight w:val="none"/>
              </w:rPr>
            </w:pPr>
          </w:p>
        </w:tc>
      </w:tr>
      <w:tr w14:paraId="62A7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70" w:type="dxa"/>
            <w:vAlign w:val="center"/>
          </w:tcPr>
          <w:p w14:paraId="0E5F7C95">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p>
        </w:tc>
        <w:tc>
          <w:tcPr>
            <w:tcW w:w="1683" w:type="dxa"/>
            <w:vAlign w:val="center"/>
          </w:tcPr>
          <w:p w14:paraId="003B175B">
            <w:pPr>
              <w:spacing w:line="360" w:lineRule="auto"/>
              <w:ind w:firstLine="482"/>
              <w:rPr>
                <w:rFonts w:hint="eastAsia" w:ascii="宋体" w:hAnsi="宋体"/>
                <w:color w:val="auto"/>
                <w:sz w:val="24"/>
                <w:highlight w:val="none"/>
              </w:rPr>
            </w:pPr>
          </w:p>
        </w:tc>
        <w:tc>
          <w:tcPr>
            <w:tcW w:w="1868" w:type="dxa"/>
            <w:vAlign w:val="center"/>
          </w:tcPr>
          <w:p w14:paraId="75FBAC83">
            <w:pPr>
              <w:spacing w:line="360" w:lineRule="auto"/>
              <w:ind w:firstLine="482"/>
              <w:rPr>
                <w:rFonts w:hint="eastAsia" w:ascii="宋体" w:hAnsi="宋体"/>
                <w:color w:val="auto"/>
                <w:sz w:val="24"/>
                <w:highlight w:val="none"/>
              </w:rPr>
            </w:pPr>
          </w:p>
        </w:tc>
        <w:tc>
          <w:tcPr>
            <w:tcW w:w="695" w:type="dxa"/>
            <w:vAlign w:val="center"/>
          </w:tcPr>
          <w:p w14:paraId="53160F1B">
            <w:pPr>
              <w:spacing w:line="360" w:lineRule="auto"/>
              <w:ind w:firstLine="482"/>
              <w:rPr>
                <w:rFonts w:hint="eastAsia" w:ascii="宋体" w:hAnsi="宋体"/>
                <w:color w:val="auto"/>
                <w:sz w:val="24"/>
                <w:highlight w:val="none"/>
              </w:rPr>
            </w:pPr>
          </w:p>
        </w:tc>
        <w:tc>
          <w:tcPr>
            <w:tcW w:w="1023" w:type="dxa"/>
            <w:vAlign w:val="center"/>
          </w:tcPr>
          <w:p w14:paraId="104E6E3B">
            <w:pPr>
              <w:spacing w:line="360" w:lineRule="auto"/>
              <w:ind w:firstLine="482"/>
              <w:rPr>
                <w:rFonts w:hint="eastAsia" w:ascii="宋体" w:hAnsi="宋体"/>
                <w:color w:val="auto"/>
                <w:sz w:val="24"/>
                <w:highlight w:val="none"/>
              </w:rPr>
            </w:pPr>
          </w:p>
        </w:tc>
        <w:tc>
          <w:tcPr>
            <w:tcW w:w="829" w:type="dxa"/>
            <w:vAlign w:val="center"/>
          </w:tcPr>
          <w:p w14:paraId="2BE784BB">
            <w:pPr>
              <w:spacing w:line="360" w:lineRule="auto"/>
              <w:ind w:firstLine="482"/>
              <w:rPr>
                <w:rFonts w:hint="eastAsia" w:ascii="宋体" w:hAnsi="宋体"/>
                <w:color w:val="auto"/>
                <w:sz w:val="24"/>
                <w:highlight w:val="none"/>
              </w:rPr>
            </w:pPr>
          </w:p>
        </w:tc>
        <w:tc>
          <w:tcPr>
            <w:tcW w:w="903" w:type="dxa"/>
            <w:vAlign w:val="center"/>
          </w:tcPr>
          <w:p w14:paraId="6BDBD5B8">
            <w:pPr>
              <w:spacing w:line="360" w:lineRule="auto"/>
              <w:ind w:firstLine="482"/>
              <w:rPr>
                <w:rFonts w:hint="eastAsia" w:ascii="宋体" w:hAnsi="宋体"/>
                <w:color w:val="auto"/>
                <w:sz w:val="24"/>
                <w:highlight w:val="none"/>
              </w:rPr>
            </w:pPr>
          </w:p>
        </w:tc>
        <w:tc>
          <w:tcPr>
            <w:tcW w:w="900" w:type="dxa"/>
            <w:vAlign w:val="center"/>
          </w:tcPr>
          <w:p w14:paraId="6BA2E13D">
            <w:pPr>
              <w:spacing w:line="360" w:lineRule="auto"/>
              <w:ind w:firstLine="482"/>
              <w:rPr>
                <w:rFonts w:hint="eastAsia" w:ascii="宋体" w:hAnsi="宋体"/>
                <w:color w:val="auto"/>
                <w:sz w:val="24"/>
                <w:highlight w:val="none"/>
              </w:rPr>
            </w:pPr>
          </w:p>
        </w:tc>
      </w:tr>
      <w:tr w14:paraId="5445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70" w:type="dxa"/>
            <w:vAlign w:val="center"/>
          </w:tcPr>
          <w:p w14:paraId="58DD33D0">
            <w:pPr>
              <w:spacing w:line="360" w:lineRule="auto"/>
              <w:ind w:firstLine="482"/>
              <w:rPr>
                <w:rFonts w:hint="eastAsia" w:ascii="宋体" w:hAnsi="宋体"/>
                <w:color w:val="auto"/>
                <w:sz w:val="24"/>
                <w:highlight w:val="none"/>
              </w:rPr>
            </w:pPr>
          </w:p>
        </w:tc>
        <w:tc>
          <w:tcPr>
            <w:tcW w:w="1683" w:type="dxa"/>
            <w:vAlign w:val="center"/>
          </w:tcPr>
          <w:p w14:paraId="39199CD0">
            <w:pPr>
              <w:spacing w:line="360" w:lineRule="auto"/>
              <w:ind w:firstLine="482"/>
              <w:rPr>
                <w:rFonts w:hint="eastAsia" w:ascii="宋体" w:hAnsi="宋体"/>
                <w:color w:val="auto"/>
                <w:sz w:val="24"/>
                <w:highlight w:val="none"/>
              </w:rPr>
            </w:pPr>
          </w:p>
        </w:tc>
        <w:tc>
          <w:tcPr>
            <w:tcW w:w="1868" w:type="dxa"/>
            <w:vAlign w:val="center"/>
          </w:tcPr>
          <w:p w14:paraId="26A1A0C5">
            <w:pPr>
              <w:spacing w:line="360" w:lineRule="auto"/>
              <w:ind w:firstLine="482"/>
              <w:rPr>
                <w:rFonts w:hint="eastAsia" w:ascii="宋体" w:hAnsi="宋体"/>
                <w:color w:val="auto"/>
                <w:sz w:val="24"/>
                <w:highlight w:val="none"/>
              </w:rPr>
            </w:pPr>
          </w:p>
        </w:tc>
        <w:tc>
          <w:tcPr>
            <w:tcW w:w="695" w:type="dxa"/>
            <w:vAlign w:val="center"/>
          </w:tcPr>
          <w:p w14:paraId="21A16ACD">
            <w:pPr>
              <w:spacing w:line="360" w:lineRule="auto"/>
              <w:ind w:firstLine="482"/>
              <w:rPr>
                <w:rFonts w:hint="eastAsia" w:ascii="宋体" w:hAnsi="宋体"/>
                <w:color w:val="auto"/>
                <w:sz w:val="24"/>
                <w:highlight w:val="none"/>
              </w:rPr>
            </w:pPr>
          </w:p>
        </w:tc>
        <w:tc>
          <w:tcPr>
            <w:tcW w:w="1023" w:type="dxa"/>
            <w:vAlign w:val="center"/>
          </w:tcPr>
          <w:p w14:paraId="488B0E04">
            <w:pPr>
              <w:spacing w:line="360" w:lineRule="auto"/>
              <w:ind w:firstLine="482"/>
              <w:rPr>
                <w:rFonts w:hint="eastAsia" w:ascii="宋体" w:hAnsi="宋体"/>
                <w:color w:val="auto"/>
                <w:sz w:val="24"/>
                <w:highlight w:val="none"/>
              </w:rPr>
            </w:pPr>
          </w:p>
        </w:tc>
        <w:tc>
          <w:tcPr>
            <w:tcW w:w="829" w:type="dxa"/>
            <w:vAlign w:val="center"/>
          </w:tcPr>
          <w:p w14:paraId="19A59D9A">
            <w:pPr>
              <w:spacing w:line="360" w:lineRule="auto"/>
              <w:ind w:firstLine="482"/>
              <w:rPr>
                <w:rFonts w:hint="eastAsia" w:ascii="宋体" w:hAnsi="宋体"/>
                <w:color w:val="auto"/>
                <w:sz w:val="24"/>
                <w:highlight w:val="none"/>
              </w:rPr>
            </w:pPr>
          </w:p>
        </w:tc>
        <w:tc>
          <w:tcPr>
            <w:tcW w:w="903" w:type="dxa"/>
            <w:vAlign w:val="center"/>
          </w:tcPr>
          <w:p w14:paraId="019BD0E0">
            <w:pPr>
              <w:spacing w:line="360" w:lineRule="auto"/>
              <w:ind w:firstLine="482"/>
              <w:rPr>
                <w:rFonts w:hint="eastAsia" w:ascii="宋体" w:hAnsi="宋体"/>
                <w:color w:val="auto"/>
                <w:sz w:val="24"/>
                <w:highlight w:val="none"/>
              </w:rPr>
            </w:pPr>
          </w:p>
        </w:tc>
        <w:tc>
          <w:tcPr>
            <w:tcW w:w="900" w:type="dxa"/>
            <w:vAlign w:val="center"/>
          </w:tcPr>
          <w:p w14:paraId="51A8D021">
            <w:pPr>
              <w:spacing w:line="360" w:lineRule="auto"/>
              <w:ind w:firstLine="482"/>
              <w:rPr>
                <w:rFonts w:hint="eastAsia" w:ascii="宋体" w:hAnsi="宋体"/>
                <w:color w:val="auto"/>
                <w:sz w:val="24"/>
                <w:highlight w:val="none"/>
              </w:rPr>
            </w:pPr>
          </w:p>
        </w:tc>
      </w:tr>
      <w:tr w14:paraId="3E3F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70" w:type="dxa"/>
            <w:vAlign w:val="center"/>
          </w:tcPr>
          <w:p w14:paraId="05DA9A65">
            <w:pPr>
              <w:spacing w:line="360" w:lineRule="auto"/>
              <w:ind w:firstLine="482"/>
              <w:rPr>
                <w:rFonts w:hint="eastAsia" w:ascii="宋体" w:hAnsi="宋体"/>
                <w:color w:val="auto"/>
                <w:sz w:val="24"/>
                <w:highlight w:val="none"/>
              </w:rPr>
            </w:pPr>
          </w:p>
        </w:tc>
        <w:tc>
          <w:tcPr>
            <w:tcW w:w="1683" w:type="dxa"/>
            <w:vAlign w:val="center"/>
          </w:tcPr>
          <w:p w14:paraId="2E61C34C">
            <w:pPr>
              <w:spacing w:line="360" w:lineRule="auto"/>
              <w:ind w:firstLine="482"/>
              <w:rPr>
                <w:rFonts w:hint="eastAsia" w:ascii="宋体" w:hAnsi="宋体"/>
                <w:color w:val="auto"/>
                <w:sz w:val="24"/>
                <w:highlight w:val="none"/>
              </w:rPr>
            </w:pPr>
          </w:p>
        </w:tc>
        <w:tc>
          <w:tcPr>
            <w:tcW w:w="1868" w:type="dxa"/>
            <w:vAlign w:val="center"/>
          </w:tcPr>
          <w:p w14:paraId="778E13B2">
            <w:pPr>
              <w:spacing w:line="360" w:lineRule="auto"/>
              <w:ind w:firstLine="482"/>
              <w:rPr>
                <w:rFonts w:hint="eastAsia" w:ascii="宋体" w:hAnsi="宋体"/>
                <w:color w:val="auto"/>
                <w:sz w:val="24"/>
                <w:highlight w:val="none"/>
              </w:rPr>
            </w:pPr>
          </w:p>
        </w:tc>
        <w:tc>
          <w:tcPr>
            <w:tcW w:w="695" w:type="dxa"/>
            <w:vAlign w:val="center"/>
          </w:tcPr>
          <w:p w14:paraId="209692BF">
            <w:pPr>
              <w:spacing w:line="360" w:lineRule="auto"/>
              <w:ind w:firstLine="482"/>
              <w:rPr>
                <w:rFonts w:hint="eastAsia" w:ascii="宋体" w:hAnsi="宋体"/>
                <w:color w:val="auto"/>
                <w:sz w:val="24"/>
                <w:highlight w:val="none"/>
              </w:rPr>
            </w:pPr>
          </w:p>
        </w:tc>
        <w:tc>
          <w:tcPr>
            <w:tcW w:w="1023" w:type="dxa"/>
            <w:vAlign w:val="center"/>
          </w:tcPr>
          <w:p w14:paraId="4B885F43">
            <w:pPr>
              <w:spacing w:line="360" w:lineRule="auto"/>
              <w:ind w:firstLine="482"/>
              <w:rPr>
                <w:rFonts w:hint="eastAsia" w:ascii="宋体" w:hAnsi="宋体"/>
                <w:color w:val="auto"/>
                <w:sz w:val="24"/>
                <w:highlight w:val="none"/>
              </w:rPr>
            </w:pPr>
          </w:p>
        </w:tc>
        <w:tc>
          <w:tcPr>
            <w:tcW w:w="829" w:type="dxa"/>
            <w:vAlign w:val="center"/>
          </w:tcPr>
          <w:p w14:paraId="49BB57D1">
            <w:pPr>
              <w:spacing w:line="360" w:lineRule="auto"/>
              <w:ind w:firstLine="482"/>
              <w:rPr>
                <w:rFonts w:hint="eastAsia" w:ascii="宋体" w:hAnsi="宋体"/>
                <w:color w:val="auto"/>
                <w:sz w:val="24"/>
                <w:highlight w:val="none"/>
              </w:rPr>
            </w:pPr>
          </w:p>
        </w:tc>
        <w:tc>
          <w:tcPr>
            <w:tcW w:w="903" w:type="dxa"/>
            <w:vAlign w:val="center"/>
          </w:tcPr>
          <w:p w14:paraId="3324DBE5">
            <w:pPr>
              <w:spacing w:line="360" w:lineRule="auto"/>
              <w:ind w:firstLine="482"/>
              <w:rPr>
                <w:rFonts w:hint="eastAsia" w:ascii="宋体" w:hAnsi="宋体"/>
                <w:color w:val="auto"/>
                <w:sz w:val="24"/>
                <w:highlight w:val="none"/>
              </w:rPr>
            </w:pPr>
          </w:p>
        </w:tc>
        <w:tc>
          <w:tcPr>
            <w:tcW w:w="900" w:type="dxa"/>
            <w:vAlign w:val="center"/>
          </w:tcPr>
          <w:p w14:paraId="2814BA68">
            <w:pPr>
              <w:spacing w:line="360" w:lineRule="auto"/>
              <w:ind w:firstLine="482"/>
              <w:rPr>
                <w:rFonts w:hint="eastAsia" w:ascii="宋体" w:hAnsi="宋体"/>
                <w:color w:val="auto"/>
                <w:sz w:val="24"/>
                <w:highlight w:val="none"/>
              </w:rPr>
            </w:pPr>
          </w:p>
        </w:tc>
      </w:tr>
      <w:tr w14:paraId="6A79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70" w:type="dxa"/>
            <w:vAlign w:val="center"/>
          </w:tcPr>
          <w:p w14:paraId="36CA969C">
            <w:pPr>
              <w:spacing w:line="360" w:lineRule="auto"/>
              <w:ind w:firstLine="482"/>
              <w:rPr>
                <w:rFonts w:hint="eastAsia" w:ascii="宋体" w:hAnsi="宋体"/>
                <w:color w:val="auto"/>
                <w:sz w:val="24"/>
                <w:highlight w:val="none"/>
              </w:rPr>
            </w:pPr>
          </w:p>
        </w:tc>
        <w:tc>
          <w:tcPr>
            <w:tcW w:w="1683" w:type="dxa"/>
            <w:vAlign w:val="center"/>
          </w:tcPr>
          <w:p w14:paraId="1500AEC6">
            <w:pPr>
              <w:spacing w:line="360" w:lineRule="auto"/>
              <w:ind w:firstLine="482"/>
              <w:rPr>
                <w:rFonts w:hint="eastAsia" w:ascii="宋体" w:hAnsi="宋体"/>
                <w:color w:val="auto"/>
                <w:sz w:val="24"/>
                <w:highlight w:val="none"/>
              </w:rPr>
            </w:pPr>
          </w:p>
        </w:tc>
        <w:tc>
          <w:tcPr>
            <w:tcW w:w="1868" w:type="dxa"/>
            <w:vAlign w:val="center"/>
          </w:tcPr>
          <w:p w14:paraId="563D9C13">
            <w:pPr>
              <w:spacing w:line="360" w:lineRule="auto"/>
              <w:ind w:firstLine="482"/>
              <w:rPr>
                <w:rFonts w:hint="eastAsia" w:ascii="宋体" w:hAnsi="宋体"/>
                <w:color w:val="auto"/>
                <w:sz w:val="24"/>
                <w:highlight w:val="none"/>
              </w:rPr>
            </w:pPr>
          </w:p>
        </w:tc>
        <w:tc>
          <w:tcPr>
            <w:tcW w:w="695" w:type="dxa"/>
            <w:vAlign w:val="center"/>
          </w:tcPr>
          <w:p w14:paraId="14995CF2">
            <w:pPr>
              <w:spacing w:line="360" w:lineRule="auto"/>
              <w:ind w:firstLine="482"/>
              <w:rPr>
                <w:rFonts w:hint="eastAsia" w:ascii="宋体" w:hAnsi="宋体"/>
                <w:color w:val="auto"/>
                <w:sz w:val="24"/>
                <w:highlight w:val="none"/>
              </w:rPr>
            </w:pPr>
          </w:p>
        </w:tc>
        <w:tc>
          <w:tcPr>
            <w:tcW w:w="1023" w:type="dxa"/>
            <w:vAlign w:val="center"/>
          </w:tcPr>
          <w:p w14:paraId="5A8F73CC">
            <w:pPr>
              <w:spacing w:line="360" w:lineRule="auto"/>
              <w:ind w:firstLine="482"/>
              <w:rPr>
                <w:rFonts w:hint="eastAsia" w:ascii="宋体" w:hAnsi="宋体"/>
                <w:color w:val="auto"/>
                <w:sz w:val="24"/>
                <w:highlight w:val="none"/>
              </w:rPr>
            </w:pPr>
          </w:p>
        </w:tc>
        <w:tc>
          <w:tcPr>
            <w:tcW w:w="829" w:type="dxa"/>
            <w:vAlign w:val="center"/>
          </w:tcPr>
          <w:p w14:paraId="4C5A48AD">
            <w:pPr>
              <w:spacing w:line="360" w:lineRule="auto"/>
              <w:ind w:firstLine="482"/>
              <w:rPr>
                <w:rFonts w:hint="eastAsia" w:ascii="宋体" w:hAnsi="宋体"/>
                <w:color w:val="auto"/>
                <w:sz w:val="24"/>
                <w:highlight w:val="none"/>
              </w:rPr>
            </w:pPr>
          </w:p>
        </w:tc>
        <w:tc>
          <w:tcPr>
            <w:tcW w:w="903" w:type="dxa"/>
            <w:vAlign w:val="center"/>
          </w:tcPr>
          <w:p w14:paraId="3EA30072">
            <w:pPr>
              <w:spacing w:line="360" w:lineRule="auto"/>
              <w:ind w:firstLine="482"/>
              <w:rPr>
                <w:rFonts w:hint="eastAsia" w:ascii="宋体" w:hAnsi="宋体"/>
                <w:color w:val="auto"/>
                <w:sz w:val="24"/>
                <w:highlight w:val="none"/>
              </w:rPr>
            </w:pPr>
          </w:p>
        </w:tc>
        <w:tc>
          <w:tcPr>
            <w:tcW w:w="900" w:type="dxa"/>
            <w:vAlign w:val="center"/>
          </w:tcPr>
          <w:p w14:paraId="0E54E8F6">
            <w:pPr>
              <w:spacing w:line="360" w:lineRule="auto"/>
              <w:ind w:firstLine="482"/>
              <w:rPr>
                <w:rFonts w:hint="eastAsia" w:ascii="宋体" w:hAnsi="宋体"/>
                <w:color w:val="auto"/>
                <w:sz w:val="24"/>
                <w:highlight w:val="none"/>
              </w:rPr>
            </w:pPr>
          </w:p>
        </w:tc>
      </w:tr>
      <w:tr w14:paraId="1294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70" w:type="dxa"/>
            <w:vAlign w:val="center"/>
          </w:tcPr>
          <w:p w14:paraId="628BA517">
            <w:pPr>
              <w:spacing w:line="360" w:lineRule="auto"/>
              <w:ind w:firstLine="482"/>
              <w:rPr>
                <w:rFonts w:hint="eastAsia" w:ascii="宋体" w:hAnsi="宋体"/>
                <w:color w:val="auto"/>
                <w:sz w:val="24"/>
                <w:highlight w:val="none"/>
              </w:rPr>
            </w:pPr>
          </w:p>
        </w:tc>
        <w:tc>
          <w:tcPr>
            <w:tcW w:w="1683" w:type="dxa"/>
            <w:vAlign w:val="center"/>
          </w:tcPr>
          <w:p w14:paraId="22495ED7">
            <w:pPr>
              <w:spacing w:line="360" w:lineRule="auto"/>
              <w:ind w:firstLine="482"/>
              <w:rPr>
                <w:rFonts w:hint="eastAsia" w:ascii="宋体" w:hAnsi="宋体"/>
                <w:color w:val="auto"/>
                <w:sz w:val="24"/>
                <w:highlight w:val="none"/>
              </w:rPr>
            </w:pPr>
          </w:p>
        </w:tc>
        <w:tc>
          <w:tcPr>
            <w:tcW w:w="1868" w:type="dxa"/>
            <w:vAlign w:val="center"/>
          </w:tcPr>
          <w:p w14:paraId="73C81EC4">
            <w:pPr>
              <w:spacing w:line="360" w:lineRule="auto"/>
              <w:ind w:firstLine="482"/>
              <w:rPr>
                <w:rFonts w:hint="eastAsia" w:ascii="宋体" w:hAnsi="宋体"/>
                <w:color w:val="auto"/>
                <w:sz w:val="24"/>
                <w:highlight w:val="none"/>
              </w:rPr>
            </w:pPr>
          </w:p>
        </w:tc>
        <w:tc>
          <w:tcPr>
            <w:tcW w:w="695" w:type="dxa"/>
            <w:vAlign w:val="center"/>
          </w:tcPr>
          <w:p w14:paraId="5F513C0A">
            <w:pPr>
              <w:spacing w:line="360" w:lineRule="auto"/>
              <w:ind w:firstLine="482"/>
              <w:rPr>
                <w:rFonts w:hint="eastAsia" w:ascii="宋体" w:hAnsi="宋体"/>
                <w:color w:val="auto"/>
                <w:sz w:val="24"/>
                <w:highlight w:val="none"/>
              </w:rPr>
            </w:pPr>
          </w:p>
        </w:tc>
        <w:tc>
          <w:tcPr>
            <w:tcW w:w="1023" w:type="dxa"/>
            <w:vAlign w:val="center"/>
          </w:tcPr>
          <w:p w14:paraId="4A7928C5">
            <w:pPr>
              <w:spacing w:line="360" w:lineRule="auto"/>
              <w:ind w:firstLine="482"/>
              <w:rPr>
                <w:rFonts w:hint="eastAsia" w:ascii="宋体" w:hAnsi="宋体"/>
                <w:color w:val="auto"/>
                <w:sz w:val="24"/>
                <w:highlight w:val="none"/>
              </w:rPr>
            </w:pPr>
          </w:p>
        </w:tc>
        <w:tc>
          <w:tcPr>
            <w:tcW w:w="829" w:type="dxa"/>
            <w:vAlign w:val="center"/>
          </w:tcPr>
          <w:p w14:paraId="251DDEF1">
            <w:pPr>
              <w:spacing w:line="360" w:lineRule="auto"/>
              <w:ind w:firstLine="482"/>
              <w:rPr>
                <w:rFonts w:hint="eastAsia" w:ascii="宋体" w:hAnsi="宋体"/>
                <w:color w:val="auto"/>
                <w:sz w:val="24"/>
                <w:highlight w:val="none"/>
              </w:rPr>
            </w:pPr>
          </w:p>
        </w:tc>
        <w:tc>
          <w:tcPr>
            <w:tcW w:w="903" w:type="dxa"/>
            <w:vAlign w:val="center"/>
          </w:tcPr>
          <w:p w14:paraId="05FE8112">
            <w:pPr>
              <w:spacing w:line="360" w:lineRule="auto"/>
              <w:ind w:firstLine="482"/>
              <w:rPr>
                <w:rFonts w:hint="eastAsia" w:ascii="宋体" w:hAnsi="宋体"/>
                <w:color w:val="auto"/>
                <w:sz w:val="24"/>
                <w:highlight w:val="none"/>
              </w:rPr>
            </w:pPr>
          </w:p>
        </w:tc>
        <w:tc>
          <w:tcPr>
            <w:tcW w:w="900" w:type="dxa"/>
            <w:vAlign w:val="center"/>
          </w:tcPr>
          <w:p w14:paraId="0FAA47E3">
            <w:pPr>
              <w:spacing w:line="360" w:lineRule="auto"/>
              <w:ind w:firstLine="482"/>
              <w:rPr>
                <w:rFonts w:hint="eastAsia" w:ascii="宋体" w:hAnsi="宋体"/>
                <w:color w:val="auto"/>
                <w:sz w:val="24"/>
                <w:highlight w:val="none"/>
              </w:rPr>
            </w:pPr>
          </w:p>
        </w:tc>
      </w:tr>
      <w:tr w14:paraId="6B88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8671" w:type="dxa"/>
            <w:gridSpan w:val="8"/>
            <w:vAlign w:val="center"/>
          </w:tcPr>
          <w:p w14:paraId="69DA01E8">
            <w:pPr>
              <w:spacing w:line="360" w:lineRule="auto"/>
              <w:ind w:firstLine="482"/>
              <w:jc w:val="center"/>
              <w:rPr>
                <w:rFonts w:hint="eastAsia" w:ascii="宋体" w:hAnsi="宋体"/>
                <w:color w:val="auto"/>
                <w:sz w:val="24"/>
                <w:highlight w:val="none"/>
              </w:rPr>
            </w:pPr>
            <w:r>
              <w:rPr>
                <w:rFonts w:hint="eastAsia" w:ascii="宋体" w:hAnsi="宋体"/>
                <w:b/>
                <w:color w:val="auto"/>
                <w:sz w:val="24"/>
                <w:highlight w:val="none"/>
              </w:rPr>
              <w:t>合计：大写                               小写</w:t>
            </w:r>
          </w:p>
        </w:tc>
      </w:tr>
    </w:tbl>
    <w:p w14:paraId="5CA24FF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要求：</w:t>
      </w:r>
    </w:p>
    <w:p w14:paraId="59E1ECA0">
      <w:pPr>
        <w:spacing w:line="360" w:lineRule="auto"/>
        <w:ind w:left="435" w:firstLine="420" w:firstLineChars="200"/>
        <w:rPr>
          <w:rFonts w:hint="eastAsia"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r>
        <w:rPr>
          <w:rFonts w:ascii="宋体"/>
          <w:color w:val="auto"/>
          <w:szCs w:val="21"/>
          <w:highlight w:val="none"/>
          <w:lang w:val="zh-CN"/>
        </w:rPr>
        <w:t xml:space="preserve"> </w:t>
      </w:r>
    </w:p>
    <w:p w14:paraId="4B3F9DAD">
      <w:pPr>
        <w:spacing w:line="360" w:lineRule="auto"/>
        <w:ind w:left="420" w:firstLine="480"/>
        <w:rPr>
          <w:rFonts w:hint="eastAsia" w:ascii="宋体" w:hAnsi="宋体" w:cs="宋体"/>
          <w:b/>
          <w:color w:val="auto"/>
          <w:kern w:val="0"/>
          <w:sz w:val="24"/>
          <w:highlight w:val="none"/>
        </w:rPr>
      </w:pPr>
    </w:p>
    <w:p w14:paraId="6290D0BC">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投标人名称（公章）：</w:t>
      </w:r>
    </w:p>
    <w:p w14:paraId="68A4A2C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投标人代表签字或盖章：</w:t>
      </w:r>
    </w:p>
    <w:p w14:paraId="0F0658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职        务：</w:t>
      </w:r>
    </w:p>
    <w:p w14:paraId="017F2CE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日        期：</w:t>
      </w:r>
    </w:p>
    <w:p w14:paraId="37144027">
      <w:pPr>
        <w:snapToGrid w:val="0"/>
        <w:spacing w:before="156" w:beforeLines="50" w:after="50" w:line="360" w:lineRule="auto"/>
        <w:ind w:firstLine="56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6870F5B">
      <w:pPr>
        <w:spacing w:line="360" w:lineRule="auto"/>
        <w:ind w:left="-2" w:firstLine="562" w:firstLineChars="200"/>
        <w:jc w:val="left"/>
        <w:rPr>
          <w:rFonts w:hint="eastAsia" w:ascii="宋体" w:hAnsi="宋体" w:cs="宋体"/>
          <w:b/>
          <w:color w:val="auto"/>
          <w:kern w:val="0"/>
          <w:sz w:val="36"/>
          <w:szCs w:val="36"/>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rPr>
        <w:t>4</w:t>
      </w:r>
    </w:p>
    <w:p w14:paraId="4BAC071A">
      <w:pPr>
        <w:widowControl/>
        <w:ind w:firstLine="723" w:firstLineChars="200"/>
        <w:jc w:val="center"/>
        <w:textAlignment w:val="baseline"/>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中小企业声明函</w:t>
      </w:r>
    </w:p>
    <w:p w14:paraId="1C049DC9">
      <w:pPr>
        <w:pStyle w:val="6"/>
        <w:ind w:firstLine="562"/>
        <w:textAlignment w:val="baseline"/>
        <w:rPr>
          <w:rFonts w:hint="eastAsia" w:ascii="宋体" w:hAnsi="宋体" w:cs="宋体"/>
          <w:color w:val="auto"/>
          <w:highlight w:val="none"/>
        </w:rPr>
      </w:pPr>
    </w:p>
    <w:p w14:paraId="70390FA7">
      <w:pPr>
        <w:widowControl/>
        <w:spacing w:line="360" w:lineRule="auto"/>
        <w:ind w:firstLine="480" w:firstLineChars="200"/>
        <w:jc w:val="left"/>
        <w:textAlignment w:val="baseline"/>
        <w:rPr>
          <w:rFonts w:hint="eastAsia" w:ascii="宋体" w:hAnsi="宋体" w:cs="宋体"/>
          <w:color w:val="auto"/>
          <w:sz w:val="24"/>
          <w:highlight w:val="none"/>
        </w:rPr>
      </w:pPr>
      <w:r>
        <w:rPr>
          <w:rFonts w:hint="eastAsia" w:ascii="宋体" w:hAnsi="宋体" w:cs="宋体"/>
          <w:color w:val="auto"/>
          <w:kern w:val="0"/>
          <w:sz w:val="24"/>
          <w:highlight w:val="none"/>
        </w:rPr>
        <w:t>本公司郑重声明，根据《政府采购促进中小企业发展管理办法》（财库﹝2020﹞46 号）的规定，本公司参加</w:t>
      </w:r>
      <w:r>
        <w:rPr>
          <w:rFonts w:hint="eastAsia" w:ascii="宋体" w:hAnsi="宋体" w:cs="宋体"/>
          <w:i/>
          <w:color w:val="auto"/>
          <w:kern w:val="0"/>
          <w:sz w:val="24"/>
          <w:highlight w:val="none"/>
          <w:u w:val="single" w:color="000000"/>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color="000000"/>
        </w:rPr>
        <w:t>（项目名称）</w:t>
      </w:r>
      <w:r>
        <w:rPr>
          <w:rFonts w:hint="eastAsia" w:ascii="宋体" w:hAnsi="宋体" w:cs="宋体"/>
          <w:color w:val="auto"/>
          <w:kern w:val="0"/>
          <w:sz w:val="24"/>
          <w:highlight w:val="none"/>
        </w:rPr>
        <w:t>采购活动，所提供的货物全部由符合政策要求的中小企业制造，相关企业的具体情况如下：</w:t>
      </w:r>
    </w:p>
    <w:p w14:paraId="0CC9050C">
      <w:pPr>
        <w:widowControl/>
        <w:numPr>
          <w:ilvl w:val="0"/>
          <w:numId w:val="28"/>
        </w:numPr>
        <w:spacing w:line="360" w:lineRule="auto"/>
        <w:ind w:firstLine="480" w:firstLineChars="200"/>
        <w:jc w:val="left"/>
        <w:textAlignment w:val="baseline"/>
        <w:rPr>
          <w:rFonts w:hint="eastAsia" w:ascii="宋体" w:hAnsi="宋体" w:cs="宋体"/>
          <w:color w:val="auto"/>
          <w:kern w:val="0"/>
          <w:sz w:val="24"/>
          <w:highlight w:val="none"/>
        </w:rPr>
      </w:pPr>
      <w:r>
        <w:rPr>
          <w:rFonts w:hint="eastAsia" w:ascii="宋体" w:hAnsi="宋体" w:cs="宋体"/>
          <w:i/>
          <w:color w:val="auto"/>
          <w:kern w:val="0"/>
          <w:sz w:val="24"/>
          <w:highlight w:val="none"/>
          <w:u w:val="single" w:color="000000"/>
        </w:rPr>
        <w:t xml:space="preserve">（标的名称） </w:t>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color="000000"/>
        </w:rPr>
        <w:t>工业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color="000000"/>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color="000000"/>
        </w:rPr>
        <w:t>（中型企业、 小型企业、微型企业）</w:t>
      </w:r>
      <w:r>
        <w:rPr>
          <w:rFonts w:hint="eastAsia" w:ascii="宋体" w:hAnsi="宋体" w:cs="宋体"/>
          <w:color w:val="auto"/>
          <w:kern w:val="0"/>
          <w:sz w:val="24"/>
          <w:highlight w:val="none"/>
        </w:rPr>
        <w:t>；</w:t>
      </w:r>
    </w:p>
    <w:p w14:paraId="46E81D24">
      <w:pPr>
        <w:widowControl/>
        <w:numPr>
          <w:ilvl w:val="0"/>
          <w:numId w:val="28"/>
        </w:numPr>
        <w:spacing w:line="360" w:lineRule="auto"/>
        <w:ind w:firstLine="480" w:firstLineChars="200"/>
        <w:jc w:val="left"/>
        <w:textAlignment w:val="baseline"/>
        <w:rPr>
          <w:rFonts w:hint="eastAsia" w:ascii="宋体" w:hAnsi="宋体" w:cs="宋体"/>
          <w:color w:val="auto"/>
          <w:kern w:val="0"/>
          <w:sz w:val="24"/>
          <w:highlight w:val="none"/>
        </w:rPr>
      </w:pPr>
      <w:r>
        <w:rPr>
          <w:rFonts w:hint="eastAsia" w:ascii="宋体" w:hAnsi="宋体" w:cs="宋体"/>
          <w:i/>
          <w:color w:val="auto"/>
          <w:kern w:val="0"/>
          <w:sz w:val="24"/>
          <w:highlight w:val="none"/>
          <w:u w:val="single" w:color="000000"/>
        </w:rPr>
        <w:t xml:space="preserve">（标的名称） </w:t>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color="000000"/>
        </w:rPr>
        <w:t>工业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color="000000"/>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color="000000"/>
        </w:rPr>
        <w:t>（中型企业、 小型企业、微型企业）</w:t>
      </w:r>
      <w:r>
        <w:rPr>
          <w:rFonts w:hint="eastAsia" w:ascii="宋体" w:hAnsi="宋体" w:cs="宋体"/>
          <w:color w:val="auto"/>
          <w:kern w:val="0"/>
          <w:sz w:val="24"/>
          <w:highlight w:val="none"/>
        </w:rPr>
        <w:t>；</w:t>
      </w:r>
    </w:p>
    <w:p w14:paraId="1F13E993">
      <w:pPr>
        <w:widowControl/>
        <w:numPr>
          <w:ilvl w:val="0"/>
          <w:numId w:val="28"/>
        </w:numPr>
        <w:spacing w:line="360" w:lineRule="auto"/>
        <w:ind w:firstLine="480" w:firstLineChars="200"/>
        <w:jc w:val="left"/>
        <w:textAlignment w:val="baseline"/>
        <w:rPr>
          <w:rFonts w:hint="eastAsia" w:ascii="宋体" w:hAnsi="宋体" w:cs="宋体"/>
          <w:color w:val="auto"/>
          <w:sz w:val="24"/>
          <w:highlight w:val="none"/>
        </w:rPr>
      </w:pPr>
    </w:p>
    <w:p w14:paraId="3060CFC4">
      <w:pPr>
        <w:widowControl/>
        <w:spacing w:line="360" w:lineRule="auto"/>
        <w:ind w:firstLine="480" w:firstLineChars="200"/>
        <w:jc w:val="left"/>
        <w:textAlignment w:val="baseline"/>
        <w:rPr>
          <w:rFonts w:hint="eastAsia" w:ascii="宋体" w:hAnsi="宋体" w:cs="宋体"/>
          <w:color w:val="auto"/>
          <w:sz w:val="24"/>
          <w:highlight w:val="none"/>
        </w:rPr>
      </w:pPr>
      <w:r>
        <w:rPr>
          <w:rFonts w:hint="eastAsia" w:ascii="宋体" w:hAnsi="宋体" w:cs="宋体"/>
          <w:color w:val="auto"/>
          <w:kern w:val="0"/>
          <w:sz w:val="24"/>
          <w:highlight w:val="none"/>
        </w:rPr>
        <w:t>……</w:t>
      </w:r>
    </w:p>
    <w:p w14:paraId="7A849542">
      <w:pPr>
        <w:widowControl/>
        <w:spacing w:line="360" w:lineRule="auto"/>
        <w:ind w:firstLine="480" w:firstLineChars="200"/>
        <w:jc w:val="left"/>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2ACDCD5A">
      <w:pPr>
        <w:pStyle w:val="6"/>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57E5FC50">
      <w:pPr>
        <w:pStyle w:val="6"/>
        <w:ind w:firstLine="562"/>
        <w:textAlignment w:val="baseline"/>
        <w:rPr>
          <w:rFonts w:hint="eastAsia" w:ascii="宋体" w:hAnsi="宋体" w:cs="宋体"/>
          <w:color w:val="auto"/>
          <w:highlight w:val="none"/>
        </w:rPr>
      </w:pPr>
    </w:p>
    <w:p w14:paraId="0ABBFEC4">
      <w:pPr>
        <w:widowControl/>
        <w:spacing w:line="360" w:lineRule="auto"/>
        <w:ind w:firstLine="482"/>
        <w:jc w:val="center"/>
        <w:textAlignment w:val="baseline"/>
        <w:rPr>
          <w:rFonts w:hint="eastAsia" w:ascii="宋体" w:hAnsi="宋体" w:cs="宋体"/>
          <w:color w:val="auto"/>
          <w:kern w:val="0"/>
          <w:sz w:val="24"/>
          <w:highlight w:val="none"/>
        </w:rPr>
      </w:pPr>
    </w:p>
    <w:p w14:paraId="6E42B313">
      <w:pPr>
        <w:widowControl/>
        <w:spacing w:line="360" w:lineRule="auto"/>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kern w:val="0"/>
          <w:sz w:val="24"/>
          <w:highlight w:val="none"/>
        </w:rPr>
        <w:t xml:space="preserve">                                企业名称（盖章）： </w:t>
      </w:r>
    </w:p>
    <w:p w14:paraId="572B3EFA">
      <w:pPr>
        <w:widowControl/>
        <w:spacing w:line="360" w:lineRule="auto"/>
        <w:ind w:firstLine="480" w:firstLineChars="200"/>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日 期：</w:t>
      </w:r>
    </w:p>
    <w:p w14:paraId="4CB40419">
      <w:pPr>
        <w:pStyle w:val="23"/>
        <w:spacing w:line="360" w:lineRule="auto"/>
        <w:ind w:firstLine="640"/>
        <w:jc w:val="center"/>
        <w:outlineLvl w:val="1"/>
        <w:rPr>
          <w:rFonts w:hint="eastAsia" w:hAnsi="宋体"/>
          <w:b/>
          <w:color w:val="auto"/>
          <w:sz w:val="32"/>
          <w:szCs w:val="32"/>
          <w:highlight w:val="none"/>
          <w:lang w:val="en-GB"/>
        </w:rPr>
      </w:pPr>
    </w:p>
    <w:p w14:paraId="09741EB9">
      <w:pPr>
        <w:widowControl/>
        <w:spacing w:line="360" w:lineRule="auto"/>
        <w:ind w:firstLine="640"/>
        <w:jc w:val="left"/>
        <w:rPr>
          <w:rFonts w:hint="eastAsia" w:ascii="宋体" w:hAnsi="宋体"/>
          <w:b/>
          <w:color w:val="auto"/>
          <w:sz w:val="32"/>
          <w:szCs w:val="32"/>
          <w:highlight w:val="none"/>
          <w:lang w:val="en-GB"/>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FC74537">
      <w:pPr>
        <w:pStyle w:val="23"/>
        <w:spacing w:line="360" w:lineRule="auto"/>
        <w:ind w:firstLine="643" w:firstLineChars="200"/>
        <w:jc w:val="center"/>
        <w:outlineLvl w:val="1"/>
        <w:rPr>
          <w:rFonts w:hint="eastAsia"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02A2F47A">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E0F947D">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66997776">
      <w:pPr>
        <w:tabs>
          <w:tab w:val="left" w:pos="4860"/>
        </w:tabs>
        <w:spacing w:line="588" w:lineRule="exact"/>
        <w:ind w:right="1560" w:firstLine="504" w:firstLineChars="200"/>
        <w:jc w:val="center"/>
        <w:rPr>
          <w:rFonts w:hint="eastAsia" w:ascii="宋体" w:hAnsi="宋体"/>
          <w:color w:val="auto"/>
          <w:spacing w:val="6"/>
          <w:sz w:val="24"/>
          <w:highlight w:val="none"/>
        </w:rPr>
      </w:pPr>
    </w:p>
    <w:p w14:paraId="71D2D4E6">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单位名称（盖章）：</w:t>
      </w:r>
    </w:p>
    <w:p w14:paraId="3E7B1459">
      <w:pPr>
        <w:tabs>
          <w:tab w:val="left" w:pos="4860"/>
        </w:tabs>
        <w:spacing w:line="588" w:lineRule="exact"/>
        <w:ind w:right="1560" w:firstLine="504" w:firstLineChars="200"/>
        <w:jc w:val="center"/>
        <w:rPr>
          <w:rFonts w:hint="eastAsia" w:ascii="宋体" w:hAnsi="宋体"/>
          <w:color w:val="auto"/>
          <w:sz w:val="24"/>
          <w:highlight w:val="none"/>
        </w:rPr>
      </w:pPr>
      <w:r>
        <w:rPr>
          <w:rFonts w:hint="eastAsia" w:ascii="宋体" w:hAnsi="宋体"/>
          <w:color w:val="auto"/>
          <w:spacing w:val="6"/>
          <w:sz w:val="24"/>
          <w:highlight w:val="none"/>
        </w:rPr>
        <w:t xml:space="preserve">       日  期：</w:t>
      </w:r>
    </w:p>
    <w:p w14:paraId="36B81217">
      <w:pPr>
        <w:pStyle w:val="66"/>
        <w:spacing w:line="360" w:lineRule="auto"/>
        <w:rPr>
          <w:rFonts w:hint="eastAsia" w:ascii="宋体" w:hAnsi="宋体"/>
          <w:b/>
          <w:color w:val="auto"/>
          <w:sz w:val="28"/>
          <w:szCs w:val="28"/>
          <w:highlight w:val="none"/>
        </w:rPr>
      </w:pPr>
    </w:p>
    <w:p w14:paraId="35238BB5">
      <w:pPr>
        <w:ind w:firstLine="643" w:firstLineChars="200"/>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br w:type="page"/>
      </w:r>
    </w:p>
    <w:p w14:paraId="4DEEA4DB">
      <w:pPr>
        <w:pStyle w:val="46"/>
        <w:ind w:firstLine="643" w:firstLineChars="200"/>
        <w:jc w:val="center"/>
        <w:rPr>
          <w:rFonts w:hint="eastAsia" w:ascii="宋体" w:hAnsi="宋体" w:cs="宋体"/>
          <w:color w:val="auto"/>
          <w:sz w:val="24"/>
          <w:highlight w:val="none"/>
        </w:rPr>
      </w:pPr>
      <w:r>
        <w:rPr>
          <w:rFonts w:hint="eastAsia" w:ascii="宋体" w:hAnsi="宋体" w:eastAsia="宋体" w:cs="宋体"/>
          <w:b/>
          <w:color w:val="auto"/>
          <w:kern w:val="2"/>
          <w:sz w:val="32"/>
          <w:szCs w:val="32"/>
          <w:highlight w:val="none"/>
          <w:lang w:val="en-GB"/>
        </w:rPr>
        <w:t>监狱企业资格证明材料</w:t>
      </w:r>
    </w:p>
    <w:p w14:paraId="154B333F">
      <w:pPr>
        <w:spacing w:line="588" w:lineRule="exact"/>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(省级以上监狱管理局、戒毒管理局(含新疆生产建设兵团)出具的属于监狱企业的证明文件)</w:t>
      </w:r>
    </w:p>
    <w:p w14:paraId="39CB4EC2">
      <w:pPr>
        <w:spacing w:line="588" w:lineRule="exact"/>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说明:监狱企业视同小型、微型企业。</w:t>
      </w:r>
    </w:p>
    <w:p w14:paraId="7FF08B44">
      <w:pPr>
        <w:spacing w:line="588" w:lineRule="exact"/>
        <w:ind w:firstLine="480" w:firstLineChars="200"/>
        <w:textAlignment w:val="baseline"/>
        <w:rPr>
          <w:rFonts w:hint="eastAsia" w:ascii="宋体" w:hAnsi="宋体" w:cs="宋体"/>
          <w:color w:val="auto"/>
          <w:sz w:val="24"/>
          <w:highlight w:val="none"/>
        </w:rPr>
      </w:pPr>
    </w:p>
    <w:p w14:paraId="7160E00E">
      <w:pPr>
        <w:spacing w:line="588" w:lineRule="exact"/>
        <w:ind w:firstLine="480" w:firstLineChars="200"/>
        <w:jc w:val="right"/>
        <w:textAlignment w:val="baseline"/>
        <w:rPr>
          <w:rFonts w:hint="eastAsia" w:ascii="宋体" w:hAnsi="宋体" w:cs="宋体"/>
          <w:color w:val="auto"/>
          <w:sz w:val="24"/>
          <w:highlight w:val="none"/>
        </w:rPr>
      </w:pPr>
      <w:r>
        <w:rPr>
          <w:rFonts w:hint="eastAsia" w:ascii="宋体" w:hAnsi="宋体" w:cs="宋体"/>
          <w:color w:val="auto"/>
          <w:sz w:val="24"/>
          <w:highlight w:val="none"/>
        </w:rPr>
        <w:t>单位名称(单位公章):</w:t>
      </w:r>
    </w:p>
    <w:p w14:paraId="6FAC52E4">
      <w:pPr>
        <w:spacing w:line="588" w:lineRule="exact"/>
        <w:ind w:firstLine="480" w:firstLineChars="200"/>
        <w:jc w:val="right"/>
        <w:textAlignment w:val="baseline"/>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75BA2E5E">
      <w:pPr>
        <w:pStyle w:val="46"/>
        <w:rPr>
          <w:rFonts w:hint="eastAsia" w:ascii="宋体" w:hAnsi="宋体" w:eastAsia="宋体" w:cs="宋体"/>
          <w:color w:val="auto"/>
          <w:sz w:val="24"/>
          <w:highlight w:val="none"/>
        </w:rPr>
      </w:pPr>
    </w:p>
    <w:p w14:paraId="5E2095E0">
      <w:pPr>
        <w:pStyle w:val="46"/>
        <w:rPr>
          <w:rFonts w:hint="eastAsia" w:ascii="宋体" w:hAnsi="宋体" w:eastAsia="宋体" w:cs="宋体"/>
          <w:color w:val="auto"/>
          <w:sz w:val="24"/>
          <w:highlight w:val="none"/>
        </w:rPr>
      </w:pPr>
    </w:p>
    <w:p w14:paraId="2E019C1F">
      <w:pPr>
        <w:pStyle w:val="46"/>
        <w:rPr>
          <w:rFonts w:hint="eastAsia" w:ascii="宋体" w:hAnsi="宋体" w:eastAsia="宋体" w:cs="宋体"/>
          <w:color w:val="auto"/>
          <w:sz w:val="24"/>
          <w:highlight w:val="none"/>
        </w:rPr>
      </w:pPr>
    </w:p>
    <w:p w14:paraId="5A6AED2E">
      <w:pPr>
        <w:spacing w:line="588" w:lineRule="exact"/>
        <w:ind w:firstLine="482" w:firstLineChars="200"/>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投标人不属于中小企业、残疾人福利性单位、监狱企业的，无需提供此声明函，如提供所引起的后果由投标人承担。</w:t>
      </w:r>
    </w:p>
    <w:p w14:paraId="1586DE2A">
      <w:pPr>
        <w:pStyle w:val="66"/>
        <w:spacing w:line="360" w:lineRule="auto"/>
        <w:rPr>
          <w:rFonts w:hint="eastAsia" w:ascii="宋体" w:hAnsi="宋体"/>
          <w:b/>
          <w:color w:val="auto"/>
          <w:sz w:val="28"/>
          <w:szCs w:val="28"/>
          <w:highlight w:val="none"/>
        </w:rPr>
      </w:pPr>
    </w:p>
    <w:p w14:paraId="30A964B1">
      <w:pPr>
        <w:spacing w:line="360" w:lineRule="auto"/>
        <w:ind w:right="-110"/>
        <w:jc w:val="center"/>
        <w:rPr>
          <w:color w:val="auto"/>
          <w:highlight w:val="none"/>
        </w:rPr>
      </w:pPr>
    </w:p>
    <w:p w14:paraId="1B325232">
      <w:pPr>
        <w:pStyle w:val="17"/>
        <w:ind w:firstLine="482"/>
        <w:rPr>
          <w:color w:val="auto"/>
          <w:highlight w:val="none"/>
        </w:rPr>
      </w:pPr>
    </w:p>
    <w:p w14:paraId="45271009">
      <w:pPr>
        <w:pStyle w:val="17"/>
        <w:ind w:firstLine="482"/>
        <w:rPr>
          <w:color w:val="auto"/>
          <w:highlight w:val="none"/>
        </w:rPr>
      </w:pPr>
    </w:p>
    <w:p w14:paraId="13311244">
      <w:pPr>
        <w:pStyle w:val="17"/>
        <w:ind w:firstLine="482"/>
        <w:rPr>
          <w:color w:val="auto"/>
          <w:highlight w:val="none"/>
        </w:rPr>
      </w:pPr>
    </w:p>
    <w:p w14:paraId="12FAB8E7">
      <w:pPr>
        <w:pStyle w:val="17"/>
        <w:ind w:firstLine="482"/>
        <w:rPr>
          <w:color w:val="auto"/>
          <w:highlight w:val="none"/>
        </w:rPr>
      </w:pPr>
    </w:p>
    <w:p w14:paraId="329925BF">
      <w:pPr>
        <w:pStyle w:val="35"/>
        <w:rPr>
          <w:color w:val="auto"/>
          <w:highlight w:val="none"/>
        </w:rPr>
      </w:pPr>
    </w:p>
    <w:p w14:paraId="3CACAA89">
      <w:pPr>
        <w:pStyle w:val="17"/>
        <w:ind w:firstLine="482"/>
        <w:rPr>
          <w:color w:val="auto"/>
          <w:highlight w:val="none"/>
        </w:rPr>
      </w:pPr>
    </w:p>
    <w:p w14:paraId="0F663BE5">
      <w:pPr>
        <w:pStyle w:val="17"/>
        <w:ind w:firstLine="482"/>
        <w:rPr>
          <w:color w:val="auto"/>
          <w:highlight w:val="none"/>
        </w:rPr>
      </w:pPr>
    </w:p>
    <w:p w14:paraId="131D7D2F">
      <w:pPr>
        <w:pStyle w:val="17"/>
        <w:ind w:firstLine="482"/>
        <w:rPr>
          <w:color w:val="auto"/>
          <w:highlight w:val="none"/>
        </w:rPr>
      </w:pPr>
    </w:p>
    <w:p w14:paraId="7791EF0A">
      <w:pPr>
        <w:pStyle w:val="17"/>
        <w:ind w:firstLine="482"/>
        <w:rPr>
          <w:color w:val="auto"/>
          <w:highlight w:val="none"/>
        </w:rPr>
      </w:pPr>
    </w:p>
    <w:p w14:paraId="4BC9D255">
      <w:pPr>
        <w:pStyle w:val="17"/>
        <w:ind w:firstLine="482"/>
        <w:rPr>
          <w:color w:val="auto"/>
          <w:highlight w:val="none"/>
        </w:rPr>
      </w:pPr>
    </w:p>
    <w:p w14:paraId="53F949CB">
      <w:pPr>
        <w:pStyle w:val="17"/>
        <w:ind w:firstLine="482"/>
        <w:rPr>
          <w:color w:val="auto"/>
          <w:highlight w:val="none"/>
        </w:rPr>
      </w:pPr>
    </w:p>
    <w:p w14:paraId="2BA57E45">
      <w:pPr>
        <w:pStyle w:val="17"/>
        <w:ind w:firstLine="482"/>
        <w:rPr>
          <w:color w:val="auto"/>
          <w:highlight w:val="none"/>
        </w:rPr>
      </w:pPr>
    </w:p>
    <w:p w14:paraId="4AB54B1C">
      <w:pPr>
        <w:pStyle w:val="17"/>
        <w:ind w:firstLine="482"/>
        <w:rPr>
          <w:color w:val="auto"/>
          <w:highlight w:val="none"/>
        </w:rPr>
      </w:pPr>
    </w:p>
    <w:p w14:paraId="632014B2">
      <w:pPr>
        <w:pStyle w:val="17"/>
        <w:ind w:firstLine="482"/>
        <w:rPr>
          <w:color w:val="auto"/>
          <w:highlight w:val="none"/>
        </w:rPr>
      </w:pPr>
    </w:p>
    <w:p w14:paraId="1AFA949C">
      <w:pPr>
        <w:pStyle w:val="17"/>
        <w:ind w:firstLine="482"/>
        <w:rPr>
          <w:color w:val="auto"/>
          <w:highlight w:val="none"/>
        </w:rPr>
      </w:pPr>
    </w:p>
    <w:p w14:paraId="657B6185">
      <w:pPr>
        <w:pStyle w:val="46"/>
        <w:rPr>
          <w:rFonts w:hint="eastAsia" w:ascii="宋体" w:hAnsi="宋体"/>
          <w:b/>
          <w:color w:val="auto"/>
          <w:sz w:val="28"/>
          <w:highlight w:val="none"/>
        </w:rPr>
      </w:pPr>
    </w:p>
    <w:p w14:paraId="3AD92667">
      <w:pPr>
        <w:pStyle w:val="46"/>
        <w:rPr>
          <w:rFonts w:hint="eastAsia" w:ascii="宋体" w:hAnsi="宋体"/>
          <w:b/>
          <w:color w:val="auto"/>
          <w:sz w:val="28"/>
          <w:highlight w:val="none"/>
        </w:rPr>
      </w:pPr>
    </w:p>
    <w:p w14:paraId="27A0517F">
      <w:pPr>
        <w:pStyle w:val="46"/>
        <w:rPr>
          <w:rFonts w:hint="eastAsia" w:ascii="宋体" w:hAnsi="宋体"/>
          <w:b/>
          <w:color w:val="auto"/>
          <w:sz w:val="28"/>
          <w:highlight w:val="none"/>
        </w:rPr>
      </w:pPr>
    </w:p>
    <w:p w14:paraId="5648DE19">
      <w:pPr>
        <w:pStyle w:val="112"/>
        <w:widowControl w:val="0"/>
        <w:snapToGrid w:val="0"/>
        <w:ind w:firstLine="562" w:firstLineChars="200"/>
        <w:rPr>
          <w:rFonts w:hint="eastAsia" w:hAnsi="宋体" w:cs="宋体"/>
          <w:b/>
          <w:color w:val="auto"/>
          <w:sz w:val="28"/>
          <w:highlight w:val="none"/>
        </w:rPr>
      </w:pPr>
      <w:r>
        <w:rPr>
          <w:rFonts w:hAnsi="宋体" w:cs="宋体"/>
          <w:b/>
          <w:color w:val="auto"/>
          <w:sz w:val="28"/>
          <w:highlight w:val="none"/>
        </w:rPr>
        <w:t>附件</w:t>
      </w:r>
      <w:r>
        <w:rPr>
          <w:rFonts w:hint="eastAsia" w:hAnsi="宋体" w:cs="宋体"/>
          <w:b/>
          <w:color w:val="auto"/>
          <w:sz w:val="28"/>
          <w:highlight w:val="none"/>
        </w:rPr>
        <w:t>15</w:t>
      </w:r>
    </w:p>
    <w:p w14:paraId="447D37F4">
      <w:pPr>
        <w:pStyle w:val="112"/>
        <w:widowControl w:val="0"/>
        <w:snapToGrid w:val="0"/>
        <w:ind w:firstLine="482" w:firstLineChars="200"/>
        <w:rPr>
          <w:rFonts w:hint="eastAsia" w:hAnsi="宋体" w:cs="宋体"/>
          <w:b/>
          <w:color w:val="auto"/>
          <w:sz w:val="24"/>
          <w:szCs w:val="24"/>
          <w:highlight w:val="none"/>
        </w:rPr>
      </w:pPr>
      <w:r>
        <w:rPr>
          <w:rFonts w:hAnsi="宋体" w:cs="宋体"/>
          <w:b/>
          <w:color w:val="auto"/>
          <w:sz w:val="24"/>
          <w:szCs w:val="24"/>
          <w:highlight w:val="none"/>
        </w:rPr>
        <w:t>（参加本项目采购活动的供应商须在开标后填写“政府采购活动现场确认声明书”并将扫描件发送至邮箱</w:t>
      </w:r>
      <w:r>
        <w:rPr>
          <w:rFonts w:hint="eastAsia" w:hAnsi="宋体" w:cs="宋体"/>
          <w:b/>
          <w:color w:val="auto"/>
          <w:sz w:val="24"/>
          <w:szCs w:val="24"/>
          <w:highlight w:val="none"/>
        </w:rPr>
        <w:t>599034843@qq.com</w:t>
      </w:r>
      <w:r>
        <w:rPr>
          <w:rFonts w:hAnsi="宋体" w:cs="宋体"/>
          <w:b/>
          <w:color w:val="auto"/>
          <w:sz w:val="24"/>
          <w:szCs w:val="24"/>
          <w:highlight w:val="none"/>
        </w:rPr>
        <w:t>）</w:t>
      </w:r>
    </w:p>
    <w:p w14:paraId="12D86170">
      <w:pPr>
        <w:pStyle w:val="112"/>
        <w:widowControl w:val="0"/>
        <w:snapToGrid w:val="0"/>
        <w:ind w:firstLine="720" w:firstLineChars="200"/>
        <w:jc w:val="center"/>
        <w:rPr>
          <w:rFonts w:hint="eastAsia" w:ascii="方正小标宋简体" w:hAnsi="方正小标宋简体" w:eastAsia="方正小标宋简体" w:cs="方正小标宋简体"/>
          <w:color w:val="auto"/>
          <w:sz w:val="36"/>
          <w:szCs w:val="36"/>
          <w:highlight w:val="none"/>
        </w:rPr>
      </w:pPr>
      <w:r>
        <w:rPr>
          <w:rFonts w:ascii="方正小标宋简体" w:hAnsi="方正小标宋简体" w:eastAsia="方正小标宋简体" w:cs="方正小标宋简体"/>
          <w:color w:val="auto"/>
          <w:sz w:val="36"/>
          <w:szCs w:val="36"/>
          <w:highlight w:val="none"/>
        </w:rPr>
        <w:t>政府采购活动现场确认声明书</w:t>
      </w:r>
    </w:p>
    <w:p w14:paraId="121EB858">
      <w:pPr>
        <w:pStyle w:val="112"/>
        <w:widowControl w:val="0"/>
        <w:snapToGrid w:val="0"/>
        <w:jc w:val="center"/>
        <w:rPr>
          <w:rFonts w:hint="eastAsia" w:ascii="方正小标宋简体" w:hAnsi="方正小标宋简体" w:eastAsia="方正小标宋简体" w:cs="方正小标宋简体"/>
          <w:color w:val="auto"/>
          <w:sz w:val="36"/>
          <w:szCs w:val="36"/>
          <w:highlight w:val="none"/>
        </w:rPr>
      </w:pPr>
    </w:p>
    <w:p w14:paraId="3F92B35A">
      <w:pPr>
        <w:pStyle w:val="112"/>
        <w:widowControl w:val="0"/>
        <w:snapToGrid w:val="0"/>
        <w:spacing w:line="360" w:lineRule="auto"/>
        <w:ind w:firstLine="480" w:firstLineChars="200"/>
        <w:jc w:val="both"/>
        <w:rPr>
          <w:rFonts w:hint="eastAsia" w:ascii="仿宋" w:hAnsi="仿宋"/>
          <w:b/>
          <w:color w:val="auto"/>
          <w:sz w:val="24"/>
          <w:szCs w:val="24"/>
          <w:highlight w:val="none"/>
        </w:rPr>
      </w:pPr>
      <w:r>
        <w:rPr>
          <w:rFonts w:hint="eastAsia" w:ascii="仿宋" w:hAnsi="仿宋"/>
          <w:color w:val="auto"/>
          <w:sz w:val="24"/>
          <w:szCs w:val="24"/>
          <w:highlight w:val="none"/>
          <w:u w:val="single"/>
        </w:rPr>
        <w:t>台州市公安局</w:t>
      </w:r>
      <w:r>
        <w:rPr>
          <w:rFonts w:ascii="仿宋" w:hAnsi="仿宋"/>
          <w:color w:val="auto"/>
          <w:sz w:val="24"/>
          <w:szCs w:val="24"/>
          <w:highlight w:val="none"/>
          <w:u w:val="single"/>
        </w:rPr>
        <w:t>/ 浙江百和工程咨询有限公司</w:t>
      </w:r>
      <w:r>
        <w:rPr>
          <w:rFonts w:ascii="仿宋" w:hAnsi="仿宋"/>
          <w:color w:val="auto"/>
          <w:sz w:val="24"/>
          <w:szCs w:val="24"/>
          <w:highlight w:val="none"/>
        </w:rPr>
        <w:t>：</w:t>
      </w:r>
    </w:p>
    <w:p w14:paraId="79F7640D">
      <w:pPr>
        <w:pStyle w:val="112"/>
        <w:widowControl w:val="0"/>
        <w:snapToGrid w:val="0"/>
        <w:spacing w:line="360" w:lineRule="auto"/>
        <w:ind w:firstLine="504" w:firstLineChars="200"/>
        <w:jc w:val="both"/>
        <w:rPr>
          <w:rFonts w:hint="eastAsia" w:ascii="仿宋" w:hAnsi="仿宋"/>
          <w:color w:val="auto"/>
          <w:spacing w:val="6"/>
          <w:sz w:val="24"/>
          <w:szCs w:val="24"/>
          <w:highlight w:val="none"/>
        </w:rPr>
      </w:pPr>
      <w:r>
        <w:rPr>
          <w:rFonts w:ascii="仿宋" w:hAnsi="仿宋"/>
          <w:color w:val="auto"/>
          <w:spacing w:val="6"/>
          <w:sz w:val="24"/>
          <w:szCs w:val="24"/>
          <w:highlight w:val="none"/>
        </w:rPr>
        <w:t>本人经由</w:t>
      </w:r>
      <w:r>
        <w:rPr>
          <w:rFonts w:ascii="仿宋" w:hAnsi="仿宋"/>
          <w:color w:val="auto"/>
          <w:spacing w:val="6"/>
          <w:sz w:val="24"/>
          <w:szCs w:val="24"/>
          <w:highlight w:val="none"/>
          <w:u w:val="single"/>
        </w:rPr>
        <w:t xml:space="preserve">                     （单位）</w:t>
      </w:r>
      <w:r>
        <w:rPr>
          <w:rFonts w:ascii="仿宋" w:hAnsi="仿宋"/>
          <w:color w:val="auto"/>
          <w:spacing w:val="6"/>
          <w:sz w:val="24"/>
          <w:szCs w:val="24"/>
          <w:highlight w:val="none"/>
        </w:rPr>
        <w:t>负责人</w:t>
      </w:r>
      <w:r>
        <w:rPr>
          <w:rFonts w:ascii="仿宋" w:hAnsi="仿宋"/>
          <w:color w:val="auto"/>
          <w:spacing w:val="6"/>
          <w:sz w:val="24"/>
          <w:szCs w:val="24"/>
          <w:highlight w:val="none"/>
          <w:u w:val="single"/>
        </w:rPr>
        <w:t xml:space="preserve">         （姓名）</w:t>
      </w:r>
      <w:r>
        <w:rPr>
          <w:rFonts w:ascii="仿宋" w:hAnsi="仿宋"/>
          <w:color w:val="auto"/>
          <w:spacing w:val="6"/>
          <w:sz w:val="24"/>
          <w:szCs w:val="24"/>
          <w:highlight w:val="none"/>
        </w:rPr>
        <w:t>合法授权参加</w:t>
      </w:r>
      <w:r>
        <w:rPr>
          <w:rFonts w:hint="eastAsia" w:ascii="仿宋" w:hAnsi="仿宋"/>
          <w:color w:val="auto"/>
          <w:spacing w:val="6"/>
          <w:sz w:val="24"/>
          <w:szCs w:val="24"/>
          <w:highlight w:val="none"/>
          <w:lang w:eastAsia="zh-CN"/>
        </w:rPr>
        <w:t>台州市海防无人机管控系统项目</w:t>
      </w:r>
      <w:r>
        <w:rPr>
          <w:rFonts w:ascii="仿宋" w:hAnsi="仿宋"/>
          <w:color w:val="auto"/>
          <w:spacing w:val="6"/>
          <w:sz w:val="24"/>
          <w:szCs w:val="24"/>
          <w:highlight w:val="none"/>
        </w:rPr>
        <w:t>（</w:t>
      </w:r>
      <w:r>
        <w:rPr>
          <w:rFonts w:hint="eastAsia" w:ascii="仿宋" w:hAnsi="仿宋"/>
          <w:color w:val="auto"/>
          <w:spacing w:val="6"/>
          <w:sz w:val="24"/>
          <w:szCs w:val="24"/>
          <w:highlight w:val="none"/>
        </w:rPr>
        <w:t>编号台财采确临[2024]9288号）政府</w:t>
      </w:r>
      <w:r>
        <w:rPr>
          <w:rFonts w:ascii="仿宋" w:hAnsi="仿宋"/>
          <w:color w:val="auto"/>
          <w:spacing w:val="6"/>
          <w:sz w:val="24"/>
          <w:szCs w:val="24"/>
          <w:highlight w:val="none"/>
        </w:rPr>
        <w:t xml:space="preserve">采购活动，经与本单位法人代表（负责人）联系确认，现就有关公平竞争事项郑重声明如下： </w:t>
      </w:r>
    </w:p>
    <w:p w14:paraId="22C63731">
      <w:pPr>
        <w:pStyle w:val="80"/>
        <w:widowControl/>
        <w:numPr>
          <w:ilvl w:val="0"/>
          <w:numId w:val="29"/>
        </w:numPr>
        <w:snapToGrid w:val="0"/>
        <w:ind w:firstLine="480" w:firstLineChars="200"/>
        <w:rPr>
          <w:rFonts w:hint="eastAsia" w:ascii="仿宋" w:hAnsi="仿宋"/>
          <w:color w:val="auto"/>
          <w:sz w:val="24"/>
          <w:szCs w:val="24"/>
          <w:highlight w:val="none"/>
        </w:rPr>
      </w:pPr>
      <w:r>
        <w:rPr>
          <w:rFonts w:ascii="仿宋" w:hAnsi="仿宋"/>
          <w:color w:val="auto"/>
          <w:sz w:val="24"/>
          <w:szCs w:val="24"/>
          <w:highlight w:val="none"/>
        </w:rPr>
        <w:t xml:space="preserve">本单位与采购人之间 </w:t>
      </w:r>
      <w:r>
        <w:rPr>
          <w:rFonts w:hAnsi="宋体" w:cs="宋体"/>
          <w:color w:val="auto"/>
          <w:sz w:val="24"/>
          <w:szCs w:val="24"/>
          <w:highlight w:val="none"/>
        </w:rPr>
        <w:t>□</w:t>
      </w:r>
      <w:r>
        <w:rPr>
          <w:rFonts w:ascii="仿宋" w:hAnsi="仿宋"/>
          <w:color w:val="auto"/>
          <w:sz w:val="24"/>
          <w:szCs w:val="24"/>
          <w:highlight w:val="none"/>
        </w:rPr>
        <w:t xml:space="preserve">不存在利害关系 </w:t>
      </w:r>
      <w:r>
        <w:rPr>
          <w:rFonts w:hAnsi="宋体" w:cs="宋体"/>
          <w:color w:val="auto"/>
          <w:sz w:val="24"/>
          <w:szCs w:val="24"/>
          <w:highlight w:val="none"/>
        </w:rPr>
        <w:t>□</w:t>
      </w:r>
      <w:r>
        <w:rPr>
          <w:rFonts w:ascii="仿宋" w:hAnsi="仿宋"/>
          <w:color w:val="auto"/>
          <w:sz w:val="24"/>
          <w:szCs w:val="24"/>
          <w:highlight w:val="none"/>
        </w:rPr>
        <w:t>存在下列利害关系</w:t>
      </w:r>
      <w:r>
        <w:rPr>
          <w:rFonts w:ascii="仿宋" w:hAnsi="仿宋"/>
          <w:color w:val="auto"/>
          <w:sz w:val="24"/>
          <w:szCs w:val="24"/>
          <w:highlight w:val="none"/>
          <w:u w:val="single"/>
        </w:rPr>
        <w:t xml:space="preserve">           </w:t>
      </w:r>
      <w:r>
        <w:rPr>
          <w:rFonts w:ascii="仿宋" w:hAnsi="仿宋"/>
          <w:color w:val="auto"/>
          <w:sz w:val="24"/>
          <w:szCs w:val="24"/>
          <w:highlight w:val="none"/>
        </w:rPr>
        <w:t>：</w:t>
      </w:r>
    </w:p>
    <w:p w14:paraId="29401F01">
      <w:pPr>
        <w:pStyle w:val="80"/>
        <w:widowControl/>
        <w:snapToGrid w:val="0"/>
        <w:ind w:firstLine="480" w:firstLineChars="200"/>
        <w:rPr>
          <w:rFonts w:hint="eastAsia" w:ascii="仿宋" w:hAnsi="仿宋"/>
          <w:color w:val="auto"/>
          <w:sz w:val="24"/>
          <w:szCs w:val="24"/>
          <w:highlight w:val="none"/>
        </w:rPr>
      </w:pPr>
      <w:r>
        <w:rPr>
          <w:rFonts w:ascii="仿宋" w:hAnsi="仿宋"/>
          <w:color w:val="auto"/>
          <w:sz w:val="24"/>
          <w:szCs w:val="24"/>
          <w:highlight w:val="none"/>
        </w:rPr>
        <w:t xml:space="preserve">  A.投资关系    B.行政隶属关系    C.业务指导关系</w:t>
      </w:r>
    </w:p>
    <w:p w14:paraId="1BF238CA">
      <w:pPr>
        <w:pStyle w:val="80"/>
        <w:widowControl/>
        <w:snapToGrid w:val="0"/>
        <w:ind w:firstLine="480" w:firstLineChars="200"/>
        <w:rPr>
          <w:rFonts w:hint="eastAsia" w:ascii="仿宋" w:hAnsi="仿宋"/>
          <w:color w:val="auto"/>
          <w:sz w:val="24"/>
          <w:szCs w:val="24"/>
          <w:highlight w:val="none"/>
        </w:rPr>
      </w:pPr>
      <w:r>
        <w:rPr>
          <w:rFonts w:ascii="仿宋" w:hAnsi="仿宋"/>
          <w:color w:val="auto"/>
          <w:sz w:val="24"/>
          <w:szCs w:val="24"/>
          <w:highlight w:val="none"/>
        </w:rPr>
        <w:t xml:space="preserve">  D.其他可能影响采购公正的利害关系</w:t>
      </w:r>
      <w:r>
        <w:rPr>
          <w:rFonts w:ascii="仿宋" w:hAnsi="仿宋"/>
          <w:color w:val="auto"/>
          <w:sz w:val="24"/>
          <w:szCs w:val="24"/>
          <w:highlight w:val="none"/>
          <w:u w:val="single"/>
        </w:rPr>
        <w:t xml:space="preserve">（如有，请如实说明）                 </w:t>
      </w:r>
      <w:r>
        <w:rPr>
          <w:rFonts w:ascii="仿宋" w:hAnsi="仿宋"/>
          <w:color w:val="auto"/>
          <w:sz w:val="24"/>
          <w:szCs w:val="24"/>
          <w:highlight w:val="none"/>
        </w:rPr>
        <w:t>。</w:t>
      </w:r>
    </w:p>
    <w:p w14:paraId="3679658A">
      <w:pPr>
        <w:pStyle w:val="80"/>
        <w:widowControl/>
        <w:snapToGrid w:val="0"/>
        <w:ind w:firstLine="504" w:firstLineChars="200"/>
        <w:rPr>
          <w:rFonts w:hint="eastAsia" w:ascii="仿宋" w:hAnsi="仿宋"/>
          <w:color w:val="auto"/>
          <w:sz w:val="24"/>
          <w:szCs w:val="24"/>
          <w:highlight w:val="none"/>
        </w:rPr>
      </w:pPr>
      <w:r>
        <w:rPr>
          <w:rFonts w:ascii="仿宋" w:hAnsi="仿宋"/>
          <w:color w:val="auto"/>
          <w:spacing w:val="6"/>
          <w:sz w:val="24"/>
          <w:szCs w:val="24"/>
          <w:highlight w:val="none"/>
        </w:rPr>
        <w:t xml:space="preserve">  二、</w:t>
      </w:r>
      <w:r>
        <w:rPr>
          <w:rFonts w:ascii="仿宋" w:hAnsi="仿宋"/>
          <w:color w:val="auto"/>
          <w:sz w:val="24"/>
          <w:szCs w:val="24"/>
          <w:highlight w:val="none"/>
        </w:rPr>
        <w:t xml:space="preserve">现已清楚知道参加本项目采购活动的其他所有供应商名称，本单位 </w:t>
      </w:r>
      <w:r>
        <w:rPr>
          <w:rFonts w:hAnsi="宋体" w:cs="宋体"/>
          <w:color w:val="auto"/>
          <w:sz w:val="24"/>
          <w:szCs w:val="24"/>
          <w:highlight w:val="none"/>
        </w:rPr>
        <w:t>□与其他所有供应商之间均</w:t>
      </w:r>
      <w:r>
        <w:rPr>
          <w:rFonts w:ascii="仿宋" w:hAnsi="仿宋"/>
          <w:color w:val="auto"/>
          <w:sz w:val="24"/>
          <w:szCs w:val="24"/>
          <w:highlight w:val="none"/>
        </w:rPr>
        <w:t xml:space="preserve">不存在利害关系 </w:t>
      </w:r>
      <w:r>
        <w:rPr>
          <w:rFonts w:hAnsi="宋体" w:cs="宋体"/>
          <w:color w:val="auto"/>
          <w:sz w:val="24"/>
          <w:szCs w:val="24"/>
          <w:highlight w:val="none"/>
        </w:rPr>
        <w:t>□与</w:t>
      </w:r>
      <w:r>
        <w:rPr>
          <w:rFonts w:hAnsi="宋体" w:cs="宋体"/>
          <w:color w:val="auto"/>
          <w:sz w:val="24"/>
          <w:szCs w:val="24"/>
          <w:highlight w:val="none"/>
          <w:u w:val="single"/>
        </w:rPr>
        <w:t xml:space="preserve">           （供应商名称）</w:t>
      </w:r>
      <w:r>
        <w:rPr>
          <w:rFonts w:hAnsi="宋体" w:cs="宋体"/>
          <w:color w:val="auto"/>
          <w:sz w:val="24"/>
          <w:szCs w:val="24"/>
          <w:highlight w:val="none"/>
        </w:rPr>
        <w:t>之间</w:t>
      </w:r>
      <w:r>
        <w:rPr>
          <w:rFonts w:ascii="仿宋" w:hAnsi="仿宋"/>
          <w:color w:val="auto"/>
          <w:sz w:val="24"/>
          <w:szCs w:val="24"/>
          <w:highlight w:val="none"/>
        </w:rPr>
        <w:t>存在下列利害关系</w:t>
      </w:r>
      <w:r>
        <w:rPr>
          <w:rFonts w:ascii="仿宋" w:hAnsi="仿宋"/>
          <w:color w:val="auto"/>
          <w:sz w:val="24"/>
          <w:szCs w:val="24"/>
          <w:highlight w:val="none"/>
          <w:u w:val="single"/>
        </w:rPr>
        <w:t xml:space="preserve">          </w:t>
      </w:r>
      <w:r>
        <w:rPr>
          <w:rFonts w:ascii="仿宋" w:hAnsi="仿宋"/>
          <w:color w:val="auto"/>
          <w:sz w:val="24"/>
          <w:szCs w:val="24"/>
          <w:highlight w:val="none"/>
        </w:rPr>
        <w:t>：</w:t>
      </w:r>
    </w:p>
    <w:p w14:paraId="6A3935E6">
      <w:pPr>
        <w:pStyle w:val="112"/>
        <w:widowControl w:val="0"/>
        <w:snapToGrid w:val="0"/>
        <w:ind w:firstLine="480" w:firstLineChars="200"/>
        <w:jc w:val="both"/>
        <w:rPr>
          <w:rFonts w:hint="eastAsia" w:ascii="仿宋" w:hAnsi="仿宋"/>
          <w:color w:val="auto"/>
          <w:sz w:val="24"/>
          <w:szCs w:val="24"/>
          <w:highlight w:val="none"/>
        </w:rPr>
      </w:pPr>
      <w:r>
        <w:rPr>
          <w:rFonts w:ascii="仿宋" w:hAnsi="仿宋"/>
          <w:color w:val="auto"/>
          <w:sz w:val="24"/>
          <w:szCs w:val="24"/>
          <w:highlight w:val="none"/>
        </w:rPr>
        <w:t xml:space="preserve">  A.法定代表人或负责人或实际控制人是同一人</w:t>
      </w:r>
    </w:p>
    <w:p w14:paraId="2FD59F6F">
      <w:pPr>
        <w:pStyle w:val="112"/>
        <w:widowControl w:val="0"/>
        <w:snapToGrid w:val="0"/>
        <w:ind w:firstLine="480" w:firstLineChars="200"/>
        <w:jc w:val="both"/>
        <w:rPr>
          <w:rFonts w:hint="eastAsia" w:ascii="仿宋" w:hAnsi="仿宋"/>
          <w:color w:val="auto"/>
          <w:spacing w:val="6"/>
          <w:sz w:val="24"/>
          <w:szCs w:val="24"/>
          <w:highlight w:val="none"/>
        </w:rPr>
      </w:pPr>
      <w:r>
        <w:rPr>
          <w:rFonts w:ascii="仿宋" w:hAnsi="仿宋"/>
          <w:color w:val="auto"/>
          <w:sz w:val="24"/>
          <w:szCs w:val="24"/>
          <w:highlight w:val="none"/>
        </w:rPr>
        <w:t xml:space="preserve">  B.法定代表人或负责人或实际控制人是夫妻关系</w:t>
      </w:r>
    </w:p>
    <w:p w14:paraId="315227DD">
      <w:pPr>
        <w:pStyle w:val="112"/>
        <w:widowControl w:val="0"/>
        <w:snapToGrid w:val="0"/>
        <w:ind w:firstLine="480" w:firstLineChars="200"/>
        <w:jc w:val="both"/>
        <w:rPr>
          <w:rFonts w:hint="eastAsia" w:ascii="仿宋" w:hAnsi="仿宋"/>
          <w:color w:val="auto"/>
          <w:spacing w:val="6"/>
          <w:sz w:val="24"/>
          <w:szCs w:val="24"/>
          <w:highlight w:val="none"/>
        </w:rPr>
      </w:pPr>
      <w:r>
        <w:rPr>
          <w:rFonts w:ascii="仿宋" w:hAnsi="仿宋"/>
          <w:color w:val="auto"/>
          <w:sz w:val="24"/>
          <w:szCs w:val="24"/>
          <w:highlight w:val="none"/>
        </w:rPr>
        <w:t xml:space="preserve">  C.法定代表人或负责人或实际控制人是直系血亲关系</w:t>
      </w:r>
    </w:p>
    <w:p w14:paraId="37D00827">
      <w:pPr>
        <w:pStyle w:val="112"/>
        <w:widowControl w:val="0"/>
        <w:snapToGrid w:val="0"/>
        <w:ind w:firstLine="480" w:firstLineChars="200"/>
        <w:jc w:val="both"/>
        <w:rPr>
          <w:rFonts w:hint="eastAsia" w:ascii="仿宋" w:hAnsi="仿宋"/>
          <w:color w:val="auto"/>
          <w:spacing w:val="6"/>
          <w:sz w:val="24"/>
          <w:szCs w:val="24"/>
          <w:highlight w:val="none"/>
        </w:rPr>
      </w:pPr>
      <w:r>
        <w:rPr>
          <w:rFonts w:ascii="仿宋" w:hAnsi="仿宋"/>
          <w:color w:val="auto"/>
          <w:sz w:val="24"/>
          <w:szCs w:val="24"/>
          <w:highlight w:val="none"/>
        </w:rPr>
        <w:t xml:space="preserve">  D.法定代表人或负责人或实际控制人存在三代以内旁系血亲关系</w:t>
      </w:r>
    </w:p>
    <w:p w14:paraId="42D582DB">
      <w:pPr>
        <w:pStyle w:val="112"/>
        <w:widowControl w:val="0"/>
        <w:snapToGrid w:val="0"/>
        <w:ind w:firstLine="480" w:firstLineChars="200"/>
        <w:jc w:val="both"/>
        <w:rPr>
          <w:rFonts w:hint="eastAsia" w:ascii="仿宋" w:hAnsi="仿宋"/>
          <w:color w:val="auto"/>
          <w:sz w:val="24"/>
          <w:szCs w:val="24"/>
          <w:highlight w:val="none"/>
        </w:rPr>
      </w:pPr>
      <w:r>
        <w:rPr>
          <w:rFonts w:ascii="仿宋" w:hAnsi="仿宋"/>
          <w:color w:val="auto"/>
          <w:sz w:val="24"/>
          <w:szCs w:val="24"/>
          <w:highlight w:val="none"/>
        </w:rPr>
        <w:t xml:space="preserve">  E.法定代表人或负责人或实际控制人存在近姻亲关系</w:t>
      </w:r>
    </w:p>
    <w:p w14:paraId="1409D85D">
      <w:pPr>
        <w:pStyle w:val="112"/>
        <w:widowControl w:val="0"/>
        <w:snapToGrid w:val="0"/>
        <w:ind w:firstLine="480" w:firstLineChars="200"/>
        <w:jc w:val="both"/>
        <w:rPr>
          <w:rFonts w:hint="eastAsia" w:ascii="仿宋" w:hAnsi="仿宋"/>
          <w:color w:val="auto"/>
          <w:sz w:val="24"/>
          <w:szCs w:val="24"/>
          <w:highlight w:val="none"/>
        </w:rPr>
      </w:pPr>
      <w:r>
        <w:rPr>
          <w:rFonts w:ascii="仿宋" w:hAnsi="仿宋"/>
          <w:color w:val="auto"/>
          <w:sz w:val="24"/>
          <w:szCs w:val="24"/>
          <w:highlight w:val="none"/>
        </w:rPr>
        <w:t xml:space="preserve">  F.法定代表人或负责人或实际控制人存在股份控制或实际控制关系</w:t>
      </w:r>
    </w:p>
    <w:p w14:paraId="58BE223A">
      <w:pPr>
        <w:pStyle w:val="112"/>
        <w:widowControl w:val="0"/>
        <w:snapToGrid w:val="0"/>
        <w:ind w:firstLine="480" w:firstLineChars="200"/>
        <w:jc w:val="both"/>
        <w:outlineLvl w:val="0"/>
        <w:rPr>
          <w:rFonts w:hint="eastAsia" w:ascii="仿宋" w:hAnsi="仿宋"/>
          <w:color w:val="auto"/>
          <w:sz w:val="24"/>
          <w:szCs w:val="24"/>
          <w:highlight w:val="none"/>
        </w:rPr>
      </w:pPr>
      <w:r>
        <w:rPr>
          <w:rFonts w:ascii="仿宋" w:hAnsi="仿宋"/>
          <w:color w:val="auto"/>
          <w:sz w:val="24"/>
          <w:szCs w:val="24"/>
          <w:highlight w:val="none"/>
        </w:rPr>
        <w:t xml:space="preserve">  G.存在共同直接或间接投资设立子公司、联营企业和合营企业情况</w:t>
      </w:r>
    </w:p>
    <w:p w14:paraId="1133FEFD">
      <w:pPr>
        <w:pStyle w:val="112"/>
        <w:widowControl w:val="0"/>
        <w:snapToGrid w:val="0"/>
        <w:ind w:firstLine="480" w:firstLineChars="200"/>
        <w:jc w:val="both"/>
        <w:rPr>
          <w:rFonts w:hint="eastAsia" w:ascii="仿宋" w:hAnsi="仿宋"/>
          <w:color w:val="auto"/>
          <w:sz w:val="24"/>
          <w:szCs w:val="24"/>
          <w:highlight w:val="none"/>
        </w:rPr>
      </w:pPr>
      <w:r>
        <w:rPr>
          <w:rFonts w:ascii="仿宋" w:hAnsi="仿宋"/>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12C9E350">
      <w:pPr>
        <w:pStyle w:val="112"/>
        <w:widowControl w:val="0"/>
        <w:snapToGrid w:val="0"/>
        <w:ind w:firstLine="480" w:firstLineChars="200"/>
        <w:jc w:val="both"/>
        <w:rPr>
          <w:rFonts w:hint="eastAsia" w:ascii="仿宋" w:hAnsi="仿宋"/>
          <w:color w:val="auto"/>
          <w:spacing w:val="6"/>
          <w:sz w:val="24"/>
          <w:szCs w:val="24"/>
          <w:highlight w:val="none"/>
        </w:rPr>
      </w:pPr>
      <w:r>
        <w:rPr>
          <w:rFonts w:ascii="仿宋" w:hAnsi="仿宋"/>
          <w:color w:val="auto"/>
          <w:sz w:val="24"/>
          <w:szCs w:val="24"/>
          <w:highlight w:val="none"/>
        </w:rPr>
        <w:t xml:space="preserve">    I.其他利害关系情况</w:t>
      </w:r>
      <w:r>
        <w:rPr>
          <w:rFonts w:ascii="仿宋" w:hAnsi="仿宋"/>
          <w:color w:val="auto"/>
          <w:sz w:val="24"/>
          <w:szCs w:val="24"/>
          <w:highlight w:val="none"/>
          <w:u w:val="single"/>
        </w:rPr>
        <w:t xml:space="preserve">                              </w:t>
      </w:r>
      <w:r>
        <w:rPr>
          <w:rFonts w:ascii="仿宋" w:hAnsi="仿宋"/>
          <w:color w:val="auto"/>
          <w:sz w:val="24"/>
          <w:szCs w:val="24"/>
          <w:highlight w:val="none"/>
        </w:rPr>
        <w:t>。</w:t>
      </w:r>
    </w:p>
    <w:p w14:paraId="66223EC4">
      <w:pPr>
        <w:pStyle w:val="80"/>
        <w:widowControl/>
        <w:numPr>
          <w:ilvl w:val="0"/>
          <w:numId w:val="30"/>
        </w:numPr>
        <w:snapToGrid w:val="0"/>
        <w:ind w:firstLine="480" w:firstLineChars="200"/>
        <w:rPr>
          <w:rFonts w:hint="eastAsia" w:ascii="仿宋" w:hAnsi="仿宋"/>
          <w:color w:val="auto"/>
          <w:sz w:val="24"/>
          <w:szCs w:val="24"/>
          <w:highlight w:val="none"/>
        </w:rPr>
      </w:pPr>
      <w:r>
        <w:rPr>
          <w:rFonts w:ascii="仿宋" w:hAnsi="仿宋"/>
          <w:color w:val="auto"/>
          <w:sz w:val="24"/>
          <w:szCs w:val="24"/>
          <w:highlight w:val="none"/>
        </w:rPr>
        <w:t>现已清楚知道并严格遵守政府采购法律法规和现场纪律。</w:t>
      </w:r>
    </w:p>
    <w:p w14:paraId="4ACEC2B7">
      <w:pPr>
        <w:pStyle w:val="80"/>
        <w:widowControl/>
        <w:numPr>
          <w:ilvl w:val="0"/>
          <w:numId w:val="30"/>
        </w:numPr>
        <w:snapToGrid w:val="0"/>
        <w:ind w:firstLine="480" w:firstLineChars="200"/>
        <w:rPr>
          <w:rFonts w:hint="eastAsia" w:ascii="仿宋" w:hAnsi="仿宋"/>
          <w:color w:val="auto"/>
          <w:sz w:val="24"/>
          <w:szCs w:val="24"/>
          <w:highlight w:val="none"/>
        </w:rPr>
      </w:pPr>
      <w:r>
        <w:rPr>
          <w:rFonts w:ascii="仿宋" w:hAnsi="仿宋"/>
          <w:color w:val="auto"/>
          <w:sz w:val="24"/>
          <w:szCs w:val="24"/>
          <w:highlight w:val="none"/>
        </w:rPr>
        <w:t>我发现</w:t>
      </w:r>
      <w:r>
        <w:rPr>
          <w:rFonts w:ascii="仿宋" w:hAnsi="仿宋"/>
          <w:color w:val="auto"/>
          <w:sz w:val="24"/>
          <w:szCs w:val="24"/>
          <w:highlight w:val="none"/>
          <w:u w:val="single"/>
        </w:rPr>
        <w:t xml:space="preserve">                    </w:t>
      </w:r>
      <w:r>
        <w:rPr>
          <w:rFonts w:ascii="仿宋" w:hAnsi="仿宋"/>
          <w:color w:val="auto"/>
          <w:sz w:val="24"/>
          <w:szCs w:val="24"/>
          <w:highlight w:val="none"/>
        </w:rPr>
        <w:t>供应商之间存在或可能存在上述第二条第</w:t>
      </w:r>
      <w:r>
        <w:rPr>
          <w:rFonts w:ascii="仿宋" w:hAnsi="仿宋"/>
          <w:color w:val="auto"/>
          <w:sz w:val="24"/>
          <w:szCs w:val="24"/>
          <w:highlight w:val="none"/>
          <w:u w:val="single"/>
        </w:rPr>
        <w:t xml:space="preserve">        </w:t>
      </w:r>
      <w:r>
        <w:rPr>
          <w:rFonts w:ascii="仿宋" w:hAnsi="仿宋"/>
          <w:color w:val="auto"/>
          <w:sz w:val="24"/>
          <w:szCs w:val="24"/>
          <w:highlight w:val="none"/>
        </w:rPr>
        <w:t>项利害关系。</w:t>
      </w:r>
    </w:p>
    <w:p w14:paraId="7910B454">
      <w:pPr>
        <w:pStyle w:val="112"/>
        <w:widowControl w:val="0"/>
        <w:snapToGrid w:val="0"/>
        <w:ind w:firstLine="480" w:firstLineChars="200"/>
        <w:jc w:val="both"/>
        <w:rPr>
          <w:rFonts w:hint="eastAsia" w:ascii="仿宋" w:hAnsi="仿宋"/>
          <w:color w:val="auto"/>
          <w:sz w:val="24"/>
          <w:szCs w:val="24"/>
          <w:highlight w:val="none"/>
        </w:rPr>
      </w:pPr>
    </w:p>
    <w:p w14:paraId="10E2F028">
      <w:pPr>
        <w:pStyle w:val="112"/>
        <w:widowControl w:val="0"/>
        <w:snapToGrid w:val="0"/>
        <w:ind w:firstLine="480" w:firstLineChars="200"/>
        <w:jc w:val="both"/>
        <w:rPr>
          <w:rFonts w:hint="eastAsia" w:ascii="仿宋" w:hAnsi="仿宋"/>
          <w:color w:val="auto"/>
          <w:sz w:val="24"/>
          <w:szCs w:val="24"/>
          <w:highlight w:val="none"/>
        </w:rPr>
      </w:pPr>
      <w:r>
        <w:rPr>
          <w:rFonts w:ascii="仿宋" w:hAnsi="仿宋"/>
          <w:color w:val="auto"/>
          <w:sz w:val="24"/>
          <w:szCs w:val="24"/>
          <w:highlight w:val="none"/>
        </w:rPr>
        <w:t xml:space="preserve">                    </w:t>
      </w:r>
    </w:p>
    <w:p w14:paraId="6D23E8E6">
      <w:pPr>
        <w:pStyle w:val="112"/>
        <w:widowControl w:val="0"/>
        <w:snapToGrid w:val="0"/>
        <w:ind w:firstLine="480" w:firstLineChars="200"/>
        <w:jc w:val="both"/>
        <w:rPr>
          <w:rFonts w:hint="eastAsia" w:ascii="仿宋" w:hAnsi="仿宋"/>
          <w:color w:val="auto"/>
          <w:sz w:val="24"/>
          <w:szCs w:val="24"/>
          <w:highlight w:val="none"/>
        </w:rPr>
      </w:pPr>
    </w:p>
    <w:p w14:paraId="15AAAC81">
      <w:pPr>
        <w:pStyle w:val="112"/>
        <w:widowControl w:val="0"/>
        <w:snapToGrid w:val="0"/>
        <w:ind w:firstLine="480" w:firstLineChars="200"/>
        <w:jc w:val="center"/>
        <w:rPr>
          <w:rFonts w:hint="eastAsia" w:ascii="仿宋" w:hAnsi="仿宋"/>
          <w:color w:val="auto"/>
          <w:sz w:val="24"/>
          <w:highlight w:val="none"/>
        </w:rPr>
      </w:pPr>
      <w:r>
        <w:rPr>
          <w:rFonts w:ascii="仿宋" w:hAnsi="仿宋"/>
          <w:color w:val="auto"/>
          <w:sz w:val="24"/>
          <w:szCs w:val="24"/>
          <w:highlight w:val="none"/>
        </w:rPr>
        <w:t xml:space="preserve">                           供应商代表签名：</w:t>
      </w:r>
      <w:r>
        <w:rPr>
          <w:rFonts w:ascii="仿宋" w:hAnsi="仿宋"/>
          <w:color w:val="auto"/>
          <w:sz w:val="24"/>
          <w:szCs w:val="24"/>
          <w:highlight w:val="none"/>
          <w:u w:val="single"/>
        </w:rPr>
        <w:t xml:space="preserve">                   </w:t>
      </w:r>
    </w:p>
    <w:p w14:paraId="4FA88889">
      <w:pPr>
        <w:snapToGrid w:val="0"/>
        <w:spacing w:before="156" w:beforeLines="50" w:after="50" w:line="360" w:lineRule="auto"/>
        <w:ind w:firstLine="480" w:firstLineChars="200"/>
        <w:jc w:val="right"/>
        <w:rPr>
          <w:rFonts w:hint="eastAsia" w:ascii="宋体" w:hAnsi="宋体" w:cs="宋体"/>
          <w:bCs/>
          <w:color w:val="auto"/>
          <w:sz w:val="30"/>
          <w:szCs w:val="30"/>
          <w:highlight w:val="none"/>
        </w:rPr>
      </w:pPr>
      <w:r>
        <w:rPr>
          <w:rFonts w:hint="eastAsia" w:ascii="仿宋" w:hAnsi="仿宋"/>
          <w:color w:val="auto"/>
          <w:sz w:val="24"/>
          <w:highlight w:val="none"/>
        </w:rPr>
        <w:t xml:space="preserve"> </w:t>
      </w:r>
      <w:r>
        <w:rPr>
          <w:rFonts w:ascii="仿宋" w:hAnsi="仿宋"/>
          <w:color w:val="auto"/>
          <w:sz w:val="24"/>
          <w:highlight w:val="none"/>
        </w:rPr>
        <w:t>年</w:t>
      </w:r>
      <w:r>
        <w:rPr>
          <w:rFonts w:hint="eastAsia" w:ascii="仿宋" w:hAnsi="仿宋"/>
          <w:color w:val="auto"/>
          <w:sz w:val="24"/>
          <w:highlight w:val="none"/>
        </w:rPr>
        <w:t xml:space="preserve">  </w:t>
      </w:r>
      <w:r>
        <w:rPr>
          <w:rFonts w:ascii="仿宋" w:hAnsi="仿宋"/>
          <w:color w:val="auto"/>
          <w:sz w:val="24"/>
          <w:highlight w:val="none"/>
        </w:rPr>
        <w:t>月</w:t>
      </w:r>
      <w:r>
        <w:rPr>
          <w:rFonts w:hint="eastAsia" w:ascii="仿宋" w:hAnsi="仿宋"/>
          <w:color w:val="auto"/>
          <w:sz w:val="24"/>
          <w:highlight w:val="none"/>
        </w:rPr>
        <w:t xml:space="preserve"> </w:t>
      </w:r>
      <w:r>
        <w:rPr>
          <w:rFonts w:ascii="仿宋" w:hAnsi="仿宋"/>
          <w:color w:val="auto"/>
          <w:sz w:val="24"/>
          <w:highlight w:val="none"/>
        </w:rPr>
        <w:t>日</w:t>
      </w:r>
    </w:p>
    <w:p w14:paraId="0F8AC80A">
      <w:pPr>
        <w:pStyle w:val="17"/>
        <w:ind w:firstLine="482"/>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55F806E-B3CB-4637-BD0B-3E592EF3213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47B11516-3D28-4104-A81D-0DCBC44D070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E35DA08-A2C7-4DB6-A742-1EC14EAC9D8E}"/>
  </w:font>
  <w:font w:name="Calibri Light">
    <w:panose1 w:val="020F0302020204030204"/>
    <w:charset w:val="00"/>
    <w:family w:val="swiss"/>
    <w:pitch w:val="default"/>
    <w:sig w:usb0="A00002EF" w:usb1="4000207B" w:usb2="00000000" w:usb3="00000000" w:csb0="2000019F" w:csb1="00000000"/>
    <w:embedRegular r:id="rId4" w:fontKey="{EC851F43-3F08-4820-9B44-2413469461AB}"/>
  </w:font>
  <w:font w:name="仿宋">
    <w:panose1 w:val="02010609060101010101"/>
    <w:charset w:val="86"/>
    <w:family w:val="auto"/>
    <w:pitch w:val="default"/>
    <w:sig w:usb0="800002BF" w:usb1="38CF7CFA" w:usb2="00000016" w:usb3="00000000" w:csb0="00040001" w:csb1="00000000"/>
    <w:embedRegular r:id="rId5" w:fontKey="{2608E829-BFFB-4A18-91F1-25477F4A8E36}"/>
  </w:font>
  <w:font w:name="楷体_GB2312">
    <w:panose1 w:val="02010609030101010101"/>
    <w:charset w:val="86"/>
    <w:family w:val="modern"/>
    <w:pitch w:val="default"/>
    <w:sig w:usb0="00000001" w:usb1="080E0000" w:usb2="00000000" w:usb3="00000000" w:csb0="00040000" w:csb1="00000000"/>
    <w:embedRegular r:id="rId6" w:fontKey="{9EFABDEF-846A-4298-A466-474799E844EA}"/>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embedRegular r:id="rId7" w:fontKey="{E0C6D369-3338-4384-B8DF-C84E4D70B476}"/>
  </w:font>
  <w:font w:name="微软雅黑">
    <w:panose1 w:val="020B0503020204020204"/>
    <w:charset w:val="86"/>
    <w:family w:val="swiss"/>
    <w:pitch w:val="default"/>
    <w:sig w:usb0="80000287" w:usb1="280F3C52" w:usb2="00000016" w:usb3="00000000" w:csb0="0004001F" w:csb1="00000000"/>
    <w:embedRegular r:id="rId8" w:fontKey="{3F6E9734-586F-44F7-B34D-0C522CCC4092}"/>
  </w:font>
  <w:font w:name="方正书宋简体">
    <w:altName w:val="宋体"/>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9" w:fontKey="{FB6538D9-89D3-4FF2-AE73-D4980DE6382D}"/>
  </w:font>
  <w:font w:name="新宋体">
    <w:panose1 w:val="02010609030101010101"/>
    <w:charset w:val="86"/>
    <w:family w:val="modern"/>
    <w:pitch w:val="default"/>
    <w:sig w:usb0="00000003" w:usb1="288F0000" w:usb2="00000006" w:usb3="00000000" w:csb0="00040001" w:csb1="00000000"/>
    <w:embedRegular r:id="rId10" w:fontKey="{87121726-793F-4701-ACB4-F60F733F679B}"/>
  </w:font>
  <w:font w:name="Segoe UI Symbol">
    <w:panose1 w:val="020B0502040204020203"/>
    <w:charset w:val="00"/>
    <w:family w:val="swiss"/>
    <w:pitch w:val="default"/>
    <w:sig w:usb0="8000006F" w:usb1="1200FBEF" w:usb2="0064C000" w:usb3="00000002" w:csb0="00000001" w:csb1="40000000"/>
  </w:font>
  <w:font w:name="MS UI Gothic">
    <w:panose1 w:val="020B0600070205080204"/>
    <w:charset w:val="80"/>
    <w:family w:val="swiss"/>
    <w:pitch w:val="default"/>
    <w:sig w:usb0="E00002FF" w:usb1="6AC7FDFB" w:usb2="00000012" w:usb3="00000000" w:csb0="4002009F" w:csb1="DFD70000"/>
  </w:font>
  <w:font w:name="方正小标宋简体">
    <w:panose1 w:val="02000000000000000000"/>
    <w:charset w:val="86"/>
    <w:family w:val="script"/>
    <w:pitch w:val="default"/>
    <w:sig w:usb0="00000001" w:usb1="08000000" w:usb2="00000000" w:usb3="00000000" w:csb0="00040000" w:csb1="00000000"/>
    <w:embedRegular r:id="rId11" w:fontKey="{27D17A27-8E45-4DF8-9C2C-62282CA4DA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C5C2">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273FF">
                          <w:pPr>
                            <w:pStyle w:val="26"/>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33273FF">
                    <w:pPr>
                      <w:pStyle w:val="26"/>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E2B0E">
    <w:pPr>
      <w:pStyle w:val="2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147955"/>
              <wp:effectExtent l="0" t="0" r="0" b="0"/>
              <wp:wrapNone/>
              <wp:docPr id="4" name="文本框 10"/>
              <wp:cNvGraphicFramePr/>
              <a:graphic xmlns:a="http://schemas.openxmlformats.org/drawingml/2006/main">
                <a:graphicData uri="http://schemas.microsoft.com/office/word/2010/wordprocessingShape">
                  <wps:wsp>
                    <wps:cNvSpPr txBox="1"/>
                    <wps:spPr>
                      <a:xfrm>
                        <a:off x="0" y="0"/>
                        <a:ext cx="686435" cy="147955"/>
                      </a:xfrm>
                      <a:prstGeom prst="rect">
                        <a:avLst/>
                      </a:prstGeom>
                      <a:noFill/>
                      <a:ln w="6350">
                        <a:noFill/>
                      </a:ln>
                      <a:effectLst/>
                    </wps:spPr>
                    <wps:txbx>
                      <w:txbxContent>
                        <w:p w14:paraId="2C5700EA">
                          <w:pPr>
                            <w:pStyle w:val="26"/>
                            <w:ind w:firstLine="360"/>
                            <w:rPr>
                              <w:highlight w:val="yellow"/>
                            </w:rPr>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54.05pt;mso-position-horizontal:center;mso-position-horizontal-relative:margin;mso-wrap-style:none;z-index:251659264;mso-width-relative:page;mso-height-relative:page;" filled="f" stroked="f" coordsize="21600,21600" o:gfxdata="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pHpotIAAAAEAQAADwAAAAAAAAABACAAAAAiAAAAZHJzL2Rvd25yZXYueG1s&#10;UEsBAhQAFAAAAAgAh07iQMGyWLM3AgAAYgQAAA4AAAAAAAAAAQAgAAAAIQEAAGRycy9lMm9Eb2Mu&#10;eG1sUEsFBgAAAAAGAAYAWQEAAMoFAAAAAA==&#10;">
              <v:fill on="f" focussize="0,0"/>
              <v:stroke on="f" weight="0.5pt"/>
              <v:imagedata o:title=""/>
              <o:lock v:ext="edit" aspectratio="f"/>
              <v:textbox inset="0mm,0mm,0mm,0mm" style="mso-fit-shape-to-text:t;">
                <w:txbxContent>
                  <w:p w14:paraId="2C5700EA">
                    <w:pPr>
                      <w:pStyle w:val="26"/>
                      <w:ind w:firstLine="360"/>
                      <w:rPr>
                        <w:highlight w:val="yellow"/>
                      </w:rPr>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F6DD">
    <w:pPr>
      <w:pStyle w:val="2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147955"/>
              <wp:effectExtent l="0" t="0" r="12065" b="0"/>
              <wp:wrapNone/>
              <wp:docPr id="1" name="文本框 10"/>
              <wp:cNvGraphicFramePr/>
              <a:graphic xmlns:a="http://schemas.openxmlformats.org/drawingml/2006/main">
                <a:graphicData uri="http://schemas.microsoft.com/office/word/2010/wordprocessingShape">
                  <wps:wsp>
                    <wps:cNvSpPr txBox="1"/>
                    <wps:spPr>
                      <a:xfrm>
                        <a:off x="0" y="0"/>
                        <a:ext cx="686435" cy="147955"/>
                      </a:xfrm>
                      <a:prstGeom prst="rect">
                        <a:avLst/>
                      </a:prstGeom>
                      <a:noFill/>
                      <a:ln w="6350">
                        <a:noFill/>
                      </a:ln>
                      <a:effectLst/>
                    </wps:spPr>
                    <wps:txbx>
                      <w:txbxContent>
                        <w:p w14:paraId="19201F1A">
                          <w:pPr>
                            <w:pStyle w:val="26"/>
                            <w:ind w:firstLine="360"/>
                            <w:rPr>
                              <w:highlight w:val="yellow"/>
                            </w:rPr>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54.05pt;mso-position-horizontal:center;mso-position-horizontal-relative:margin;mso-wrap-style:none;z-index:251659264;mso-width-relative:page;mso-height-relative:page;" filled="f" stroked="f" coordsize="21600,21600" o:gfxdata="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R6aLSAAAABAEAAA8AAAAAAAAAAQAgAAAAIgAAAGRycy9kb3ducmV2LnhtbFBL&#10;AQIUABQAAAAIAIdO4kDSs1pTNQIAAGIEAAAOAAAAAAAAAAEAIAAAACEBAABkcnMvZTJvRG9jLnht&#10;bFBLBQYAAAAABgAGAFkBAADIBQAAAAA=&#10;">
              <v:fill on="f" focussize="0,0"/>
              <v:stroke on="f" weight="0.5pt"/>
              <v:imagedata o:title=""/>
              <o:lock v:ext="edit" aspectratio="f"/>
              <v:textbox inset="0mm,0mm,0mm,0mm" style="mso-fit-shape-to-text:t;">
                <w:txbxContent>
                  <w:p w14:paraId="19201F1A">
                    <w:pPr>
                      <w:pStyle w:val="26"/>
                      <w:ind w:firstLine="360"/>
                      <w:rPr>
                        <w:highlight w:val="yellow"/>
                      </w:rPr>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82D8">
    <w:pPr>
      <w:spacing w:line="20" w:lineRule="atLeast"/>
      <w:rPr>
        <w:b/>
        <w:color w:val="000000" w:themeColor="text1"/>
        <w:sz w:val="10"/>
        <w:u w:val="single"/>
        <w14:textFill>
          <w14:solidFill>
            <w14:schemeClr w14:val="tx1"/>
          </w14:solidFill>
        </w14:textFill>
      </w:rPr>
    </w:pPr>
    <w:r>
      <w:rPr>
        <w:b/>
        <w:i/>
        <w:color w:val="000000" w:themeColor="text1"/>
        <w:kern w:val="0"/>
        <w:sz w:val="18"/>
        <w:u w:val="single"/>
        <w14:textFill>
          <w14:solidFill>
            <w14:schemeClr w14:val="tx1"/>
          </w14:solidFill>
        </w14:textFill>
      </w:rPr>
      <w:t>采购招标文件</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- 6 -</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AA9D7">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4519">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87103"/>
    <w:multiLevelType w:val="singleLevel"/>
    <w:tmpl w:val="98887103"/>
    <w:lvl w:ilvl="0" w:tentative="0">
      <w:start w:val="1"/>
      <w:numFmt w:val="decimal"/>
      <w:suff w:val="nothing"/>
      <w:lvlText w:val="%1）"/>
      <w:lvlJc w:val="left"/>
    </w:lvl>
  </w:abstractNum>
  <w:abstractNum w:abstractNumId="1">
    <w:nsid w:val="ADDD6DDF"/>
    <w:multiLevelType w:val="multilevel"/>
    <w:tmpl w:val="ADDD6DDF"/>
    <w:lvl w:ilvl="0" w:tentative="0">
      <w:start w:val="1"/>
      <w:numFmt w:val="decimal"/>
      <w:lvlText w:val="%1)"/>
      <w:lvlJc w:val="left"/>
      <w:pPr>
        <w:ind w:left="-482" w:hanging="440"/>
      </w:pPr>
      <w:rPr>
        <w:sz w:val="21"/>
        <w:szCs w:val="21"/>
      </w:rPr>
    </w:lvl>
    <w:lvl w:ilvl="1" w:tentative="0">
      <w:start w:val="1"/>
      <w:numFmt w:val="lowerLetter"/>
      <w:lvlText w:val="%2)"/>
      <w:lvlJc w:val="left"/>
      <w:pPr>
        <w:ind w:left="-42" w:hanging="440"/>
      </w:pPr>
    </w:lvl>
    <w:lvl w:ilvl="2" w:tentative="0">
      <w:start w:val="1"/>
      <w:numFmt w:val="lowerRoman"/>
      <w:lvlText w:val="%3."/>
      <w:lvlJc w:val="right"/>
      <w:pPr>
        <w:ind w:left="398" w:hanging="440"/>
      </w:pPr>
    </w:lvl>
    <w:lvl w:ilvl="3" w:tentative="0">
      <w:start w:val="1"/>
      <w:numFmt w:val="decimal"/>
      <w:lvlText w:val="%4."/>
      <w:lvlJc w:val="left"/>
      <w:pPr>
        <w:ind w:left="838" w:hanging="440"/>
      </w:pPr>
    </w:lvl>
    <w:lvl w:ilvl="4" w:tentative="0">
      <w:start w:val="1"/>
      <w:numFmt w:val="lowerLetter"/>
      <w:lvlText w:val="%5)"/>
      <w:lvlJc w:val="left"/>
      <w:pPr>
        <w:ind w:left="1278" w:hanging="440"/>
      </w:pPr>
    </w:lvl>
    <w:lvl w:ilvl="5" w:tentative="0">
      <w:start w:val="1"/>
      <w:numFmt w:val="lowerRoman"/>
      <w:lvlText w:val="%6."/>
      <w:lvlJc w:val="right"/>
      <w:pPr>
        <w:ind w:left="1718" w:hanging="440"/>
      </w:pPr>
    </w:lvl>
    <w:lvl w:ilvl="6" w:tentative="0">
      <w:start w:val="1"/>
      <w:numFmt w:val="decimal"/>
      <w:lvlText w:val="%7."/>
      <w:lvlJc w:val="left"/>
      <w:pPr>
        <w:ind w:left="2158" w:hanging="440"/>
      </w:pPr>
    </w:lvl>
    <w:lvl w:ilvl="7" w:tentative="0">
      <w:start w:val="1"/>
      <w:numFmt w:val="lowerLetter"/>
      <w:lvlText w:val="%8)"/>
      <w:lvlJc w:val="left"/>
      <w:pPr>
        <w:ind w:left="2598" w:hanging="440"/>
      </w:pPr>
    </w:lvl>
    <w:lvl w:ilvl="8" w:tentative="0">
      <w:start w:val="1"/>
      <w:numFmt w:val="lowerRoman"/>
      <w:lvlText w:val="%9."/>
      <w:lvlJc w:val="right"/>
      <w:pPr>
        <w:ind w:left="3038" w:hanging="440"/>
      </w:pPr>
    </w:lvl>
  </w:abstractNum>
  <w:abstractNum w:abstractNumId="2">
    <w:nsid w:val="AE2D8F7B"/>
    <w:multiLevelType w:val="multilevel"/>
    <w:tmpl w:val="AE2D8F7B"/>
    <w:lvl w:ilvl="0" w:tentative="0">
      <w:start w:val="1"/>
      <w:numFmt w:val="decimal"/>
      <w:pStyle w:val="13"/>
      <w:lvlText w:val="%1."/>
      <w:lvlJc w:val="left"/>
      <w:pPr>
        <w:tabs>
          <w:tab w:val="left" w:pos="360"/>
        </w:tabs>
        <w:ind w:left="360" w:hanging="360"/>
      </w:pPr>
    </w:lvl>
    <w:lvl w:ilvl="1" w:tentative="0">
      <w:start w:val="8"/>
      <w:numFmt w:val="decimal"/>
      <w:isLgl/>
      <w:lvlText w:val="%1.%2"/>
      <w:lvlJc w:val="left"/>
      <w:pPr>
        <w:ind w:left="840" w:hanging="36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3">
    <w:nsid w:val="B49AFF90"/>
    <w:multiLevelType w:val="singleLevel"/>
    <w:tmpl w:val="B49AFF90"/>
    <w:lvl w:ilvl="0" w:tentative="0">
      <w:start w:val="1"/>
      <w:numFmt w:val="decimal"/>
      <w:suff w:val="space"/>
      <w:lvlText w:val="%1."/>
      <w:lvlJc w:val="left"/>
    </w:lvl>
  </w:abstractNum>
  <w:abstractNum w:abstractNumId="4">
    <w:nsid w:val="C33C82C6"/>
    <w:multiLevelType w:val="singleLevel"/>
    <w:tmpl w:val="C33C82C6"/>
    <w:lvl w:ilvl="0" w:tentative="0">
      <w:start w:val="1"/>
      <w:numFmt w:val="decimalEnclosedCircleChinese"/>
      <w:suff w:val="nothing"/>
      <w:lvlText w:val="%1　"/>
      <w:lvlJc w:val="left"/>
      <w:pPr>
        <w:ind w:left="0" w:firstLine="400"/>
      </w:pPr>
      <w:rPr>
        <w:rFonts w:hint="eastAsia"/>
      </w:rPr>
    </w:lvl>
  </w:abstractNum>
  <w:abstractNum w:abstractNumId="5">
    <w:nsid w:val="C606E3DD"/>
    <w:multiLevelType w:val="singleLevel"/>
    <w:tmpl w:val="C606E3DD"/>
    <w:lvl w:ilvl="0" w:tentative="0">
      <w:start w:val="1"/>
      <w:numFmt w:val="decimal"/>
      <w:suff w:val="nothing"/>
      <w:lvlText w:val="（%1）"/>
      <w:lvlJc w:val="left"/>
    </w:lvl>
  </w:abstractNum>
  <w:abstractNum w:abstractNumId="6">
    <w:nsid w:val="D0174885"/>
    <w:multiLevelType w:val="singleLevel"/>
    <w:tmpl w:val="D0174885"/>
    <w:lvl w:ilvl="0" w:tentative="0">
      <w:start w:val="1"/>
      <w:numFmt w:val="decimalEnclosedCircleChinese"/>
      <w:suff w:val="nothing"/>
      <w:lvlText w:val="%1　"/>
      <w:lvlJc w:val="left"/>
      <w:pPr>
        <w:ind w:left="0" w:firstLine="400"/>
      </w:pPr>
      <w:rPr>
        <w:rFonts w:hint="eastAsia"/>
      </w:rPr>
    </w:lvl>
  </w:abstractNum>
  <w:abstractNum w:abstractNumId="7">
    <w:nsid w:val="E719F09A"/>
    <w:multiLevelType w:val="singleLevel"/>
    <w:tmpl w:val="E719F09A"/>
    <w:lvl w:ilvl="0" w:tentative="0">
      <w:start w:val="1"/>
      <w:numFmt w:val="chineseCounting"/>
      <w:suff w:val="nothing"/>
      <w:lvlText w:val="（%1）"/>
      <w:lvlJc w:val="left"/>
      <w:pPr>
        <w:ind w:left="0" w:firstLine="420"/>
      </w:pPr>
      <w:rPr>
        <w:rFonts w:hint="eastAsia"/>
      </w:rPr>
    </w:lvl>
  </w:abstractNum>
  <w:abstractNum w:abstractNumId="8">
    <w:nsid w:val="E922FDBF"/>
    <w:multiLevelType w:val="singleLevel"/>
    <w:tmpl w:val="E922FDBF"/>
    <w:lvl w:ilvl="0" w:tentative="0">
      <w:start w:val="1"/>
      <w:numFmt w:val="decimal"/>
      <w:lvlText w:val="%1."/>
      <w:lvlJc w:val="left"/>
      <w:pPr>
        <w:tabs>
          <w:tab w:val="left" w:pos="312"/>
        </w:tabs>
      </w:pPr>
    </w:lvl>
  </w:abstractNum>
  <w:abstractNum w:abstractNumId="9">
    <w:nsid w:val="ED78F231"/>
    <w:multiLevelType w:val="singleLevel"/>
    <w:tmpl w:val="ED78F231"/>
    <w:lvl w:ilvl="0" w:tentative="0">
      <w:start w:val="1"/>
      <w:numFmt w:val="decimal"/>
      <w:suff w:val="space"/>
      <w:lvlText w:val="%1."/>
      <w:lvlJc w:val="left"/>
    </w:lvl>
  </w:abstractNum>
  <w:abstractNum w:abstractNumId="10">
    <w:nsid w:val="0ADB2FB9"/>
    <w:multiLevelType w:val="multilevel"/>
    <w:tmpl w:val="0ADB2FB9"/>
    <w:lvl w:ilvl="0" w:tentative="0">
      <w:start w:val="1"/>
      <w:numFmt w:val="decimal"/>
      <w:suff w:val="space"/>
      <w:lvlText w:val="%1）"/>
      <w:lvlJc w:val="left"/>
      <w:pPr>
        <w:ind w:left="-482" w:hanging="360"/>
      </w:pPr>
      <w:rPr>
        <w:rFonts w:hint="default"/>
      </w:rPr>
    </w:lvl>
    <w:lvl w:ilvl="1" w:tentative="0">
      <w:start w:val="1"/>
      <w:numFmt w:val="lowerLetter"/>
      <w:lvlText w:val="%2)"/>
      <w:lvlJc w:val="left"/>
      <w:pPr>
        <w:ind w:left="38" w:hanging="440"/>
      </w:pPr>
    </w:lvl>
    <w:lvl w:ilvl="2" w:tentative="0">
      <w:start w:val="1"/>
      <w:numFmt w:val="lowerRoman"/>
      <w:lvlText w:val="%3."/>
      <w:lvlJc w:val="right"/>
      <w:pPr>
        <w:ind w:left="478" w:hanging="440"/>
      </w:pPr>
    </w:lvl>
    <w:lvl w:ilvl="3" w:tentative="0">
      <w:start w:val="1"/>
      <w:numFmt w:val="decimal"/>
      <w:lvlText w:val="%4."/>
      <w:lvlJc w:val="left"/>
      <w:pPr>
        <w:ind w:left="918" w:hanging="440"/>
      </w:pPr>
    </w:lvl>
    <w:lvl w:ilvl="4" w:tentative="0">
      <w:start w:val="1"/>
      <w:numFmt w:val="lowerLetter"/>
      <w:lvlText w:val="%5)"/>
      <w:lvlJc w:val="left"/>
      <w:pPr>
        <w:ind w:left="1358" w:hanging="440"/>
      </w:pPr>
    </w:lvl>
    <w:lvl w:ilvl="5" w:tentative="0">
      <w:start w:val="1"/>
      <w:numFmt w:val="lowerRoman"/>
      <w:lvlText w:val="%6."/>
      <w:lvlJc w:val="right"/>
      <w:pPr>
        <w:ind w:left="1798" w:hanging="440"/>
      </w:pPr>
    </w:lvl>
    <w:lvl w:ilvl="6" w:tentative="0">
      <w:start w:val="1"/>
      <w:numFmt w:val="decimal"/>
      <w:lvlText w:val="%7."/>
      <w:lvlJc w:val="left"/>
      <w:pPr>
        <w:ind w:left="2238" w:hanging="440"/>
      </w:pPr>
    </w:lvl>
    <w:lvl w:ilvl="7" w:tentative="0">
      <w:start w:val="1"/>
      <w:numFmt w:val="lowerLetter"/>
      <w:lvlText w:val="%8)"/>
      <w:lvlJc w:val="left"/>
      <w:pPr>
        <w:ind w:left="2678" w:hanging="440"/>
      </w:pPr>
    </w:lvl>
    <w:lvl w:ilvl="8" w:tentative="0">
      <w:start w:val="1"/>
      <w:numFmt w:val="lowerRoman"/>
      <w:lvlText w:val="%9."/>
      <w:lvlJc w:val="right"/>
      <w:pPr>
        <w:ind w:left="3118" w:hanging="440"/>
      </w:pPr>
    </w:lvl>
  </w:abstractNum>
  <w:abstractNum w:abstractNumId="11">
    <w:nsid w:val="0D214D26"/>
    <w:multiLevelType w:val="multilevel"/>
    <w:tmpl w:val="0D214D26"/>
    <w:lvl w:ilvl="0" w:tentative="0">
      <w:start w:val="1"/>
      <w:numFmt w:val="decimal"/>
      <w:lvlText w:val="%1)"/>
      <w:lvlJc w:val="left"/>
      <w:pPr>
        <w:ind w:left="-482" w:hanging="440"/>
      </w:pPr>
      <w:rPr>
        <w:sz w:val="21"/>
        <w:szCs w:val="21"/>
      </w:rPr>
    </w:lvl>
    <w:lvl w:ilvl="1" w:tentative="0">
      <w:start w:val="1"/>
      <w:numFmt w:val="lowerLetter"/>
      <w:lvlText w:val="%2)"/>
      <w:lvlJc w:val="left"/>
      <w:pPr>
        <w:ind w:left="-42" w:hanging="440"/>
      </w:pPr>
    </w:lvl>
    <w:lvl w:ilvl="2" w:tentative="0">
      <w:start w:val="1"/>
      <w:numFmt w:val="lowerRoman"/>
      <w:lvlText w:val="%3."/>
      <w:lvlJc w:val="right"/>
      <w:pPr>
        <w:ind w:left="398" w:hanging="440"/>
      </w:pPr>
    </w:lvl>
    <w:lvl w:ilvl="3" w:tentative="0">
      <w:start w:val="1"/>
      <w:numFmt w:val="decimal"/>
      <w:lvlText w:val="%4."/>
      <w:lvlJc w:val="left"/>
      <w:pPr>
        <w:ind w:left="838" w:hanging="440"/>
      </w:pPr>
    </w:lvl>
    <w:lvl w:ilvl="4" w:tentative="0">
      <w:start w:val="1"/>
      <w:numFmt w:val="lowerLetter"/>
      <w:lvlText w:val="%5)"/>
      <w:lvlJc w:val="left"/>
      <w:pPr>
        <w:ind w:left="1278" w:hanging="440"/>
      </w:pPr>
    </w:lvl>
    <w:lvl w:ilvl="5" w:tentative="0">
      <w:start w:val="1"/>
      <w:numFmt w:val="lowerRoman"/>
      <w:lvlText w:val="%6."/>
      <w:lvlJc w:val="right"/>
      <w:pPr>
        <w:ind w:left="1718" w:hanging="440"/>
      </w:pPr>
    </w:lvl>
    <w:lvl w:ilvl="6" w:tentative="0">
      <w:start w:val="1"/>
      <w:numFmt w:val="decimal"/>
      <w:lvlText w:val="%7."/>
      <w:lvlJc w:val="left"/>
      <w:pPr>
        <w:ind w:left="2158" w:hanging="440"/>
      </w:pPr>
    </w:lvl>
    <w:lvl w:ilvl="7" w:tentative="0">
      <w:start w:val="1"/>
      <w:numFmt w:val="lowerLetter"/>
      <w:lvlText w:val="%8)"/>
      <w:lvlJc w:val="left"/>
      <w:pPr>
        <w:ind w:left="2598" w:hanging="440"/>
      </w:pPr>
    </w:lvl>
    <w:lvl w:ilvl="8" w:tentative="0">
      <w:start w:val="1"/>
      <w:numFmt w:val="lowerRoman"/>
      <w:lvlText w:val="%9."/>
      <w:lvlJc w:val="right"/>
      <w:pPr>
        <w:ind w:left="3038" w:hanging="440"/>
      </w:pPr>
    </w:lvl>
  </w:abstractNum>
  <w:abstractNum w:abstractNumId="12">
    <w:nsid w:val="15E93F66"/>
    <w:multiLevelType w:val="multilevel"/>
    <w:tmpl w:val="15E93F66"/>
    <w:lvl w:ilvl="0" w:tentative="0">
      <w:start w:val="1"/>
      <w:numFmt w:val="chineseCountingThousand"/>
      <w:lvlText w:val="%1、"/>
      <w:lvlJc w:val="left"/>
      <w:pPr>
        <w:ind w:left="440" w:hanging="440"/>
      </w:pPr>
      <w:rPr>
        <w:rFonts w:hint="default"/>
        <w:b/>
        <w:i w:val="0"/>
        <w:color w:val="auto"/>
        <w:sz w:val="32"/>
      </w:rPr>
    </w:lvl>
    <w:lvl w:ilvl="1" w:tentative="0">
      <w:start w:val="1"/>
      <w:numFmt w:val="decimal"/>
      <w:isLgl/>
      <w:lvlText w:val="%1.%2"/>
      <w:lvlJc w:val="left"/>
      <w:pPr>
        <w:ind w:left="0" w:firstLine="0"/>
      </w:pPr>
      <w:rPr>
        <w:rFonts w:hint="default" w:ascii="Times New Roman" w:hAnsi="Times New Roman" w:eastAsia="宋体"/>
        <w:b/>
        <w:i w:val="0"/>
        <w:color w:val="auto"/>
        <w:sz w:val="30"/>
      </w:rPr>
    </w:lvl>
    <w:lvl w:ilvl="2" w:tentative="0">
      <w:start w:val="1"/>
      <w:numFmt w:val="decimal"/>
      <w:isLgl/>
      <w:lvlText w:val="%1.%2.%3"/>
      <w:lvlJc w:val="left"/>
      <w:pPr>
        <w:ind w:left="0" w:firstLine="0"/>
      </w:pPr>
      <w:rPr>
        <w:rFonts w:hint="default" w:ascii="Times New Roman" w:hAnsi="Times New Roman" w:eastAsia="宋体"/>
        <w:b/>
        <w:i w:val="0"/>
        <w:color w:val="auto"/>
        <w:sz w:val="28"/>
      </w:rPr>
    </w:lvl>
    <w:lvl w:ilvl="3" w:tentative="0">
      <w:start w:val="1"/>
      <w:numFmt w:val="decimal"/>
      <w:isLgl/>
      <w:lvlText w:val="%1.%2.%3.%4"/>
      <w:lvlJc w:val="left"/>
      <w:pPr>
        <w:ind w:left="0" w:firstLine="0"/>
      </w:pPr>
      <w:rPr>
        <w:rFonts w:hint="default" w:ascii="Times New Roman" w:hAnsi="Times New Roman" w:eastAsia="宋体"/>
        <w:b/>
        <w:i w:val="0"/>
        <w:sz w:val="28"/>
      </w:rPr>
    </w:lvl>
    <w:lvl w:ilvl="4" w:tentative="0">
      <w:start w:val="1"/>
      <w:numFmt w:val="decimal"/>
      <w:isLgl/>
      <w:lvlText w:val="%1.%2.%3.%4.%5"/>
      <w:lvlJc w:val="left"/>
      <w:pPr>
        <w:ind w:left="0" w:firstLine="0"/>
      </w:pPr>
      <w:rPr>
        <w:rFonts w:hint="default" w:ascii="Times New Roman" w:hAnsi="Times New Roman" w:eastAsia="宋体"/>
        <w:b/>
        <w:i w:val="0"/>
        <w:color w:val="auto"/>
        <w:sz w:val="28"/>
      </w:rPr>
    </w:lvl>
    <w:lvl w:ilvl="5" w:tentative="0">
      <w:start w:val="1"/>
      <w:numFmt w:val="decimal"/>
      <w:isLgl/>
      <w:lvlText w:val="%1.%2.%3.%4.%5.%6"/>
      <w:lvlJc w:val="left"/>
      <w:pPr>
        <w:ind w:left="0" w:firstLine="0"/>
      </w:pPr>
      <w:rPr>
        <w:rFonts w:hint="default" w:ascii="Times New Roman" w:hAnsi="Times New Roman" w:eastAsia="宋体"/>
        <w:b/>
        <w:i w:val="0"/>
        <w:color w:val="auto"/>
        <w:sz w:val="28"/>
      </w:rPr>
    </w:lvl>
    <w:lvl w:ilvl="6" w:tentative="0">
      <w:start w:val="1"/>
      <w:numFmt w:val="decimal"/>
      <w:isLgl/>
      <w:lvlText w:val="%1.%2.%3.%4.%5.%6.%7"/>
      <w:lvlJc w:val="left"/>
      <w:pPr>
        <w:ind w:left="0" w:firstLine="0"/>
      </w:pPr>
      <w:rPr>
        <w:rFonts w:hint="default" w:ascii="Times New Roman" w:hAnsi="Times New Roman" w:eastAsia="宋体"/>
        <w:b/>
        <w:i w:val="0"/>
        <w:color w:val="auto"/>
        <w:sz w:val="28"/>
      </w:rPr>
    </w:lvl>
    <w:lvl w:ilvl="7" w:tentative="0">
      <w:start w:val="1"/>
      <w:numFmt w:val="decimal"/>
      <w:isLgl/>
      <w:lvlText w:val="%1.%2.%3.%4.%5.%6.%7.%8"/>
      <w:lvlJc w:val="left"/>
      <w:pPr>
        <w:ind w:left="0" w:firstLine="0"/>
      </w:pPr>
      <w:rPr>
        <w:rFonts w:hint="default" w:ascii="Times New Roman" w:hAnsi="Times New Roman" w:eastAsia="宋体"/>
        <w:b/>
        <w:i w:val="0"/>
        <w:color w:val="auto"/>
        <w:sz w:val="24"/>
      </w:rPr>
    </w:lvl>
    <w:lvl w:ilvl="8" w:tentative="0">
      <w:start w:val="1"/>
      <w:numFmt w:val="decimal"/>
      <w:isLgl/>
      <w:lvlText w:val="%1.%2.%3.%4.%5.%6.%7.%8.%9"/>
      <w:lvlJc w:val="left"/>
      <w:pPr>
        <w:ind w:left="0" w:firstLine="0"/>
      </w:pPr>
      <w:rPr>
        <w:rFonts w:hint="default" w:ascii="Times New Roman" w:hAnsi="Times New Roman" w:eastAsia="宋体"/>
        <w:b/>
        <w:i w:val="0"/>
        <w:color w:val="auto"/>
        <w:sz w:val="24"/>
      </w:rPr>
    </w:lvl>
  </w:abstractNum>
  <w:abstractNum w:abstractNumId="13">
    <w:nsid w:val="17CE76C7"/>
    <w:multiLevelType w:val="multilevel"/>
    <w:tmpl w:val="17CE76C7"/>
    <w:lvl w:ilvl="0" w:tentative="0">
      <w:start w:val="1"/>
      <w:numFmt w:val="japaneseCounting"/>
      <w:lvlText w:val="%1、"/>
      <w:lvlJc w:val="left"/>
      <w:pPr>
        <w:ind w:left="28" w:hanging="620"/>
      </w:pPr>
      <w:rPr>
        <w:rFonts w:hint="default"/>
      </w:rPr>
    </w:lvl>
    <w:lvl w:ilvl="1" w:tentative="0">
      <w:start w:val="1"/>
      <w:numFmt w:val="lowerLetter"/>
      <w:lvlText w:val="%2)"/>
      <w:lvlJc w:val="left"/>
      <w:pPr>
        <w:ind w:left="107" w:hanging="420"/>
      </w:pPr>
    </w:lvl>
    <w:lvl w:ilvl="2" w:tentative="0">
      <w:start w:val="1"/>
      <w:numFmt w:val="lowerRoman"/>
      <w:lvlText w:val="%3."/>
      <w:lvlJc w:val="right"/>
      <w:pPr>
        <w:ind w:left="527" w:hanging="420"/>
      </w:pPr>
    </w:lvl>
    <w:lvl w:ilvl="3" w:tentative="0">
      <w:start w:val="1"/>
      <w:numFmt w:val="decimal"/>
      <w:lvlText w:val="%4."/>
      <w:lvlJc w:val="left"/>
      <w:pPr>
        <w:ind w:left="947" w:hanging="420"/>
      </w:pPr>
    </w:lvl>
    <w:lvl w:ilvl="4" w:tentative="0">
      <w:start w:val="1"/>
      <w:numFmt w:val="lowerLetter"/>
      <w:lvlText w:val="%5)"/>
      <w:lvlJc w:val="left"/>
      <w:pPr>
        <w:ind w:left="1367" w:hanging="420"/>
      </w:pPr>
    </w:lvl>
    <w:lvl w:ilvl="5" w:tentative="0">
      <w:start w:val="1"/>
      <w:numFmt w:val="lowerRoman"/>
      <w:lvlText w:val="%6."/>
      <w:lvlJc w:val="right"/>
      <w:pPr>
        <w:ind w:left="1787" w:hanging="420"/>
      </w:pPr>
    </w:lvl>
    <w:lvl w:ilvl="6" w:tentative="0">
      <w:start w:val="1"/>
      <w:numFmt w:val="decimal"/>
      <w:lvlText w:val="%7."/>
      <w:lvlJc w:val="left"/>
      <w:pPr>
        <w:ind w:left="2207" w:hanging="420"/>
      </w:pPr>
    </w:lvl>
    <w:lvl w:ilvl="7" w:tentative="0">
      <w:start w:val="1"/>
      <w:numFmt w:val="lowerLetter"/>
      <w:lvlText w:val="%8)"/>
      <w:lvlJc w:val="left"/>
      <w:pPr>
        <w:ind w:left="2627" w:hanging="420"/>
      </w:pPr>
    </w:lvl>
    <w:lvl w:ilvl="8" w:tentative="0">
      <w:start w:val="1"/>
      <w:numFmt w:val="lowerRoman"/>
      <w:lvlText w:val="%9."/>
      <w:lvlJc w:val="right"/>
      <w:pPr>
        <w:ind w:left="3047" w:hanging="420"/>
      </w:pPr>
    </w:lvl>
  </w:abstractNum>
  <w:abstractNum w:abstractNumId="14">
    <w:nsid w:val="1F507D5F"/>
    <w:multiLevelType w:val="multilevel"/>
    <w:tmpl w:val="1F507D5F"/>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2D5CB2CB"/>
    <w:multiLevelType w:val="multilevel"/>
    <w:tmpl w:val="2D5CB2CB"/>
    <w:lvl w:ilvl="0" w:tentative="0">
      <w:start w:val="1"/>
      <w:numFmt w:val="decimal"/>
      <w:lvlText w:val="%1)"/>
      <w:lvlJc w:val="left"/>
      <w:pPr>
        <w:ind w:left="-482" w:hanging="440"/>
      </w:pPr>
      <w:rPr>
        <w:sz w:val="21"/>
        <w:szCs w:val="21"/>
      </w:rPr>
    </w:lvl>
    <w:lvl w:ilvl="1" w:tentative="0">
      <w:start w:val="1"/>
      <w:numFmt w:val="lowerLetter"/>
      <w:lvlText w:val="%2)"/>
      <w:lvlJc w:val="left"/>
      <w:pPr>
        <w:ind w:left="-42" w:hanging="440"/>
      </w:pPr>
    </w:lvl>
    <w:lvl w:ilvl="2" w:tentative="0">
      <w:start w:val="1"/>
      <w:numFmt w:val="lowerRoman"/>
      <w:lvlText w:val="%3."/>
      <w:lvlJc w:val="right"/>
      <w:pPr>
        <w:ind w:left="398" w:hanging="440"/>
      </w:pPr>
    </w:lvl>
    <w:lvl w:ilvl="3" w:tentative="0">
      <w:start w:val="1"/>
      <w:numFmt w:val="decimal"/>
      <w:lvlText w:val="%4."/>
      <w:lvlJc w:val="left"/>
      <w:pPr>
        <w:ind w:left="838" w:hanging="440"/>
      </w:pPr>
    </w:lvl>
    <w:lvl w:ilvl="4" w:tentative="0">
      <w:start w:val="1"/>
      <w:numFmt w:val="lowerLetter"/>
      <w:lvlText w:val="%5)"/>
      <w:lvlJc w:val="left"/>
      <w:pPr>
        <w:ind w:left="1278" w:hanging="440"/>
      </w:pPr>
    </w:lvl>
    <w:lvl w:ilvl="5" w:tentative="0">
      <w:start w:val="1"/>
      <w:numFmt w:val="lowerRoman"/>
      <w:lvlText w:val="%6."/>
      <w:lvlJc w:val="right"/>
      <w:pPr>
        <w:ind w:left="1718" w:hanging="440"/>
      </w:pPr>
    </w:lvl>
    <w:lvl w:ilvl="6" w:tentative="0">
      <w:start w:val="1"/>
      <w:numFmt w:val="decimal"/>
      <w:lvlText w:val="%7."/>
      <w:lvlJc w:val="left"/>
      <w:pPr>
        <w:ind w:left="2158" w:hanging="440"/>
      </w:pPr>
    </w:lvl>
    <w:lvl w:ilvl="7" w:tentative="0">
      <w:start w:val="1"/>
      <w:numFmt w:val="lowerLetter"/>
      <w:lvlText w:val="%8)"/>
      <w:lvlJc w:val="left"/>
      <w:pPr>
        <w:ind w:left="2598" w:hanging="440"/>
      </w:pPr>
    </w:lvl>
    <w:lvl w:ilvl="8" w:tentative="0">
      <w:start w:val="1"/>
      <w:numFmt w:val="lowerRoman"/>
      <w:lvlText w:val="%9."/>
      <w:lvlJc w:val="right"/>
      <w:pPr>
        <w:ind w:left="3038" w:hanging="440"/>
      </w:pPr>
    </w:lvl>
  </w:abstractNum>
  <w:abstractNum w:abstractNumId="16">
    <w:nsid w:val="41D128D2"/>
    <w:multiLevelType w:val="singleLevel"/>
    <w:tmpl w:val="41D128D2"/>
    <w:lvl w:ilvl="0" w:tentative="0">
      <w:start w:val="1"/>
      <w:numFmt w:val="chineseCounting"/>
      <w:suff w:val="nothing"/>
      <w:lvlText w:val="（%1）"/>
      <w:lvlJc w:val="left"/>
      <w:pPr>
        <w:ind w:left="-52"/>
      </w:pPr>
      <w:rPr>
        <w:rFonts w:hint="eastAsia"/>
      </w:rPr>
    </w:lvl>
  </w:abstractNum>
  <w:abstractNum w:abstractNumId="17">
    <w:nsid w:val="4446E81D"/>
    <w:multiLevelType w:val="singleLevel"/>
    <w:tmpl w:val="4446E81D"/>
    <w:lvl w:ilvl="0" w:tentative="0">
      <w:start w:val="9"/>
      <w:numFmt w:val="chineseCounting"/>
      <w:suff w:val="nothing"/>
      <w:lvlText w:val="%1、"/>
      <w:lvlJc w:val="left"/>
      <w:rPr>
        <w:rFonts w:hint="eastAsia"/>
      </w:rPr>
    </w:lvl>
  </w:abstractNum>
  <w:abstractNum w:abstractNumId="18">
    <w:nsid w:val="44541735"/>
    <w:multiLevelType w:val="singleLevel"/>
    <w:tmpl w:val="44541735"/>
    <w:lvl w:ilvl="0" w:tentative="0">
      <w:start w:val="1"/>
      <w:numFmt w:val="decimal"/>
      <w:lvlText w:val="%1."/>
      <w:lvlJc w:val="left"/>
      <w:pPr>
        <w:ind w:left="425" w:hanging="425"/>
      </w:pPr>
      <w:rPr>
        <w:rFonts w:hint="default"/>
      </w:rPr>
    </w:lvl>
  </w:abstractNum>
  <w:abstractNum w:abstractNumId="19">
    <w:nsid w:val="461E5E94"/>
    <w:multiLevelType w:val="singleLevel"/>
    <w:tmpl w:val="461E5E94"/>
    <w:lvl w:ilvl="0" w:tentative="0">
      <w:start w:val="2"/>
      <w:numFmt w:val="chineseCounting"/>
      <w:suff w:val="space"/>
      <w:lvlText w:val="第%1章"/>
      <w:lvlJc w:val="left"/>
      <w:rPr>
        <w:rFonts w:hint="eastAsia"/>
      </w:rPr>
    </w:lvl>
  </w:abstractNum>
  <w:abstractNum w:abstractNumId="20">
    <w:nsid w:val="471E06A1"/>
    <w:multiLevelType w:val="singleLevel"/>
    <w:tmpl w:val="471E06A1"/>
    <w:lvl w:ilvl="0" w:tentative="0">
      <w:start w:val="1"/>
      <w:numFmt w:val="japaneseCounting"/>
      <w:lvlText w:val="%1、"/>
      <w:lvlJc w:val="left"/>
      <w:pPr>
        <w:tabs>
          <w:tab w:val="left" w:pos="2159"/>
        </w:tabs>
        <w:ind w:left="2159" w:hanging="600"/>
      </w:pPr>
      <w:rPr>
        <w:rFonts w:hint="eastAsia"/>
        <w:lang w:val="en-US"/>
      </w:rPr>
    </w:lvl>
  </w:abstractNum>
  <w:abstractNum w:abstractNumId="21">
    <w:nsid w:val="543C377C"/>
    <w:multiLevelType w:val="multilevel"/>
    <w:tmpl w:val="543C377C"/>
    <w:lvl w:ilvl="0" w:tentative="0">
      <w:start w:val="1"/>
      <w:numFmt w:val="decimal"/>
      <w:lvlText w:val="%1)"/>
      <w:lvlJc w:val="left"/>
      <w:pPr>
        <w:ind w:left="-62" w:hanging="440"/>
      </w:pPr>
    </w:lvl>
    <w:lvl w:ilvl="1" w:tentative="0">
      <w:start w:val="1"/>
      <w:numFmt w:val="lowerLetter"/>
      <w:lvlText w:val="%2)"/>
      <w:lvlJc w:val="left"/>
      <w:pPr>
        <w:ind w:left="378" w:hanging="440"/>
      </w:pPr>
    </w:lvl>
    <w:lvl w:ilvl="2" w:tentative="0">
      <w:start w:val="1"/>
      <w:numFmt w:val="lowerRoman"/>
      <w:lvlText w:val="%3."/>
      <w:lvlJc w:val="right"/>
      <w:pPr>
        <w:ind w:left="818" w:hanging="440"/>
      </w:pPr>
    </w:lvl>
    <w:lvl w:ilvl="3" w:tentative="0">
      <w:start w:val="1"/>
      <w:numFmt w:val="decimal"/>
      <w:lvlText w:val="%4."/>
      <w:lvlJc w:val="left"/>
      <w:pPr>
        <w:ind w:left="1258" w:hanging="440"/>
      </w:pPr>
    </w:lvl>
    <w:lvl w:ilvl="4" w:tentative="0">
      <w:start w:val="1"/>
      <w:numFmt w:val="lowerLetter"/>
      <w:lvlText w:val="%5)"/>
      <w:lvlJc w:val="left"/>
      <w:pPr>
        <w:ind w:left="1698" w:hanging="440"/>
      </w:pPr>
    </w:lvl>
    <w:lvl w:ilvl="5" w:tentative="0">
      <w:start w:val="1"/>
      <w:numFmt w:val="lowerRoman"/>
      <w:lvlText w:val="%6."/>
      <w:lvlJc w:val="right"/>
      <w:pPr>
        <w:ind w:left="2138" w:hanging="440"/>
      </w:pPr>
    </w:lvl>
    <w:lvl w:ilvl="6" w:tentative="0">
      <w:start w:val="1"/>
      <w:numFmt w:val="decimal"/>
      <w:lvlText w:val="%7."/>
      <w:lvlJc w:val="left"/>
      <w:pPr>
        <w:ind w:left="2578" w:hanging="440"/>
      </w:pPr>
    </w:lvl>
    <w:lvl w:ilvl="7" w:tentative="0">
      <w:start w:val="1"/>
      <w:numFmt w:val="lowerLetter"/>
      <w:lvlText w:val="%8)"/>
      <w:lvlJc w:val="left"/>
      <w:pPr>
        <w:ind w:left="3018" w:hanging="440"/>
      </w:pPr>
    </w:lvl>
    <w:lvl w:ilvl="8" w:tentative="0">
      <w:start w:val="1"/>
      <w:numFmt w:val="lowerRoman"/>
      <w:lvlText w:val="%9."/>
      <w:lvlJc w:val="right"/>
      <w:pPr>
        <w:ind w:left="3458" w:hanging="440"/>
      </w:pPr>
    </w:lvl>
  </w:abstractNum>
  <w:abstractNum w:abstractNumId="22">
    <w:nsid w:val="54F403B5"/>
    <w:multiLevelType w:val="singleLevel"/>
    <w:tmpl w:val="54F403B5"/>
    <w:lvl w:ilvl="0" w:tentative="0">
      <w:start w:val="1"/>
      <w:numFmt w:val="chineseCounting"/>
      <w:suff w:val="nothing"/>
      <w:lvlText w:val="%1、"/>
      <w:lvlJc w:val="left"/>
    </w:lvl>
  </w:abstractNum>
  <w:abstractNum w:abstractNumId="23">
    <w:nsid w:val="557FD3DA"/>
    <w:multiLevelType w:val="singleLevel"/>
    <w:tmpl w:val="557FD3DA"/>
    <w:lvl w:ilvl="0" w:tentative="0">
      <w:start w:val="3"/>
      <w:numFmt w:val="chineseCounting"/>
      <w:suff w:val="nothing"/>
      <w:lvlText w:val="%1、"/>
      <w:lvlJc w:val="left"/>
    </w:lvl>
  </w:abstractNum>
  <w:abstractNum w:abstractNumId="24">
    <w:nsid w:val="58395BA9"/>
    <w:multiLevelType w:val="multilevel"/>
    <w:tmpl w:val="58395BA9"/>
    <w:lvl w:ilvl="0" w:tentative="0">
      <w:start w:val="1"/>
      <w:numFmt w:val="decimal"/>
      <w:lvlText w:val="%1)"/>
      <w:lvlJc w:val="left"/>
      <w:pPr>
        <w:ind w:left="-482" w:hanging="440"/>
      </w:pPr>
    </w:lvl>
    <w:lvl w:ilvl="1" w:tentative="0">
      <w:start w:val="1"/>
      <w:numFmt w:val="lowerLetter"/>
      <w:lvlText w:val="%2)"/>
      <w:lvlJc w:val="left"/>
      <w:pPr>
        <w:ind w:left="-42" w:hanging="440"/>
      </w:pPr>
    </w:lvl>
    <w:lvl w:ilvl="2" w:tentative="0">
      <w:start w:val="1"/>
      <w:numFmt w:val="lowerRoman"/>
      <w:lvlText w:val="%3."/>
      <w:lvlJc w:val="right"/>
      <w:pPr>
        <w:ind w:left="398" w:hanging="440"/>
      </w:pPr>
    </w:lvl>
    <w:lvl w:ilvl="3" w:tentative="0">
      <w:start w:val="1"/>
      <w:numFmt w:val="decimal"/>
      <w:lvlText w:val="%4."/>
      <w:lvlJc w:val="left"/>
      <w:pPr>
        <w:ind w:left="838" w:hanging="440"/>
      </w:pPr>
    </w:lvl>
    <w:lvl w:ilvl="4" w:tentative="0">
      <w:start w:val="1"/>
      <w:numFmt w:val="lowerLetter"/>
      <w:lvlText w:val="%5)"/>
      <w:lvlJc w:val="left"/>
      <w:pPr>
        <w:ind w:left="1278" w:hanging="440"/>
      </w:pPr>
    </w:lvl>
    <w:lvl w:ilvl="5" w:tentative="0">
      <w:start w:val="1"/>
      <w:numFmt w:val="lowerRoman"/>
      <w:lvlText w:val="%6."/>
      <w:lvlJc w:val="right"/>
      <w:pPr>
        <w:ind w:left="1718" w:hanging="440"/>
      </w:pPr>
    </w:lvl>
    <w:lvl w:ilvl="6" w:tentative="0">
      <w:start w:val="1"/>
      <w:numFmt w:val="decimal"/>
      <w:lvlText w:val="%7."/>
      <w:lvlJc w:val="left"/>
      <w:pPr>
        <w:ind w:left="2158" w:hanging="440"/>
      </w:pPr>
    </w:lvl>
    <w:lvl w:ilvl="7" w:tentative="0">
      <w:start w:val="1"/>
      <w:numFmt w:val="lowerLetter"/>
      <w:lvlText w:val="%8)"/>
      <w:lvlJc w:val="left"/>
      <w:pPr>
        <w:ind w:left="2598" w:hanging="440"/>
      </w:pPr>
    </w:lvl>
    <w:lvl w:ilvl="8" w:tentative="0">
      <w:start w:val="1"/>
      <w:numFmt w:val="lowerRoman"/>
      <w:lvlText w:val="%9."/>
      <w:lvlJc w:val="right"/>
      <w:pPr>
        <w:ind w:left="3038" w:hanging="440"/>
      </w:pPr>
    </w:lvl>
  </w:abstractNum>
  <w:abstractNum w:abstractNumId="25">
    <w:nsid w:val="5B2D05F0"/>
    <w:multiLevelType w:val="multilevel"/>
    <w:tmpl w:val="5B2D05F0"/>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733028A3"/>
    <w:multiLevelType w:val="singleLevel"/>
    <w:tmpl w:val="733028A3"/>
    <w:lvl w:ilvl="0" w:tentative="0">
      <w:start w:val="1"/>
      <w:numFmt w:val="decimalEnclosedCircleChinese"/>
      <w:suff w:val="nothing"/>
      <w:lvlText w:val="%1　"/>
      <w:lvlJc w:val="left"/>
      <w:pPr>
        <w:ind w:left="0" w:firstLine="400"/>
      </w:pPr>
      <w:rPr>
        <w:rFonts w:hint="eastAsia"/>
      </w:rPr>
    </w:lvl>
  </w:abstractNum>
  <w:abstractNum w:abstractNumId="27">
    <w:nsid w:val="77E73038"/>
    <w:multiLevelType w:val="multilevel"/>
    <w:tmpl w:val="77E73038"/>
    <w:lvl w:ilvl="0" w:tentative="0">
      <w:start w:val="1"/>
      <w:numFmt w:val="decimal"/>
      <w:suff w:val="space"/>
      <w:lvlText w:val="%1）"/>
      <w:lvlJc w:val="left"/>
      <w:pPr>
        <w:ind w:left="-482" w:hanging="360"/>
      </w:pPr>
      <w:rPr>
        <w:rFonts w:hint="default"/>
      </w:rPr>
    </w:lvl>
    <w:lvl w:ilvl="1" w:tentative="0">
      <w:start w:val="2"/>
      <w:numFmt w:val="bullet"/>
      <w:lvlText w:val="★"/>
      <w:lvlJc w:val="left"/>
      <w:pPr>
        <w:ind w:left="-42" w:hanging="360"/>
      </w:pPr>
      <w:rPr>
        <w:rFonts w:hint="default" w:ascii="Segoe UI Symbol" w:hAnsi="Segoe UI Symbol" w:eastAsia="MS UI Gothic" w:cs="Segoe UI Symbol"/>
        <w:sz w:val="24"/>
      </w:rPr>
    </w:lvl>
    <w:lvl w:ilvl="2" w:tentative="0">
      <w:start w:val="1"/>
      <w:numFmt w:val="lowerRoman"/>
      <w:lvlText w:val="%3."/>
      <w:lvlJc w:val="right"/>
      <w:pPr>
        <w:ind w:left="478" w:hanging="440"/>
      </w:pPr>
    </w:lvl>
    <w:lvl w:ilvl="3" w:tentative="0">
      <w:start w:val="1"/>
      <w:numFmt w:val="decimal"/>
      <w:lvlText w:val="%4."/>
      <w:lvlJc w:val="left"/>
      <w:pPr>
        <w:ind w:left="918" w:hanging="440"/>
      </w:pPr>
    </w:lvl>
    <w:lvl w:ilvl="4" w:tentative="0">
      <w:start w:val="1"/>
      <w:numFmt w:val="lowerLetter"/>
      <w:lvlText w:val="%5)"/>
      <w:lvlJc w:val="left"/>
      <w:pPr>
        <w:ind w:left="1358" w:hanging="440"/>
      </w:pPr>
    </w:lvl>
    <w:lvl w:ilvl="5" w:tentative="0">
      <w:start w:val="1"/>
      <w:numFmt w:val="lowerRoman"/>
      <w:lvlText w:val="%6."/>
      <w:lvlJc w:val="right"/>
      <w:pPr>
        <w:ind w:left="1798" w:hanging="440"/>
      </w:pPr>
    </w:lvl>
    <w:lvl w:ilvl="6" w:tentative="0">
      <w:start w:val="1"/>
      <w:numFmt w:val="decimal"/>
      <w:lvlText w:val="%7."/>
      <w:lvlJc w:val="left"/>
      <w:pPr>
        <w:ind w:left="2238" w:hanging="440"/>
      </w:pPr>
    </w:lvl>
    <w:lvl w:ilvl="7" w:tentative="0">
      <w:start w:val="1"/>
      <w:numFmt w:val="lowerLetter"/>
      <w:lvlText w:val="%8)"/>
      <w:lvlJc w:val="left"/>
      <w:pPr>
        <w:ind w:left="2678" w:hanging="440"/>
      </w:pPr>
    </w:lvl>
    <w:lvl w:ilvl="8" w:tentative="0">
      <w:start w:val="1"/>
      <w:numFmt w:val="lowerRoman"/>
      <w:lvlText w:val="%9."/>
      <w:lvlJc w:val="right"/>
      <w:pPr>
        <w:ind w:left="3118" w:hanging="440"/>
      </w:pPr>
    </w:lvl>
  </w:abstractNum>
  <w:abstractNum w:abstractNumId="28">
    <w:nsid w:val="7C6D469D"/>
    <w:multiLevelType w:val="multilevel"/>
    <w:tmpl w:val="7C6D469D"/>
    <w:lvl w:ilvl="0" w:tentative="0">
      <w:start w:val="1"/>
      <w:numFmt w:val="decimal"/>
      <w:lvlText w:val="%1)"/>
      <w:lvlJc w:val="left"/>
      <w:pPr>
        <w:ind w:left="-482" w:hanging="440"/>
      </w:pPr>
    </w:lvl>
    <w:lvl w:ilvl="1" w:tentative="0">
      <w:start w:val="1"/>
      <w:numFmt w:val="lowerLetter"/>
      <w:lvlText w:val="%2)"/>
      <w:lvlJc w:val="left"/>
      <w:pPr>
        <w:ind w:left="-42" w:hanging="440"/>
      </w:pPr>
    </w:lvl>
    <w:lvl w:ilvl="2" w:tentative="0">
      <w:start w:val="1"/>
      <w:numFmt w:val="lowerRoman"/>
      <w:lvlText w:val="%3."/>
      <w:lvlJc w:val="right"/>
      <w:pPr>
        <w:ind w:left="398" w:hanging="440"/>
      </w:pPr>
    </w:lvl>
    <w:lvl w:ilvl="3" w:tentative="0">
      <w:start w:val="1"/>
      <w:numFmt w:val="decimal"/>
      <w:lvlText w:val="%4."/>
      <w:lvlJc w:val="left"/>
      <w:pPr>
        <w:ind w:left="838" w:hanging="440"/>
      </w:pPr>
    </w:lvl>
    <w:lvl w:ilvl="4" w:tentative="0">
      <w:start w:val="1"/>
      <w:numFmt w:val="lowerLetter"/>
      <w:lvlText w:val="%5)"/>
      <w:lvlJc w:val="left"/>
      <w:pPr>
        <w:ind w:left="1278" w:hanging="440"/>
      </w:pPr>
    </w:lvl>
    <w:lvl w:ilvl="5" w:tentative="0">
      <w:start w:val="1"/>
      <w:numFmt w:val="lowerRoman"/>
      <w:lvlText w:val="%6."/>
      <w:lvlJc w:val="right"/>
      <w:pPr>
        <w:ind w:left="1718" w:hanging="440"/>
      </w:pPr>
    </w:lvl>
    <w:lvl w:ilvl="6" w:tentative="0">
      <w:start w:val="1"/>
      <w:numFmt w:val="decimal"/>
      <w:lvlText w:val="%7."/>
      <w:lvlJc w:val="left"/>
      <w:pPr>
        <w:ind w:left="2158" w:hanging="440"/>
      </w:pPr>
    </w:lvl>
    <w:lvl w:ilvl="7" w:tentative="0">
      <w:start w:val="1"/>
      <w:numFmt w:val="lowerLetter"/>
      <w:lvlText w:val="%8)"/>
      <w:lvlJc w:val="left"/>
      <w:pPr>
        <w:ind w:left="2598" w:hanging="440"/>
      </w:pPr>
    </w:lvl>
    <w:lvl w:ilvl="8" w:tentative="0">
      <w:start w:val="1"/>
      <w:numFmt w:val="lowerRoman"/>
      <w:lvlText w:val="%9."/>
      <w:lvlJc w:val="right"/>
      <w:pPr>
        <w:ind w:left="3038" w:hanging="440"/>
      </w:pPr>
    </w:lvl>
  </w:abstractNum>
  <w:abstractNum w:abstractNumId="29">
    <w:nsid w:val="7DAD17F1"/>
    <w:multiLevelType w:val="multilevel"/>
    <w:tmpl w:val="7DAD17F1"/>
    <w:lvl w:ilvl="0" w:tentative="0">
      <w:start w:val="1"/>
      <w:numFmt w:val="decimal"/>
      <w:suff w:val="space"/>
      <w:lvlText w:val="%1）"/>
      <w:lvlJc w:val="left"/>
      <w:pPr>
        <w:ind w:left="-482" w:hanging="360"/>
      </w:pPr>
      <w:rPr>
        <w:rFonts w:hint="default"/>
      </w:rPr>
    </w:lvl>
    <w:lvl w:ilvl="1" w:tentative="0">
      <w:start w:val="1"/>
      <w:numFmt w:val="lowerLetter"/>
      <w:lvlText w:val="%2)"/>
      <w:lvlJc w:val="left"/>
      <w:pPr>
        <w:ind w:left="38" w:hanging="440"/>
      </w:pPr>
    </w:lvl>
    <w:lvl w:ilvl="2" w:tentative="0">
      <w:start w:val="1"/>
      <w:numFmt w:val="lowerRoman"/>
      <w:lvlText w:val="%3."/>
      <w:lvlJc w:val="right"/>
      <w:pPr>
        <w:ind w:left="478" w:hanging="440"/>
      </w:pPr>
    </w:lvl>
    <w:lvl w:ilvl="3" w:tentative="0">
      <w:start w:val="1"/>
      <w:numFmt w:val="decimal"/>
      <w:lvlText w:val="%4."/>
      <w:lvlJc w:val="left"/>
      <w:pPr>
        <w:ind w:left="918" w:hanging="440"/>
      </w:pPr>
    </w:lvl>
    <w:lvl w:ilvl="4" w:tentative="0">
      <w:start w:val="1"/>
      <w:numFmt w:val="lowerLetter"/>
      <w:lvlText w:val="%5)"/>
      <w:lvlJc w:val="left"/>
      <w:pPr>
        <w:ind w:left="1358" w:hanging="440"/>
      </w:pPr>
    </w:lvl>
    <w:lvl w:ilvl="5" w:tentative="0">
      <w:start w:val="1"/>
      <w:numFmt w:val="lowerRoman"/>
      <w:lvlText w:val="%6."/>
      <w:lvlJc w:val="right"/>
      <w:pPr>
        <w:ind w:left="1798" w:hanging="440"/>
      </w:pPr>
    </w:lvl>
    <w:lvl w:ilvl="6" w:tentative="0">
      <w:start w:val="1"/>
      <w:numFmt w:val="decimal"/>
      <w:lvlText w:val="%7."/>
      <w:lvlJc w:val="left"/>
      <w:pPr>
        <w:ind w:left="2238" w:hanging="440"/>
      </w:pPr>
    </w:lvl>
    <w:lvl w:ilvl="7" w:tentative="0">
      <w:start w:val="1"/>
      <w:numFmt w:val="lowerLetter"/>
      <w:lvlText w:val="%8)"/>
      <w:lvlJc w:val="left"/>
      <w:pPr>
        <w:ind w:left="2678" w:hanging="440"/>
      </w:pPr>
    </w:lvl>
    <w:lvl w:ilvl="8" w:tentative="0">
      <w:start w:val="1"/>
      <w:numFmt w:val="lowerRoman"/>
      <w:lvlText w:val="%9."/>
      <w:lvlJc w:val="right"/>
      <w:pPr>
        <w:ind w:left="3118" w:hanging="440"/>
      </w:pPr>
    </w:lvl>
  </w:abstractNum>
  <w:num w:numId="1">
    <w:abstractNumId w:val="2"/>
  </w:num>
  <w:num w:numId="2">
    <w:abstractNumId w:val="20"/>
  </w:num>
  <w:num w:numId="3">
    <w:abstractNumId w:val="17"/>
  </w:num>
  <w:num w:numId="4">
    <w:abstractNumId w:val="19"/>
  </w:num>
  <w:num w:numId="5">
    <w:abstractNumId w:val="16"/>
  </w:num>
  <w:num w:numId="6">
    <w:abstractNumId w:val="5"/>
  </w:num>
  <w:num w:numId="7">
    <w:abstractNumId w:val="0"/>
  </w:num>
  <w:num w:numId="8">
    <w:abstractNumId w:val="13"/>
  </w:num>
  <w:num w:numId="9">
    <w:abstractNumId w:val="12"/>
  </w:num>
  <w:num w:numId="10">
    <w:abstractNumId w:val="27"/>
  </w:num>
  <w:num w:numId="11">
    <w:abstractNumId w:val="24"/>
  </w:num>
  <w:num w:numId="12">
    <w:abstractNumId w:val="10"/>
  </w:num>
  <w:num w:numId="13">
    <w:abstractNumId w:val="29"/>
  </w:num>
  <w:num w:numId="14">
    <w:abstractNumId w:val="21"/>
  </w:num>
  <w:num w:numId="15">
    <w:abstractNumId w:val="28"/>
  </w:num>
  <w:num w:numId="16">
    <w:abstractNumId w:val="11"/>
  </w:num>
  <w:num w:numId="17">
    <w:abstractNumId w:val="7"/>
  </w:num>
  <w:num w:numId="18">
    <w:abstractNumId w:val="18"/>
  </w:num>
  <w:num w:numId="19">
    <w:abstractNumId w:val="6"/>
  </w:num>
  <w:num w:numId="20">
    <w:abstractNumId w:val="26"/>
  </w:num>
  <w:num w:numId="21">
    <w:abstractNumId w:val="1"/>
  </w:num>
  <w:num w:numId="22">
    <w:abstractNumId w:val="15"/>
  </w:num>
  <w:num w:numId="23">
    <w:abstractNumId w:val="4"/>
  </w:num>
  <w:num w:numId="24">
    <w:abstractNumId w:val="25"/>
  </w:num>
  <w:num w:numId="25">
    <w:abstractNumId w:val="14"/>
  </w:num>
  <w:num w:numId="26">
    <w:abstractNumId w:val="8"/>
  </w:num>
  <w:num w:numId="27">
    <w:abstractNumId w:val="3"/>
  </w:num>
  <w:num w:numId="28">
    <w:abstractNumId w:val="9"/>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jNDc4ZmI3MTY1NTFkYjFiMTY5ODUzMmIxZjViZjMifQ=="/>
  </w:docVars>
  <w:rsids>
    <w:rsidRoot w:val="00172A27"/>
    <w:rsid w:val="00000A1F"/>
    <w:rsid w:val="000012EE"/>
    <w:rsid w:val="00002B91"/>
    <w:rsid w:val="00004407"/>
    <w:rsid w:val="000179A6"/>
    <w:rsid w:val="00023EC8"/>
    <w:rsid w:val="00025500"/>
    <w:rsid w:val="000324EE"/>
    <w:rsid w:val="00034A5D"/>
    <w:rsid w:val="00036EB7"/>
    <w:rsid w:val="00037D40"/>
    <w:rsid w:val="00040F7E"/>
    <w:rsid w:val="000411B5"/>
    <w:rsid w:val="0004278A"/>
    <w:rsid w:val="00042F56"/>
    <w:rsid w:val="0004485D"/>
    <w:rsid w:val="000462DE"/>
    <w:rsid w:val="00054DFA"/>
    <w:rsid w:val="00055A66"/>
    <w:rsid w:val="0006294D"/>
    <w:rsid w:val="00062AB3"/>
    <w:rsid w:val="00063A0C"/>
    <w:rsid w:val="00067D20"/>
    <w:rsid w:val="00081D5D"/>
    <w:rsid w:val="00085264"/>
    <w:rsid w:val="000860EE"/>
    <w:rsid w:val="00092F73"/>
    <w:rsid w:val="00093A6A"/>
    <w:rsid w:val="00094EC0"/>
    <w:rsid w:val="00097196"/>
    <w:rsid w:val="000975EF"/>
    <w:rsid w:val="000A267A"/>
    <w:rsid w:val="000A2F82"/>
    <w:rsid w:val="000B492F"/>
    <w:rsid w:val="000C1187"/>
    <w:rsid w:val="000C7B93"/>
    <w:rsid w:val="000D2FA7"/>
    <w:rsid w:val="000D742E"/>
    <w:rsid w:val="000E57DA"/>
    <w:rsid w:val="000E6703"/>
    <w:rsid w:val="000F112C"/>
    <w:rsid w:val="000F64DB"/>
    <w:rsid w:val="0010241D"/>
    <w:rsid w:val="00107BF6"/>
    <w:rsid w:val="001101D9"/>
    <w:rsid w:val="00117E9B"/>
    <w:rsid w:val="001271B9"/>
    <w:rsid w:val="00131F54"/>
    <w:rsid w:val="00137471"/>
    <w:rsid w:val="00142789"/>
    <w:rsid w:val="00147E99"/>
    <w:rsid w:val="00156972"/>
    <w:rsid w:val="00157617"/>
    <w:rsid w:val="00165F2A"/>
    <w:rsid w:val="00180F2C"/>
    <w:rsid w:val="00182316"/>
    <w:rsid w:val="00183948"/>
    <w:rsid w:val="001845AB"/>
    <w:rsid w:val="00184FFD"/>
    <w:rsid w:val="00187CD1"/>
    <w:rsid w:val="00197A9B"/>
    <w:rsid w:val="001A1F03"/>
    <w:rsid w:val="001A4CFB"/>
    <w:rsid w:val="001A5F7E"/>
    <w:rsid w:val="001A7C2A"/>
    <w:rsid w:val="001B13E5"/>
    <w:rsid w:val="001B4896"/>
    <w:rsid w:val="001C1770"/>
    <w:rsid w:val="001D2294"/>
    <w:rsid w:val="001E21D9"/>
    <w:rsid w:val="001F1A45"/>
    <w:rsid w:val="001F3769"/>
    <w:rsid w:val="001F591C"/>
    <w:rsid w:val="001F7B03"/>
    <w:rsid w:val="00201D62"/>
    <w:rsid w:val="002036AD"/>
    <w:rsid w:val="002107B6"/>
    <w:rsid w:val="0021318F"/>
    <w:rsid w:val="00213A85"/>
    <w:rsid w:val="00216708"/>
    <w:rsid w:val="002208A0"/>
    <w:rsid w:val="00221F01"/>
    <w:rsid w:val="002342F4"/>
    <w:rsid w:val="00243095"/>
    <w:rsid w:val="0024785A"/>
    <w:rsid w:val="00252867"/>
    <w:rsid w:val="00253C9C"/>
    <w:rsid w:val="002542FC"/>
    <w:rsid w:val="00254ED6"/>
    <w:rsid w:val="002622FF"/>
    <w:rsid w:val="0026707C"/>
    <w:rsid w:val="00267D72"/>
    <w:rsid w:val="0027022A"/>
    <w:rsid w:val="00272065"/>
    <w:rsid w:val="00272B16"/>
    <w:rsid w:val="0027310E"/>
    <w:rsid w:val="00273FC5"/>
    <w:rsid w:val="00273FDD"/>
    <w:rsid w:val="00277160"/>
    <w:rsid w:val="002778CC"/>
    <w:rsid w:val="00287053"/>
    <w:rsid w:val="0029463B"/>
    <w:rsid w:val="00297EEF"/>
    <w:rsid w:val="002A1620"/>
    <w:rsid w:val="002B1184"/>
    <w:rsid w:val="002B1EB9"/>
    <w:rsid w:val="002C60A1"/>
    <w:rsid w:val="002D01AA"/>
    <w:rsid w:val="002D31FE"/>
    <w:rsid w:val="002F109C"/>
    <w:rsid w:val="002F4191"/>
    <w:rsid w:val="002F556B"/>
    <w:rsid w:val="002F5F78"/>
    <w:rsid w:val="00306BFC"/>
    <w:rsid w:val="003102FB"/>
    <w:rsid w:val="0031338C"/>
    <w:rsid w:val="003166FE"/>
    <w:rsid w:val="00324A16"/>
    <w:rsid w:val="0033170B"/>
    <w:rsid w:val="00331F05"/>
    <w:rsid w:val="00332E30"/>
    <w:rsid w:val="003337C2"/>
    <w:rsid w:val="003451F4"/>
    <w:rsid w:val="0035596F"/>
    <w:rsid w:val="00356DC0"/>
    <w:rsid w:val="003575C0"/>
    <w:rsid w:val="00363E40"/>
    <w:rsid w:val="00377A88"/>
    <w:rsid w:val="00384E5C"/>
    <w:rsid w:val="003944D3"/>
    <w:rsid w:val="0039612E"/>
    <w:rsid w:val="003A2D6C"/>
    <w:rsid w:val="003A66AD"/>
    <w:rsid w:val="003A66B4"/>
    <w:rsid w:val="003A7196"/>
    <w:rsid w:val="003B53DF"/>
    <w:rsid w:val="003C5E00"/>
    <w:rsid w:val="003D5072"/>
    <w:rsid w:val="003D539D"/>
    <w:rsid w:val="003F11E6"/>
    <w:rsid w:val="003F595C"/>
    <w:rsid w:val="003F723C"/>
    <w:rsid w:val="003F78E0"/>
    <w:rsid w:val="00402F87"/>
    <w:rsid w:val="004040C2"/>
    <w:rsid w:val="0040449F"/>
    <w:rsid w:val="00406045"/>
    <w:rsid w:val="0041210F"/>
    <w:rsid w:val="0041251C"/>
    <w:rsid w:val="004153B8"/>
    <w:rsid w:val="00420378"/>
    <w:rsid w:val="00423623"/>
    <w:rsid w:val="004254CB"/>
    <w:rsid w:val="00432077"/>
    <w:rsid w:val="00441FAE"/>
    <w:rsid w:val="00442C98"/>
    <w:rsid w:val="004435F8"/>
    <w:rsid w:val="00446CEF"/>
    <w:rsid w:val="004503D1"/>
    <w:rsid w:val="004531A2"/>
    <w:rsid w:val="004607C0"/>
    <w:rsid w:val="00460C1E"/>
    <w:rsid w:val="004610FC"/>
    <w:rsid w:val="004618FD"/>
    <w:rsid w:val="00464864"/>
    <w:rsid w:val="0046588B"/>
    <w:rsid w:val="00474D5F"/>
    <w:rsid w:val="00484FEC"/>
    <w:rsid w:val="00491459"/>
    <w:rsid w:val="00491BDF"/>
    <w:rsid w:val="00495885"/>
    <w:rsid w:val="004A1AC9"/>
    <w:rsid w:val="004A2700"/>
    <w:rsid w:val="004A4AAB"/>
    <w:rsid w:val="004B1663"/>
    <w:rsid w:val="004B38BE"/>
    <w:rsid w:val="004B3D32"/>
    <w:rsid w:val="004B4165"/>
    <w:rsid w:val="004B58C6"/>
    <w:rsid w:val="004C13DF"/>
    <w:rsid w:val="004C3A97"/>
    <w:rsid w:val="004D27DB"/>
    <w:rsid w:val="004E1E28"/>
    <w:rsid w:val="004E300F"/>
    <w:rsid w:val="004E32A5"/>
    <w:rsid w:val="004F252C"/>
    <w:rsid w:val="004F4484"/>
    <w:rsid w:val="004F55B1"/>
    <w:rsid w:val="005019EF"/>
    <w:rsid w:val="00503ED5"/>
    <w:rsid w:val="0050703E"/>
    <w:rsid w:val="0051189A"/>
    <w:rsid w:val="00517957"/>
    <w:rsid w:val="00520E9A"/>
    <w:rsid w:val="005259DF"/>
    <w:rsid w:val="0052783C"/>
    <w:rsid w:val="005307B2"/>
    <w:rsid w:val="00541B64"/>
    <w:rsid w:val="00547DA9"/>
    <w:rsid w:val="00553EB4"/>
    <w:rsid w:val="00554AE6"/>
    <w:rsid w:val="00554B41"/>
    <w:rsid w:val="005576EA"/>
    <w:rsid w:val="00565754"/>
    <w:rsid w:val="005711C3"/>
    <w:rsid w:val="0059262A"/>
    <w:rsid w:val="00593E09"/>
    <w:rsid w:val="00596269"/>
    <w:rsid w:val="005D053F"/>
    <w:rsid w:val="005D091B"/>
    <w:rsid w:val="005D3C85"/>
    <w:rsid w:val="005D5FEE"/>
    <w:rsid w:val="005E11F2"/>
    <w:rsid w:val="005E2202"/>
    <w:rsid w:val="005E2B1F"/>
    <w:rsid w:val="005E6389"/>
    <w:rsid w:val="005F3941"/>
    <w:rsid w:val="005F6C70"/>
    <w:rsid w:val="00602664"/>
    <w:rsid w:val="00607F05"/>
    <w:rsid w:val="00616E31"/>
    <w:rsid w:val="0062552F"/>
    <w:rsid w:val="00632ADB"/>
    <w:rsid w:val="00633EB3"/>
    <w:rsid w:val="00635533"/>
    <w:rsid w:val="00640EE0"/>
    <w:rsid w:val="0064292E"/>
    <w:rsid w:val="00643B65"/>
    <w:rsid w:val="0064589F"/>
    <w:rsid w:val="00655E3C"/>
    <w:rsid w:val="0065692F"/>
    <w:rsid w:val="00664258"/>
    <w:rsid w:val="00666037"/>
    <w:rsid w:val="0066667C"/>
    <w:rsid w:val="00666A22"/>
    <w:rsid w:val="00674C42"/>
    <w:rsid w:val="006753A6"/>
    <w:rsid w:val="006778B5"/>
    <w:rsid w:val="00677C02"/>
    <w:rsid w:val="006846AD"/>
    <w:rsid w:val="00692EE3"/>
    <w:rsid w:val="00693638"/>
    <w:rsid w:val="006B631C"/>
    <w:rsid w:val="006C44D8"/>
    <w:rsid w:val="006C4FA8"/>
    <w:rsid w:val="006D1134"/>
    <w:rsid w:val="006D77EB"/>
    <w:rsid w:val="006E04A5"/>
    <w:rsid w:val="006E1082"/>
    <w:rsid w:val="006E3914"/>
    <w:rsid w:val="006F47B5"/>
    <w:rsid w:val="006F4DFE"/>
    <w:rsid w:val="006F6A03"/>
    <w:rsid w:val="007029EF"/>
    <w:rsid w:val="0071353E"/>
    <w:rsid w:val="00716B82"/>
    <w:rsid w:val="007171B8"/>
    <w:rsid w:val="0072140C"/>
    <w:rsid w:val="007319D9"/>
    <w:rsid w:val="00742512"/>
    <w:rsid w:val="00742530"/>
    <w:rsid w:val="00744975"/>
    <w:rsid w:val="0074545E"/>
    <w:rsid w:val="00745D9F"/>
    <w:rsid w:val="00750E30"/>
    <w:rsid w:val="007568CC"/>
    <w:rsid w:val="00761020"/>
    <w:rsid w:val="007627E4"/>
    <w:rsid w:val="0078297B"/>
    <w:rsid w:val="007954B3"/>
    <w:rsid w:val="007A1062"/>
    <w:rsid w:val="007A1962"/>
    <w:rsid w:val="007A2629"/>
    <w:rsid w:val="007B2E48"/>
    <w:rsid w:val="007B59B8"/>
    <w:rsid w:val="007C0D59"/>
    <w:rsid w:val="007C1005"/>
    <w:rsid w:val="007C3036"/>
    <w:rsid w:val="007C53C4"/>
    <w:rsid w:val="007D0DA6"/>
    <w:rsid w:val="007D461F"/>
    <w:rsid w:val="007D5E11"/>
    <w:rsid w:val="007E6164"/>
    <w:rsid w:val="007E64EA"/>
    <w:rsid w:val="007F25B7"/>
    <w:rsid w:val="007F4C4D"/>
    <w:rsid w:val="00802325"/>
    <w:rsid w:val="00804D84"/>
    <w:rsid w:val="008124FD"/>
    <w:rsid w:val="0081782E"/>
    <w:rsid w:val="00820E0C"/>
    <w:rsid w:val="00823D14"/>
    <w:rsid w:val="00831F74"/>
    <w:rsid w:val="00836212"/>
    <w:rsid w:val="008379C8"/>
    <w:rsid w:val="00843D2E"/>
    <w:rsid w:val="00847BE5"/>
    <w:rsid w:val="00866189"/>
    <w:rsid w:val="00866534"/>
    <w:rsid w:val="00867908"/>
    <w:rsid w:val="0088066B"/>
    <w:rsid w:val="008928B3"/>
    <w:rsid w:val="00893240"/>
    <w:rsid w:val="008962E7"/>
    <w:rsid w:val="008966EE"/>
    <w:rsid w:val="008A1344"/>
    <w:rsid w:val="008A5CD2"/>
    <w:rsid w:val="008A6B8A"/>
    <w:rsid w:val="008C12A7"/>
    <w:rsid w:val="008C2A5D"/>
    <w:rsid w:val="008D0189"/>
    <w:rsid w:val="008D2BF2"/>
    <w:rsid w:val="008E040E"/>
    <w:rsid w:val="008E3FD4"/>
    <w:rsid w:val="008E7A9E"/>
    <w:rsid w:val="008F28E6"/>
    <w:rsid w:val="008F3149"/>
    <w:rsid w:val="008F515D"/>
    <w:rsid w:val="00901C1A"/>
    <w:rsid w:val="00902762"/>
    <w:rsid w:val="00912983"/>
    <w:rsid w:val="00912B5A"/>
    <w:rsid w:val="00913B03"/>
    <w:rsid w:val="00923F81"/>
    <w:rsid w:val="00925B52"/>
    <w:rsid w:val="00925D02"/>
    <w:rsid w:val="009321C2"/>
    <w:rsid w:val="009435E4"/>
    <w:rsid w:val="00943F6C"/>
    <w:rsid w:val="00945123"/>
    <w:rsid w:val="009700BA"/>
    <w:rsid w:val="00970BCC"/>
    <w:rsid w:val="00981951"/>
    <w:rsid w:val="00984085"/>
    <w:rsid w:val="00986042"/>
    <w:rsid w:val="00986698"/>
    <w:rsid w:val="00994986"/>
    <w:rsid w:val="009A0C81"/>
    <w:rsid w:val="009A0DB9"/>
    <w:rsid w:val="009A50EE"/>
    <w:rsid w:val="009A7C4B"/>
    <w:rsid w:val="009B3E22"/>
    <w:rsid w:val="009B65CE"/>
    <w:rsid w:val="009B79BC"/>
    <w:rsid w:val="009C0219"/>
    <w:rsid w:val="009C571B"/>
    <w:rsid w:val="009C65B2"/>
    <w:rsid w:val="009D7AF6"/>
    <w:rsid w:val="009E33AD"/>
    <w:rsid w:val="009E7BE7"/>
    <w:rsid w:val="009F1F54"/>
    <w:rsid w:val="009F314A"/>
    <w:rsid w:val="009F3459"/>
    <w:rsid w:val="009F503B"/>
    <w:rsid w:val="00A01FC4"/>
    <w:rsid w:val="00A046FE"/>
    <w:rsid w:val="00A1276F"/>
    <w:rsid w:val="00A15388"/>
    <w:rsid w:val="00A17C2A"/>
    <w:rsid w:val="00A2069B"/>
    <w:rsid w:val="00A30B75"/>
    <w:rsid w:val="00A43AD1"/>
    <w:rsid w:val="00A45775"/>
    <w:rsid w:val="00A5273F"/>
    <w:rsid w:val="00A5296A"/>
    <w:rsid w:val="00A643F5"/>
    <w:rsid w:val="00A722C5"/>
    <w:rsid w:val="00A730CA"/>
    <w:rsid w:val="00A73235"/>
    <w:rsid w:val="00A81F26"/>
    <w:rsid w:val="00A8332F"/>
    <w:rsid w:val="00A934F6"/>
    <w:rsid w:val="00A942FA"/>
    <w:rsid w:val="00A94FED"/>
    <w:rsid w:val="00AA77BB"/>
    <w:rsid w:val="00AB5BD7"/>
    <w:rsid w:val="00AC0B7B"/>
    <w:rsid w:val="00AC4DC2"/>
    <w:rsid w:val="00AC602B"/>
    <w:rsid w:val="00AD0601"/>
    <w:rsid w:val="00AD670C"/>
    <w:rsid w:val="00AD797E"/>
    <w:rsid w:val="00AE26B1"/>
    <w:rsid w:val="00AE4F22"/>
    <w:rsid w:val="00AF634F"/>
    <w:rsid w:val="00B1425E"/>
    <w:rsid w:val="00B15902"/>
    <w:rsid w:val="00B20006"/>
    <w:rsid w:val="00B27BF4"/>
    <w:rsid w:val="00B31221"/>
    <w:rsid w:val="00B323E3"/>
    <w:rsid w:val="00B45AA3"/>
    <w:rsid w:val="00B466AF"/>
    <w:rsid w:val="00B4751C"/>
    <w:rsid w:val="00B569F5"/>
    <w:rsid w:val="00B56ECF"/>
    <w:rsid w:val="00B61496"/>
    <w:rsid w:val="00B63877"/>
    <w:rsid w:val="00B70711"/>
    <w:rsid w:val="00B71328"/>
    <w:rsid w:val="00B86BD6"/>
    <w:rsid w:val="00B87585"/>
    <w:rsid w:val="00BA53C8"/>
    <w:rsid w:val="00BA63AC"/>
    <w:rsid w:val="00BB245E"/>
    <w:rsid w:val="00BC4F46"/>
    <w:rsid w:val="00BD5108"/>
    <w:rsid w:val="00BD6AD7"/>
    <w:rsid w:val="00BF3315"/>
    <w:rsid w:val="00BF6342"/>
    <w:rsid w:val="00C117CC"/>
    <w:rsid w:val="00C305C0"/>
    <w:rsid w:val="00C33BF9"/>
    <w:rsid w:val="00C33D4A"/>
    <w:rsid w:val="00C36079"/>
    <w:rsid w:val="00C422FA"/>
    <w:rsid w:val="00C43769"/>
    <w:rsid w:val="00C50152"/>
    <w:rsid w:val="00C52E14"/>
    <w:rsid w:val="00C623C9"/>
    <w:rsid w:val="00C65728"/>
    <w:rsid w:val="00C65B85"/>
    <w:rsid w:val="00C65FFC"/>
    <w:rsid w:val="00C7249A"/>
    <w:rsid w:val="00C738ED"/>
    <w:rsid w:val="00C767D4"/>
    <w:rsid w:val="00C80A63"/>
    <w:rsid w:val="00C8359C"/>
    <w:rsid w:val="00C94719"/>
    <w:rsid w:val="00C9764D"/>
    <w:rsid w:val="00CA5FD7"/>
    <w:rsid w:val="00CA6401"/>
    <w:rsid w:val="00CA6EE9"/>
    <w:rsid w:val="00CB2C5C"/>
    <w:rsid w:val="00CB38A0"/>
    <w:rsid w:val="00CB717E"/>
    <w:rsid w:val="00CB78AC"/>
    <w:rsid w:val="00CC009A"/>
    <w:rsid w:val="00CC232E"/>
    <w:rsid w:val="00CC69F5"/>
    <w:rsid w:val="00CD1804"/>
    <w:rsid w:val="00CE1F1D"/>
    <w:rsid w:val="00CF3E88"/>
    <w:rsid w:val="00CF57AD"/>
    <w:rsid w:val="00CF5F65"/>
    <w:rsid w:val="00D00953"/>
    <w:rsid w:val="00D05408"/>
    <w:rsid w:val="00D05438"/>
    <w:rsid w:val="00D133C3"/>
    <w:rsid w:val="00D15657"/>
    <w:rsid w:val="00D15E7E"/>
    <w:rsid w:val="00D17C0D"/>
    <w:rsid w:val="00D4621C"/>
    <w:rsid w:val="00D55B6B"/>
    <w:rsid w:val="00D56DBA"/>
    <w:rsid w:val="00D60A62"/>
    <w:rsid w:val="00D73F2C"/>
    <w:rsid w:val="00D81DEA"/>
    <w:rsid w:val="00D81F53"/>
    <w:rsid w:val="00D82E2D"/>
    <w:rsid w:val="00D86328"/>
    <w:rsid w:val="00D86CE8"/>
    <w:rsid w:val="00D91FF6"/>
    <w:rsid w:val="00D93227"/>
    <w:rsid w:val="00D96DCD"/>
    <w:rsid w:val="00DB1742"/>
    <w:rsid w:val="00DB43BB"/>
    <w:rsid w:val="00DB5CF0"/>
    <w:rsid w:val="00DC3C4B"/>
    <w:rsid w:val="00DD33E3"/>
    <w:rsid w:val="00DD51EB"/>
    <w:rsid w:val="00DE4DA0"/>
    <w:rsid w:val="00DE6209"/>
    <w:rsid w:val="00DE651D"/>
    <w:rsid w:val="00DF0AC9"/>
    <w:rsid w:val="00DF75A0"/>
    <w:rsid w:val="00DF7827"/>
    <w:rsid w:val="00E017E1"/>
    <w:rsid w:val="00E027A8"/>
    <w:rsid w:val="00E10555"/>
    <w:rsid w:val="00E11093"/>
    <w:rsid w:val="00E1554C"/>
    <w:rsid w:val="00E319E7"/>
    <w:rsid w:val="00E356FD"/>
    <w:rsid w:val="00E40A83"/>
    <w:rsid w:val="00E412DC"/>
    <w:rsid w:val="00E46879"/>
    <w:rsid w:val="00E55978"/>
    <w:rsid w:val="00E64767"/>
    <w:rsid w:val="00E66407"/>
    <w:rsid w:val="00E72C84"/>
    <w:rsid w:val="00E7769D"/>
    <w:rsid w:val="00E77804"/>
    <w:rsid w:val="00E81909"/>
    <w:rsid w:val="00E86D5C"/>
    <w:rsid w:val="00E936F8"/>
    <w:rsid w:val="00E96871"/>
    <w:rsid w:val="00E96D7B"/>
    <w:rsid w:val="00EA76F8"/>
    <w:rsid w:val="00EB0956"/>
    <w:rsid w:val="00EB4631"/>
    <w:rsid w:val="00EB6475"/>
    <w:rsid w:val="00ED0E77"/>
    <w:rsid w:val="00ED362A"/>
    <w:rsid w:val="00ED3B7D"/>
    <w:rsid w:val="00EF2797"/>
    <w:rsid w:val="00EF50B7"/>
    <w:rsid w:val="00EF51AE"/>
    <w:rsid w:val="00F0010A"/>
    <w:rsid w:val="00F019AD"/>
    <w:rsid w:val="00F069F5"/>
    <w:rsid w:val="00F10BC1"/>
    <w:rsid w:val="00F127FF"/>
    <w:rsid w:val="00F24C9C"/>
    <w:rsid w:val="00F3099D"/>
    <w:rsid w:val="00F44969"/>
    <w:rsid w:val="00F57489"/>
    <w:rsid w:val="00F7133B"/>
    <w:rsid w:val="00F71D82"/>
    <w:rsid w:val="00F955AA"/>
    <w:rsid w:val="00FB283E"/>
    <w:rsid w:val="00FB35A2"/>
    <w:rsid w:val="00FC3306"/>
    <w:rsid w:val="00FC4319"/>
    <w:rsid w:val="00FC70FF"/>
    <w:rsid w:val="00FD0715"/>
    <w:rsid w:val="00FD384F"/>
    <w:rsid w:val="00FD794F"/>
    <w:rsid w:val="00FE2036"/>
    <w:rsid w:val="00FE3FA4"/>
    <w:rsid w:val="00FE51C5"/>
    <w:rsid w:val="00FF58C4"/>
    <w:rsid w:val="01534644"/>
    <w:rsid w:val="017F54C9"/>
    <w:rsid w:val="01935887"/>
    <w:rsid w:val="01C8787F"/>
    <w:rsid w:val="01ED6097"/>
    <w:rsid w:val="01F510CC"/>
    <w:rsid w:val="020866C9"/>
    <w:rsid w:val="026D2CF5"/>
    <w:rsid w:val="0295684C"/>
    <w:rsid w:val="02D724F2"/>
    <w:rsid w:val="042A635A"/>
    <w:rsid w:val="04CC341D"/>
    <w:rsid w:val="05137CD7"/>
    <w:rsid w:val="053E1375"/>
    <w:rsid w:val="0551648B"/>
    <w:rsid w:val="05DB04A3"/>
    <w:rsid w:val="060B26E0"/>
    <w:rsid w:val="07784620"/>
    <w:rsid w:val="07BC4304"/>
    <w:rsid w:val="08D44BB4"/>
    <w:rsid w:val="08ED4683"/>
    <w:rsid w:val="0A1B5D5B"/>
    <w:rsid w:val="0A9B318E"/>
    <w:rsid w:val="0B24469B"/>
    <w:rsid w:val="0BA75866"/>
    <w:rsid w:val="0C1E2BA0"/>
    <w:rsid w:val="0C765CB2"/>
    <w:rsid w:val="0C9135A2"/>
    <w:rsid w:val="0D8363F3"/>
    <w:rsid w:val="0E0C768A"/>
    <w:rsid w:val="0E492EB6"/>
    <w:rsid w:val="0E970358"/>
    <w:rsid w:val="0EEC722A"/>
    <w:rsid w:val="0F244197"/>
    <w:rsid w:val="0F895C37"/>
    <w:rsid w:val="10392EAE"/>
    <w:rsid w:val="10706EC2"/>
    <w:rsid w:val="10BF4BAA"/>
    <w:rsid w:val="115617D0"/>
    <w:rsid w:val="11B60EE2"/>
    <w:rsid w:val="126E79AB"/>
    <w:rsid w:val="12807280"/>
    <w:rsid w:val="136364E5"/>
    <w:rsid w:val="136D3EEE"/>
    <w:rsid w:val="14445179"/>
    <w:rsid w:val="148463E6"/>
    <w:rsid w:val="14BB4799"/>
    <w:rsid w:val="14D20D9B"/>
    <w:rsid w:val="14EA0703"/>
    <w:rsid w:val="153907F5"/>
    <w:rsid w:val="154D0613"/>
    <w:rsid w:val="156D3E9E"/>
    <w:rsid w:val="15A72BED"/>
    <w:rsid w:val="15E74C42"/>
    <w:rsid w:val="1621170E"/>
    <w:rsid w:val="162C5ACE"/>
    <w:rsid w:val="16573D24"/>
    <w:rsid w:val="168A0107"/>
    <w:rsid w:val="16AE3EDD"/>
    <w:rsid w:val="170A0CBB"/>
    <w:rsid w:val="181E495F"/>
    <w:rsid w:val="185A2EBA"/>
    <w:rsid w:val="185D2F9A"/>
    <w:rsid w:val="187A3323"/>
    <w:rsid w:val="187F3AEA"/>
    <w:rsid w:val="18B91D2B"/>
    <w:rsid w:val="18C40414"/>
    <w:rsid w:val="19DC4249"/>
    <w:rsid w:val="1A6A6D44"/>
    <w:rsid w:val="1A724682"/>
    <w:rsid w:val="1A817123"/>
    <w:rsid w:val="1B5D0FE3"/>
    <w:rsid w:val="1B721452"/>
    <w:rsid w:val="1C046337"/>
    <w:rsid w:val="1C093ECB"/>
    <w:rsid w:val="1C177F6C"/>
    <w:rsid w:val="1C191887"/>
    <w:rsid w:val="1C1C383E"/>
    <w:rsid w:val="1CE4433A"/>
    <w:rsid w:val="1DAB1B09"/>
    <w:rsid w:val="1EE84AA8"/>
    <w:rsid w:val="1FAF7B7A"/>
    <w:rsid w:val="20253BB8"/>
    <w:rsid w:val="204F69BE"/>
    <w:rsid w:val="20626A40"/>
    <w:rsid w:val="209F0019"/>
    <w:rsid w:val="20F623E3"/>
    <w:rsid w:val="211B7C1C"/>
    <w:rsid w:val="212E7BC9"/>
    <w:rsid w:val="21AD2085"/>
    <w:rsid w:val="223914A6"/>
    <w:rsid w:val="228447E5"/>
    <w:rsid w:val="22863809"/>
    <w:rsid w:val="22DD65CD"/>
    <w:rsid w:val="22E31918"/>
    <w:rsid w:val="230372B7"/>
    <w:rsid w:val="2309775C"/>
    <w:rsid w:val="23424F53"/>
    <w:rsid w:val="236E14E2"/>
    <w:rsid w:val="2425476E"/>
    <w:rsid w:val="249E0994"/>
    <w:rsid w:val="25282BE5"/>
    <w:rsid w:val="25800808"/>
    <w:rsid w:val="25851E17"/>
    <w:rsid w:val="261131BE"/>
    <w:rsid w:val="261D6E25"/>
    <w:rsid w:val="263C3CB4"/>
    <w:rsid w:val="264B0C65"/>
    <w:rsid w:val="26713C76"/>
    <w:rsid w:val="275B19A0"/>
    <w:rsid w:val="27755208"/>
    <w:rsid w:val="2778394C"/>
    <w:rsid w:val="282D017E"/>
    <w:rsid w:val="283A1BB2"/>
    <w:rsid w:val="2859493D"/>
    <w:rsid w:val="286544BA"/>
    <w:rsid w:val="28976A12"/>
    <w:rsid w:val="28E63DFF"/>
    <w:rsid w:val="292F0E60"/>
    <w:rsid w:val="29564161"/>
    <w:rsid w:val="29CB12E0"/>
    <w:rsid w:val="29D148D0"/>
    <w:rsid w:val="29FB6C4C"/>
    <w:rsid w:val="2A286E6B"/>
    <w:rsid w:val="2A461B11"/>
    <w:rsid w:val="2A867302"/>
    <w:rsid w:val="2AC803DC"/>
    <w:rsid w:val="2B724B78"/>
    <w:rsid w:val="2D0C7F84"/>
    <w:rsid w:val="2D2C28CC"/>
    <w:rsid w:val="2E2C396C"/>
    <w:rsid w:val="2E900C87"/>
    <w:rsid w:val="2F046151"/>
    <w:rsid w:val="2F736E8D"/>
    <w:rsid w:val="2FDA78F1"/>
    <w:rsid w:val="3008763A"/>
    <w:rsid w:val="30143D85"/>
    <w:rsid w:val="303A6A8E"/>
    <w:rsid w:val="31752B09"/>
    <w:rsid w:val="31840F63"/>
    <w:rsid w:val="32563B0A"/>
    <w:rsid w:val="326D2337"/>
    <w:rsid w:val="32C75101"/>
    <w:rsid w:val="33611797"/>
    <w:rsid w:val="33D851B7"/>
    <w:rsid w:val="341548E3"/>
    <w:rsid w:val="3496343F"/>
    <w:rsid w:val="34F379D5"/>
    <w:rsid w:val="34FC2B7C"/>
    <w:rsid w:val="35FC7B89"/>
    <w:rsid w:val="37712A39"/>
    <w:rsid w:val="379C3265"/>
    <w:rsid w:val="38674F17"/>
    <w:rsid w:val="38A03468"/>
    <w:rsid w:val="38B259C2"/>
    <w:rsid w:val="3980588F"/>
    <w:rsid w:val="39A03FBB"/>
    <w:rsid w:val="3A603D3B"/>
    <w:rsid w:val="3AB766DE"/>
    <w:rsid w:val="3ACE29B8"/>
    <w:rsid w:val="3AE50133"/>
    <w:rsid w:val="3B345EA5"/>
    <w:rsid w:val="3C6446E5"/>
    <w:rsid w:val="3CA4078E"/>
    <w:rsid w:val="3CAA6BF6"/>
    <w:rsid w:val="3CDA3C26"/>
    <w:rsid w:val="3CF45622"/>
    <w:rsid w:val="3DA10C42"/>
    <w:rsid w:val="3DA37B3A"/>
    <w:rsid w:val="3DB531EC"/>
    <w:rsid w:val="3DC80855"/>
    <w:rsid w:val="405E3F93"/>
    <w:rsid w:val="40E60642"/>
    <w:rsid w:val="412F5503"/>
    <w:rsid w:val="41A05778"/>
    <w:rsid w:val="41CB585D"/>
    <w:rsid w:val="4299450D"/>
    <w:rsid w:val="42CD69DF"/>
    <w:rsid w:val="43036342"/>
    <w:rsid w:val="4365448B"/>
    <w:rsid w:val="43CE762F"/>
    <w:rsid w:val="44054428"/>
    <w:rsid w:val="44FB6774"/>
    <w:rsid w:val="4563730C"/>
    <w:rsid w:val="4669448D"/>
    <w:rsid w:val="466D782C"/>
    <w:rsid w:val="471D1C37"/>
    <w:rsid w:val="47E66134"/>
    <w:rsid w:val="48387B1F"/>
    <w:rsid w:val="48694FA0"/>
    <w:rsid w:val="488E768B"/>
    <w:rsid w:val="48956277"/>
    <w:rsid w:val="48A96A9C"/>
    <w:rsid w:val="48E40DF2"/>
    <w:rsid w:val="49602E3D"/>
    <w:rsid w:val="49F41D5E"/>
    <w:rsid w:val="4B1E31F7"/>
    <w:rsid w:val="4B510AB3"/>
    <w:rsid w:val="4BCB3573"/>
    <w:rsid w:val="4BCC3F4A"/>
    <w:rsid w:val="4C0A5953"/>
    <w:rsid w:val="4CE75373"/>
    <w:rsid w:val="4D2E6DE3"/>
    <w:rsid w:val="4D6016CE"/>
    <w:rsid w:val="4D8D03D2"/>
    <w:rsid w:val="4DD90E9F"/>
    <w:rsid w:val="4E1A4E14"/>
    <w:rsid w:val="4E567B2D"/>
    <w:rsid w:val="4ECA6EC3"/>
    <w:rsid w:val="4F1F3FB9"/>
    <w:rsid w:val="4F215537"/>
    <w:rsid w:val="4F2F7D09"/>
    <w:rsid w:val="50FB3C65"/>
    <w:rsid w:val="51A14175"/>
    <w:rsid w:val="52BC7C45"/>
    <w:rsid w:val="534D1624"/>
    <w:rsid w:val="535254ED"/>
    <w:rsid w:val="536D628A"/>
    <w:rsid w:val="53DD723A"/>
    <w:rsid w:val="545860EF"/>
    <w:rsid w:val="54B92EF5"/>
    <w:rsid w:val="550431EE"/>
    <w:rsid w:val="55AF409C"/>
    <w:rsid w:val="55B77246"/>
    <w:rsid w:val="566438CE"/>
    <w:rsid w:val="566D4B95"/>
    <w:rsid w:val="57060F68"/>
    <w:rsid w:val="57174BC2"/>
    <w:rsid w:val="572656D4"/>
    <w:rsid w:val="57815330"/>
    <w:rsid w:val="579079D1"/>
    <w:rsid w:val="579F3B17"/>
    <w:rsid w:val="57DF6DBE"/>
    <w:rsid w:val="59AD06A4"/>
    <w:rsid w:val="59F35AC8"/>
    <w:rsid w:val="5A08683D"/>
    <w:rsid w:val="5A4D586D"/>
    <w:rsid w:val="5A6249B0"/>
    <w:rsid w:val="5AA212E4"/>
    <w:rsid w:val="5B9A59F0"/>
    <w:rsid w:val="5B9E25A6"/>
    <w:rsid w:val="5B9F254E"/>
    <w:rsid w:val="5C1811A1"/>
    <w:rsid w:val="5C1B7CE1"/>
    <w:rsid w:val="5CBE055C"/>
    <w:rsid w:val="5EA0562A"/>
    <w:rsid w:val="5EA177CB"/>
    <w:rsid w:val="5EE84C68"/>
    <w:rsid w:val="5F380864"/>
    <w:rsid w:val="5F975218"/>
    <w:rsid w:val="602B5C6E"/>
    <w:rsid w:val="6137591E"/>
    <w:rsid w:val="617A66D9"/>
    <w:rsid w:val="621D5BA4"/>
    <w:rsid w:val="62E6539D"/>
    <w:rsid w:val="63251B8E"/>
    <w:rsid w:val="635B6748"/>
    <w:rsid w:val="63947A95"/>
    <w:rsid w:val="63C0427A"/>
    <w:rsid w:val="645E09EC"/>
    <w:rsid w:val="64732BB5"/>
    <w:rsid w:val="64E317A8"/>
    <w:rsid w:val="65741555"/>
    <w:rsid w:val="66887A4F"/>
    <w:rsid w:val="67004944"/>
    <w:rsid w:val="67610DE4"/>
    <w:rsid w:val="67B167D1"/>
    <w:rsid w:val="67D00D43"/>
    <w:rsid w:val="685E5E7F"/>
    <w:rsid w:val="685F1C50"/>
    <w:rsid w:val="68C53CC0"/>
    <w:rsid w:val="699022E9"/>
    <w:rsid w:val="69CA10F4"/>
    <w:rsid w:val="6A212235"/>
    <w:rsid w:val="6A5E2961"/>
    <w:rsid w:val="6A714498"/>
    <w:rsid w:val="6AAD4547"/>
    <w:rsid w:val="6B247B16"/>
    <w:rsid w:val="6B3A03BB"/>
    <w:rsid w:val="6C0C7CAF"/>
    <w:rsid w:val="6C926A9B"/>
    <w:rsid w:val="6C9D0D2C"/>
    <w:rsid w:val="6D492C3B"/>
    <w:rsid w:val="6D5A4128"/>
    <w:rsid w:val="6D792BC6"/>
    <w:rsid w:val="6D866381"/>
    <w:rsid w:val="6DF82FDB"/>
    <w:rsid w:val="6EA122EA"/>
    <w:rsid w:val="6EFD3264"/>
    <w:rsid w:val="6F7E486E"/>
    <w:rsid w:val="7007465D"/>
    <w:rsid w:val="70F85664"/>
    <w:rsid w:val="714319BE"/>
    <w:rsid w:val="723830F9"/>
    <w:rsid w:val="72832E49"/>
    <w:rsid w:val="72A66323"/>
    <w:rsid w:val="73455674"/>
    <w:rsid w:val="73744288"/>
    <w:rsid w:val="737F5B28"/>
    <w:rsid w:val="742571C9"/>
    <w:rsid w:val="745919C6"/>
    <w:rsid w:val="74593CC3"/>
    <w:rsid w:val="74702A9A"/>
    <w:rsid w:val="749A609F"/>
    <w:rsid w:val="758A1998"/>
    <w:rsid w:val="761C2BBB"/>
    <w:rsid w:val="761D6562"/>
    <w:rsid w:val="7631727E"/>
    <w:rsid w:val="765036D1"/>
    <w:rsid w:val="76F50009"/>
    <w:rsid w:val="77156DEB"/>
    <w:rsid w:val="776A1DE8"/>
    <w:rsid w:val="781C7C32"/>
    <w:rsid w:val="785D00CA"/>
    <w:rsid w:val="78D17096"/>
    <w:rsid w:val="791A6622"/>
    <w:rsid w:val="796864EC"/>
    <w:rsid w:val="79880F84"/>
    <w:rsid w:val="79FE67EB"/>
    <w:rsid w:val="7A667F42"/>
    <w:rsid w:val="7B9C456D"/>
    <w:rsid w:val="7C0442F2"/>
    <w:rsid w:val="7C8C60FC"/>
    <w:rsid w:val="7CC44ED1"/>
    <w:rsid w:val="7DDD6CEA"/>
    <w:rsid w:val="7E636E14"/>
    <w:rsid w:val="7EC83A66"/>
    <w:rsid w:val="7F8B3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autoRedefine/>
    <w:qFormat/>
    <w:uiPriority w:val="0"/>
    <w:pPr>
      <w:outlineLvl w:val="0"/>
    </w:pPr>
    <w:rPr>
      <w:color w:val="000000"/>
      <w:kern w:val="0"/>
      <w:sz w:val="20"/>
      <w:shd w:val="clear" w:color="auto" w:fill="FFFFFF"/>
    </w:rPr>
  </w:style>
  <w:style w:type="paragraph" w:styleId="3">
    <w:name w:val="heading 2"/>
    <w:basedOn w:val="1"/>
    <w:next w:val="4"/>
    <w:link w:val="5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6"/>
    <w:link w:val="45"/>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6"/>
    <w:link w:val="50"/>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90"/>
    <w:autoRedefine/>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97"/>
    <w:autoRedefine/>
    <w:unhideWhenUsed/>
    <w:qFormat/>
    <w:uiPriority w:val="0"/>
    <w:pPr>
      <w:keepNext/>
      <w:keepLines/>
      <w:spacing w:line="360" w:lineRule="auto"/>
      <w:outlineLvl w:val="5"/>
    </w:pPr>
    <w:rPr>
      <w:b/>
      <w:sz w:val="24"/>
    </w:rPr>
  </w:style>
  <w:style w:type="paragraph" w:styleId="10">
    <w:name w:val="heading 7"/>
    <w:basedOn w:val="1"/>
    <w:next w:val="1"/>
    <w:link w:val="94"/>
    <w:autoRedefine/>
    <w:unhideWhenUsed/>
    <w:qFormat/>
    <w:uiPriority w:val="0"/>
    <w:pPr>
      <w:keepNext/>
      <w:keepLines/>
      <w:spacing w:before="240" w:after="64" w:line="320" w:lineRule="auto"/>
      <w:outlineLvl w:val="6"/>
    </w:pPr>
    <w:rPr>
      <w:b/>
      <w:bCs/>
      <w:sz w:val="24"/>
    </w:rPr>
  </w:style>
  <w:style w:type="paragraph" w:styleId="11">
    <w:name w:val="heading 8"/>
    <w:next w:val="1"/>
    <w:link w:val="98"/>
    <w:autoRedefine/>
    <w:semiHidden/>
    <w:unhideWhenUsed/>
    <w:qFormat/>
    <w:uiPriority w:val="0"/>
    <w:pPr>
      <w:keepNext/>
      <w:keepLines/>
      <w:spacing w:line="360" w:lineRule="auto"/>
      <w:outlineLvl w:val="7"/>
    </w:pPr>
    <w:rPr>
      <w:rFonts w:ascii="Times New Roman" w:hAnsi="Times New Roman" w:eastAsia="宋体" w:cs="Times New Roman"/>
      <w:b/>
      <w:sz w:val="24"/>
      <w:lang w:val="en-US" w:eastAsia="zh-CN" w:bidi="ar-SA"/>
    </w:rPr>
  </w:style>
  <w:style w:type="paragraph" w:styleId="12">
    <w:name w:val="heading 9"/>
    <w:basedOn w:val="1"/>
    <w:next w:val="1"/>
    <w:link w:val="99"/>
    <w:autoRedefine/>
    <w:semiHidden/>
    <w:unhideWhenUsed/>
    <w:qFormat/>
    <w:uiPriority w:val="0"/>
    <w:pPr>
      <w:keepNext/>
      <w:keepLines/>
      <w:spacing w:before="240" w:after="64" w:line="317" w:lineRule="auto"/>
      <w:ind w:left="1583"/>
      <w:outlineLvl w:val="8"/>
    </w:pPr>
    <w:rPr>
      <w:rFonts w:ascii="Arial" w:hAnsi="Arial" w:eastAsia="黑体" w:cstheme="minorBidi"/>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4">
    <w:name w:val="我的正文"/>
    <w:basedOn w:val="1"/>
    <w:qFormat/>
    <w:uiPriority w:val="0"/>
    <w:pPr>
      <w:spacing w:line="360" w:lineRule="auto"/>
      <w:ind w:firstLine="200" w:firstLineChars="200"/>
    </w:pPr>
    <w:rPr>
      <w:rFonts w:eastAsia="仿宋"/>
      <w:sz w:val="28"/>
    </w:rPr>
  </w:style>
  <w:style w:type="paragraph" w:styleId="6">
    <w:name w:val="Normal Indent"/>
    <w:basedOn w:val="1"/>
    <w:next w:val="1"/>
    <w:link w:val="105"/>
    <w:autoRedefine/>
    <w:qFormat/>
    <w:uiPriority w:val="0"/>
    <w:pPr>
      <w:ind w:firstLine="420"/>
    </w:pPr>
    <w:rPr>
      <w:szCs w:val="20"/>
    </w:rPr>
  </w:style>
  <w:style w:type="paragraph" w:styleId="13">
    <w:name w:val="List Number"/>
    <w:basedOn w:val="1"/>
    <w:autoRedefine/>
    <w:qFormat/>
    <w:uiPriority w:val="0"/>
    <w:pPr>
      <w:numPr>
        <w:ilvl w:val="0"/>
        <w:numId w:val="1"/>
      </w:numPr>
    </w:pPr>
  </w:style>
  <w:style w:type="paragraph" w:styleId="14">
    <w:name w:val="Document Map"/>
    <w:basedOn w:val="1"/>
    <w:link w:val="73"/>
    <w:autoRedefine/>
    <w:semiHidden/>
    <w:qFormat/>
    <w:uiPriority w:val="99"/>
    <w:pPr>
      <w:shd w:val="clear" w:color="auto" w:fill="000080"/>
    </w:pPr>
    <w:rPr>
      <w:kern w:val="0"/>
      <w:sz w:val="2"/>
    </w:rPr>
  </w:style>
  <w:style w:type="paragraph" w:styleId="15">
    <w:name w:val="annotation text"/>
    <w:basedOn w:val="1"/>
    <w:link w:val="68"/>
    <w:autoRedefine/>
    <w:qFormat/>
    <w:uiPriority w:val="0"/>
    <w:pPr>
      <w:jc w:val="left"/>
    </w:pPr>
  </w:style>
  <w:style w:type="paragraph" w:styleId="16">
    <w:name w:val="Closing"/>
    <w:basedOn w:val="1"/>
    <w:autoRedefine/>
    <w:semiHidden/>
    <w:qFormat/>
    <w:uiPriority w:val="0"/>
    <w:pPr>
      <w:ind w:left="4320"/>
    </w:pPr>
    <w:rPr>
      <w:kern w:val="1"/>
    </w:rPr>
  </w:style>
  <w:style w:type="paragraph" w:styleId="17">
    <w:name w:val="Body Text"/>
    <w:basedOn w:val="1"/>
    <w:next w:val="18"/>
    <w:link w:val="78"/>
    <w:autoRedefine/>
    <w:qFormat/>
    <w:uiPriority w:val="0"/>
    <w:pPr>
      <w:spacing w:line="360" w:lineRule="exact"/>
    </w:pPr>
    <w:rPr>
      <w:sz w:val="24"/>
    </w:rPr>
  </w:style>
  <w:style w:type="paragraph" w:styleId="18">
    <w:name w:val="Body Text First Indent"/>
    <w:basedOn w:val="17"/>
    <w:next w:val="19"/>
    <w:link w:val="93"/>
    <w:autoRedefine/>
    <w:qFormat/>
    <w:uiPriority w:val="0"/>
    <w:pPr>
      <w:spacing w:after="120" w:line="240" w:lineRule="auto"/>
      <w:ind w:firstLine="420" w:firstLineChars="100"/>
    </w:pPr>
    <w:rPr>
      <w:sz w:val="21"/>
    </w:rPr>
  </w:style>
  <w:style w:type="paragraph" w:styleId="19">
    <w:name w:val="toc 6"/>
    <w:basedOn w:val="1"/>
    <w:next w:val="1"/>
    <w:autoRedefine/>
    <w:qFormat/>
    <w:uiPriority w:val="39"/>
    <w:pPr>
      <w:ind w:left="1050"/>
      <w:jc w:val="left"/>
    </w:pPr>
    <w:rPr>
      <w:rFonts w:ascii="Calibri" w:hAnsi="Calibri" w:cs="Calibri"/>
      <w:sz w:val="18"/>
      <w:szCs w:val="18"/>
    </w:rPr>
  </w:style>
  <w:style w:type="paragraph" w:styleId="20">
    <w:name w:val="Body Text Indent"/>
    <w:basedOn w:val="1"/>
    <w:link w:val="71"/>
    <w:autoRedefine/>
    <w:qFormat/>
    <w:uiPriority w:val="0"/>
    <w:pPr>
      <w:spacing w:after="120"/>
      <w:ind w:left="420" w:leftChars="200"/>
    </w:pPr>
  </w:style>
  <w:style w:type="paragraph" w:styleId="21">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2">
    <w:name w:val="toc 3"/>
    <w:next w:val="1"/>
    <w:autoRedefine/>
    <w:qFormat/>
    <w:uiPriority w:val="0"/>
    <w:pPr>
      <w:ind w:left="840" w:leftChars="400"/>
    </w:pPr>
    <w:rPr>
      <w:rFonts w:ascii="Times New Roman" w:hAnsi="Times New Roman" w:eastAsia="宋体" w:cs="Times New Roman"/>
      <w:sz w:val="24"/>
      <w:lang w:val="en-US" w:eastAsia="zh-CN" w:bidi="ar-SA"/>
    </w:rPr>
  </w:style>
  <w:style w:type="paragraph" w:styleId="23">
    <w:name w:val="Plain Text"/>
    <w:basedOn w:val="1"/>
    <w:next w:val="24"/>
    <w:link w:val="86"/>
    <w:autoRedefine/>
    <w:qFormat/>
    <w:uiPriority w:val="0"/>
    <w:rPr>
      <w:rFonts w:ascii="宋体" w:hAnsi="Courier New" w:cstheme="minorBidi"/>
    </w:rPr>
  </w:style>
  <w:style w:type="paragraph" w:styleId="24">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25">
    <w:name w:val="Balloon Text"/>
    <w:basedOn w:val="1"/>
    <w:link w:val="70"/>
    <w:autoRedefine/>
    <w:qFormat/>
    <w:uiPriority w:val="0"/>
    <w:rPr>
      <w:sz w:val="18"/>
      <w:szCs w:val="18"/>
    </w:rPr>
  </w:style>
  <w:style w:type="paragraph" w:styleId="26">
    <w:name w:val="footer"/>
    <w:basedOn w:val="1"/>
    <w:link w:val="75"/>
    <w:autoRedefine/>
    <w:qFormat/>
    <w:uiPriority w:val="0"/>
    <w:pPr>
      <w:tabs>
        <w:tab w:val="center" w:pos="4153"/>
        <w:tab w:val="right" w:pos="8306"/>
      </w:tabs>
      <w:snapToGrid w:val="0"/>
      <w:jc w:val="left"/>
    </w:pPr>
    <w:rPr>
      <w:sz w:val="18"/>
    </w:rPr>
  </w:style>
  <w:style w:type="paragraph" w:styleId="27">
    <w:name w:val="header"/>
    <w:basedOn w:val="1"/>
    <w:link w:val="7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autoRedefine/>
    <w:qFormat/>
    <w:uiPriority w:val="0"/>
    <w:rPr>
      <w:sz w:val="24"/>
    </w:rPr>
  </w:style>
  <w:style w:type="paragraph" w:styleId="29">
    <w:name w:val="Subtitle"/>
    <w:basedOn w:val="1"/>
    <w:next w:val="1"/>
    <w:link w:val="83"/>
    <w:autoRedefine/>
    <w:qFormat/>
    <w:uiPriority w:val="0"/>
    <w:pPr>
      <w:spacing w:before="240" w:after="60" w:line="312" w:lineRule="auto"/>
      <w:jc w:val="center"/>
      <w:outlineLvl w:val="1"/>
    </w:pPr>
    <w:rPr>
      <w:rFonts w:ascii="等线 Light" w:hAnsi="等线 Light"/>
      <w:b/>
      <w:bCs/>
      <w:kern w:val="28"/>
      <w:sz w:val="32"/>
      <w:szCs w:val="32"/>
    </w:rPr>
  </w:style>
  <w:style w:type="paragraph" w:styleId="30">
    <w:name w:val="toc 2"/>
    <w:basedOn w:val="1"/>
    <w:next w:val="1"/>
    <w:autoRedefine/>
    <w:qFormat/>
    <w:uiPriority w:val="0"/>
    <w:pPr>
      <w:ind w:left="420" w:leftChars="200"/>
    </w:pPr>
    <w:rPr>
      <w:sz w:val="24"/>
    </w:rPr>
  </w:style>
  <w:style w:type="paragraph" w:styleId="3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3">
    <w:name w:val="Title"/>
    <w:basedOn w:val="1"/>
    <w:next w:val="1"/>
    <w:link w:val="82"/>
    <w:autoRedefine/>
    <w:qFormat/>
    <w:uiPriority w:val="0"/>
    <w:pPr>
      <w:spacing w:before="240" w:after="60"/>
      <w:jc w:val="center"/>
      <w:outlineLvl w:val="0"/>
    </w:pPr>
    <w:rPr>
      <w:rFonts w:ascii="等线 Light" w:hAnsi="等线 Light"/>
      <w:b/>
      <w:bCs/>
      <w:sz w:val="32"/>
      <w:szCs w:val="32"/>
    </w:rPr>
  </w:style>
  <w:style w:type="paragraph" w:styleId="34">
    <w:name w:val="annotation subject"/>
    <w:basedOn w:val="15"/>
    <w:next w:val="15"/>
    <w:link w:val="69"/>
    <w:autoRedefine/>
    <w:qFormat/>
    <w:uiPriority w:val="0"/>
    <w:rPr>
      <w:b/>
      <w:bCs/>
    </w:rPr>
  </w:style>
  <w:style w:type="paragraph" w:styleId="35">
    <w:name w:val="Body Text First Indent 2"/>
    <w:basedOn w:val="20"/>
    <w:autoRedefine/>
    <w:unhideWhenUsed/>
    <w:qFormat/>
    <w:uiPriority w:val="99"/>
    <w:pPr>
      <w:ind w:firstLine="420" w:firstLineChars="200"/>
    </w:pPr>
  </w:style>
  <w:style w:type="table" w:styleId="37">
    <w:name w:val="Table Grid"/>
    <w:basedOn w:val="36"/>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autoRedefine/>
    <w:qFormat/>
    <w:uiPriority w:val="0"/>
    <w:rPr>
      <w:color w:val="800080"/>
      <w:u w:val="none"/>
    </w:rPr>
  </w:style>
  <w:style w:type="character" w:styleId="42">
    <w:name w:val="Emphasis"/>
    <w:autoRedefine/>
    <w:qFormat/>
    <w:uiPriority w:val="0"/>
    <w:rPr>
      <w:i/>
      <w:iCs/>
    </w:rPr>
  </w:style>
  <w:style w:type="character" w:styleId="43">
    <w:name w:val="Hyperlink"/>
    <w:autoRedefine/>
    <w:qFormat/>
    <w:uiPriority w:val="0"/>
    <w:rPr>
      <w:color w:val="0000FF"/>
      <w:u w:val="single"/>
    </w:rPr>
  </w:style>
  <w:style w:type="character" w:styleId="44">
    <w:name w:val="annotation reference"/>
    <w:basedOn w:val="38"/>
    <w:autoRedefine/>
    <w:qFormat/>
    <w:uiPriority w:val="0"/>
    <w:rPr>
      <w:sz w:val="21"/>
      <w:szCs w:val="21"/>
    </w:rPr>
  </w:style>
  <w:style w:type="character" w:customStyle="1" w:styleId="45">
    <w:name w:val="标题 3 字符"/>
    <w:basedOn w:val="38"/>
    <w:link w:val="5"/>
    <w:autoRedefine/>
    <w:qFormat/>
    <w:uiPriority w:val="0"/>
    <w:rPr>
      <w:b/>
      <w:bCs/>
      <w:kern w:val="2"/>
      <w:sz w:val="32"/>
      <w:szCs w:val="32"/>
    </w:rPr>
  </w:style>
  <w:style w:type="paragraph" w:customStyle="1" w:styleId="4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4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8">
    <w:name w:val="表格文字"/>
    <w:basedOn w:val="49"/>
    <w:next w:val="17"/>
    <w:autoRedefine/>
    <w:qFormat/>
    <w:uiPriority w:val="0"/>
    <w:pPr>
      <w:adjustRightInd w:val="0"/>
      <w:spacing w:line="420" w:lineRule="atLeast"/>
      <w:textAlignment w:val="baseline"/>
    </w:pPr>
  </w:style>
  <w:style w:type="paragraph" w:customStyle="1" w:styleId="49">
    <w:name w:val="表格文字（两侧对齐）"/>
    <w:basedOn w:val="1"/>
    <w:autoRedefine/>
    <w:qFormat/>
    <w:uiPriority w:val="0"/>
    <w:pPr>
      <w:snapToGrid w:val="0"/>
      <w:jc w:val="left"/>
    </w:pPr>
    <w:rPr>
      <w:sz w:val="20"/>
    </w:rPr>
  </w:style>
  <w:style w:type="character" w:customStyle="1" w:styleId="50">
    <w:name w:val="标题 4 字符"/>
    <w:basedOn w:val="38"/>
    <w:link w:val="7"/>
    <w:autoRedefine/>
    <w:qFormat/>
    <w:uiPriority w:val="0"/>
    <w:rPr>
      <w:rFonts w:asciiTheme="majorHAnsi" w:hAnsiTheme="majorHAnsi" w:eastAsiaTheme="majorEastAsia" w:cstheme="majorBidi"/>
      <w:b/>
      <w:bCs/>
      <w:kern w:val="2"/>
      <w:sz w:val="28"/>
      <w:szCs w:val="28"/>
    </w:rPr>
  </w:style>
  <w:style w:type="character" w:customStyle="1" w:styleId="51">
    <w:name w:val="标题 2 字符"/>
    <w:basedOn w:val="38"/>
    <w:link w:val="3"/>
    <w:autoRedefine/>
    <w:qFormat/>
    <w:uiPriority w:val="0"/>
    <w:rPr>
      <w:rFonts w:ascii="Arial" w:hAnsi="Arial" w:eastAsia="黑体"/>
      <w:b/>
      <w:bCs/>
      <w:kern w:val="2"/>
      <w:sz w:val="32"/>
      <w:szCs w:val="32"/>
    </w:rPr>
  </w:style>
  <w:style w:type="paragraph" w:customStyle="1" w:styleId="5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53">
    <w:name w:val="List Paragraph"/>
    <w:basedOn w:val="1"/>
    <w:link w:val="91"/>
    <w:autoRedefine/>
    <w:qFormat/>
    <w:uiPriority w:val="34"/>
    <w:pPr>
      <w:ind w:firstLine="420" w:firstLineChars="200"/>
    </w:pPr>
    <w:rPr>
      <w:rFonts w:ascii="Calibri" w:hAnsi="Calibri"/>
      <w:szCs w:val="22"/>
    </w:rPr>
  </w:style>
  <w:style w:type="paragraph" w:customStyle="1" w:styleId="54">
    <w:name w:val="列出段落1"/>
    <w:basedOn w:val="1"/>
    <w:autoRedefine/>
    <w:qFormat/>
    <w:uiPriority w:val="34"/>
    <w:pPr>
      <w:ind w:firstLine="420" w:firstLineChars="200"/>
    </w:pPr>
    <w:rPr>
      <w:rFonts w:ascii="Calibri" w:hAnsi="Calibri"/>
      <w:kern w:val="0"/>
      <w:szCs w:val="20"/>
    </w:rPr>
  </w:style>
  <w:style w:type="paragraph" w:customStyle="1" w:styleId="55">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5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
    <w:autoRedefine/>
    <w:qFormat/>
    <w:uiPriority w:val="0"/>
    <w:rPr>
      <w:rFonts w:ascii="Times New Roman" w:hAnsi="Times New Roman" w:eastAsia="宋体" w:cs="Times New Roman"/>
      <w:sz w:val="21"/>
      <w:szCs w:val="22"/>
      <w:lang w:val="en-US" w:eastAsia="zh-CN" w:bidi="ar-SA"/>
    </w:rPr>
  </w:style>
  <w:style w:type="paragraph" w:customStyle="1" w:styleId="5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纯文本_3"/>
    <w:basedOn w:val="61"/>
    <w:autoRedefine/>
    <w:qFormat/>
    <w:uiPriority w:val="0"/>
    <w:pPr>
      <w:widowControl/>
      <w:jc w:val="left"/>
    </w:pPr>
    <w:rPr>
      <w:rFonts w:ascii="宋体" w:hAnsi="Courier New" w:eastAsiaTheme="minorEastAsia" w:cstheme="minorBidi"/>
      <w:szCs w:val="21"/>
    </w:rPr>
  </w:style>
  <w:style w:type="paragraph" w:customStyle="1" w:styleId="63">
    <w:name w:val="纯文本_0_1"/>
    <w:basedOn w:val="1"/>
    <w:autoRedefine/>
    <w:qFormat/>
    <w:uiPriority w:val="0"/>
    <w:pPr>
      <w:widowControl/>
      <w:jc w:val="left"/>
    </w:pPr>
    <w:rPr>
      <w:rFonts w:ascii="宋体" w:hAnsi="Courier New" w:eastAsiaTheme="minorEastAsia" w:cstheme="minorBidi"/>
      <w:szCs w:val="21"/>
    </w:rPr>
  </w:style>
  <w:style w:type="paragraph" w:customStyle="1" w:styleId="64">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批注文字 字符1"/>
    <w:basedOn w:val="38"/>
    <w:link w:val="15"/>
    <w:autoRedefine/>
    <w:qFormat/>
    <w:uiPriority w:val="0"/>
    <w:rPr>
      <w:rFonts w:ascii="Times New Roman" w:hAnsi="Times New Roman" w:eastAsia="宋体" w:cs="Times New Roman"/>
      <w:kern w:val="2"/>
      <w:sz w:val="21"/>
      <w:szCs w:val="24"/>
    </w:rPr>
  </w:style>
  <w:style w:type="character" w:customStyle="1" w:styleId="69">
    <w:name w:val="批注主题 字符"/>
    <w:basedOn w:val="68"/>
    <w:link w:val="34"/>
    <w:autoRedefine/>
    <w:qFormat/>
    <w:uiPriority w:val="0"/>
    <w:rPr>
      <w:rFonts w:ascii="Times New Roman" w:hAnsi="Times New Roman" w:eastAsia="宋体" w:cs="Times New Roman"/>
      <w:b/>
      <w:bCs/>
      <w:kern w:val="2"/>
      <w:sz w:val="21"/>
      <w:szCs w:val="24"/>
    </w:rPr>
  </w:style>
  <w:style w:type="character" w:customStyle="1" w:styleId="70">
    <w:name w:val="批注框文本 字符1"/>
    <w:basedOn w:val="38"/>
    <w:link w:val="25"/>
    <w:autoRedefine/>
    <w:qFormat/>
    <w:uiPriority w:val="0"/>
    <w:rPr>
      <w:rFonts w:ascii="Times New Roman" w:hAnsi="Times New Roman" w:eastAsia="宋体" w:cs="Times New Roman"/>
      <w:kern w:val="2"/>
      <w:sz w:val="18"/>
      <w:szCs w:val="18"/>
    </w:rPr>
  </w:style>
  <w:style w:type="character" w:customStyle="1" w:styleId="71">
    <w:name w:val="正文文本缩进 字符"/>
    <w:basedOn w:val="38"/>
    <w:link w:val="20"/>
    <w:autoRedefine/>
    <w:qFormat/>
    <w:uiPriority w:val="0"/>
    <w:rPr>
      <w:kern w:val="2"/>
      <w:sz w:val="21"/>
      <w:szCs w:val="24"/>
    </w:rPr>
  </w:style>
  <w:style w:type="character" w:customStyle="1" w:styleId="72">
    <w:name w:val="标题 1 字符1"/>
    <w:basedOn w:val="38"/>
    <w:link w:val="2"/>
    <w:autoRedefine/>
    <w:qFormat/>
    <w:uiPriority w:val="0"/>
    <w:rPr>
      <w:color w:val="000000"/>
      <w:szCs w:val="24"/>
    </w:rPr>
  </w:style>
  <w:style w:type="character" w:customStyle="1" w:styleId="73">
    <w:name w:val="文档结构图 字符"/>
    <w:basedOn w:val="38"/>
    <w:link w:val="14"/>
    <w:autoRedefine/>
    <w:semiHidden/>
    <w:qFormat/>
    <w:uiPriority w:val="99"/>
    <w:rPr>
      <w:sz w:val="2"/>
      <w:szCs w:val="24"/>
      <w:shd w:val="clear" w:color="auto" w:fill="000080"/>
    </w:rPr>
  </w:style>
  <w:style w:type="character" w:customStyle="1" w:styleId="74">
    <w:name w:val="页眉 字符"/>
    <w:link w:val="27"/>
    <w:autoRedefine/>
    <w:qFormat/>
    <w:locked/>
    <w:uiPriority w:val="0"/>
    <w:rPr>
      <w:kern w:val="2"/>
      <w:sz w:val="18"/>
      <w:szCs w:val="24"/>
    </w:rPr>
  </w:style>
  <w:style w:type="character" w:customStyle="1" w:styleId="75">
    <w:name w:val="页脚 字符"/>
    <w:link w:val="26"/>
    <w:autoRedefine/>
    <w:qFormat/>
    <w:locked/>
    <w:uiPriority w:val="0"/>
    <w:rPr>
      <w:kern w:val="2"/>
      <w:sz w:val="18"/>
      <w:szCs w:val="24"/>
    </w:rPr>
  </w:style>
  <w:style w:type="paragraph" w:customStyle="1" w:styleId="76">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77">
    <w:name w:val="[Normal]"/>
    <w:next w:val="1"/>
    <w:autoRedefine/>
    <w:qFormat/>
    <w:uiPriority w:val="99"/>
    <w:pPr>
      <w:widowControl w:val="0"/>
      <w:autoSpaceDE w:val="0"/>
      <w:autoSpaceDN w:val="0"/>
      <w:adjustRightInd w:val="0"/>
    </w:pPr>
    <w:rPr>
      <w:rFonts w:ascii="Arial" w:hAnsi="Arial" w:eastAsia="宋体" w:cs="Arial"/>
      <w:sz w:val="24"/>
      <w:szCs w:val="24"/>
      <w:shd w:val="clear" w:color="auto" w:fill="FFFFFF"/>
      <w:lang w:val="de-DE" w:eastAsia="zh-CN" w:bidi="ar-SA"/>
    </w:rPr>
  </w:style>
  <w:style w:type="character" w:customStyle="1" w:styleId="78">
    <w:name w:val="正文文本 字符"/>
    <w:link w:val="17"/>
    <w:autoRedefine/>
    <w:qFormat/>
    <w:locked/>
    <w:uiPriority w:val="99"/>
    <w:rPr>
      <w:kern w:val="2"/>
      <w:sz w:val="24"/>
      <w:szCs w:val="24"/>
    </w:rPr>
  </w:style>
  <w:style w:type="paragraph" w:customStyle="1" w:styleId="79">
    <w:name w:val="KTG"/>
    <w:next w:val="1"/>
    <w:autoRedefine/>
    <w:qFormat/>
    <w:uiPriority w:val="99"/>
    <w:pPr>
      <w:widowControl w:val="0"/>
      <w:tabs>
        <w:tab w:val="left" w:pos="1134"/>
      </w:tabs>
      <w:autoSpaceDE w:val="0"/>
      <w:autoSpaceDN w:val="0"/>
      <w:adjustRightInd w:val="0"/>
    </w:pPr>
    <w:rPr>
      <w:rFonts w:ascii="Arial" w:hAnsi="Arial" w:eastAsia="宋体" w:cs="Times New Roman"/>
      <w:sz w:val="22"/>
      <w:szCs w:val="22"/>
      <w:lang w:val="de-DE" w:eastAsia="zh-CN" w:bidi="ar-SA"/>
    </w:rPr>
  </w:style>
  <w:style w:type="paragraph" w:customStyle="1" w:styleId="8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1">
    <w:name w:val="_Style 2"/>
    <w:basedOn w:val="1"/>
    <w:autoRedefine/>
    <w:qFormat/>
    <w:uiPriority w:val="99"/>
    <w:pPr>
      <w:ind w:firstLine="420" w:firstLineChars="200"/>
    </w:pPr>
  </w:style>
  <w:style w:type="character" w:customStyle="1" w:styleId="82">
    <w:name w:val="标题 字符"/>
    <w:basedOn w:val="38"/>
    <w:link w:val="33"/>
    <w:autoRedefine/>
    <w:qFormat/>
    <w:uiPriority w:val="0"/>
    <w:rPr>
      <w:rFonts w:ascii="等线 Light" w:hAnsi="等线 Light"/>
      <w:b/>
      <w:bCs/>
      <w:kern w:val="2"/>
      <w:sz w:val="32"/>
      <w:szCs w:val="32"/>
    </w:rPr>
  </w:style>
  <w:style w:type="character" w:customStyle="1" w:styleId="83">
    <w:name w:val="副标题 字符"/>
    <w:basedOn w:val="38"/>
    <w:link w:val="29"/>
    <w:autoRedefine/>
    <w:qFormat/>
    <w:uiPriority w:val="0"/>
    <w:rPr>
      <w:rFonts w:ascii="等线 Light" w:hAnsi="等线 Light"/>
      <w:b/>
      <w:bCs/>
      <w:kern w:val="28"/>
      <w:sz w:val="32"/>
      <w:szCs w:val="32"/>
    </w:rPr>
  </w:style>
  <w:style w:type="table" w:customStyle="1" w:styleId="84">
    <w:name w:val="网格型1"/>
    <w:basedOn w:val="36"/>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HTML 预设格式 字符"/>
    <w:basedOn w:val="38"/>
    <w:link w:val="31"/>
    <w:autoRedefine/>
    <w:qFormat/>
    <w:uiPriority w:val="0"/>
    <w:rPr>
      <w:rFonts w:ascii="黑体" w:hAnsi="Courier New" w:eastAsia="黑体" w:cs="Courier New"/>
    </w:rPr>
  </w:style>
  <w:style w:type="character" w:customStyle="1" w:styleId="86">
    <w:name w:val="纯文本 字符"/>
    <w:basedOn w:val="38"/>
    <w:link w:val="23"/>
    <w:autoRedefine/>
    <w:qFormat/>
    <w:uiPriority w:val="0"/>
    <w:rPr>
      <w:rFonts w:ascii="宋体" w:hAnsi="Courier New" w:cstheme="minorBidi"/>
      <w:kern w:val="2"/>
      <w:sz w:val="21"/>
      <w:szCs w:val="24"/>
    </w:rPr>
  </w:style>
  <w:style w:type="paragraph" w:customStyle="1" w:styleId="87">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88">
    <w:name w:val="my正文"/>
    <w:basedOn w:val="1"/>
    <w:autoRedefine/>
    <w:qFormat/>
    <w:uiPriority w:val="0"/>
    <w:pPr>
      <w:widowControl/>
      <w:ind w:firstLine="480"/>
    </w:pPr>
    <w:rPr>
      <w:rFonts w:ascii="Calibri" w:hAnsi="Calibri"/>
      <w:lang w:val="zh-CN"/>
    </w:rPr>
  </w:style>
  <w:style w:type="table" w:customStyle="1" w:styleId="89">
    <w:name w:val="网格型3"/>
    <w:basedOn w:val="3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标题 5 字符"/>
    <w:basedOn w:val="38"/>
    <w:link w:val="8"/>
    <w:autoRedefine/>
    <w:qFormat/>
    <w:uiPriority w:val="0"/>
    <w:rPr>
      <w:b/>
      <w:bCs/>
      <w:kern w:val="2"/>
      <w:sz w:val="28"/>
      <w:szCs w:val="28"/>
    </w:rPr>
  </w:style>
  <w:style w:type="character" w:customStyle="1" w:styleId="91">
    <w:name w:val="列表段落 字符"/>
    <w:link w:val="53"/>
    <w:autoRedefine/>
    <w:qFormat/>
    <w:locked/>
    <w:uiPriority w:val="34"/>
    <w:rPr>
      <w:rFonts w:ascii="Calibri" w:hAnsi="Calibri"/>
      <w:kern w:val="2"/>
      <w:sz w:val="21"/>
      <w:szCs w:val="22"/>
    </w:rPr>
  </w:style>
  <w:style w:type="paragraph" w:customStyle="1" w:styleId="92">
    <w:name w:val="列出段落2"/>
    <w:basedOn w:val="1"/>
    <w:autoRedefine/>
    <w:qFormat/>
    <w:uiPriority w:val="99"/>
    <w:pPr>
      <w:ind w:firstLine="420" w:firstLineChars="200"/>
    </w:pPr>
    <w:rPr>
      <w:rFonts w:ascii="Calibri" w:hAnsi="Calibri"/>
      <w:szCs w:val="22"/>
    </w:rPr>
  </w:style>
  <w:style w:type="character" w:customStyle="1" w:styleId="93">
    <w:name w:val="正文文本首行缩进 字符"/>
    <w:basedOn w:val="78"/>
    <w:link w:val="18"/>
    <w:autoRedefine/>
    <w:qFormat/>
    <w:uiPriority w:val="0"/>
    <w:rPr>
      <w:kern w:val="2"/>
      <w:sz w:val="21"/>
      <w:szCs w:val="24"/>
    </w:rPr>
  </w:style>
  <w:style w:type="character" w:customStyle="1" w:styleId="94">
    <w:name w:val="标题 7 字符"/>
    <w:basedOn w:val="38"/>
    <w:link w:val="10"/>
    <w:autoRedefine/>
    <w:qFormat/>
    <w:uiPriority w:val="0"/>
    <w:rPr>
      <w:b/>
      <w:bCs/>
      <w:kern w:val="2"/>
      <w:sz w:val="24"/>
      <w:szCs w:val="24"/>
    </w:rPr>
  </w:style>
  <w:style w:type="paragraph" w:customStyle="1" w:styleId="95">
    <w:name w:val="*正文"/>
    <w:basedOn w:val="1"/>
    <w:link w:val="96"/>
    <w:autoRedefine/>
    <w:qFormat/>
    <w:uiPriority w:val="0"/>
    <w:pPr>
      <w:spacing w:line="360" w:lineRule="auto"/>
      <w:ind w:firstLine="560" w:firstLineChars="200"/>
    </w:pPr>
    <w:rPr>
      <w:rFonts w:eastAsia="仿宋_GB2312"/>
      <w:color w:val="000000"/>
      <w:sz w:val="28"/>
      <w:szCs w:val="28"/>
      <w:lang w:val="zh-CN"/>
    </w:rPr>
  </w:style>
  <w:style w:type="character" w:customStyle="1" w:styleId="96">
    <w:name w:val="*正文 Char"/>
    <w:link w:val="95"/>
    <w:autoRedefine/>
    <w:qFormat/>
    <w:uiPriority w:val="0"/>
    <w:rPr>
      <w:rFonts w:eastAsia="仿宋_GB2312"/>
      <w:color w:val="000000"/>
      <w:kern w:val="2"/>
      <w:sz w:val="28"/>
      <w:szCs w:val="28"/>
      <w:lang w:val="zh-CN"/>
    </w:rPr>
  </w:style>
  <w:style w:type="character" w:customStyle="1" w:styleId="97">
    <w:name w:val="标题 6 字符"/>
    <w:basedOn w:val="38"/>
    <w:link w:val="9"/>
    <w:autoRedefine/>
    <w:qFormat/>
    <w:uiPriority w:val="0"/>
    <w:rPr>
      <w:b/>
      <w:sz w:val="24"/>
    </w:rPr>
  </w:style>
  <w:style w:type="character" w:customStyle="1" w:styleId="98">
    <w:name w:val="标题 8 字符"/>
    <w:basedOn w:val="38"/>
    <w:link w:val="11"/>
    <w:autoRedefine/>
    <w:semiHidden/>
    <w:qFormat/>
    <w:uiPriority w:val="0"/>
    <w:rPr>
      <w:b/>
      <w:sz w:val="24"/>
    </w:rPr>
  </w:style>
  <w:style w:type="character" w:customStyle="1" w:styleId="99">
    <w:name w:val="标题 9 字符"/>
    <w:basedOn w:val="38"/>
    <w:link w:val="12"/>
    <w:autoRedefine/>
    <w:semiHidden/>
    <w:qFormat/>
    <w:uiPriority w:val="0"/>
    <w:rPr>
      <w:rFonts w:ascii="Arial" w:hAnsi="Arial" w:eastAsia="黑体" w:cstheme="minorBidi"/>
      <w:kern w:val="2"/>
      <w:sz w:val="21"/>
      <w:szCs w:val="24"/>
    </w:rPr>
  </w:style>
  <w:style w:type="table" w:customStyle="1" w:styleId="100">
    <w:name w:val="网格型2"/>
    <w:basedOn w:val="3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_Style 94"/>
    <w:next w:val="1"/>
    <w:autoRedefine/>
    <w:qFormat/>
    <w:uiPriority w:val="0"/>
    <w:pPr>
      <w:ind w:left="420" w:leftChars="200"/>
    </w:pPr>
    <w:rPr>
      <w:rFonts w:ascii="Times New Roman" w:hAnsi="Times New Roman" w:eastAsia="宋体" w:cs="Times New Roman"/>
      <w:sz w:val="24"/>
      <w:lang w:val="en-US" w:eastAsia="zh-CN" w:bidi="ar-SA"/>
    </w:rPr>
  </w:style>
  <w:style w:type="character" w:customStyle="1" w:styleId="102">
    <w:name w:val="标题 1 字符"/>
    <w:autoRedefine/>
    <w:qFormat/>
    <w:uiPriority w:val="0"/>
    <w:rPr>
      <w:rFonts w:ascii="Calibri" w:hAnsi="Calibri" w:eastAsia="宋体"/>
      <w:b/>
      <w:kern w:val="44"/>
      <w:sz w:val="30"/>
    </w:rPr>
  </w:style>
  <w:style w:type="character" w:customStyle="1" w:styleId="103">
    <w:name w:val="批注框文本 字符"/>
    <w:autoRedefine/>
    <w:qFormat/>
    <w:uiPriority w:val="0"/>
    <w:rPr>
      <w:rFonts w:cs="Times New Roman"/>
      <w:kern w:val="2"/>
      <w:sz w:val="18"/>
      <w:szCs w:val="18"/>
    </w:rPr>
  </w:style>
  <w:style w:type="character" w:customStyle="1" w:styleId="104">
    <w:name w:val="批注文字 字符"/>
    <w:autoRedefine/>
    <w:qFormat/>
    <w:uiPriority w:val="0"/>
    <w:rPr>
      <w:rFonts w:cs="Times New Roman"/>
      <w:kern w:val="2"/>
      <w:sz w:val="24"/>
      <w:szCs w:val="24"/>
    </w:rPr>
  </w:style>
  <w:style w:type="character" w:customStyle="1" w:styleId="105">
    <w:name w:val="正文缩进 字符"/>
    <w:link w:val="6"/>
    <w:autoRedefine/>
    <w:qFormat/>
    <w:locked/>
    <w:uiPriority w:val="0"/>
    <w:rPr>
      <w:kern w:val="2"/>
      <w:sz w:val="21"/>
    </w:rPr>
  </w:style>
  <w:style w:type="character" w:customStyle="1" w:styleId="106">
    <w:name w:val="纯文本 字符1"/>
    <w:autoRedefine/>
    <w:semiHidden/>
    <w:qFormat/>
    <w:locked/>
    <w:uiPriority w:val="0"/>
    <w:rPr>
      <w:rFonts w:ascii="宋体" w:hAnsi="Courier New"/>
      <w:kern w:val="2"/>
      <w:sz w:val="21"/>
      <w:szCs w:val="24"/>
      <w:lang w:val="zh-CN" w:eastAsia="zh-CN"/>
    </w:rPr>
  </w:style>
  <w:style w:type="paragraph" w:customStyle="1" w:styleId="107">
    <w:name w:val="_Style 941"/>
    <w:next w:val="1"/>
    <w:autoRedefine/>
    <w:qFormat/>
    <w:uiPriority w:val="0"/>
    <w:pPr>
      <w:ind w:left="420" w:leftChars="200"/>
    </w:pPr>
    <w:rPr>
      <w:rFonts w:ascii="Times New Roman" w:hAnsi="Times New Roman" w:eastAsia="宋体" w:cs="Times New Roman"/>
      <w:sz w:val="24"/>
      <w:lang w:val="en-US" w:eastAsia="zh-CN" w:bidi="ar-SA"/>
    </w:rPr>
  </w:style>
  <w:style w:type="paragraph" w:customStyle="1" w:styleId="108">
    <w:name w:val="正文空格"/>
    <w:basedOn w:val="1"/>
    <w:next w:val="1"/>
    <w:autoRedefine/>
    <w:qFormat/>
    <w:uiPriority w:val="0"/>
    <w:pPr>
      <w:spacing w:line="400" w:lineRule="exact"/>
      <w:ind w:firstLine="200" w:firstLineChars="200"/>
    </w:pPr>
    <w:rPr>
      <w:rFonts w:asciiTheme="minorHAnsi" w:hAnsiTheme="minorHAnsi" w:eastAsiaTheme="minorEastAsia" w:cstheme="minorBidi"/>
      <w:szCs w:val="22"/>
    </w:rPr>
  </w:style>
  <w:style w:type="paragraph" w:customStyle="1" w:styleId="109">
    <w:name w:val="纯文本11"/>
    <w:basedOn w:val="1"/>
    <w:autoRedefine/>
    <w:qFormat/>
    <w:uiPriority w:val="0"/>
    <w:rPr>
      <w:rFonts w:ascii="宋体" w:hAnsi="Courier New"/>
    </w:rPr>
  </w:style>
  <w:style w:type="paragraph" w:customStyle="1" w:styleId="1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112">
    <w:name w:val="纯文本1"/>
    <w:basedOn w:val="80"/>
    <w:autoRedefine/>
    <w:qFormat/>
    <w:uiPriority w:val="0"/>
    <w:pPr>
      <w:widowControl/>
      <w:jc w:val="left"/>
    </w:pPr>
    <w:rPr>
      <w:rFonts w:hAnsi="Courier New"/>
    </w:rPr>
  </w:style>
  <w:style w:type="paragraph" w:customStyle="1" w:styleId="113">
    <w:name w:val="正文首行缩进二字符"/>
    <w:basedOn w:val="1"/>
    <w:autoRedefine/>
    <w:qFormat/>
    <w:uiPriority w:val="0"/>
    <w:pPr>
      <w:autoSpaceDE w:val="0"/>
      <w:autoSpaceDN w:val="0"/>
      <w:adjustRightInd w:val="0"/>
      <w:spacing w:line="360" w:lineRule="auto"/>
      <w:ind w:firstLine="200" w:firstLineChars="200"/>
    </w:pPr>
    <w:rPr>
      <w:sz w:val="24"/>
    </w:rPr>
  </w:style>
  <w:style w:type="paragraph" w:customStyle="1" w:styleId="114">
    <w:name w:val="p0"/>
    <w:basedOn w:val="1"/>
    <w:autoRedefine/>
    <w:qFormat/>
    <w:uiPriority w:val="0"/>
    <w:pPr>
      <w:widowControl/>
    </w:pPr>
    <w:rPr>
      <w:rFonts w:ascii="宋体" w:hAnsi="宋体" w:cs="宋体"/>
      <w:kern w:val="0"/>
      <w:szCs w:val="21"/>
    </w:rPr>
  </w:style>
  <w:style w:type="character" w:customStyle="1" w:styleId="115">
    <w:name w:val="font11"/>
    <w:basedOn w:val="38"/>
    <w:autoRedefine/>
    <w:qFormat/>
    <w:uiPriority w:val="0"/>
    <w:rPr>
      <w:rFonts w:hint="eastAsia" w:ascii="宋体" w:hAnsi="宋体" w:eastAsia="宋体" w:cs="宋体"/>
      <w:b/>
      <w:bCs/>
      <w:color w:val="000000"/>
      <w:sz w:val="18"/>
      <w:szCs w:val="18"/>
      <w:u w:val="none"/>
    </w:rPr>
  </w:style>
  <w:style w:type="character" w:customStyle="1" w:styleId="116">
    <w:name w:val="font21"/>
    <w:basedOn w:val="38"/>
    <w:autoRedefine/>
    <w:qFormat/>
    <w:uiPriority w:val="0"/>
    <w:rPr>
      <w:rFonts w:hint="eastAsia" w:ascii="宋体" w:hAnsi="宋体" w:eastAsia="宋体" w:cs="宋体"/>
      <w:color w:val="000000"/>
      <w:sz w:val="18"/>
      <w:szCs w:val="18"/>
      <w:u w:val="none"/>
    </w:rPr>
  </w:style>
  <w:style w:type="character" w:customStyle="1" w:styleId="117">
    <w:name w:val="font31"/>
    <w:basedOn w:val="38"/>
    <w:autoRedefine/>
    <w:qFormat/>
    <w:uiPriority w:val="0"/>
    <w:rPr>
      <w:rFonts w:hint="eastAsia" w:ascii="宋体" w:hAnsi="宋体" w:eastAsia="宋体" w:cs="宋体"/>
      <w:b/>
      <w:bCs/>
      <w:color w:val="FF0000"/>
      <w:sz w:val="18"/>
      <w:szCs w:val="18"/>
      <w:u w:val="none"/>
    </w:rPr>
  </w:style>
  <w:style w:type="paragraph" w:customStyle="1" w:styleId="118">
    <w:name w:val="表文字"/>
    <w:basedOn w:val="1"/>
    <w:qFormat/>
    <w:uiPriority w:val="0"/>
    <w:rPr>
      <w:sz w:val="24"/>
    </w:rPr>
  </w:style>
  <w:style w:type="paragraph" w:customStyle="1" w:styleId="119">
    <w:name w:val="正文样式1"/>
    <w:basedOn w:val="1"/>
    <w:qFormat/>
    <w:uiPriority w:val="0"/>
    <w:pPr>
      <w:widowControl/>
      <w:jc w:val="center"/>
    </w:pPr>
    <w:rPr>
      <w:rFonts w:ascii="仿宋" w:hAnsi="仿宋" w:eastAsia="仿宋"/>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99DC1-5088-4EAB-880F-F02336F081B5}">
  <ds:schemaRefs/>
</ds:datastoreItem>
</file>

<file path=docProps/app.xml><?xml version="1.0" encoding="utf-8"?>
<Properties xmlns="http://schemas.openxmlformats.org/officeDocument/2006/extended-properties" xmlns:vt="http://schemas.openxmlformats.org/officeDocument/2006/docPropsVTypes">
  <Template>Normal</Template>
  <Pages>79</Pages>
  <Words>16715</Words>
  <Characters>17758</Characters>
  <Lines>271</Lines>
  <Paragraphs>76</Paragraphs>
  <TotalTime>47</TotalTime>
  <ScaleCrop>false</ScaleCrop>
  <LinksUpToDate>false</LinksUpToDate>
  <CharactersWithSpaces>18012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2023-10-25T06:57:00Z</dcterms:created>
  <dc:creator>Administrator</dc:creator>
  <cp:lastModifiedBy>Miss Sherlock</cp:lastModifiedBy>
  <cp:lastPrinted>2023-10-31T08:16:00Z</cp:lastPrinted>
  <dcterms:modified xsi:type="dcterms:W3CDTF">2024-11-12T08:39:11Z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A6A17D3F17EE4ABE92887CA32D66C9AD_13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1698214736</vt:lpwstr>
  </property>
</Properties>
</file>