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9F00210">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bookmarkStart w:id="0" w:name="_Toc331502476"/>
      <w:bookmarkStart w:id="1" w:name="_Toc331502477"/>
    </w:p>
    <w:p w14:paraId="52AF6E4D">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p>
    <w:p w14:paraId="6F6E6494">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r>
        <w:rPr>
          <w:rFonts w:hint="eastAsia" w:asciiTheme="minorEastAsia" w:hAnsiTheme="minorEastAsia" w:eastAsiaTheme="minorEastAsia" w:cstheme="minorEastAsia"/>
          <w:b/>
          <w:color w:val="auto"/>
          <w:kern w:val="0"/>
          <w:sz w:val="52"/>
          <w:szCs w:val="52"/>
          <w:highlight w:val="none"/>
        </w:rPr>
        <w:t>政府采购电子招标文件</w:t>
      </w:r>
    </w:p>
    <w:p w14:paraId="03F69DE6">
      <w:pPr>
        <w:shd w:val="clear"/>
        <w:wordWrap w:val="0"/>
        <w:ind w:firstLine="2400" w:firstLineChars="750"/>
        <w:jc w:val="left"/>
        <w:rPr>
          <w:rFonts w:hint="eastAsia" w:asciiTheme="minorEastAsia" w:hAnsiTheme="minorEastAsia" w:eastAsiaTheme="minorEastAsia" w:cstheme="minorEastAsia"/>
          <w:color w:val="auto"/>
          <w:sz w:val="32"/>
          <w:szCs w:val="32"/>
          <w:highlight w:val="none"/>
          <w:u w:val="single"/>
          <w:lang w:val="en-US" w:eastAsia="zh-CN"/>
        </w:rPr>
      </w:pPr>
      <w:r>
        <w:rPr>
          <w:rFonts w:hint="eastAsia" w:asciiTheme="minorEastAsia" w:hAnsiTheme="minorEastAsia" w:eastAsiaTheme="minorEastAsia" w:cstheme="minorEastAsia"/>
          <w:color w:val="auto"/>
          <w:sz w:val="32"/>
          <w:szCs w:val="32"/>
          <w:highlight w:val="none"/>
        </w:rPr>
        <w:t>招标编号:</w:t>
      </w:r>
      <w:r>
        <w:rPr>
          <w:rFonts w:hint="eastAsia" w:asciiTheme="minorEastAsia" w:hAnsiTheme="minorEastAsia" w:eastAsiaTheme="minorEastAsia" w:cstheme="minorEastAsia"/>
          <w:color w:val="auto"/>
          <w:sz w:val="32"/>
          <w:szCs w:val="32"/>
          <w:highlight w:val="none"/>
          <w:u w:val="single"/>
          <w:lang w:eastAsia="zh-CN"/>
        </w:rPr>
        <w:t>JJLQ2024-019</w:t>
      </w:r>
    </w:p>
    <w:p w14:paraId="7B04B1B0">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1084" w:firstLineChars="300"/>
        <w:jc w:val="both"/>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b/>
          <w:color w:val="auto"/>
          <w:sz w:val="36"/>
          <w:highlight w:val="none"/>
        </w:rPr>
        <w:t>（线上电子招投标）</w:t>
      </w:r>
    </w:p>
    <w:p w14:paraId="4D5886E0">
      <w:pPr>
        <w:shd w:val="clear"/>
        <w:rPr>
          <w:rFonts w:hint="eastAsia" w:asciiTheme="minorEastAsia" w:hAnsiTheme="minorEastAsia" w:eastAsiaTheme="minorEastAsia" w:cstheme="minorEastAsia"/>
          <w:color w:val="auto"/>
          <w:sz w:val="24"/>
          <w:highlight w:val="none"/>
        </w:rPr>
      </w:pPr>
    </w:p>
    <w:p w14:paraId="2D76C1F4">
      <w:pPr>
        <w:shd w:val="clear"/>
        <w:jc w:val="center"/>
        <w:rPr>
          <w:rFonts w:hint="eastAsia" w:asciiTheme="minorEastAsia" w:hAnsiTheme="minorEastAsia" w:eastAsiaTheme="minorEastAsia" w:cstheme="minorEastAsia"/>
          <w:color w:val="auto"/>
          <w:sz w:val="24"/>
          <w:highlight w:val="none"/>
        </w:rPr>
      </w:pPr>
    </w:p>
    <w:p w14:paraId="3E0599A9">
      <w:pPr>
        <w:shd w:val="clear"/>
        <w:jc w:val="center"/>
        <w:rPr>
          <w:rFonts w:hint="eastAsia" w:asciiTheme="minorEastAsia" w:hAnsiTheme="minorEastAsia" w:eastAsiaTheme="minorEastAsia" w:cstheme="minorEastAsia"/>
          <w:color w:val="auto"/>
          <w:sz w:val="32"/>
          <w:szCs w:val="32"/>
          <w:highlight w:val="none"/>
        </w:rPr>
      </w:pPr>
    </w:p>
    <w:p w14:paraId="6CC29CA2">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color w:val="auto"/>
          <w:sz w:val="30"/>
          <w:szCs w:val="30"/>
          <w:highlight w:val="none"/>
        </w:rPr>
        <w:t>采购项目</w:t>
      </w:r>
      <w:r>
        <w:rPr>
          <w:rFonts w:hint="eastAsia" w:asciiTheme="minorEastAsia" w:hAnsiTheme="minorEastAsia" w:eastAsiaTheme="minorEastAsia" w:cstheme="minorEastAsia"/>
          <w:color w:val="auto"/>
          <w:sz w:val="30"/>
          <w:szCs w:val="30"/>
          <w:highlight w:val="none"/>
          <w:lang w:eastAsia="zh-CN"/>
        </w:rPr>
        <w:t>：2025年度峰江街道居家养老服务（照料）中心</w:t>
      </w:r>
    </w:p>
    <w:p w14:paraId="756E1FFF">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val="en-US" w:eastAsia="zh-CN"/>
        </w:rPr>
      </w:pPr>
      <w:r>
        <w:rPr>
          <w:rFonts w:hint="eastAsia" w:asciiTheme="minorEastAsia" w:hAnsiTheme="minorEastAsia" w:eastAsiaTheme="minorEastAsia" w:cstheme="minorEastAsia"/>
          <w:color w:val="auto"/>
          <w:kern w:val="0"/>
          <w:sz w:val="30"/>
          <w:szCs w:val="30"/>
          <w:highlight w:val="none"/>
          <w:lang w:val="en-US" w:eastAsia="zh-CN"/>
        </w:rPr>
        <w:t xml:space="preserve">          </w:t>
      </w:r>
    </w:p>
    <w:p w14:paraId="4DC1776F">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color w:val="auto"/>
          <w:kern w:val="0"/>
          <w:sz w:val="30"/>
          <w:szCs w:val="30"/>
          <w:highlight w:val="none"/>
        </w:rPr>
        <w:t>采 购 人：</w:t>
      </w:r>
      <w:r>
        <w:rPr>
          <w:rFonts w:hint="eastAsia" w:asciiTheme="minorEastAsia" w:hAnsiTheme="minorEastAsia" w:eastAsiaTheme="minorEastAsia" w:cstheme="minorEastAsia"/>
          <w:color w:val="auto"/>
          <w:kern w:val="0"/>
          <w:sz w:val="30"/>
          <w:szCs w:val="30"/>
          <w:highlight w:val="none"/>
          <w:lang w:eastAsia="zh-CN"/>
        </w:rPr>
        <w:t>台州市路桥区人民政府峰江街道办事处</w:t>
      </w:r>
      <w:r>
        <w:rPr>
          <w:rFonts w:hint="eastAsia" w:asciiTheme="minorEastAsia" w:hAnsiTheme="minorEastAsia" w:eastAsiaTheme="minorEastAsia" w:cstheme="minorEastAsia"/>
          <w:color w:val="auto"/>
          <w:kern w:val="0"/>
          <w:sz w:val="30"/>
          <w:szCs w:val="30"/>
          <w:highlight w:val="none"/>
        </w:rPr>
        <w:t>（盖章）</w:t>
      </w:r>
    </w:p>
    <w:p w14:paraId="6E9B3E80">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eastAsia="zh-CN"/>
        </w:rPr>
      </w:pPr>
    </w:p>
    <w:p w14:paraId="090C08D1">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eastAsia="zh-CN"/>
        </w:rPr>
      </w:pPr>
      <w:r>
        <w:rPr>
          <w:rFonts w:hint="eastAsia" w:asciiTheme="minorEastAsia" w:hAnsiTheme="minorEastAsia" w:eastAsiaTheme="minorEastAsia" w:cstheme="minorEastAsia"/>
          <w:color w:val="auto"/>
          <w:kern w:val="0"/>
          <w:sz w:val="30"/>
          <w:szCs w:val="30"/>
          <w:highlight w:val="none"/>
          <w:lang w:eastAsia="zh-CN"/>
        </w:rPr>
        <w:t>采购组织机构：建经投资咨询有限公司（盖章）</w:t>
      </w:r>
    </w:p>
    <w:p w14:paraId="7FE957C6">
      <w:pPr>
        <w:pStyle w:val="95"/>
        <w:shd w:val="clear"/>
        <w:rPr>
          <w:rFonts w:hint="eastAsia" w:asciiTheme="minorEastAsia" w:hAnsiTheme="minorEastAsia" w:eastAsiaTheme="minorEastAsia" w:cstheme="minorEastAsia"/>
          <w:highlight w:val="none"/>
        </w:rPr>
      </w:pPr>
    </w:p>
    <w:p w14:paraId="5C1CDA65">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highlight w:val="none"/>
        </w:rPr>
        <w:t>二○二</w:t>
      </w:r>
      <w:r>
        <w:rPr>
          <w:rFonts w:hint="eastAsia" w:asciiTheme="minorEastAsia" w:hAnsiTheme="minorEastAsia" w:eastAsiaTheme="minorEastAsia" w:cstheme="minorEastAsia"/>
          <w:color w:val="auto"/>
          <w:kern w:val="0"/>
          <w:sz w:val="28"/>
          <w:highlight w:val="none"/>
          <w:lang w:val="en-US" w:eastAsia="zh-CN"/>
        </w:rPr>
        <w:t>四</w:t>
      </w:r>
      <w:r>
        <w:rPr>
          <w:rFonts w:hint="eastAsia" w:asciiTheme="minorEastAsia" w:hAnsiTheme="minorEastAsia" w:eastAsiaTheme="minorEastAsia" w:cstheme="minorEastAsia"/>
          <w:color w:val="auto"/>
          <w:kern w:val="0"/>
          <w:sz w:val="28"/>
          <w:highlight w:val="none"/>
        </w:rPr>
        <w:t>年</w:t>
      </w:r>
      <w:r>
        <w:rPr>
          <w:rFonts w:hint="eastAsia" w:asciiTheme="minorEastAsia" w:hAnsiTheme="minorEastAsia" w:eastAsiaTheme="minorEastAsia" w:cstheme="minorEastAsia"/>
          <w:color w:val="auto"/>
          <w:kern w:val="0"/>
          <w:sz w:val="28"/>
          <w:highlight w:val="none"/>
          <w:lang w:val="en-US" w:eastAsia="zh-CN"/>
        </w:rPr>
        <w:t xml:space="preserve"> </w:t>
      </w:r>
    </w:p>
    <w:p w14:paraId="6F9AB087">
      <w:pPr>
        <w:shd w:val="clear"/>
        <w:ind w:left="643" w:hanging="643"/>
        <w:jc w:val="center"/>
        <w:rPr>
          <w:rFonts w:hint="eastAsia" w:asciiTheme="minorEastAsia" w:hAnsiTheme="minorEastAsia" w:eastAsiaTheme="minorEastAsia" w:cstheme="minorEastAsia"/>
          <w:b/>
          <w:color w:val="auto"/>
          <w:sz w:val="32"/>
          <w:szCs w:val="32"/>
          <w:highlight w:val="none"/>
        </w:rPr>
      </w:pPr>
    </w:p>
    <w:p w14:paraId="1CF76ECB">
      <w:pPr>
        <w:shd w:val="clear"/>
        <w:ind w:left="643" w:hanging="643"/>
        <w:jc w:val="center"/>
        <w:rPr>
          <w:rFonts w:hint="eastAsia" w:asciiTheme="minorEastAsia" w:hAnsiTheme="minorEastAsia" w:eastAsiaTheme="minorEastAsia" w:cstheme="minorEastAsia"/>
          <w:b/>
          <w:color w:val="auto"/>
          <w:sz w:val="32"/>
          <w:szCs w:val="32"/>
          <w:highlight w:val="none"/>
        </w:rPr>
        <w:sectPr>
          <w:headerReference r:id="rId6" w:type="first"/>
          <w:footerReference r:id="rId7" w:type="first"/>
          <w:headerReference r:id="rId5" w:type="default"/>
          <w:pgSz w:w="11906" w:h="16838"/>
          <w:pgMar w:top="1247" w:right="1417" w:bottom="1474" w:left="1417" w:header="851" w:footer="896" w:gutter="0"/>
          <w:cols w:space="0" w:num="1"/>
          <w:titlePg/>
          <w:rtlGutter w:val="0"/>
          <w:docGrid w:type="lines" w:linePitch="312" w:charSpace="0"/>
        </w:sectPr>
      </w:pPr>
    </w:p>
    <w:p w14:paraId="17C534AA">
      <w:pPr>
        <w:shd w:val="clear"/>
        <w:ind w:left="643" w:hanging="643"/>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目  录</w:t>
      </w:r>
    </w:p>
    <w:p w14:paraId="1BD3F2C2">
      <w:pPr>
        <w:shd w:val="clear"/>
        <w:ind w:firstLine="480" w:firstLineChars="200"/>
        <w:rPr>
          <w:rFonts w:hint="eastAsia" w:asciiTheme="minorEastAsia" w:hAnsiTheme="minorEastAsia" w:eastAsiaTheme="minorEastAsia" w:cstheme="minorEastAsia"/>
          <w:color w:val="auto"/>
          <w:sz w:val="24"/>
          <w:highlight w:val="none"/>
        </w:rPr>
      </w:pPr>
    </w:p>
    <w:p w14:paraId="48CC0875">
      <w:pPr>
        <w:pStyle w:val="376"/>
        <w:shd w:val="clear"/>
        <w:ind w:firstLine="56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TOC \o "1-3" \f \u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第一部分    招标公告</w:t>
      </w:r>
      <w:r>
        <w:rPr>
          <w:rFonts w:hint="eastAsia" w:asciiTheme="minorEastAsia" w:hAnsiTheme="minorEastAsia" w:eastAsiaTheme="minorEastAsia" w:cstheme="minorEastAsia"/>
          <w:color w:val="auto"/>
          <w:sz w:val="28"/>
          <w:szCs w:val="28"/>
          <w:highlight w:val="none"/>
          <w:lang w:val="en-US" w:eastAsia="zh-CN"/>
        </w:rPr>
        <w:t xml:space="preserve"> </w:t>
      </w:r>
    </w:p>
    <w:p w14:paraId="2A81F4A7">
      <w:pPr>
        <w:pStyle w:val="376"/>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 xml:space="preserve">第二部分    </w:t>
      </w:r>
      <w:r>
        <w:rPr>
          <w:rFonts w:hint="eastAsia" w:asciiTheme="minorEastAsia" w:hAnsiTheme="minorEastAsia" w:eastAsiaTheme="minorEastAsia" w:cstheme="minorEastAsia"/>
          <w:color w:val="auto"/>
          <w:sz w:val="28"/>
          <w:szCs w:val="28"/>
          <w:highlight w:val="none"/>
          <w:lang w:eastAsia="zh-CN"/>
        </w:rPr>
        <w:t>项目需求</w:t>
      </w:r>
    </w:p>
    <w:p w14:paraId="68E1597B">
      <w:pPr>
        <w:pStyle w:val="376"/>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第三部分    投标人须知</w:t>
      </w:r>
    </w:p>
    <w:p w14:paraId="4CEA6AE2">
      <w:pPr>
        <w:pStyle w:val="376"/>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第四部分    投标文件格式</w:t>
      </w:r>
    </w:p>
    <w:p w14:paraId="099903F0">
      <w:pPr>
        <w:pStyle w:val="376"/>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第五部分    采购合同</w:t>
      </w:r>
    </w:p>
    <w:p w14:paraId="4177E80E">
      <w:pPr>
        <w:pStyle w:val="376"/>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第六部分    评标办法</w:t>
      </w:r>
    </w:p>
    <w:p w14:paraId="6B1B2236">
      <w:pPr>
        <w:pStyle w:val="376"/>
        <w:shd w:val="clear"/>
        <w:ind w:firstLine="560"/>
        <w:rPr>
          <w:rFonts w:hint="eastAsia" w:asciiTheme="minorEastAsia" w:hAnsiTheme="minorEastAsia" w:eastAsiaTheme="minorEastAsia" w:cstheme="minorEastAsia"/>
          <w:color w:val="auto"/>
          <w:sz w:val="28"/>
          <w:szCs w:val="28"/>
          <w:highlight w:val="none"/>
        </w:rPr>
        <w:sectPr>
          <w:footerReference r:id="rId9" w:type="first"/>
          <w:footerReference r:id="rId8" w:type="default"/>
          <w:pgSz w:w="11906" w:h="16838"/>
          <w:pgMar w:top="1247" w:right="1417" w:bottom="1474" w:left="1417" w:header="851" w:footer="896" w:gutter="0"/>
          <w:pgNumType w:start="1"/>
          <w:cols w:space="0" w:num="1"/>
          <w:rtlGutter w:val="0"/>
          <w:docGrid w:type="lines" w:linePitch="312" w:charSpace="0"/>
        </w:sectPr>
      </w:pPr>
      <w:r>
        <w:rPr>
          <w:rFonts w:hint="eastAsia" w:asciiTheme="minorEastAsia" w:hAnsiTheme="minorEastAsia" w:eastAsiaTheme="minorEastAsia" w:cstheme="minorEastAsia"/>
          <w:color w:val="auto"/>
          <w:sz w:val="28"/>
          <w:szCs w:val="28"/>
          <w:highlight w:val="none"/>
        </w:rPr>
        <w:fldChar w:fldCharType="end"/>
      </w:r>
    </w:p>
    <w:p w14:paraId="1A3624DC">
      <w:pPr>
        <w:pStyle w:val="3"/>
        <w:numPr>
          <w:ilvl w:val="0"/>
          <w:numId w:val="0"/>
        </w:numPr>
        <w:shd w:val="clear"/>
        <w:tabs>
          <w:tab w:val="clear" w:pos="432"/>
        </w:tabs>
        <w:spacing w:before="0" w:after="0" w:line="360" w:lineRule="auto"/>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 xml:space="preserve">第一部分  </w:t>
      </w:r>
      <w:bookmarkEnd w:id="0"/>
      <w:r>
        <w:rPr>
          <w:rFonts w:hint="eastAsia" w:asciiTheme="minorEastAsia" w:hAnsiTheme="minorEastAsia" w:eastAsiaTheme="minorEastAsia" w:cstheme="minorEastAsia"/>
          <w:color w:val="auto"/>
          <w:sz w:val="36"/>
          <w:szCs w:val="36"/>
          <w:highlight w:val="none"/>
        </w:rPr>
        <w:t>招标公告</w:t>
      </w:r>
    </w:p>
    <w:p w14:paraId="54EBC20B">
      <w:pPr>
        <w:pStyle w:val="2"/>
        <w:keepNext w:val="0"/>
        <w:keepLines w:val="0"/>
        <w:pageBreakBefore w:val="0"/>
        <w:shd w:val="clear"/>
        <w:kinsoku/>
        <w:wordWrap/>
        <w:topLinePunct w:val="0"/>
        <w:bidi w:val="0"/>
        <w:adjustRightInd w:val="0"/>
        <w:snapToGrid w:val="0"/>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 w:val="0"/>
          <w:color w:val="auto"/>
          <w:kern w:val="2"/>
          <w:sz w:val="21"/>
          <w:szCs w:val="21"/>
          <w:highlight w:val="none"/>
        </w:rPr>
        <w:t>根据《中华人民共和国政府采购法》</w:t>
      </w:r>
      <w:r>
        <w:rPr>
          <w:rFonts w:hint="eastAsia" w:asciiTheme="minorEastAsia" w:hAnsiTheme="minorEastAsia" w:eastAsiaTheme="minorEastAsia" w:cstheme="minorEastAsia"/>
          <w:b w:val="0"/>
          <w:color w:val="auto"/>
          <w:kern w:val="2"/>
          <w:sz w:val="21"/>
          <w:szCs w:val="21"/>
          <w:highlight w:val="none"/>
          <w:lang w:eastAsia="zh-CN"/>
        </w:rPr>
        <w:t>、</w:t>
      </w:r>
      <w:r>
        <w:rPr>
          <w:rFonts w:hint="eastAsia" w:asciiTheme="minorEastAsia" w:hAnsiTheme="minorEastAsia" w:eastAsiaTheme="minorEastAsia" w:cstheme="minorEastAsia"/>
          <w:b w:val="0"/>
          <w:color w:val="auto"/>
          <w:kern w:val="2"/>
          <w:sz w:val="21"/>
          <w:szCs w:val="21"/>
          <w:highlight w:val="none"/>
        </w:rPr>
        <w:t>《政府采购货物和服务招标投标管理办法（财政部第87号令）》等有关规定，</w:t>
      </w:r>
      <w:r>
        <w:rPr>
          <w:rFonts w:hint="eastAsia" w:asciiTheme="minorEastAsia" w:hAnsiTheme="minorEastAsia" w:eastAsiaTheme="minorEastAsia" w:cstheme="minorEastAsia"/>
          <w:b w:val="0"/>
          <w:color w:val="auto"/>
          <w:kern w:val="2"/>
          <w:sz w:val="21"/>
          <w:szCs w:val="21"/>
          <w:highlight w:val="none"/>
          <w:u w:val="single"/>
          <w:lang w:eastAsia="zh-CN"/>
        </w:rPr>
        <w:t>建经投资咨询有限公司</w:t>
      </w:r>
      <w:r>
        <w:rPr>
          <w:rFonts w:hint="eastAsia" w:asciiTheme="minorEastAsia" w:hAnsiTheme="minorEastAsia" w:eastAsiaTheme="minorEastAsia" w:cstheme="minorEastAsia"/>
          <w:b w:val="0"/>
          <w:color w:val="auto"/>
          <w:kern w:val="2"/>
          <w:sz w:val="21"/>
          <w:szCs w:val="21"/>
          <w:highlight w:val="none"/>
        </w:rPr>
        <w:t>受</w:t>
      </w:r>
      <w:r>
        <w:rPr>
          <w:rFonts w:hint="eastAsia" w:asciiTheme="minorEastAsia" w:hAnsiTheme="minorEastAsia" w:eastAsiaTheme="minorEastAsia" w:cstheme="minorEastAsia"/>
          <w:b w:val="0"/>
          <w:color w:val="auto"/>
          <w:kern w:val="2"/>
          <w:sz w:val="21"/>
          <w:szCs w:val="21"/>
          <w:highlight w:val="none"/>
          <w:u w:val="single"/>
          <w:lang w:eastAsia="zh-CN"/>
        </w:rPr>
        <w:t>台州市路桥区人民政府峰江街道办事处</w:t>
      </w:r>
      <w:r>
        <w:rPr>
          <w:rFonts w:hint="eastAsia" w:asciiTheme="minorEastAsia" w:hAnsiTheme="minorEastAsia" w:eastAsiaTheme="minorEastAsia" w:cstheme="minorEastAsia"/>
          <w:b w:val="0"/>
          <w:color w:val="auto"/>
          <w:kern w:val="2"/>
          <w:sz w:val="21"/>
          <w:szCs w:val="21"/>
          <w:highlight w:val="none"/>
        </w:rPr>
        <w:t>委托，就</w:t>
      </w:r>
      <w:r>
        <w:rPr>
          <w:rFonts w:hint="eastAsia" w:asciiTheme="minorEastAsia" w:hAnsiTheme="minorEastAsia" w:eastAsiaTheme="minorEastAsia" w:cstheme="minorEastAsia"/>
          <w:b w:val="0"/>
          <w:color w:val="auto"/>
          <w:sz w:val="21"/>
          <w:szCs w:val="21"/>
          <w:highlight w:val="none"/>
          <w:u w:val="single"/>
          <w:lang w:eastAsia="zh-CN"/>
        </w:rPr>
        <w:t>2025年度峰江街道居家养老服务（照料）中心</w:t>
      </w:r>
      <w:r>
        <w:rPr>
          <w:rFonts w:hint="eastAsia" w:asciiTheme="minorEastAsia" w:hAnsiTheme="minorEastAsia" w:eastAsiaTheme="minorEastAsia" w:cstheme="minorEastAsia"/>
          <w:b w:val="0"/>
          <w:color w:val="auto"/>
          <w:kern w:val="2"/>
          <w:sz w:val="21"/>
          <w:szCs w:val="21"/>
          <w:highlight w:val="none"/>
        </w:rPr>
        <w:t>进行公开招标，欢迎合格供应商前来投标。</w:t>
      </w:r>
    </w:p>
    <w:p w14:paraId="268F68CC">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lang w:eastAsia="zh-CN"/>
        </w:rPr>
        <w:t>招标编号：JJLQ2024-019</w:t>
      </w:r>
    </w:p>
    <w:p w14:paraId="4339E022">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二、项目名称：2025年度峰江街道居家养老服务（照料）中心</w:t>
      </w:r>
    </w:p>
    <w:p w14:paraId="06898067">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lang w:eastAsia="zh-CN"/>
        </w:rPr>
        <w:t>、采购组织类型：</w:t>
      </w:r>
      <w:r>
        <w:rPr>
          <w:rFonts w:hint="eastAsia" w:asciiTheme="minorEastAsia" w:hAnsiTheme="minorEastAsia" w:eastAsiaTheme="minorEastAsia" w:cstheme="minorEastAsia"/>
          <w:color w:val="auto"/>
          <w:sz w:val="21"/>
          <w:szCs w:val="21"/>
          <w:highlight w:val="none"/>
          <w:lang w:val="en-US" w:eastAsia="zh-CN"/>
        </w:rPr>
        <w:t>公开招标</w:t>
      </w:r>
    </w:p>
    <w:p w14:paraId="7F66901E">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lang w:eastAsia="zh-CN"/>
        </w:rPr>
        <w:t>采购内容：</w:t>
      </w:r>
    </w:p>
    <w:tbl>
      <w:tblPr>
        <w:tblStyle w:val="77"/>
        <w:tblW w:w="535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07"/>
        <w:gridCol w:w="2731"/>
        <w:gridCol w:w="831"/>
        <w:gridCol w:w="1298"/>
        <w:gridCol w:w="1654"/>
        <w:gridCol w:w="1596"/>
        <w:gridCol w:w="1006"/>
      </w:tblGrid>
      <w:tr w14:paraId="51547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312" w:type="pct"/>
            <w:noWrap w:val="0"/>
            <w:vAlign w:val="center"/>
          </w:tcPr>
          <w:p w14:paraId="5D5F3387">
            <w:pPr>
              <w:pStyle w:val="692"/>
              <w:keepNext w:val="0"/>
              <w:keepLines w:val="0"/>
              <w:pageBreakBefore w:val="0"/>
              <w:shd w:val="clear"/>
              <w:kinsoku/>
              <w:wordWrap/>
              <w:topLinePunct w:val="0"/>
              <w:bidi w:val="0"/>
              <w:adjustRightInd w:val="0"/>
              <w:snapToGrid w:val="0"/>
              <w:spacing w:line="360" w:lineRule="auto"/>
              <w:ind w:left="49" w:right="120"/>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标段</w:t>
            </w:r>
          </w:p>
        </w:tc>
        <w:tc>
          <w:tcPr>
            <w:tcW w:w="1403" w:type="pct"/>
            <w:noWrap w:val="0"/>
            <w:vAlign w:val="center"/>
          </w:tcPr>
          <w:p w14:paraId="1EE783CF">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标项内容</w:t>
            </w:r>
          </w:p>
        </w:tc>
        <w:tc>
          <w:tcPr>
            <w:tcW w:w="427" w:type="pct"/>
            <w:noWrap w:val="0"/>
            <w:vAlign w:val="center"/>
          </w:tcPr>
          <w:p w14:paraId="0926FB1B">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shd w:val="clear" w:color="auto" w:fill="auto"/>
              </w:rPr>
              <w:t>数量</w:t>
            </w:r>
          </w:p>
        </w:tc>
        <w:tc>
          <w:tcPr>
            <w:tcW w:w="667" w:type="pct"/>
            <w:noWrap w:val="0"/>
            <w:vAlign w:val="center"/>
          </w:tcPr>
          <w:p w14:paraId="46117A50">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bCs/>
                <w:color w:val="auto"/>
                <w:sz w:val="21"/>
                <w:szCs w:val="21"/>
                <w:highlight w:val="none"/>
                <w:shd w:val="clear" w:color="auto" w:fill="auto"/>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单位</w:t>
            </w:r>
          </w:p>
        </w:tc>
        <w:tc>
          <w:tcPr>
            <w:tcW w:w="850" w:type="pct"/>
            <w:noWrap w:val="0"/>
            <w:vAlign w:val="center"/>
          </w:tcPr>
          <w:p w14:paraId="1386E18B">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shd w:val="clear" w:color="auto" w:fill="auto"/>
              </w:rPr>
              <w:t>预算金额</w:t>
            </w:r>
          </w:p>
        </w:tc>
        <w:tc>
          <w:tcPr>
            <w:tcW w:w="820" w:type="pct"/>
            <w:noWrap w:val="0"/>
            <w:vAlign w:val="center"/>
          </w:tcPr>
          <w:p w14:paraId="7EF7520D">
            <w:pPr>
              <w:shd w:val="clear"/>
              <w:spacing w:line="360" w:lineRule="auto"/>
              <w:jc w:val="center"/>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服务期限</w:t>
            </w:r>
          </w:p>
        </w:tc>
        <w:tc>
          <w:tcPr>
            <w:tcW w:w="517" w:type="pct"/>
            <w:noWrap w:val="0"/>
            <w:vAlign w:val="center"/>
          </w:tcPr>
          <w:p w14:paraId="5D16660C">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bCs/>
                <w:color w:val="auto"/>
                <w:sz w:val="21"/>
                <w:szCs w:val="21"/>
                <w:highlight w:val="none"/>
                <w:shd w:val="clear" w:color="auto" w:fill="auto"/>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备注</w:t>
            </w:r>
          </w:p>
        </w:tc>
      </w:tr>
      <w:tr w14:paraId="7A0AF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6" w:hRule="atLeast"/>
        </w:trPr>
        <w:tc>
          <w:tcPr>
            <w:tcW w:w="312" w:type="pct"/>
            <w:noWrap w:val="0"/>
            <w:vAlign w:val="center"/>
          </w:tcPr>
          <w:p w14:paraId="3D64EFB6">
            <w:pPr>
              <w:pStyle w:val="692"/>
              <w:keepNext w:val="0"/>
              <w:keepLines w:val="0"/>
              <w:pageBreakBefore w:val="0"/>
              <w:shd w:val="clear"/>
              <w:kinsoku/>
              <w:wordWrap/>
              <w:topLinePunct w:val="0"/>
              <w:bidi w:val="0"/>
              <w:adjustRightInd w:val="0"/>
              <w:snapToGrid w:val="0"/>
              <w:spacing w:line="360" w:lineRule="auto"/>
              <w:ind w:right="264"/>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一</w:t>
            </w:r>
          </w:p>
        </w:tc>
        <w:tc>
          <w:tcPr>
            <w:tcW w:w="1403" w:type="pct"/>
            <w:noWrap w:val="0"/>
            <w:vAlign w:val="center"/>
          </w:tcPr>
          <w:p w14:paraId="73934DBA">
            <w:pPr>
              <w:pStyle w:val="692"/>
              <w:keepNext w:val="0"/>
              <w:keepLines w:val="0"/>
              <w:pageBreakBefore w:val="0"/>
              <w:shd w:val="clear"/>
              <w:kinsoku/>
              <w:wordWrap/>
              <w:topLinePunct w:val="0"/>
              <w:bidi w:val="0"/>
              <w:adjustRightInd w:val="0"/>
              <w:snapToGrid w:val="0"/>
              <w:spacing w:line="360" w:lineRule="auto"/>
              <w:ind w:right="264"/>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2025年度峰江街道居家养老服务（照料）中心</w:t>
            </w:r>
          </w:p>
        </w:tc>
        <w:tc>
          <w:tcPr>
            <w:tcW w:w="427" w:type="pct"/>
            <w:noWrap w:val="0"/>
            <w:vAlign w:val="center"/>
          </w:tcPr>
          <w:p w14:paraId="142916C7">
            <w:pPr>
              <w:pStyle w:val="692"/>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667" w:type="pct"/>
            <w:noWrap w:val="0"/>
            <w:vAlign w:val="center"/>
          </w:tcPr>
          <w:p w14:paraId="49479367">
            <w:pPr>
              <w:pStyle w:val="692"/>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项</w:t>
            </w:r>
          </w:p>
        </w:tc>
        <w:tc>
          <w:tcPr>
            <w:tcW w:w="850" w:type="pct"/>
            <w:tcBorders>
              <w:bottom w:val="single" w:color="auto" w:sz="4" w:space="0"/>
            </w:tcBorders>
            <w:noWrap w:val="0"/>
            <w:vAlign w:val="center"/>
          </w:tcPr>
          <w:p w14:paraId="40BCA761">
            <w:pPr>
              <w:pStyle w:val="692"/>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275000元</w:t>
            </w:r>
          </w:p>
        </w:tc>
        <w:tc>
          <w:tcPr>
            <w:tcW w:w="820" w:type="pct"/>
            <w:tcBorders>
              <w:bottom w:val="single" w:color="auto" w:sz="4" w:space="0"/>
            </w:tcBorders>
            <w:noWrap w:val="0"/>
            <w:vAlign w:val="center"/>
          </w:tcPr>
          <w:p w14:paraId="38910CD7">
            <w:pPr>
              <w:shd w:val="clear"/>
              <w:spacing w:line="360" w:lineRule="auto"/>
              <w:ind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000000"/>
                <w:sz w:val="21"/>
                <w:szCs w:val="21"/>
                <w:highlight w:val="none"/>
                <w:lang w:val="en-US" w:eastAsia="zh-CN"/>
              </w:rPr>
              <w:t>1年，</w:t>
            </w:r>
            <w:r>
              <w:rPr>
                <w:rFonts w:hint="eastAsia" w:asciiTheme="minorEastAsia" w:hAnsiTheme="minorEastAsia" w:eastAsiaTheme="minorEastAsia" w:cstheme="minorEastAsia"/>
                <w:color w:val="auto"/>
                <w:kern w:val="2"/>
                <w:sz w:val="21"/>
                <w:szCs w:val="21"/>
                <w:highlight w:val="none"/>
                <w:lang w:val="en-US" w:eastAsia="zh-CN" w:bidi="ar-SA"/>
              </w:rPr>
              <w:t>具体开始时间以采购人通知为准。</w:t>
            </w:r>
          </w:p>
        </w:tc>
        <w:tc>
          <w:tcPr>
            <w:tcW w:w="517" w:type="pct"/>
            <w:noWrap w:val="0"/>
            <w:vAlign w:val="center"/>
          </w:tcPr>
          <w:p w14:paraId="1E6FAABC">
            <w:pPr>
              <w:pStyle w:val="692"/>
              <w:keepNext w:val="0"/>
              <w:keepLines w:val="0"/>
              <w:pageBreakBefore w:val="0"/>
              <w:shd w:val="clear"/>
              <w:kinsoku/>
              <w:wordWrap/>
              <w:topLinePunct w:val="0"/>
              <w:bidi w:val="0"/>
              <w:adjustRightInd w:val="0"/>
              <w:snapToGrid w:val="0"/>
              <w:spacing w:before="1" w:line="240" w:lineRule="auto"/>
              <w:ind w:right="106"/>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 xml:space="preserve"> </w:t>
            </w:r>
          </w:p>
        </w:tc>
      </w:tr>
    </w:tbl>
    <w:p w14:paraId="54B41C32">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五</w:t>
      </w:r>
      <w:r>
        <w:rPr>
          <w:rFonts w:hint="eastAsia" w:asciiTheme="minorEastAsia" w:hAnsiTheme="minorEastAsia" w:eastAsiaTheme="minorEastAsia" w:cstheme="minorEastAsia"/>
          <w:b/>
          <w:color w:val="auto"/>
          <w:sz w:val="21"/>
          <w:szCs w:val="21"/>
          <w:highlight w:val="none"/>
        </w:rPr>
        <w:t>、投标人应具备的资格要求</w:t>
      </w:r>
    </w:p>
    <w:p w14:paraId="680181C6">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1、基本资格要求：符合《中华人民共和国政府采购法》第二十二条规定的投标人资格条件。 </w:t>
      </w:r>
    </w:p>
    <w:p w14:paraId="308BB99B">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特定资格条件：</w:t>
      </w:r>
    </w:p>
    <w:p w14:paraId="3AD39814">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（1）未被“信用中国”（www.creditchina.gov.cn）、中国政府采购网（www.ccgp.gov.cn）列入失信被执行人、重大税收违法案件当事人名单、政府采购严重违法失信行为记录名单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color w:val="auto"/>
          <w:sz w:val="21"/>
          <w:szCs w:val="21"/>
          <w:highlight w:val="none"/>
          <w:lang w:eastAsia="zh-CN"/>
        </w:rPr>
        <w:t>。</w:t>
      </w:r>
    </w:p>
    <w:p w14:paraId="6FC75110">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落实政府采购政策需满足的资格要求：本项目按照《政府采购促进中小企业发展管理办法》【财库（2020）46 号】第七条规定：</w:t>
      </w:r>
      <w:r>
        <w:rPr>
          <w:rFonts w:hint="eastAsia" w:asciiTheme="minorEastAsia" w:hAnsiTheme="minorEastAsia" w:eastAsiaTheme="minorEastAsia" w:cstheme="minorEastAsia"/>
          <w:b/>
          <w:bCs/>
          <w:color w:val="auto"/>
          <w:sz w:val="21"/>
          <w:szCs w:val="21"/>
          <w:highlight w:val="none"/>
          <w:u w:val="single"/>
          <w:lang w:eastAsia="zh-CN"/>
        </w:rPr>
        <w:t>本项目专门面向中小企业采购</w:t>
      </w:r>
      <w:r>
        <w:rPr>
          <w:rFonts w:hint="eastAsia" w:asciiTheme="minorEastAsia" w:hAnsiTheme="minorEastAsia" w:eastAsiaTheme="minorEastAsia" w:cstheme="minorEastAsia"/>
          <w:color w:val="auto"/>
          <w:sz w:val="21"/>
          <w:szCs w:val="21"/>
          <w:highlight w:val="none"/>
          <w:lang w:val="en-US" w:eastAsia="zh-CN"/>
        </w:rPr>
        <w:t>。</w:t>
      </w:r>
    </w:p>
    <w:p w14:paraId="7338EF75">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本项目不接受联合体</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0"/>
          <w:sz w:val="21"/>
          <w:szCs w:val="21"/>
          <w:highlight w:val="none"/>
          <w:lang w:val="zh-CN" w:eastAsia="zh-CN"/>
        </w:rPr>
        <w:t>。</w:t>
      </w:r>
    </w:p>
    <w:p w14:paraId="0AD0FE98">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zh-CN" w:eastAsia="zh-CN"/>
        </w:rPr>
        <w:t>单位负责人为同一人或者存在直接控股、管理关系的不同供应商，不得参加同一合同项下的政府采购活动。</w:t>
      </w:r>
    </w:p>
    <w:p w14:paraId="12BD181A">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六</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bCs/>
          <w:color w:val="auto"/>
          <w:sz w:val="21"/>
          <w:szCs w:val="21"/>
          <w:highlight w:val="none"/>
        </w:rPr>
        <w:t>标段：</w:t>
      </w:r>
      <w:r>
        <w:rPr>
          <w:rFonts w:hint="eastAsia" w:asciiTheme="minorEastAsia" w:hAnsiTheme="minorEastAsia" w:eastAsiaTheme="minorEastAsia" w:cstheme="minorEastAsia"/>
          <w:color w:val="auto"/>
          <w:sz w:val="21"/>
          <w:szCs w:val="21"/>
          <w:highlight w:val="none"/>
          <w:lang w:val="en-US" w:eastAsia="zh-CN"/>
        </w:rPr>
        <w:t>一个标段</w:t>
      </w:r>
      <w:r>
        <w:rPr>
          <w:rFonts w:hint="eastAsia" w:asciiTheme="minorEastAsia" w:hAnsiTheme="minorEastAsia" w:eastAsiaTheme="minorEastAsia" w:cstheme="minorEastAsia"/>
          <w:color w:val="auto"/>
          <w:sz w:val="21"/>
          <w:szCs w:val="21"/>
          <w:highlight w:val="none"/>
        </w:rPr>
        <w:t>。</w:t>
      </w:r>
    </w:p>
    <w:p w14:paraId="164509AB">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招标文件的获取时间、地址、</w:t>
      </w:r>
      <w:r>
        <w:rPr>
          <w:rFonts w:hint="eastAsia" w:asciiTheme="minorEastAsia" w:hAnsiTheme="minorEastAsia" w:eastAsiaTheme="minorEastAsia" w:cstheme="minorEastAsia"/>
          <w:b/>
          <w:color w:val="auto"/>
          <w:sz w:val="21"/>
          <w:szCs w:val="21"/>
          <w:highlight w:val="none"/>
          <w:lang w:val="en-US" w:eastAsia="zh-CN"/>
        </w:rPr>
        <w:t>方式、售价</w:t>
      </w:r>
      <w:r>
        <w:rPr>
          <w:rFonts w:hint="eastAsia" w:asciiTheme="minorEastAsia" w:hAnsiTheme="minorEastAsia" w:eastAsiaTheme="minorEastAsia" w:cstheme="minorEastAsia"/>
          <w:b/>
          <w:color w:val="auto"/>
          <w:sz w:val="21"/>
          <w:szCs w:val="21"/>
          <w:highlight w:val="none"/>
          <w:lang w:eastAsia="zh-CN"/>
        </w:rPr>
        <w:t>:</w:t>
      </w:r>
    </w:p>
    <w:p w14:paraId="3CE11C19">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1、本项目招标文件实行“政府采购云平台”（http://zfcg.czt.zj.gov.cn）在线获取，不提供招标文件纸质版。供应商获取招标文件前应先完成“政府采购云平台”的账号注册。</w:t>
      </w:r>
    </w:p>
    <w:p w14:paraId="369A9908">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获取方式、售价：潜在供应商登入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Theme="minorEastAsia" w:hAnsiTheme="minorEastAsia" w:eastAsiaTheme="minorEastAsia" w:cstheme="minorEastAsia"/>
          <w:color w:val="auto"/>
          <w:sz w:val="21"/>
          <w:szCs w:val="21"/>
          <w:highlight w:val="none"/>
        </w:rPr>
        <w:t>没有通过</w:t>
      </w:r>
      <w:r>
        <w:rPr>
          <w:rFonts w:hint="eastAsia" w:asciiTheme="minorEastAsia" w:hAnsiTheme="minorEastAsia" w:eastAsiaTheme="minorEastAsia" w:cstheme="minorEastAsia"/>
          <w:color w:val="auto"/>
          <w:sz w:val="21"/>
          <w:szCs w:val="21"/>
          <w:highlight w:val="none"/>
          <w:lang w:val="en-US" w:eastAsia="zh-CN"/>
        </w:rPr>
        <w:t>在“政府采购云平台”招标文件申请后</w:t>
      </w:r>
      <w:r>
        <w:rPr>
          <w:rFonts w:hint="eastAsia" w:asciiTheme="minorEastAsia" w:hAnsiTheme="minorEastAsia" w:eastAsiaTheme="minorEastAsia" w:cstheme="minorEastAsia"/>
          <w:color w:val="auto"/>
          <w:sz w:val="21"/>
          <w:szCs w:val="21"/>
          <w:highlight w:val="none"/>
        </w:rPr>
        <w:t>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的潜在供应商，对</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提起质疑</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投诉的，不予受理。采购代理机构将拒绝接受非通过以上方式获取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供应商的投标文件。</w:t>
      </w:r>
    </w:p>
    <w:p w14:paraId="5CCC7A5E">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3、获取招标文件（公告）时间：</w:t>
      </w:r>
      <w:r>
        <w:rPr>
          <w:rFonts w:hint="eastAsia" w:asciiTheme="minorEastAsia" w:hAnsiTheme="minorEastAsia" w:eastAsiaTheme="minorEastAsia" w:cstheme="minorEastAsia"/>
          <w:color w:val="auto"/>
          <w:sz w:val="21"/>
          <w:szCs w:val="21"/>
          <w:highlight w:val="none"/>
          <w:u w:val="single"/>
        </w:rPr>
        <w:t xml:space="preserve">公告发布时间 </w:t>
      </w:r>
      <w:r>
        <w:rPr>
          <w:rFonts w:hint="eastAsia" w:asciiTheme="minorEastAsia" w:hAnsiTheme="minorEastAsia" w:eastAsiaTheme="minorEastAsia" w:cstheme="minorEastAsia"/>
          <w:color w:val="auto"/>
          <w:sz w:val="21"/>
          <w:szCs w:val="21"/>
          <w:highlight w:val="none"/>
        </w:rPr>
        <w:t xml:space="preserve">至 </w:t>
      </w:r>
      <w:r>
        <w:rPr>
          <w:rFonts w:hint="eastAsia" w:asciiTheme="minorEastAsia" w:hAnsiTheme="minorEastAsia" w:eastAsiaTheme="minorEastAsia" w:cstheme="minorEastAsia"/>
          <w:color w:val="auto"/>
          <w:sz w:val="21"/>
          <w:szCs w:val="21"/>
          <w:highlight w:val="none"/>
          <w:u w:val="single"/>
        </w:rPr>
        <w:t>投标截止时间</w:t>
      </w:r>
      <w:r>
        <w:rPr>
          <w:rFonts w:hint="eastAsia" w:asciiTheme="minorEastAsia" w:hAnsiTheme="minorEastAsia" w:eastAsiaTheme="minorEastAsia" w:cstheme="minorEastAsia"/>
          <w:color w:val="auto"/>
          <w:sz w:val="21"/>
          <w:szCs w:val="21"/>
          <w:highlight w:val="none"/>
          <w:lang w:val="en-US" w:eastAsia="zh-CN"/>
        </w:rPr>
        <w:t>。</w:t>
      </w:r>
    </w:p>
    <w:p w14:paraId="7D2CAAB3">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4、获取地址：浙江政府采购网本项目公告附件。</w:t>
      </w:r>
    </w:p>
    <w:p w14:paraId="09BB3915">
      <w:pPr>
        <w:keepNext w:val="0"/>
        <w:keepLines w:val="0"/>
        <w:pageBreakBefore w:val="0"/>
        <w:widowControl w:val="0"/>
        <w:numPr>
          <w:ilvl w:val="0"/>
          <w:numId w:val="31"/>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供应商获取招标文件时建议提交的文件资料：无，按政采云系统要求进行获取。</w:t>
      </w:r>
    </w:p>
    <w:p w14:paraId="4F4D1F08">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招标公告附件内的采购文件（或项目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仅需浏览采购文件的供应商可点击“游客，浏览采购文件”直接下载采购文件浏览。如需参加项目投标，请供应商按上述要求获取采购文件，如未在政采云系统内完成相关流程，采购组织机构将拒绝非报名供应商的投标文件，引起的投标无效责任自负。</w:t>
      </w:r>
    </w:p>
    <w:p w14:paraId="3894657E">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八、投标说明</w:t>
      </w:r>
    </w:p>
    <w:p w14:paraId="0533A7CF">
      <w:pPr>
        <w:keepNext w:val="0"/>
        <w:keepLines w:val="0"/>
        <w:pageBreakBefore w:val="0"/>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标前准备（CA驱动及政采云电子交易客户端的下载）：各潜在供应商应在投标截止时间前</w:t>
      </w:r>
      <w:r>
        <w:rPr>
          <w:rFonts w:hint="eastAsia" w:asciiTheme="minorEastAsia" w:hAnsiTheme="minorEastAsia" w:eastAsiaTheme="minorEastAsia" w:cstheme="minorEastAsia"/>
          <w:color w:val="auto"/>
          <w:sz w:val="21"/>
          <w:szCs w:val="21"/>
          <w:highlight w:val="none"/>
          <w:lang w:val="en-US" w:eastAsia="zh-CN"/>
        </w:rPr>
        <w:t>完成</w:t>
      </w:r>
      <w:r>
        <w:rPr>
          <w:rFonts w:hint="eastAsia" w:asciiTheme="minorEastAsia" w:hAnsiTheme="minorEastAsia" w:eastAsiaTheme="minorEastAsia" w:cstheme="minorEastAsia"/>
          <w:color w:val="auto"/>
          <w:sz w:val="21"/>
          <w:szCs w:val="21"/>
          <w:highlight w:val="none"/>
        </w:rPr>
        <w:t>浙江省政府采购网（政府采购云平台）供应商</w:t>
      </w:r>
      <w:r>
        <w:rPr>
          <w:rFonts w:hint="eastAsia" w:asciiTheme="minorEastAsia" w:hAnsiTheme="minorEastAsia" w:eastAsiaTheme="minorEastAsia" w:cstheme="minorEastAsia"/>
          <w:color w:val="auto"/>
          <w:sz w:val="21"/>
          <w:szCs w:val="21"/>
          <w:highlight w:val="none"/>
          <w:lang w:val="en-US" w:eastAsia="zh-CN"/>
        </w:rPr>
        <w:t>账号注册</w:t>
      </w:r>
      <w:r>
        <w:rPr>
          <w:rFonts w:hint="eastAsia" w:asciiTheme="minorEastAsia" w:hAnsiTheme="minorEastAsia" w:eastAsiaTheme="minorEastAsia" w:cstheme="minorEastAsia"/>
          <w:color w:val="auto"/>
          <w:sz w:val="21"/>
          <w:szCs w:val="21"/>
          <w:highlight w:val="none"/>
        </w:rPr>
        <w:t>，并完成CA数字证书办理及电子交易客户端的下载。因未</w:t>
      </w:r>
      <w:r>
        <w:rPr>
          <w:rFonts w:hint="eastAsia" w:asciiTheme="minorEastAsia" w:hAnsiTheme="minorEastAsia" w:eastAsiaTheme="minorEastAsia" w:cstheme="minorEastAsia"/>
          <w:color w:val="auto"/>
          <w:sz w:val="21"/>
          <w:szCs w:val="21"/>
          <w:highlight w:val="none"/>
          <w:lang w:val="en-US" w:eastAsia="zh-CN"/>
        </w:rPr>
        <w:t>注册账号</w:t>
      </w:r>
      <w:r>
        <w:rPr>
          <w:rFonts w:hint="eastAsia" w:asciiTheme="minorEastAsia" w:hAnsiTheme="minorEastAsia" w:eastAsiaTheme="minorEastAsia" w:cstheme="minorEastAsia"/>
          <w:color w:val="auto"/>
          <w:sz w:val="21"/>
          <w:szCs w:val="21"/>
          <w:highlight w:val="none"/>
        </w:rPr>
        <w:t>、未办理CA数字证书等原因造成无法投标或投标失败等后果由投标人自行承担。</w:t>
      </w:r>
    </w:p>
    <w:p w14:paraId="42B0D921">
      <w:pPr>
        <w:keepNext w:val="0"/>
        <w:keepLines w:val="0"/>
        <w:pageBreakBefore w:val="0"/>
        <w:shd w:val="clear"/>
        <w:kinsoku/>
        <w:wordWrap/>
        <w:topLinePunct w:val="0"/>
        <w:bidi w:val="0"/>
        <w:adjustRightInd w:val="0"/>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32436AEB">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使用“政采云电子交易客户端”需要提前申领CA数字证书，申领流程请自行前往“浙江政府采购网-下载专区-电子交易客户端-</w:t>
      </w:r>
      <w:r>
        <w:rPr>
          <w:rFonts w:hint="eastAsia" w:asciiTheme="minorEastAsia" w:hAnsiTheme="minorEastAsia" w:eastAsiaTheme="minorEastAsia" w:cstheme="minorEastAsia"/>
          <w:b/>
          <w:bCs/>
          <w:color w:val="auto"/>
          <w:sz w:val="21"/>
          <w:szCs w:val="21"/>
          <w:highlight w:val="none"/>
        </w:rPr>
        <w:fldChar w:fldCharType="begin"/>
      </w:r>
      <w:r>
        <w:rPr>
          <w:rFonts w:hint="eastAsia" w:asciiTheme="minorEastAsia" w:hAnsiTheme="minorEastAsia" w:eastAsiaTheme="minorEastAsia" w:cstheme="minorEastAsia"/>
          <w:b/>
          <w:bCs/>
          <w:color w:val="auto"/>
          <w:sz w:val="21"/>
          <w:szCs w:val="21"/>
          <w:highlight w:val="none"/>
        </w:rPr>
        <w:instrText xml:space="preserve"> HYPERLINK "http://www.zjzfcg.gov.cn/bidClientTemplate/2019-05-27/12945.html" \o "CA驱动和申领流程" \t "_blank" </w:instrText>
      </w:r>
      <w:r>
        <w:rPr>
          <w:rFonts w:hint="eastAsia" w:asciiTheme="minorEastAsia" w:hAnsiTheme="minorEastAsia" w:eastAsiaTheme="minorEastAsia" w:cstheme="minorEastAsia"/>
          <w:b/>
          <w:bCs/>
          <w:color w:val="auto"/>
          <w:sz w:val="21"/>
          <w:szCs w:val="21"/>
          <w:highlight w:val="none"/>
        </w:rPr>
        <w:fldChar w:fldCharType="separate"/>
      </w:r>
      <w:r>
        <w:rPr>
          <w:rFonts w:hint="eastAsia" w:asciiTheme="minorEastAsia" w:hAnsiTheme="minorEastAsia" w:eastAsiaTheme="minorEastAsia" w:cstheme="minorEastAsia"/>
          <w:b/>
          <w:bCs/>
          <w:color w:val="auto"/>
          <w:sz w:val="21"/>
          <w:szCs w:val="21"/>
          <w:highlight w:val="none"/>
        </w:rPr>
        <w:t>CA驱动和申领流程</w:t>
      </w:r>
      <w:r>
        <w:rPr>
          <w:rFonts w:hint="eastAsia" w:asciiTheme="minorEastAsia" w:hAnsiTheme="minorEastAsia" w:eastAsiaTheme="minorEastAsia" w:cstheme="minorEastAsia"/>
          <w:b/>
          <w:bCs/>
          <w:color w:val="auto"/>
          <w:sz w:val="21"/>
          <w:szCs w:val="21"/>
          <w:highlight w:val="none"/>
        </w:rPr>
        <w:fldChar w:fldCharType="end"/>
      </w:r>
      <w:r>
        <w:rPr>
          <w:rFonts w:hint="eastAsia" w:asciiTheme="minorEastAsia" w:hAnsiTheme="minorEastAsia" w:eastAsiaTheme="minorEastAsia" w:cstheme="minorEastAsia"/>
          <w:b/>
          <w:bCs/>
          <w:color w:val="auto"/>
          <w:sz w:val="21"/>
          <w:szCs w:val="21"/>
          <w:highlight w:val="none"/>
        </w:rPr>
        <w:t>”进行查阅；完成CA数字证书办理预计需耗时7个工作日</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至少须3个工作日左右</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，建议各投标人</w:t>
      </w:r>
      <w:r>
        <w:rPr>
          <w:rFonts w:hint="eastAsia" w:asciiTheme="minorEastAsia" w:hAnsiTheme="minorEastAsia" w:eastAsiaTheme="minorEastAsia" w:cstheme="minorEastAsia"/>
          <w:b/>
          <w:bCs/>
          <w:color w:val="auto"/>
          <w:sz w:val="21"/>
          <w:szCs w:val="21"/>
          <w:highlight w:val="none"/>
          <w:lang w:eastAsia="zh-CN"/>
        </w:rPr>
        <w:t>合理安排</w:t>
      </w:r>
      <w:r>
        <w:rPr>
          <w:rFonts w:hint="eastAsia" w:asciiTheme="minorEastAsia" w:hAnsiTheme="minorEastAsia" w:eastAsiaTheme="minorEastAsia" w:cstheme="minorEastAsia"/>
          <w:b/>
          <w:bCs/>
          <w:color w:val="auto"/>
          <w:sz w:val="21"/>
          <w:szCs w:val="21"/>
          <w:highlight w:val="none"/>
        </w:rPr>
        <w:t>时间办理。</w:t>
      </w:r>
    </w:p>
    <w:p w14:paraId="298F6E68">
      <w:pPr>
        <w:keepNext w:val="0"/>
        <w:keepLines w:val="0"/>
        <w:pageBreakBefore w:val="0"/>
        <w:widowControl w:val="0"/>
        <w:numPr>
          <w:ilvl w:val="0"/>
          <w:numId w:val="32"/>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为确保网上操作合法、有效和安全，投标供应商应当在投标截止时间前完成在“政府采购云平台”的身份认证，确保在电子投标过程中能够对相关数据电文进行加密和使用电子签章。</w:t>
      </w:r>
    </w:p>
    <w:p w14:paraId="47DF8708">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621ED68F">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4、投标供应商应当在投标截止时间前，将生成的“电子加密投标文件”上传递交至“政府采购云平台”。投标截止时间以后上传递交的投标文件将被“政府采购云平台”拒收。投标截止时间前可以补充、修改或者撤回电子投标文件。补充或者修改电子投标文件的，应当先行撤回原文件，补充、修改后重新传输递交。投标截止时间前未完成传输的，视为撤回投标文件。</w:t>
      </w:r>
    </w:p>
    <w:p w14:paraId="32EE043E">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5、投标文件的组成、份数、密封、效力</w:t>
      </w:r>
    </w:p>
    <w:p w14:paraId="701DB43E">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本项目实行电子投标，</w:t>
      </w:r>
      <w:r>
        <w:rPr>
          <w:rFonts w:hint="eastAsia" w:asciiTheme="minorEastAsia" w:hAnsiTheme="minorEastAsia" w:eastAsiaTheme="minorEastAsia" w:cstheme="minorEastAsia"/>
          <w:b/>
          <w:bCs/>
          <w:color w:val="auto"/>
          <w:sz w:val="21"/>
          <w:szCs w:val="21"/>
          <w:highlight w:val="none"/>
          <w:lang w:val="en-US" w:eastAsia="zh-CN"/>
        </w:rPr>
        <w:t>建议供应商应准备电子投标文件、电子备份投标文件</w:t>
      </w:r>
      <w:r>
        <w:rPr>
          <w:rFonts w:hint="eastAsia" w:asciiTheme="minorEastAsia" w:hAnsiTheme="minorEastAsia" w:eastAsiaTheme="minorEastAsia" w:cstheme="minorEastAsia"/>
          <w:color w:val="auto"/>
          <w:sz w:val="21"/>
          <w:szCs w:val="21"/>
          <w:highlight w:val="none"/>
          <w:lang w:val="en-US" w:eastAsia="zh-CN"/>
        </w:rPr>
        <w:t>：</w:t>
      </w:r>
    </w:p>
    <w:p w14:paraId="63E3AB2B">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电子投标文件：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14:paraId="13E7A069">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5.2</w:t>
      </w:r>
      <w:r>
        <w:rPr>
          <w:rFonts w:hint="eastAsia" w:asciiTheme="minorEastAsia" w:hAnsiTheme="minorEastAsia" w:eastAsiaTheme="minorEastAsia" w:cstheme="minorEastAsia"/>
          <w:color w:val="auto"/>
          <w:sz w:val="21"/>
          <w:szCs w:val="21"/>
          <w:highlight w:val="none"/>
          <w:lang w:eastAsia="zh-CN"/>
        </w:rPr>
        <w:t>备份投标文件</w:t>
      </w:r>
      <w:bookmarkStart w:id="2" w:name="_Hlk34639647"/>
      <w:r>
        <w:rPr>
          <w:rFonts w:hint="eastAsia" w:asciiTheme="minorEastAsia" w:hAnsiTheme="minorEastAsia" w:eastAsiaTheme="minorEastAsia" w:cstheme="minorEastAsia"/>
          <w:b/>
          <w:bCs/>
          <w:color w:val="auto"/>
          <w:sz w:val="21"/>
          <w:szCs w:val="21"/>
          <w:highlight w:val="none"/>
          <w:lang w:eastAsia="zh-CN"/>
        </w:rPr>
        <w:t>（自愿提供，非实质性要求，因电子投标文件无法读取的后果由投标人自行承担）：</w:t>
      </w:r>
      <w:r>
        <w:rPr>
          <w:rFonts w:hint="eastAsia" w:asciiTheme="minorEastAsia" w:hAnsiTheme="minorEastAsia" w:eastAsiaTheme="minorEastAsia" w:cstheme="minorEastAsia"/>
          <w:b w:val="0"/>
          <w:bCs w:val="0"/>
          <w:color w:val="auto"/>
          <w:sz w:val="21"/>
          <w:szCs w:val="21"/>
          <w:highlight w:val="none"/>
          <w:lang w:eastAsia="zh-CN"/>
        </w:rPr>
        <w:t>备份投标文件包括电子备份投标文件</w:t>
      </w:r>
      <w:r>
        <w:rPr>
          <w:rFonts w:hint="eastAsia" w:asciiTheme="minorEastAsia" w:hAnsiTheme="minorEastAsia" w:eastAsiaTheme="minorEastAsia" w:cstheme="minorEastAsia"/>
          <w:b/>
          <w:bCs/>
          <w:color w:val="auto"/>
          <w:sz w:val="21"/>
          <w:szCs w:val="21"/>
          <w:highlight w:val="none"/>
          <w:lang w:eastAsia="zh-CN"/>
        </w:rPr>
        <w:t>。通过“政采云”平台电子投标工具制作电子投标文件产生的备份文件（后缀名为“.bfbs”），投标人自行确定是否提交；若提交请将备份投标文件以U盘、光盘或电子邮件（发送至</w:t>
      </w:r>
      <w:r>
        <w:rPr>
          <w:rFonts w:hint="eastAsia" w:asciiTheme="minorEastAsia" w:hAnsiTheme="minorEastAsia" w:eastAsiaTheme="minorEastAsia" w:cstheme="minorEastAsia"/>
          <w:b/>
          <w:bCs/>
          <w:color w:val="auto"/>
          <w:sz w:val="21"/>
          <w:szCs w:val="21"/>
          <w:highlight w:val="none"/>
          <w:lang w:val="en-US" w:eastAsia="zh-CN"/>
        </w:rPr>
        <w:t>1391370120</w:t>
      </w:r>
      <w:r>
        <w:rPr>
          <w:rFonts w:hint="eastAsia" w:asciiTheme="minorEastAsia" w:hAnsiTheme="minorEastAsia" w:eastAsiaTheme="minorEastAsia" w:cstheme="minorEastAsia"/>
          <w:b/>
          <w:bCs/>
          <w:color w:val="auto"/>
          <w:sz w:val="21"/>
          <w:szCs w:val="21"/>
          <w:highlight w:val="none"/>
          <w:lang w:eastAsia="zh-CN"/>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14:paraId="24A5121A">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5.3投标文件启用顺序和效力：投标文件的启用，</w:t>
      </w:r>
      <w:r>
        <w:rPr>
          <w:rFonts w:hint="eastAsia" w:asciiTheme="minorEastAsia" w:hAnsiTheme="minorEastAsia" w:eastAsiaTheme="minorEastAsia" w:cstheme="minorEastAsia"/>
          <w:b/>
          <w:bCs/>
          <w:color w:val="auto"/>
          <w:sz w:val="21"/>
          <w:szCs w:val="21"/>
          <w:highlight w:val="none"/>
          <w:lang w:val="en-US" w:eastAsia="zh-CN"/>
        </w:rPr>
        <w:t>按先后顺位分别为电子投标文件、电子备份投标文件</w:t>
      </w:r>
      <w:r>
        <w:rPr>
          <w:rFonts w:hint="eastAsia" w:asciiTheme="minorEastAsia" w:hAnsiTheme="minorEastAsia" w:eastAsiaTheme="minorEastAsia" w:cstheme="minorEastAsia"/>
          <w:color w:val="auto"/>
          <w:sz w:val="21"/>
          <w:szCs w:val="21"/>
          <w:highlight w:val="none"/>
          <w:lang w:val="en-US" w:eastAsia="zh-CN"/>
        </w:rPr>
        <w:t>。</w:t>
      </w:r>
      <w:bookmarkStart w:id="3" w:name="_Hlk34637983"/>
      <w:r>
        <w:rPr>
          <w:rFonts w:hint="eastAsia" w:asciiTheme="minorEastAsia" w:hAnsiTheme="minorEastAsia" w:eastAsiaTheme="minorEastAsia" w:cstheme="minorEastAsia"/>
          <w:color w:val="auto"/>
          <w:sz w:val="21"/>
          <w:szCs w:val="21"/>
          <w:highlight w:val="none"/>
          <w:lang w:val="en-US" w:eastAsia="zh-CN"/>
        </w:rPr>
        <w:t>通过“政府采购云平台”上传递交的“电子加密投标文件”按时完成解密的投标人，其“备份投标文件”自动失效。通过“政府采购云平台”上传递交的“电子加密投标文件”无法按时完成解密的，以备份投标文件为依据。否则视为投标文件撤回，按无效标处理。</w:t>
      </w:r>
    </w:p>
    <w:bookmarkEnd w:id="2"/>
    <w:bookmarkEnd w:id="3"/>
    <w:p w14:paraId="7FC3B785">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5.4投标人未通过“政府采购云平台”上传递交“电子加密投标文件”，</w:t>
      </w:r>
      <w:r>
        <w:rPr>
          <w:rFonts w:hint="eastAsia" w:asciiTheme="minorEastAsia" w:hAnsiTheme="minorEastAsia" w:eastAsiaTheme="minorEastAsia" w:cstheme="minorEastAsia"/>
          <w:color w:val="auto"/>
          <w:kern w:val="0"/>
          <w:sz w:val="21"/>
          <w:szCs w:val="21"/>
          <w:highlight w:val="none"/>
          <w:lang w:val="zh-CN"/>
        </w:rPr>
        <w:t>仅递交“备份投标文件”，视为无效投标</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通过“政府采购云平台”上传递交的“电子加密投标文件”无法按时解密，投标供应商递交了“备份投标文件”的，以“备份投标文件”为依据；未提交“备份投标文件”的，视为无效投标。</w:t>
      </w:r>
    </w:p>
    <w:p w14:paraId="6AA9957D">
      <w:pPr>
        <w:keepNext w:val="0"/>
        <w:keepLines w:val="0"/>
        <w:pageBreakBefore w:val="0"/>
        <w:widowControl w:val="0"/>
        <w:numPr>
          <w:ilvl w:val="0"/>
          <w:numId w:val="31"/>
        </w:numPr>
        <w:shd w:val="clear"/>
        <w:kinsoku/>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投标文件的解密：投标人须在开标时间前准备好电脑与本单位制作电子加密投标文件同一个的CA锁，打开“政采云电子交易客户端”软件，进行在线等候解密，解密时间为30分钟内。</w:t>
      </w:r>
    </w:p>
    <w:p w14:paraId="00BE406D">
      <w:pPr>
        <w:pStyle w:val="2"/>
        <w:keepNext w:val="0"/>
        <w:keepLines w:val="0"/>
        <w:pageBreakBefore w:val="0"/>
        <w:numPr>
          <w:ilvl w:val="0"/>
          <w:numId w:val="0"/>
        </w:numPr>
        <w:shd w:val="clear"/>
        <w:kinsoku/>
        <w:wordWrap/>
        <w:topLinePunct w:val="0"/>
        <w:bidi w:val="0"/>
        <w:adjustRightInd w:val="0"/>
        <w:snapToGrid w:val="0"/>
        <w:spacing w:line="360" w:lineRule="auto"/>
        <w:ind w:firstLine="422"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注意：</w:t>
      </w:r>
      <w:r>
        <w:rPr>
          <w:rFonts w:hint="eastAsia" w:asciiTheme="minorEastAsia" w:hAnsiTheme="minorEastAsia" w:eastAsiaTheme="minorEastAsia" w:cstheme="minorEastAsia"/>
          <w:b/>
          <w:bCs/>
          <w:color w:val="auto"/>
          <w:sz w:val="21"/>
          <w:szCs w:val="21"/>
          <w:highlight w:val="none"/>
          <w:lang w:eastAsia="zh-CN"/>
        </w:rPr>
        <w:t>在项目</w:t>
      </w:r>
      <w:r>
        <w:rPr>
          <w:rFonts w:hint="eastAsia" w:asciiTheme="minorEastAsia" w:hAnsiTheme="minorEastAsia" w:eastAsiaTheme="minorEastAsia" w:cstheme="minorEastAsia"/>
          <w:b/>
          <w:bCs/>
          <w:color w:val="auto"/>
          <w:sz w:val="21"/>
          <w:szCs w:val="21"/>
          <w:highlight w:val="none"/>
        </w:rPr>
        <w:t>开、评标活动过程中，投标人需保持联系渠道畅通。</w:t>
      </w:r>
    </w:p>
    <w:p w14:paraId="1EF412A3">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、投标保证金：</w:t>
      </w:r>
      <w:r>
        <w:rPr>
          <w:rFonts w:hint="eastAsia" w:asciiTheme="minorEastAsia" w:hAnsiTheme="minorEastAsia" w:eastAsiaTheme="minorEastAsia" w:cstheme="minorEastAsia"/>
          <w:b/>
          <w:color w:val="auto"/>
          <w:sz w:val="21"/>
          <w:szCs w:val="21"/>
          <w:highlight w:val="none"/>
          <w:lang w:val="en-US" w:eastAsia="zh-CN"/>
        </w:rPr>
        <w:t>0元，</w:t>
      </w:r>
      <w:r>
        <w:rPr>
          <w:rFonts w:hint="eastAsia" w:asciiTheme="minorEastAsia" w:hAnsiTheme="minorEastAsia" w:eastAsiaTheme="minorEastAsia" w:cstheme="minorEastAsia"/>
          <w:color w:val="auto"/>
          <w:kern w:val="0"/>
          <w:sz w:val="21"/>
          <w:szCs w:val="21"/>
          <w:highlight w:val="none"/>
        </w:rPr>
        <w:t>但若投标人在投标过程中存在违规行为给采购人造成损失的，须赔偿全部损失</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b/>
          <w:color w:val="auto"/>
          <w:sz w:val="21"/>
          <w:szCs w:val="21"/>
          <w:highlight w:val="none"/>
          <w:lang w:eastAsia="zh-CN"/>
        </w:rPr>
        <w:t>。</w:t>
      </w:r>
    </w:p>
    <w:p w14:paraId="5E37CBBB">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w:t>
      </w:r>
      <w:r>
        <w:rPr>
          <w:rFonts w:hint="eastAsia" w:asciiTheme="minorEastAsia" w:hAnsiTheme="minorEastAsia" w:eastAsiaTheme="minorEastAsia" w:cstheme="minorEastAsia"/>
          <w:b/>
          <w:color w:val="auto"/>
          <w:sz w:val="21"/>
          <w:szCs w:val="21"/>
          <w:highlight w:val="none"/>
        </w:rPr>
        <w:t>、投标人信用信息查询渠道及截止时点、信用信息查询记录和证据留存的具体方式、信用信息的使用规则：</w:t>
      </w:r>
    </w:p>
    <w:p w14:paraId="1F820B35">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1、查询渠道：中国政府采购网（网址：http://www.ccgp.gov.cn）、信用中国（网址：</w:t>
      </w:r>
      <w:r>
        <w:rPr>
          <w:rFonts w:hint="eastAsia" w:asciiTheme="minorEastAsia" w:hAnsiTheme="minorEastAsia" w:eastAsiaTheme="minorEastAsia" w:cstheme="minorEastAsia"/>
          <w:color w:val="auto"/>
          <w:sz w:val="21"/>
          <w:szCs w:val="21"/>
          <w:highlight w:val="none"/>
          <w:lang w:eastAsia="zh-CN"/>
        </w:rPr>
        <w:fldChar w:fldCharType="begin"/>
      </w:r>
      <w:r>
        <w:rPr>
          <w:rFonts w:hint="eastAsia" w:asciiTheme="minorEastAsia" w:hAnsiTheme="minorEastAsia" w:eastAsiaTheme="minorEastAsia" w:cstheme="minorEastAsia"/>
          <w:color w:val="auto"/>
          <w:sz w:val="21"/>
          <w:szCs w:val="21"/>
          <w:highlight w:val="none"/>
          <w:lang w:eastAsia="zh-CN"/>
        </w:rPr>
        <w:instrText xml:space="preserve"> HYPERLINK "http://www.creditchina.gov.cn" </w:instrText>
      </w:r>
      <w:r>
        <w:rPr>
          <w:rFonts w:hint="eastAsia" w:asciiTheme="minorEastAsia" w:hAnsiTheme="minorEastAsia" w:eastAsiaTheme="minorEastAsia" w:cstheme="minorEastAsia"/>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lang w:eastAsia="zh-CN"/>
        </w:rPr>
        <w:t>http://www.creditchina.gov.cn</w:t>
      </w:r>
      <w:r>
        <w:rPr>
          <w:rFonts w:hint="eastAsia" w:asciiTheme="minorEastAsia" w:hAnsiTheme="minorEastAsia" w:eastAsiaTheme="minorEastAsia" w:cstheme="minorEastAsia"/>
          <w:color w:val="auto"/>
          <w:sz w:val="21"/>
          <w:szCs w:val="21"/>
          <w:highlight w:val="none"/>
          <w:lang w:eastAsia="zh-CN"/>
        </w:rPr>
        <w:fldChar w:fldCharType="end"/>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信用浙江（credit.zj.gov.cn）</w:t>
      </w:r>
      <w:r>
        <w:rPr>
          <w:rFonts w:hint="eastAsia" w:asciiTheme="minorEastAsia" w:hAnsiTheme="minorEastAsia" w:eastAsiaTheme="minorEastAsia" w:cstheme="minorEastAsia"/>
          <w:color w:val="auto"/>
          <w:sz w:val="21"/>
          <w:szCs w:val="21"/>
          <w:highlight w:val="none"/>
          <w:lang w:eastAsia="zh-CN"/>
        </w:rPr>
        <w:t>。</w:t>
      </w:r>
    </w:p>
    <w:p w14:paraId="3F504B04">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2、截止时点：开标后评标前。</w:t>
      </w:r>
    </w:p>
    <w:p w14:paraId="1642ED68">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3、信用信息查询记录和证据留存的具体方式：由采购组织机构在规定查询时间内打印信用信息查询记录并归入项目档案。</w:t>
      </w:r>
    </w:p>
    <w:p w14:paraId="5CA50E21">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其投标将被作为无效投标被拒绝。</w:t>
      </w:r>
    </w:p>
    <w:p w14:paraId="547D10BD">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不良信用记录指：被列入失信被执行人、重大税收违法案件当事人名单、政府采购严重违法失信行为记录名单或浙江政府采购网曝光台中尚在行政处罚期内的。</w:t>
      </w:r>
    </w:p>
    <w:p w14:paraId="379F84C9">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投标文件递交截止时间及开标时间：</w:t>
      </w:r>
      <w:r>
        <w:rPr>
          <w:rFonts w:hint="eastAsia" w:asciiTheme="minorEastAsia" w:hAnsiTheme="minorEastAsia" w:eastAsiaTheme="minorEastAsia" w:cstheme="minorEastAsia"/>
          <w:color w:val="auto"/>
          <w:sz w:val="21"/>
          <w:szCs w:val="21"/>
          <w:highlight w:val="none"/>
          <w:lang w:val="en-US" w:eastAsia="zh-CN"/>
        </w:rPr>
        <w:t>详见浙江政府采购网本项目公告</w:t>
      </w:r>
      <w:r>
        <w:rPr>
          <w:rFonts w:hint="eastAsia" w:asciiTheme="minorEastAsia" w:hAnsiTheme="minorEastAsia" w:eastAsiaTheme="minorEastAsia" w:cstheme="minorEastAsia"/>
          <w:color w:val="auto"/>
          <w:sz w:val="21"/>
          <w:szCs w:val="21"/>
          <w:highlight w:val="none"/>
          <w:lang w:eastAsia="zh-CN"/>
        </w:rPr>
        <w:t>。</w:t>
      </w:r>
    </w:p>
    <w:p w14:paraId="653D5988">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投标地点、开标地点：</w:t>
      </w:r>
    </w:p>
    <w:p w14:paraId="4B08DB8A">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投标地点</w:t>
      </w:r>
      <w:r>
        <w:rPr>
          <w:rStyle w:val="83"/>
          <w:rFonts w:hint="eastAsia" w:asciiTheme="minorEastAsia" w:hAnsiTheme="minorEastAsia" w:eastAsiaTheme="minorEastAsia" w:cstheme="minorEastAsia"/>
          <w:i w:val="0"/>
          <w:caps w:val="0"/>
          <w:color w:val="auto"/>
          <w:spacing w:val="0"/>
          <w:sz w:val="21"/>
          <w:szCs w:val="21"/>
          <w:highlight w:val="none"/>
        </w:rPr>
        <w:t>：</w:t>
      </w:r>
      <w:r>
        <w:rPr>
          <w:rFonts w:hint="eastAsia" w:asciiTheme="minorEastAsia" w:hAnsiTheme="minorEastAsia" w:eastAsiaTheme="minorEastAsia" w:cstheme="minorEastAsia"/>
          <w:i w:val="0"/>
          <w:caps w:val="0"/>
          <w:color w:val="auto"/>
          <w:spacing w:val="0"/>
          <w:sz w:val="21"/>
          <w:szCs w:val="21"/>
          <w:highlight w:val="none"/>
          <w:u w:val="single"/>
        </w:rPr>
        <w:t>通过“政府采购云平台（www.zcygov.cn）”实行在线投标响应，在投标截止时间前按要求提交备份投标文件。</w:t>
      </w:r>
    </w:p>
    <w:p w14:paraId="7324B32F">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开标地点</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i w:val="0"/>
          <w:caps w:val="0"/>
          <w:color w:val="auto"/>
          <w:spacing w:val="0"/>
          <w:sz w:val="21"/>
          <w:szCs w:val="21"/>
          <w:highlight w:val="none"/>
          <w:u w:val="single"/>
        </w:rPr>
        <w:t>台州市路桥区政府采购中心（财富大道999号商城国际5楼）</w:t>
      </w:r>
      <w:r>
        <w:rPr>
          <w:rFonts w:hint="eastAsia" w:asciiTheme="minorEastAsia" w:hAnsiTheme="minorEastAsia" w:eastAsiaTheme="minorEastAsia" w:cstheme="minorEastAsia"/>
          <w:b/>
          <w:color w:val="auto"/>
          <w:sz w:val="21"/>
          <w:szCs w:val="21"/>
          <w:highlight w:val="none"/>
          <w:lang w:eastAsia="zh-CN"/>
        </w:rPr>
        <w:t>。</w:t>
      </w:r>
    </w:p>
    <w:p w14:paraId="2B194466">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十三、</w:t>
      </w:r>
      <w:r>
        <w:rPr>
          <w:rFonts w:hint="eastAsia" w:asciiTheme="minorEastAsia" w:hAnsiTheme="minorEastAsia" w:eastAsiaTheme="minorEastAsia" w:cstheme="minorEastAsia"/>
          <w:b/>
          <w:color w:val="auto"/>
          <w:sz w:val="21"/>
          <w:szCs w:val="21"/>
          <w:highlight w:val="none"/>
        </w:rPr>
        <w:t>其他事项：</w:t>
      </w:r>
    </w:p>
    <w:p w14:paraId="417C25D1">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公告时间到期之日之后，在投标截止时间之前，有潜在供应商提出获取采购文件的，采购代理机构将允许其获取，供应商对采购文件有异议的，应于获取采购文件或者采购公告期限届满之日起7个工作日内一次性以书面形式向采购代理机构提出（逾期提出的，采购组织机构可不予受理、答复）。质疑供应商对采购人、采购代理机构的答复不满意或者采购人、采购代理机构未在规定的时间内作出答复的，可以在答复期满后十五个工作日内向同级政府采购监督管理部门投诉。潜在供应商已依法获取其可质疑的采购文件的，可以对该文件提出质疑。供应商对采购过程有质疑的，应于知道或者应知其权益受到损害之日起7个工作日内以书面形式一次性提出。</w:t>
      </w:r>
    </w:p>
    <w:p w14:paraId="0E74F1B2">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6A90B17D">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2CB2E1">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3.中标公告发布后质疑期限：对中标结果提出质疑的，应当在中标结果公告期限届满之日起7个工作日内。</w:t>
      </w:r>
    </w:p>
    <w:p w14:paraId="639CD914">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4.本项目资格审查方式：资格后审。</w:t>
      </w:r>
    </w:p>
    <w:p w14:paraId="7967212D">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5.中小企业相关规定：</w:t>
      </w:r>
    </w:p>
    <w:p w14:paraId="338319DC">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5.1中小企是指在中华人民共和国境内依法设立，依据国务院批准的中小企业划分标准确定的中型企业、小型企业和微型企业，但与大企业的负责人为同一人，或者与大企业存在直接控股、管理关系的除外。</w:t>
      </w:r>
    </w:p>
    <w:p w14:paraId="4B3B06C0">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5.2根据关于印发《政府采购促进中小企业发展管理办法》（</w:t>
      </w:r>
      <w:r>
        <w:rPr>
          <w:rFonts w:hint="eastAsia" w:asciiTheme="minorEastAsia" w:hAnsiTheme="minorEastAsia" w:eastAsiaTheme="minorEastAsia" w:cstheme="minorEastAsia"/>
          <w:i w:val="0"/>
          <w:caps w:val="0"/>
          <w:color w:val="auto"/>
          <w:spacing w:val="0"/>
          <w:sz w:val="21"/>
          <w:szCs w:val="21"/>
          <w:highlight w:val="none"/>
          <w:shd w:val="clear" w:color="auto" w:fill="FFFFFF"/>
        </w:rPr>
        <w:t>财库〔2020〕46号</w:t>
      </w:r>
      <w:r>
        <w:rPr>
          <w:rFonts w:hint="eastAsia" w:asciiTheme="minorEastAsia" w:hAnsiTheme="minorEastAsia" w:eastAsiaTheme="minorEastAsia" w:cstheme="minorEastAsia"/>
          <w:color w:val="auto"/>
          <w:sz w:val="21"/>
          <w:szCs w:val="21"/>
          <w:highlight w:val="none"/>
          <w:lang w:val="en-US" w:eastAsia="zh-CN"/>
        </w:rPr>
        <w:t>）的通知文件规定，</w:t>
      </w:r>
      <w:r>
        <w:rPr>
          <w:rFonts w:hint="eastAsia" w:asciiTheme="minorEastAsia" w:hAnsiTheme="minorEastAsia" w:eastAsiaTheme="minorEastAsia" w:cstheme="minorEastAsia"/>
          <w:b/>
          <w:bCs/>
          <w:color w:val="auto"/>
          <w:sz w:val="21"/>
          <w:szCs w:val="21"/>
          <w:highlight w:val="none"/>
          <w:u w:val="single"/>
        </w:rPr>
        <w:t>本项目专门面向中小企业采购</w:t>
      </w:r>
      <w:r>
        <w:rPr>
          <w:rFonts w:hint="eastAsia" w:asciiTheme="minorEastAsia" w:hAnsiTheme="minorEastAsia" w:eastAsiaTheme="minorEastAsia" w:cstheme="minorEastAsia"/>
          <w:color w:val="auto"/>
          <w:sz w:val="21"/>
          <w:szCs w:val="21"/>
          <w:highlight w:val="none"/>
          <w:lang w:val="en-US" w:eastAsia="zh-CN"/>
        </w:rPr>
        <w:t>。若投标人投标时不符合上述规定的，按无效标处理。</w:t>
      </w:r>
      <w:r>
        <w:rPr>
          <w:rFonts w:hint="eastAsia" w:asciiTheme="minorEastAsia" w:hAnsiTheme="minorEastAsia" w:eastAsiaTheme="minorEastAsia" w:cstheme="minorEastAsia"/>
          <w:b/>
          <w:bCs/>
          <w:color w:val="auto"/>
          <w:sz w:val="21"/>
          <w:szCs w:val="21"/>
          <w:highlight w:val="none"/>
          <w:lang w:val="en-US" w:eastAsia="zh-CN"/>
        </w:rPr>
        <w:t>服务由中小企业承接，提供服务的人员须为中小企业依照《中华人民共和国劳动合同法》订立劳动合同的从业人员。</w:t>
      </w:r>
    </w:p>
    <w:p w14:paraId="19D447BC">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kern w:val="2"/>
          <w:sz w:val="21"/>
          <w:szCs w:val="21"/>
          <w:highlight w:val="none"/>
          <w:lang w:val="en-US" w:eastAsia="zh-CN" w:bidi="ar-SA"/>
        </w:rPr>
        <w:t>中小企业参加政府采购活动，应当出具本办法规定的《中小企业声明函》（格式详见附件），本项目专门面向中小企业采购不享受相关中小企业扶持政策。若存在虚假投标的，按无效投标进行处理，已经中标的，取消中标资格，并赔偿给采购人造成的损失。采购人有权单方面解除合同，已经支付的款项供应商须全部退还</w:t>
      </w:r>
      <w:r>
        <w:rPr>
          <w:rFonts w:hint="eastAsia" w:asciiTheme="minorEastAsia" w:hAnsiTheme="minorEastAsia" w:eastAsiaTheme="minorEastAsia" w:cstheme="minorEastAsia"/>
          <w:color w:val="auto"/>
          <w:sz w:val="21"/>
          <w:szCs w:val="21"/>
          <w:highlight w:val="none"/>
          <w:lang w:val="en-US" w:eastAsia="zh-CN"/>
        </w:rPr>
        <w:t>。</w:t>
      </w:r>
    </w:p>
    <w:p w14:paraId="1C24D2E1">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5.4</w:t>
      </w:r>
      <w:r>
        <w:rPr>
          <w:rFonts w:hint="eastAsia" w:asciiTheme="minorEastAsia" w:hAnsiTheme="minorEastAsia" w:eastAsiaTheme="minorEastAsia" w:cstheme="minorEastAsia"/>
          <w:color w:val="auto"/>
          <w:kern w:val="2"/>
          <w:sz w:val="21"/>
          <w:szCs w:val="21"/>
          <w:highlight w:val="none"/>
          <w:lang w:val="en-US" w:eastAsia="zh-CN" w:bidi="ar-SA"/>
        </w:rPr>
        <w:t>小微企业不得将合同分包给大中型企业，中型企业不得将合同分包给大型企业。</w:t>
      </w:r>
    </w:p>
    <w:p w14:paraId="5E92E46D">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5.5本项目采购标的对应中小企业划分标准所属行业为：其他未列明行业。</w:t>
      </w:r>
    </w:p>
    <w:p w14:paraId="5C9E8404">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十五、本公告发布地址：浙江省政府采购网(https://zfcg.czt.zj.gov.cn/)</w:t>
      </w:r>
    </w:p>
    <w:p w14:paraId="2A07A927">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十六、</w:t>
      </w:r>
      <w:r>
        <w:rPr>
          <w:rFonts w:hint="eastAsia" w:asciiTheme="minorEastAsia" w:hAnsiTheme="minorEastAsia" w:eastAsiaTheme="minorEastAsia" w:cstheme="minorEastAsia"/>
          <w:b/>
          <w:color w:val="auto"/>
          <w:sz w:val="21"/>
          <w:szCs w:val="21"/>
          <w:highlight w:val="none"/>
        </w:rPr>
        <w:t>项目联系人：</w:t>
      </w:r>
      <w:r>
        <w:rPr>
          <w:rFonts w:hint="eastAsia" w:asciiTheme="minorEastAsia" w:hAnsiTheme="minorEastAsia" w:eastAsiaTheme="minorEastAsia" w:cstheme="minorEastAsia"/>
          <w:b/>
          <w:color w:val="auto"/>
          <w:sz w:val="21"/>
          <w:szCs w:val="21"/>
          <w:highlight w:val="none"/>
        </w:rPr>
        <w:tab/>
      </w:r>
    </w:p>
    <w:p w14:paraId="1A9C5E5E">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台州市路桥区人民政府峰江街道办事处</w:t>
      </w:r>
    </w:p>
    <w:p w14:paraId="7677F8AE">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联系人：潘女士             联系方式：0576-82688136  </w:t>
      </w:r>
    </w:p>
    <w:p w14:paraId="77793527">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质疑联系人：尚先生         联系方式：0576-82688305 </w:t>
      </w:r>
    </w:p>
    <w:p w14:paraId="04B781B7">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地址：台州市路桥区峰江街道银水路199号 </w:t>
      </w:r>
    </w:p>
    <w:p w14:paraId="30AE3568">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招标代理机构：</w:t>
      </w:r>
      <w:r>
        <w:rPr>
          <w:rFonts w:hint="eastAsia" w:asciiTheme="minorEastAsia" w:hAnsiTheme="minorEastAsia" w:eastAsiaTheme="minorEastAsia" w:cstheme="minorEastAsia"/>
          <w:color w:val="auto"/>
          <w:sz w:val="21"/>
          <w:szCs w:val="21"/>
          <w:highlight w:val="none"/>
          <w:lang w:eastAsia="zh-CN"/>
        </w:rPr>
        <w:t>建经投资咨询有限公司</w:t>
      </w:r>
    </w:p>
    <w:p w14:paraId="48FDEBA1">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 xml:space="preserve">王女士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18968630753</w:t>
      </w:r>
    </w:p>
    <w:p w14:paraId="5CB73E9B">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林炳洪</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eastAsia="zh-CN"/>
        </w:rPr>
        <w:t>13362681081（</w:t>
      </w:r>
      <w:r>
        <w:rPr>
          <w:rFonts w:hint="eastAsia" w:asciiTheme="minorEastAsia" w:hAnsiTheme="minorEastAsia" w:eastAsiaTheme="minorEastAsia" w:cstheme="minorEastAsia"/>
          <w:color w:val="auto"/>
          <w:sz w:val="21"/>
          <w:szCs w:val="21"/>
          <w:highlight w:val="none"/>
          <w:lang w:val="en-US" w:eastAsia="zh-CN"/>
        </w:rPr>
        <w:t>质疑联系人</w:t>
      </w:r>
      <w:r>
        <w:rPr>
          <w:rFonts w:hint="eastAsia" w:asciiTheme="minorEastAsia" w:hAnsiTheme="minorEastAsia" w:eastAsiaTheme="minorEastAsia" w:cstheme="minorEastAsia"/>
          <w:color w:val="auto"/>
          <w:sz w:val="21"/>
          <w:szCs w:val="21"/>
          <w:highlight w:val="none"/>
          <w:lang w:eastAsia="zh-CN"/>
        </w:rPr>
        <w:t>）</w:t>
      </w:r>
    </w:p>
    <w:p w14:paraId="07BEEF48">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地址：台州市路桥区花鸟巷238号</w:t>
      </w:r>
    </w:p>
    <w:p w14:paraId="7FB84E70">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同级政府采购监督管理部门名称：台州市路桥区财政局政府采购监管科 </w:t>
      </w:r>
    </w:p>
    <w:p w14:paraId="63867774">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联系人：王先生</w:t>
      </w:r>
    </w:p>
    <w:p w14:paraId="2B12284F">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监督投诉电话：0576-82517851</w:t>
      </w:r>
    </w:p>
    <w:p w14:paraId="20E92471">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地址：台州市路桥区西路桥大道58号 </w:t>
      </w:r>
    </w:p>
    <w:p w14:paraId="6407A64F">
      <w:pPr>
        <w:pStyle w:val="93"/>
        <w:keepNext w:val="0"/>
        <w:keepLines w:val="0"/>
        <w:pageBreakBefore w:val="0"/>
        <w:numPr>
          <w:ilvl w:val="0"/>
          <w:numId w:val="0"/>
        </w:numPr>
        <w:shd w:val="clear"/>
        <w:kinsoku/>
        <w:wordWrap/>
        <w:topLinePunct w:val="0"/>
        <w:bidi w:val="0"/>
        <w:adjustRightInd w:val="0"/>
        <w:snapToGrid w:val="0"/>
        <w:spacing w:line="360" w:lineRule="auto"/>
        <w:ind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中标供应商如有融资需求，可使用以下银行的政采贷服务。</w:t>
      </w:r>
    </w:p>
    <w:tbl>
      <w:tblPr>
        <w:tblStyle w:val="77"/>
        <w:tblW w:w="10298" w:type="dxa"/>
        <w:jc w:val="center"/>
        <w:tblLayout w:type="fixed"/>
        <w:tblCellMar>
          <w:top w:w="0" w:type="dxa"/>
          <w:left w:w="0" w:type="dxa"/>
          <w:bottom w:w="0" w:type="dxa"/>
          <w:right w:w="0" w:type="dxa"/>
        </w:tblCellMar>
      </w:tblPr>
      <w:tblGrid>
        <w:gridCol w:w="569"/>
        <w:gridCol w:w="4771"/>
        <w:gridCol w:w="1652"/>
        <w:gridCol w:w="1658"/>
        <w:gridCol w:w="1648"/>
      </w:tblGrid>
      <w:tr w14:paraId="14595142">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DB2DF2">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序号</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D0FC3B">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银 行 名 称</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1E9F05">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政采贷年利率</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27E89F">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联系人</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E61F62">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联系电话</w:t>
            </w:r>
          </w:p>
        </w:tc>
      </w:tr>
      <w:tr w14:paraId="5CF5C8C9">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767A10">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F43817">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中国建设银行股份有限公司台州路桥支行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2F231C">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4.80%</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EC272C">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徐剑鸿</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371092">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15167671223</w:t>
            </w:r>
          </w:p>
        </w:tc>
      </w:tr>
      <w:tr w14:paraId="475C94B3">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7CD9DA">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2</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9A9E54">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中国工商银行股份有限公司台州路桥支行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146B6E">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3.8%起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EDE221">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倪  昊</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0F196F">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15968680259</w:t>
            </w:r>
          </w:p>
        </w:tc>
      </w:tr>
      <w:tr w14:paraId="076932BA">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8E9C69">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3</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DEADE4">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中国农业银行股份有限公司台州路桥支行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984A53">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3.85%起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ED15BA">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丁道兵</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241B2C">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13606668045</w:t>
            </w:r>
          </w:p>
        </w:tc>
      </w:tr>
      <w:tr w14:paraId="0DE44680">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4D485C">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4</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094802">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中国银行股份有限公司台州市路桥区支行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D9F4A3">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4%</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8D8DAE">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车  斌</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619F04">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13750661198</w:t>
            </w:r>
          </w:p>
        </w:tc>
      </w:tr>
      <w:tr w14:paraId="254E4DC4">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9AB3D6">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5</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12F823">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台州银行股份有限公司</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125DF1">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7.08%</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88AF40">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黄红芹</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206CDA">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13968689000</w:t>
            </w:r>
          </w:p>
        </w:tc>
      </w:tr>
      <w:tr w14:paraId="27788CB0">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F9E9AF">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6</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AD504E">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浙江泰隆商业银行股份有限公司</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751B86">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7.08%</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CB8F14">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冯观凤</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F27177">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17858683988</w:t>
            </w:r>
          </w:p>
        </w:tc>
      </w:tr>
      <w:tr w14:paraId="09889ECD">
        <w:tblPrEx>
          <w:tblCellMar>
            <w:top w:w="0" w:type="dxa"/>
            <w:left w:w="0" w:type="dxa"/>
            <w:bottom w:w="0" w:type="dxa"/>
            <w:right w:w="0" w:type="dxa"/>
          </w:tblCellMar>
        </w:tblPrEx>
        <w:trPr>
          <w:trHeight w:val="758"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6BB351">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7</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F924C6">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中国邮政储蓄银行股份有限公司台州市路桥区支行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A5512F">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4.35%起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A2743F">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沈丹华</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648D6A">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13306566969</w:t>
            </w:r>
          </w:p>
        </w:tc>
      </w:tr>
      <w:tr w14:paraId="226ED144">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1038F8">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8</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B4C8EF">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交通银行股份有限公司台州路桥支行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42F4AF">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3.80%</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78E933">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刘鲁浙</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8932C9">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15968662111</w:t>
            </w:r>
          </w:p>
        </w:tc>
      </w:tr>
      <w:tr w14:paraId="50805270">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8D9652">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9</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3713EF">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兴业银行股份有限公司台州路桥支行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8145FA">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4%起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E74D7F">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蒋  峰</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862932">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13586088395</w:t>
            </w:r>
          </w:p>
        </w:tc>
      </w:tr>
      <w:tr w14:paraId="70C13FA1">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FAEF80">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10</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B40EC8">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中信银行股份有限公司台州路桥支行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9C38D0">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4.15%起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D44D7C">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曹筱婕</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F91F2F">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18105768199</w:t>
            </w:r>
          </w:p>
        </w:tc>
      </w:tr>
      <w:tr w14:paraId="3DF5AE88">
        <w:tblPrEx>
          <w:tblCellMar>
            <w:top w:w="0" w:type="dxa"/>
            <w:left w:w="0" w:type="dxa"/>
            <w:bottom w:w="0" w:type="dxa"/>
            <w:right w:w="0" w:type="dxa"/>
          </w:tblCellMar>
        </w:tblPrEx>
        <w:trPr>
          <w:trHeight w:val="758"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C72A44">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11</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8EF4A6">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浙商银行股份有限公司台州路桥小微企业专营支行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55929C">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6.75%</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B371DE">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庄道勇</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60713C">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13867611023</w:t>
            </w:r>
          </w:p>
        </w:tc>
      </w:tr>
      <w:tr w14:paraId="7405DD12">
        <w:tblPrEx>
          <w:tblCellMar>
            <w:top w:w="0" w:type="dxa"/>
            <w:left w:w="0" w:type="dxa"/>
            <w:bottom w:w="0" w:type="dxa"/>
            <w:right w:w="0" w:type="dxa"/>
          </w:tblCellMar>
        </w:tblPrEx>
        <w:trPr>
          <w:trHeight w:val="442"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4D633A">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12</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E3D697">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广发银行股份有限公司台州路桥小微企业专营支行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27C825">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5.65%</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6FFBA6">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林  春</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492251">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13858687790</w:t>
            </w:r>
          </w:p>
        </w:tc>
      </w:tr>
      <w:tr w14:paraId="7ED368EA">
        <w:tblPrEx>
          <w:tblCellMar>
            <w:top w:w="0" w:type="dxa"/>
            <w:left w:w="0" w:type="dxa"/>
            <w:bottom w:w="0" w:type="dxa"/>
            <w:right w:w="0" w:type="dxa"/>
          </w:tblCellMar>
        </w:tblPrEx>
        <w:trPr>
          <w:trHeight w:val="470"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FF69FD">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13</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BC21DC">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平安银行股份有限公司台州路桥小微企业专营支行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59FEA8">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7%</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3B7224">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李俊丽</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EE7763">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15906861025</w:t>
            </w:r>
          </w:p>
        </w:tc>
      </w:tr>
      <w:tr w14:paraId="274CAE70">
        <w:tblPrEx>
          <w:tblCellMar>
            <w:top w:w="0" w:type="dxa"/>
            <w:left w:w="0" w:type="dxa"/>
            <w:bottom w:w="0" w:type="dxa"/>
            <w:right w:w="0" w:type="dxa"/>
          </w:tblCellMar>
        </w:tblPrEx>
        <w:trPr>
          <w:trHeight w:val="260"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262E59">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14</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4463F8">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宁波银行股份有限公司台州路桥小微企业专营支行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3A0A4A">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5%-6%</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E8190D">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李诚杰</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20BB6C">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13395745558</w:t>
            </w:r>
          </w:p>
        </w:tc>
      </w:tr>
      <w:tr w14:paraId="4C0EAF81">
        <w:tblPrEx>
          <w:tblCellMar>
            <w:top w:w="0" w:type="dxa"/>
            <w:left w:w="0" w:type="dxa"/>
            <w:bottom w:w="0" w:type="dxa"/>
            <w:right w:w="0" w:type="dxa"/>
          </w:tblCellMar>
        </w:tblPrEx>
        <w:trPr>
          <w:trHeight w:val="49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9D9368">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15</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1872AE">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浙江台州路桥富民村镇银行股份有限公司</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616C65">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7.80%</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6FA504">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金根灵</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5FF025">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13157608788</w:t>
            </w:r>
          </w:p>
        </w:tc>
      </w:tr>
    </w:tbl>
    <w:p w14:paraId="1D02FDDF">
      <w:pPr>
        <w:keepNext w:val="0"/>
        <w:keepLines w:val="0"/>
        <w:pageBreakBefore w:val="0"/>
        <w:widowControl w:val="0"/>
        <w:shd w:val="clear"/>
        <w:kinsoku/>
        <w:wordWrap/>
        <w:overflowPunct/>
        <w:topLinePunct w:val="0"/>
        <w:bidi w:val="0"/>
        <w:adjustRightInd w:val="0"/>
        <w:snapToGrid w:val="0"/>
        <w:spacing w:line="360" w:lineRule="auto"/>
        <w:ind w:firstLine="480" w:firstLineChars="2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7D75ECB2">
      <w:pPr>
        <w:shd w:val="clea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br w:type="page"/>
      </w:r>
    </w:p>
    <w:p w14:paraId="4AB9153E">
      <w:pPr>
        <w:pStyle w:val="3"/>
        <w:numPr>
          <w:ilvl w:val="0"/>
          <w:numId w:val="33"/>
        </w:numPr>
        <w:shd w:val="clear"/>
        <w:tabs>
          <w:tab w:val="clear" w:pos="432"/>
        </w:tabs>
        <w:spacing w:before="0" w:after="0" w:line="360" w:lineRule="auto"/>
        <w:jc w:val="center"/>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lang w:eastAsia="zh-CN"/>
        </w:rPr>
        <w:t>项目需求</w:t>
      </w:r>
    </w:p>
    <w:p w14:paraId="768C5C4D">
      <w:pPr>
        <w:pStyle w:val="3"/>
        <w:numPr>
          <w:ilvl w:val="0"/>
          <w:numId w:val="0"/>
        </w:numPr>
        <w:shd w:val="clear"/>
        <w:spacing w:before="120" w:beforeLines="50" w:after="120" w:afterLines="50" w:line="360" w:lineRule="auto"/>
        <w:ind w:leftChars="0"/>
        <w:jc w:val="left"/>
        <w:rPr>
          <w:rFonts w:hint="eastAsia" w:asciiTheme="minorEastAsia" w:hAnsiTheme="minorEastAsia" w:eastAsiaTheme="minorEastAsia" w:cstheme="minorEastAsia"/>
          <w:sz w:val="21"/>
          <w:szCs w:val="21"/>
          <w:highlight w:val="none"/>
        </w:rPr>
      </w:pPr>
      <w:bookmarkStart w:id="4" w:name="_Toc3991"/>
      <w:bookmarkStart w:id="5" w:name="_Toc13625"/>
      <w:bookmarkStart w:id="6" w:name="_Toc5143"/>
      <w:bookmarkStart w:id="7" w:name="_Toc21169"/>
      <w:r>
        <w:rPr>
          <w:rFonts w:hint="eastAsia" w:asciiTheme="minorEastAsia" w:hAnsiTheme="minorEastAsia" w:eastAsiaTheme="minorEastAsia" w:cstheme="minorEastAsia"/>
          <w:sz w:val="21"/>
          <w:szCs w:val="21"/>
          <w:highlight w:val="none"/>
          <w:lang w:val="en-US" w:eastAsia="zh-CN"/>
        </w:rPr>
        <w:t>一、</w:t>
      </w:r>
      <w:r>
        <w:rPr>
          <w:rFonts w:hint="eastAsia" w:asciiTheme="minorEastAsia" w:hAnsiTheme="minorEastAsia" w:eastAsiaTheme="minorEastAsia" w:cstheme="minorEastAsia"/>
          <w:sz w:val="21"/>
          <w:szCs w:val="21"/>
          <w:highlight w:val="none"/>
        </w:rPr>
        <w:t>采购项目一览表</w:t>
      </w:r>
    </w:p>
    <w:tbl>
      <w:tblPr>
        <w:tblStyle w:val="77"/>
        <w:tblW w:w="547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0" w:type="dxa"/>
          <w:bottom w:w="0" w:type="dxa"/>
          <w:right w:w="0" w:type="dxa"/>
        </w:tblCellMar>
      </w:tblPr>
      <w:tblGrid>
        <w:gridCol w:w="1626"/>
        <w:gridCol w:w="1328"/>
        <w:gridCol w:w="1804"/>
        <w:gridCol w:w="784"/>
        <w:gridCol w:w="784"/>
        <w:gridCol w:w="1826"/>
        <w:gridCol w:w="1352"/>
        <w:gridCol w:w="444"/>
      </w:tblGrid>
      <w:tr w14:paraId="21CE2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477" w:hRule="atLeast"/>
        </w:trPr>
        <w:tc>
          <w:tcPr>
            <w:tcW w:w="817" w:type="pct"/>
            <w:shd w:val="clear" w:color="auto" w:fill="FFFFFF" w:themeFill="background1"/>
            <w:noWrap w:val="0"/>
            <w:vAlign w:val="bottom"/>
          </w:tcPr>
          <w:p w14:paraId="183B5E64">
            <w:pPr>
              <w:pStyle w:val="692"/>
              <w:keepNext w:val="0"/>
              <w:keepLines w:val="0"/>
              <w:pageBreakBefore w:val="0"/>
              <w:shd w:val="clear"/>
              <w:kinsoku/>
              <w:wordWrap/>
              <w:topLinePunct w:val="0"/>
              <w:bidi w:val="0"/>
              <w:adjustRightInd w:val="0"/>
              <w:snapToGrid w:val="0"/>
              <w:spacing w:line="360" w:lineRule="auto"/>
              <w:ind w:left="49" w:right="120"/>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项目</w:t>
            </w:r>
          </w:p>
        </w:tc>
        <w:tc>
          <w:tcPr>
            <w:tcW w:w="1573" w:type="pct"/>
            <w:gridSpan w:val="2"/>
            <w:shd w:val="clear" w:color="auto" w:fill="FFFFFF" w:themeFill="background1"/>
            <w:noWrap w:val="0"/>
            <w:vAlign w:val="bottom"/>
          </w:tcPr>
          <w:p w14:paraId="4C5441BB">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标项内容</w:t>
            </w:r>
          </w:p>
        </w:tc>
        <w:tc>
          <w:tcPr>
            <w:tcW w:w="394" w:type="pct"/>
            <w:shd w:val="clear" w:color="auto" w:fill="FFFFFF" w:themeFill="background1"/>
            <w:noWrap w:val="0"/>
            <w:vAlign w:val="bottom"/>
          </w:tcPr>
          <w:p w14:paraId="7220805C">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shd w:val="clear" w:color="auto" w:fill="auto"/>
              </w:rPr>
              <w:t>数量</w:t>
            </w:r>
          </w:p>
        </w:tc>
        <w:tc>
          <w:tcPr>
            <w:tcW w:w="394" w:type="pct"/>
            <w:shd w:val="clear" w:color="auto" w:fill="FFFFFF" w:themeFill="background1"/>
            <w:noWrap w:val="0"/>
            <w:vAlign w:val="bottom"/>
          </w:tcPr>
          <w:p w14:paraId="613B3414">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bCs/>
                <w:color w:val="auto"/>
                <w:sz w:val="21"/>
                <w:szCs w:val="21"/>
                <w:highlight w:val="none"/>
                <w:shd w:val="clear" w:color="auto" w:fill="auto"/>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单位</w:t>
            </w:r>
          </w:p>
        </w:tc>
        <w:tc>
          <w:tcPr>
            <w:tcW w:w="917" w:type="pct"/>
            <w:shd w:val="clear" w:color="auto" w:fill="FFFFFF" w:themeFill="background1"/>
            <w:noWrap w:val="0"/>
            <w:vAlign w:val="bottom"/>
          </w:tcPr>
          <w:p w14:paraId="0B638E9E">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bCs/>
                <w:color w:val="auto"/>
                <w:sz w:val="21"/>
                <w:szCs w:val="21"/>
                <w:highlight w:val="none"/>
                <w:shd w:val="clear" w:color="auto" w:fill="auto"/>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投标上限单价</w:t>
            </w:r>
          </w:p>
          <w:p w14:paraId="3BA52F1F">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（元/年/家）</w:t>
            </w:r>
          </w:p>
        </w:tc>
        <w:tc>
          <w:tcPr>
            <w:tcW w:w="679" w:type="pct"/>
            <w:shd w:val="clear" w:color="auto" w:fill="FFFFFF" w:themeFill="background1"/>
            <w:noWrap w:val="0"/>
            <w:vAlign w:val="bottom"/>
          </w:tcPr>
          <w:p w14:paraId="5A86B531">
            <w:pPr>
              <w:shd w:val="clear"/>
              <w:spacing w:line="360" w:lineRule="auto"/>
              <w:jc w:val="center"/>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服务期限</w:t>
            </w:r>
          </w:p>
        </w:tc>
        <w:tc>
          <w:tcPr>
            <w:tcW w:w="223" w:type="pct"/>
            <w:shd w:val="clear" w:color="auto" w:fill="FFFFFF" w:themeFill="background1"/>
            <w:noWrap w:val="0"/>
            <w:vAlign w:val="bottom"/>
          </w:tcPr>
          <w:p w14:paraId="31DA25D5">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bCs/>
                <w:color w:val="auto"/>
                <w:sz w:val="21"/>
                <w:szCs w:val="21"/>
                <w:highlight w:val="none"/>
                <w:shd w:val="clear" w:color="auto" w:fill="auto"/>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备注</w:t>
            </w:r>
          </w:p>
        </w:tc>
      </w:tr>
      <w:tr w14:paraId="13636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17" w:type="pct"/>
            <w:vMerge w:val="restart"/>
            <w:shd w:val="clear" w:color="auto" w:fill="FFFFFF" w:themeFill="background1"/>
            <w:noWrap w:val="0"/>
            <w:vAlign w:val="center"/>
          </w:tcPr>
          <w:p w14:paraId="59BAC783">
            <w:pPr>
              <w:pStyle w:val="692"/>
              <w:keepNext w:val="0"/>
              <w:keepLines w:val="0"/>
              <w:pageBreakBefore w:val="0"/>
              <w:shd w:val="clear"/>
              <w:kinsoku/>
              <w:wordWrap/>
              <w:topLinePunct w:val="0"/>
              <w:bidi w:val="0"/>
              <w:adjustRightInd w:val="0"/>
              <w:snapToGrid w:val="0"/>
              <w:spacing w:line="360" w:lineRule="auto"/>
              <w:ind w:right="264"/>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2025年度峰江街道居家养老服务（照料）中心</w:t>
            </w:r>
          </w:p>
        </w:tc>
        <w:tc>
          <w:tcPr>
            <w:tcW w:w="667" w:type="pct"/>
            <w:vMerge w:val="restart"/>
            <w:tcBorders>
              <w:right w:val="single" w:color="auto" w:sz="4" w:space="0"/>
            </w:tcBorders>
            <w:shd w:val="clear" w:color="auto" w:fill="FFFFFF" w:themeFill="background1"/>
            <w:noWrap w:val="0"/>
            <w:vAlign w:val="center"/>
          </w:tcPr>
          <w:p w14:paraId="45237C7B">
            <w:pPr>
              <w:spacing w:after="120" w:afterLines="50"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居家养老服务中心托管运营</w:t>
            </w:r>
          </w:p>
        </w:tc>
        <w:tc>
          <w:tcPr>
            <w:tcW w:w="906" w:type="pct"/>
            <w:tcBorders>
              <w:left w:val="single" w:color="auto" w:sz="4" w:space="0"/>
              <w:bottom w:val="single" w:color="auto" w:sz="4" w:space="0"/>
            </w:tcBorders>
            <w:shd w:val="clear" w:color="auto" w:fill="FFFFFF" w:themeFill="background1"/>
            <w:noWrap w:val="0"/>
            <w:vAlign w:val="center"/>
          </w:tcPr>
          <w:p w14:paraId="6CD4782A">
            <w:pPr>
              <w:spacing w:after="120" w:afterLines="50" w:line="360" w:lineRule="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服务中心托管</w:t>
            </w:r>
          </w:p>
        </w:tc>
        <w:tc>
          <w:tcPr>
            <w:tcW w:w="394" w:type="pct"/>
            <w:tcBorders>
              <w:bottom w:val="single" w:color="auto" w:sz="4" w:space="0"/>
            </w:tcBorders>
            <w:shd w:val="clear" w:color="auto" w:fill="FFFFFF" w:themeFill="background1"/>
            <w:noWrap w:val="0"/>
            <w:vAlign w:val="center"/>
          </w:tcPr>
          <w:p w14:paraId="2602A3FC">
            <w:pPr>
              <w:pStyle w:val="692"/>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394" w:type="pct"/>
            <w:vMerge w:val="restart"/>
            <w:shd w:val="clear" w:color="auto" w:fill="FFFFFF" w:themeFill="background1"/>
            <w:noWrap w:val="0"/>
            <w:vAlign w:val="center"/>
          </w:tcPr>
          <w:p w14:paraId="7E90C0F4">
            <w:pPr>
              <w:pStyle w:val="692"/>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b/>
                <w:bCs/>
                <w:color w:val="auto"/>
                <w:sz w:val="21"/>
                <w:szCs w:val="21"/>
                <w:highlight w:val="none"/>
                <w:shd w:val="clear" w:color="auto" w:fill="auto"/>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家</w:t>
            </w:r>
          </w:p>
        </w:tc>
        <w:tc>
          <w:tcPr>
            <w:tcW w:w="917" w:type="pct"/>
            <w:tcBorders>
              <w:bottom w:val="single" w:color="auto" w:sz="4" w:space="0"/>
            </w:tcBorders>
            <w:shd w:val="clear" w:color="auto" w:fill="FFFFFF" w:themeFill="background1"/>
            <w:noWrap w:val="0"/>
            <w:vAlign w:val="center"/>
          </w:tcPr>
          <w:p w14:paraId="49E60918">
            <w:pPr>
              <w:pStyle w:val="692"/>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 xml:space="preserve">80000 </w:t>
            </w:r>
          </w:p>
        </w:tc>
        <w:tc>
          <w:tcPr>
            <w:tcW w:w="679" w:type="pct"/>
            <w:vMerge w:val="restart"/>
            <w:shd w:val="clear" w:color="auto" w:fill="FFFFFF" w:themeFill="background1"/>
            <w:noWrap w:val="0"/>
            <w:vAlign w:val="center"/>
          </w:tcPr>
          <w:p w14:paraId="55C6AA42">
            <w:pPr>
              <w:shd w:val="clear"/>
              <w:spacing w:line="36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1年，具体开始时间以采购人通知为准。</w:t>
            </w:r>
          </w:p>
        </w:tc>
        <w:tc>
          <w:tcPr>
            <w:tcW w:w="223" w:type="pct"/>
            <w:vMerge w:val="restart"/>
            <w:shd w:val="clear" w:color="auto" w:fill="FFFFFF" w:themeFill="background1"/>
            <w:noWrap w:val="0"/>
            <w:vAlign w:val="center"/>
          </w:tcPr>
          <w:p w14:paraId="54ACBCDD">
            <w:pPr>
              <w:pStyle w:val="692"/>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color w:val="auto"/>
                <w:sz w:val="21"/>
                <w:szCs w:val="21"/>
                <w:highlight w:val="none"/>
                <w:lang w:val="en-US"/>
              </w:rPr>
            </w:pPr>
          </w:p>
        </w:tc>
      </w:tr>
      <w:tr w14:paraId="6712E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17" w:type="pct"/>
            <w:vMerge w:val="continue"/>
            <w:shd w:val="clear" w:color="auto" w:fill="FFFFFF" w:themeFill="background1"/>
            <w:noWrap w:val="0"/>
            <w:vAlign w:val="center"/>
          </w:tcPr>
          <w:p w14:paraId="15508267">
            <w:pPr>
              <w:pStyle w:val="692"/>
              <w:keepNext w:val="0"/>
              <w:keepLines w:val="0"/>
              <w:pageBreakBefore w:val="0"/>
              <w:shd w:val="clear"/>
              <w:kinsoku/>
              <w:wordWrap/>
              <w:topLinePunct w:val="0"/>
              <w:bidi w:val="0"/>
              <w:adjustRightInd w:val="0"/>
              <w:snapToGrid w:val="0"/>
              <w:spacing w:line="360" w:lineRule="auto"/>
              <w:ind w:right="264"/>
              <w:jc w:val="center"/>
              <w:rPr>
                <w:rFonts w:hint="eastAsia" w:asciiTheme="minorEastAsia" w:hAnsiTheme="minorEastAsia" w:eastAsiaTheme="minorEastAsia" w:cstheme="minorEastAsia"/>
                <w:color w:val="auto"/>
                <w:sz w:val="21"/>
                <w:szCs w:val="21"/>
                <w:highlight w:val="none"/>
                <w:lang w:val="en-US" w:eastAsia="zh-CN"/>
              </w:rPr>
            </w:pPr>
          </w:p>
        </w:tc>
        <w:tc>
          <w:tcPr>
            <w:tcW w:w="667" w:type="pct"/>
            <w:vMerge w:val="continue"/>
            <w:tcBorders>
              <w:right w:val="single" w:color="auto" w:sz="4" w:space="0"/>
            </w:tcBorders>
            <w:shd w:val="clear" w:color="auto" w:fill="FFFFFF" w:themeFill="background1"/>
            <w:noWrap w:val="0"/>
            <w:vAlign w:val="center"/>
          </w:tcPr>
          <w:p w14:paraId="21581104">
            <w:pPr>
              <w:spacing w:after="120" w:afterLines="50" w:line="360" w:lineRule="auto"/>
              <w:rPr>
                <w:rFonts w:hint="eastAsia" w:asciiTheme="minorEastAsia" w:hAnsiTheme="minorEastAsia" w:eastAsiaTheme="minorEastAsia" w:cstheme="minorEastAsia"/>
                <w:color w:val="000000"/>
                <w:sz w:val="21"/>
                <w:szCs w:val="21"/>
                <w:highlight w:val="none"/>
              </w:rPr>
            </w:pPr>
          </w:p>
        </w:tc>
        <w:tc>
          <w:tcPr>
            <w:tcW w:w="906" w:type="pct"/>
            <w:tcBorders>
              <w:top w:val="single" w:color="auto" w:sz="4" w:space="0"/>
              <w:left w:val="single" w:color="auto" w:sz="4" w:space="0"/>
            </w:tcBorders>
            <w:shd w:val="clear" w:color="auto" w:fill="FFFFFF" w:themeFill="background1"/>
            <w:noWrap w:val="0"/>
            <w:vAlign w:val="center"/>
          </w:tcPr>
          <w:p w14:paraId="524D8BE6">
            <w:pPr>
              <w:spacing w:after="120" w:afterLines="50" w:line="360" w:lineRule="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无社会化运营照料中心</w:t>
            </w:r>
          </w:p>
        </w:tc>
        <w:tc>
          <w:tcPr>
            <w:tcW w:w="394" w:type="pct"/>
            <w:tcBorders>
              <w:top w:val="single" w:color="auto" w:sz="4" w:space="0"/>
              <w:bottom w:val="single" w:color="auto" w:sz="4" w:space="0"/>
            </w:tcBorders>
            <w:shd w:val="clear" w:color="auto" w:fill="FFFFFF" w:themeFill="background1"/>
            <w:noWrap w:val="0"/>
            <w:vAlign w:val="center"/>
          </w:tcPr>
          <w:p w14:paraId="76EC25FB">
            <w:pPr>
              <w:pStyle w:val="692"/>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394" w:type="pct"/>
            <w:vMerge w:val="continue"/>
            <w:shd w:val="clear" w:color="auto" w:fill="FFFFFF" w:themeFill="background1"/>
            <w:noWrap w:val="0"/>
            <w:vAlign w:val="center"/>
          </w:tcPr>
          <w:p w14:paraId="7FAB2664">
            <w:pPr>
              <w:pStyle w:val="692"/>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b/>
                <w:bCs/>
                <w:color w:val="auto"/>
                <w:sz w:val="21"/>
                <w:szCs w:val="21"/>
                <w:highlight w:val="none"/>
                <w:shd w:val="clear" w:color="auto" w:fill="auto"/>
                <w:lang w:val="en-US" w:eastAsia="zh-CN"/>
              </w:rPr>
            </w:pPr>
          </w:p>
        </w:tc>
        <w:tc>
          <w:tcPr>
            <w:tcW w:w="917" w:type="pct"/>
            <w:tcBorders>
              <w:top w:val="single" w:color="auto" w:sz="4" w:space="0"/>
              <w:bottom w:val="single" w:color="auto" w:sz="4" w:space="0"/>
            </w:tcBorders>
            <w:shd w:val="clear" w:color="auto" w:fill="FFFFFF" w:themeFill="background1"/>
            <w:noWrap w:val="0"/>
            <w:vAlign w:val="center"/>
          </w:tcPr>
          <w:p w14:paraId="69075B36">
            <w:pPr>
              <w:pStyle w:val="692"/>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5000</w:t>
            </w:r>
          </w:p>
        </w:tc>
        <w:tc>
          <w:tcPr>
            <w:tcW w:w="679" w:type="pct"/>
            <w:vMerge w:val="continue"/>
            <w:shd w:val="clear" w:color="auto" w:fill="FFFFFF" w:themeFill="background1"/>
            <w:noWrap w:val="0"/>
            <w:vAlign w:val="center"/>
          </w:tcPr>
          <w:p w14:paraId="01D29198">
            <w:pPr>
              <w:shd w:val="clear"/>
              <w:spacing w:line="36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p>
        </w:tc>
        <w:tc>
          <w:tcPr>
            <w:tcW w:w="223" w:type="pct"/>
            <w:vMerge w:val="continue"/>
            <w:shd w:val="clear" w:color="auto" w:fill="FFFFFF" w:themeFill="background1"/>
            <w:noWrap w:val="0"/>
            <w:vAlign w:val="center"/>
          </w:tcPr>
          <w:p w14:paraId="210E00A2">
            <w:pPr>
              <w:pStyle w:val="692"/>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color w:val="auto"/>
                <w:sz w:val="21"/>
                <w:szCs w:val="21"/>
                <w:highlight w:val="none"/>
                <w:lang w:val="en-US"/>
              </w:rPr>
            </w:pPr>
          </w:p>
        </w:tc>
      </w:tr>
      <w:tr w14:paraId="22CF5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17" w:type="pct"/>
            <w:vMerge w:val="continue"/>
            <w:shd w:val="clear" w:color="auto" w:fill="FFFFFF" w:themeFill="background1"/>
            <w:noWrap w:val="0"/>
            <w:vAlign w:val="center"/>
          </w:tcPr>
          <w:p w14:paraId="062FBFCC">
            <w:pPr>
              <w:pStyle w:val="692"/>
              <w:keepNext w:val="0"/>
              <w:keepLines w:val="0"/>
              <w:pageBreakBefore w:val="0"/>
              <w:shd w:val="clear"/>
              <w:kinsoku/>
              <w:wordWrap/>
              <w:topLinePunct w:val="0"/>
              <w:bidi w:val="0"/>
              <w:adjustRightInd w:val="0"/>
              <w:snapToGrid w:val="0"/>
              <w:spacing w:line="360" w:lineRule="auto"/>
              <w:ind w:right="264"/>
              <w:jc w:val="center"/>
              <w:rPr>
                <w:rFonts w:hint="eastAsia" w:asciiTheme="minorEastAsia" w:hAnsiTheme="minorEastAsia" w:eastAsiaTheme="minorEastAsia" w:cstheme="minorEastAsia"/>
                <w:color w:val="auto"/>
                <w:sz w:val="21"/>
                <w:szCs w:val="21"/>
                <w:highlight w:val="none"/>
                <w:lang w:val="en-US" w:eastAsia="zh-CN"/>
              </w:rPr>
            </w:pPr>
          </w:p>
        </w:tc>
        <w:tc>
          <w:tcPr>
            <w:tcW w:w="1573" w:type="pct"/>
            <w:gridSpan w:val="2"/>
            <w:shd w:val="clear" w:color="auto" w:fill="FFFFFF" w:themeFill="background1"/>
            <w:noWrap w:val="0"/>
            <w:vAlign w:val="center"/>
          </w:tcPr>
          <w:p w14:paraId="1298AF89">
            <w:pPr>
              <w:spacing w:after="120" w:afterLines="50"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居家养老</w:t>
            </w:r>
            <w:r>
              <w:rPr>
                <w:rFonts w:hint="eastAsia" w:asciiTheme="minorEastAsia" w:hAnsiTheme="minorEastAsia" w:eastAsiaTheme="minorEastAsia" w:cstheme="minorEastAsia"/>
                <w:color w:val="000000"/>
                <w:sz w:val="21"/>
                <w:szCs w:val="21"/>
                <w:highlight w:val="none"/>
                <w:lang w:val="en-US" w:eastAsia="zh-CN"/>
              </w:rPr>
              <w:t>服务</w:t>
            </w:r>
            <w:r>
              <w:rPr>
                <w:rFonts w:hint="eastAsia" w:asciiTheme="minorEastAsia" w:hAnsiTheme="minorEastAsia" w:eastAsiaTheme="minorEastAsia" w:cstheme="minorEastAsia"/>
                <w:color w:val="000000"/>
                <w:sz w:val="21"/>
                <w:szCs w:val="21"/>
                <w:highlight w:val="none"/>
              </w:rPr>
              <w:t>照料中心托管运营</w:t>
            </w:r>
          </w:p>
        </w:tc>
        <w:tc>
          <w:tcPr>
            <w:tcW w:w="394" w:type="pct"/>
            <w:tcBorders>
              <w:top w:val="single" w:color="auto" w:sz="4" w:space="0"/>
            </w:tcBorders>
            <w:shd w:val="clear" w:color="auto" w:fill="FFFFFF" w:themeFill="background1"/>
            <w:noWrap w:val="0"/>
            <w:vAlign w:val="center"/>
          </w:tcPr>
          <w:p w14:paraId="71BC5666">
            <w:pPr>
              <w:pStyle w:val="692"/>
              <w:keepNext w:val="0"/>
              <w:keepLines w:val="0"/>
              <w:pageBreakBefore w:val="0"/>
              <w:shd w:val="clear"/>
              <w:kinsoku/>
              <w:wordWrap/>
              <w:topLinePunct w:val="0"/>
              <w:bidi w:val="0"/>
              <w:adjustRightInd w:val="0"/>
              <w:snapToGrid w:val="0"/>
              <w:spacing w:before="1" w:line="360" w:lineRule="auto"/>
              <w:ind w:right="106"/>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394" w:type="pct"/>
            <w:vMerge w:val="continue"/>
            <w:shd w:val="clear" w:color="auto" w:fill="FFFFFF" w:themeFill="background1"/>
            <w:noWrap w:val="0"/>
            <w:vAlign w:val="center"/>
          </w:tcPr>
          <w:p w14:paraId="2852BFE6">
            <w:pPr>
              <w:pStyle w:val="692"/>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b/>
                <w:bCs/>
                <w:color w:val="auto"/>
                <w:sz w:val="21"/>
                <w:szCs w:val="21"/>
                <w:highlight w:val="none"/>
                <w:shd w:val="clear" w:color="auto" w:fill="auto"/>
                <w:lang w:val="en-US" w:eastAsia="zh-CN"/>
              </w:rPr>
            </w:pPr>
          </w:p>
        </w:tc>
        <w:tc>
          <w:tcPr>
            <w:tcW w:w="917" w:type="pct"/>
            <w:tcBorders>
              <w:top w:val="single" w:color="auto" w:sz="4" w:space="0"/>
              <w:bottom w:val="single" w:color="auto" w:sz="4" w:space="0"/>
            </w:tcBorders>
            <w:shd w:val="clear" w:color="auto" w:fill="FFFFFF" w:themeFill="background1"/>
            <w:noWrap w:val="0"/>
            <w:vAlign w:val="center"/>
          </w:tcPr>
          <w:p w14:paraId="3C3EE171">
            <w:pPr>
              <w:pStyle w:val="692"/>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10000</w:t>
            </w:r>
          </w:p>
        </w:tc>
        <w:tc>
          <w:tcPr>
            <w:tcW w:w="679" w:type="pct"/>
            <w:vMerge w:val="continue"/>
            <w:tcBorders>
              <w:bottom w:val="single" w:color="auto" w:sz="4" w:space="0"/>
            </w:tcBorders>
            <w:shd w:val="clear" w:color="auto" w:fill="FFFFFF" w:themeFill="background1"/>
            <w:noWrap w:val="0"/>
            <w:vAlign w:val="center"/>
          </w:tcPr>
          <w:p w14:paraId="4EA9FD8A">
            <w:pPr>
              <w:shd w:val="clear"/>
              <w:spacing w:line="36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p>
        </w:tc>
        <w:tc>
          <w:tcPr>
            <w:tcW w:w="223" w:type="pct"/>
            <w:vMerge w:val="continue"/>
            <w:shd w:val="clear" w:color="auto" w:fill="FFFFFF" w:themeFill="background1"/>
            <w:noWrap w:val="0"/>
            <w:vAlign w:val="center"/>
          </w:tcPr>
          <w:p w14:paraId="35C5F935">
            <w:pPr>
              <w:pStyle w:val="692"/>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color w:val="auto"/>
                <w:sz w:val="21"/>
                <w:szCs w:val="21"/>
                <w:highlight w:val="none"/>
                <w:lang w:val="en-US"/>
              </w:rPr>
            </w:pPr>
          </w:p>
        </w:tc>
      </w:tr>
      <w:bookmarkEnd w:id="4"/>
      <w:bookmarkEnd w:id="5"/>
      <w:bookmarkEnd w:id="6"/>
      <w:bookmarkEnd w:id="7"/>
    </w:tbl>
    <w:p w14:paraId="0B6721BE">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color w:val="000000"/>
          <w:kern w:val="0"/>
          <w:sz w:val="21"/>
          <w:szCs w:val="21"/>
          <w:highlight w:val="none"/>
          <w:lang w:val="en-US" w:eastAsia="zh-CN" w:bidi="ar"/>
        </w:rPr>
        <w:t xml:space="preserve">二、服务内容 </w:t>
      </w:r>
    </w:p>
    <w:p w14:paraId="65B10163">
      <w:pPr>
        <w:spacing w:after="120" w:afterLines="50" w:line="240" w:lineRule="auto"/>
        <w:ind w:firstLine="420" w:firstLineChars="20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项目概况：为贯彻落实《台州市居家养老服务条例》，进一步鼓励引导社会力量参与村（社区）居家养老服务（照料）中心日常运营，提高居家养老服务设施运行管理能力，提升居家养老服务规范化、专业化、精细化、标准化水平，切实提升服务绩效和服务满意度，结合路桥区实际，制订本方案。</w:t>
      </w:r>
    </w:p>
    <w:p w14:paraId="02EA5F7C">
      <w:pPr>
        <w:spacing w:after="120" w:afterLines="50" w:line="240" w:lineRule="auto"/>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 xml:space="preserve">2、运营理念及方式：通过市场化运作，引进优秀服务企业；坚持规范化、制度化、创造一流的服务品牌；坚持服务第一，强化服务宗旨意识，为居家养老服务（照料）中心提供优良的托管运营服务。项目所有权不变、公益性质不变、服务宗旨不变、业务范围不变，激发市场主体活力，创新服务供给方式。为本辖区老年人提供文化教育、健身娱乐、日间照料、居家养老以及护理人员培训等服务，以不断满足老年人日益增长的养老服务需求。 </w:t>
      </w:r>
    </w:p>
    <w:p w14:paraId="3875F11D">
      <w:pPr>
        <w:spacing w:after="120" w:afterLines="50" w:line="240" w:lineRule="auto"/>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3、服务内容与要求：</w:t>
      </w:r>
    </w:p>
    <w:p w14:paraId="2C5FD6A7">
      <w:pPr>
        <w:spacing w:after="120" w:afterLines="50" w:line="240" w:lineRule="auto"/>
        <w:ind w:firstLine="422" w:firstLineChars="200"/>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eastAsiaTheme="minorEastAsia" w:cstheme="minorEastAsia"/>
          <w:b/>
          <w:bCs/>
          <w:color w:val="000000"/>
          <w:sz w:val="21"/>
          <w:szCs w:val="21"/>
          <w:highlight w:val="none"/>
          <w:lang w:val="en-US" w:eastAsia="zh-CN"/>
        </w:rPr>
        <w:t xml:space="preserve">（1）服务内容： </w:t>
      </w:r>
    </w:p>
    <w:p w14:paraId="1CDD9152">
      <w:pPr>
        <w:spacing w:after="120" w:afterLines="50" w:line="240" w:lineRule="auto"/>
        <w:ind w:firstLine="422" w:firstLineChars="200"/>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eastAsiaTheme="minorEastAsia" w:cstheme="minorEastAsia"/>
          <w:b/>
          <w:bCs/>
          <w:color w:val="000000"/>
          <w:sz w:val="21"/>
          <w:szCs w:val="21"/>
          <w:highlight w:val="none"/>
          <w:lang w:val="en-US" w:eastAsia="zh-CN"/>
        </w:rPr>
        <w:t>①居家养老服务中心社会化运营要求</w:t>
      </w:r>
    </w:p>
    <w:tbl>
      <w:tblPr>
        <w:tblStyle w:val="78"/>
        <w:tblW w:w="9725"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16"/>
        <w:gridCol w:w="7189"/>
      </w:tblGrid>
      <w:tr w14:paraId="249D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20" w:type="dxa"/>
            <w:noWrap w:val="0"/>
            <w:vAlign w:val="center"/>
          </w:tcPr>
          <w:p w14:paraId="1B62405B">
            <w:pPr>
              <w:widowControl/>
              <w:numPr>
                <w:ilvl w:val="0"/>
                <w:numId w:val="0"/>
              </w:numPr>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项目</w:t>
            </w:r>
          </w:p>
        </w:tc>
        <w:tc>
          <w:tcPr>
            <w:tcW w:w="1816" w:type="dxa"/>
            <w:noWrap w:val="0"/>
            <w:vAlign w:val="center"/>
          </w:tcPr>
          <w:p w14:paraId="33635E70">
            <w:pPr>
              <w:widowControl/>
              <w:numPr>
                <w:ilvl w:val="0"/>
                <w:numId w:val="0"/>
              </w:numPr>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内容</w:t>
            </w:r>
          </w:p>
        </w:tc>
        <w:tc>
          <w:tcPr>
            <w:tcW w:w="7189" w:type="dxa"/>
            <w:noWrap w:val="0"/>
            <w:vAlign w:val="center"/>
          </w:tcPr>
          <w:p w14:paraId="5350088A">
            <w:pPr>
              <w:widowControl/>
              <w:numPr>
                <w:ilvl w:val="0"/>
                <w:numId w:val="0"/>
              </w:numPr>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要求</w:t>
            </w:r>
          </w:p>
        </w:tc>
      </w:tr>
      <w:tr w14:paraId="03AF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Merge w:val="restart"/>
            <w:noWrap w:val="0"/>
            <w:vAlign w:val="center"/>
          </w:tcPr>
          <w:p w14:paraId="62DB0674">
            <w:pPr>
              <w:pStyle w:val="2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服务内容</w:t>
            </w:r>
          </w:p>
        </w:tc>
        <w:tc>
          <w:tcPr>
            <w:tcW w:w="1816" w:type="dxa"/>
            <w:noWrap w:val="0"/>
            <w:vAlign w:val="center"/>
          </w:tcPr>
          <w:p w14:paraId="3D456EA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1</w:t>
            </w: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w:t>
            </w: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生活服务</w:t>
            </w:r>
          </w:p>
        </w:tc>
        <w:tc>
          <w:tcPr>
            <w:tcW w:w="7189" w:type="dxa"/>
            <w:noWrap w:val="0"/>
            <w:vAlign w:val="center"/>
          </w:tcPr>
          <w:p w14:paraId="2B178981">
            <w:pPr>
              <w:widowControl/>
              <w:numPr>
                <w:ilvl w:val="0"/>
                <w:numId w:val="0"/>
              </w:numPr>
              <w:spacing w:line="240" w:lineRule="auto"/>
              <w:ind w:firstLine="420" w:firstLineChars="200"/>
              <w:jc w:val="left"/>
              <w:textAlignment w:val="cente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采取有偿服务方式，</w:t>
            </w: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服务收费</w:t>
            </w: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由服务中心（老省心综合体）</w:t>
            </w: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自行</w:t>
            </w: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确定</w:t>
            </w:r>
            <w:r>
              <w:rPr>
                <w:rFonts w:hint="eastAsia" w:asciiTheme="minorEastAsia" w:hAnsiTheme="minorEastAsia" w:eastAsiaTheme="minorEastAsia" w:cstheme="minorEastAsia"/>
                <w:b w:val="0"/>
                <w:bCs w:val="0"/>
                <w:color w:val="000000"/>
                <w:kern w:val="0"/>
                <w:sz w:val="21"/>
                <w:szCs w:val="21"/>
                <w:highlight w:val="none"/>
                <w:lang w:bidi="ar"/>
              </w:rPr>
              <w:t>，原则上不高于政府购买居家养老服务项目价格标准。</w:t>
            </w:r>
          </w:p>
          <w:p w14:paraId="56F0808A">
            <w:pPr>
              <w:keepNext w:val="0"/>
              <w:keepLines w:val="0"/>
              <w:pageBreakBefore w:val="0"/>
              <w:widowControl/>
              <w:numPr>
                <w:ilvl w:val="0"/>
                <w:numId w:val="34"/>
              </w:numPr>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0"/>
                <w:sz w:val="21"/>
                <w:szCs w:val="21"/>
                <w:highlight w:val="none"/>
                <w:u w:val="none"/>
                <w:lang w:eastAsia="zh-CN" w:bidi="ar"/>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提供助餐、助浴、洗涤等设施及服务，开展上门养老服务，在区域内开展并提供助餐配送餐服务，并有服务记录</w:t>
            </w: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w:t>
            </w:r>
          </w:p>
          <w:p w14:paraId="5FA1D28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0"/>
                <w:sz w:val="21"/>
                <w:szCs w:val="21"/>
                <w:highlight w:val="none"/>
                <w:u w:val="none"/>
                <w:lang w:eastAsia="zh-CN" w:bidi="ar"/>
              </w:rPr>
            </w:pP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2.老省心综合体必须开伙；</w:t>
            </w:r>
          </w:p>
          <w:p w14:paraId="04A0ACE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2"/>
                <w:sz w:val="21"/>
                <w:szCs w:val="21"/>
                <w:highlight w:val="none"/>
                <w:u w:val="none"/>
                <w:lang w:eastAsia="zh-CN" w:bidi="ar-SA"/>
              </w:rPr>
            </w:pP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3.</w:t>
            </w: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项目周期内完成各类生活服务不少于300人次(不能全为单一种类服务)</w:t>
            </w: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w:t>
            </w:r>
          </w:p>
          <w:p w14:paraId="51D3056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eastAsia="zh-CN" w:bidi="ar"/>
              </w:rPr>
              <w:t>4.</w:t>
            </w:r>
            <w:r>
              <w:rPr>
                <w:rFonts w:hint="eastAsia" w:asciiTheme="minorEastAsia" w:hAnsiTheme="minorEastAsia" w:eastAsiaTheme="minorEastAsia" w:cstheme="minorEastAsia"/>
                <w:i w:val="0"/>
                <w:color w:val="auto"/>
                <w:kern w:val="0"/>
                <w:sz w:val="21"/>
                <w:szCs w:val="21"/>
                <w:highlight w:val="none"/>
                <w:u w:val="none"/>
                <w:lang w:val="en-US" w:eastAsia="zh-CN" w:bidi="ar"/>
              </w:rPr>
              <w:t>每月至少组织4次为老年人免费理发、剪指甲、助浴、量血压等日常生活服务，每次服务活动时间不少于1天。</w:t>
            </w:r>
          </w:p>
          <w:p w14:paraId="4AA0E95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i w:val="0"/>
                <w:color w:val="auto"/>
                <w:kern w:val="0"/>
                <w:sz w:val="21"/>
                <w:szCs w:val="21"/>
                <w:highlight w:val="none"/>
                <w:u w:val="none"/>
                <w:lang w:eastAsia="zh-CN" w:bidi="ar"/>
              </w:rPr>
            </w:pPr>
            <w:r>
              <w:rPr>
                <w:rFonts w:hint="eastAsia" w:asciiTheme="minorEastAsia" w:hAnsiTheme="minorEastAsia" w:eastAsiaTheme="minorEastAsia" w:cstheme="minorEastAsia"/>
                <w:i w:val="0"/>
                <w:color w:val="auto"/>
                <w:kern w:val="0"/>
                <w:sz w:val="21"/>
                <w:szCs w:val="21"/>
                <w:highlight w:val="none"/>
                <w:u w:val="none"/>
                <w:lang w:eastAsia="zh-CN" w:bidi="ar"/>
              </w:rPr>
              <w:t>5.</w:t>
            </w:r>
            <w:r>
              <w:rPr>
                <w:rFonts w:hint="eastAsia" w:asciiTheme="minorEastAsia" w:hAnsiTheme="minorEastAsia" w:eastAsiaTheme="minorEastAsia" w:cstheme="minorEastAsia"/>
                <w:i w:val="0"/>
                <w:color w:val="auto"/>
                <w:kern w:val="0"/>
                <w:sz w:val="21"/>
                <w:szCs w:val="21"/>
                <w:highlight w:val="none"/>
                <w:u w:val="none"/>
                <w:lang w:val="zh-CN" w:eastAsia="zh-CN" w:bidi="ar"/>
              </w:rPr>
              <w:t>每</w:t>
            </w:r>
            <w:r>
              <w:rPr>
                <w:rFonts w:hint="eastAsia" w:asciiTheme="minorEastAsia" w:hAnsiTheme="minorEastAsia" w:eastAsiaTheme="minorEastAsia" w:cstheme="minorEastAsia"/>
                <w:i w:val="0"/>
                <w:color w:val="auto"/>
                <w:kern w:val="0"/>
                <w:sz w:val="21"/>
                <w:szCs w:val="21"/>
                <w:highlight w:val="none"/>
                <w:u w:val="none"/>
                <w:lang w:val="en-US" w:eastAsia="zh-CN" w:bidi="ar"/>
              </w:rPr>
              <w:t>月至少</w:t>
            </w:r>
            <w:r>
              <w:rPr>
                <w:rFonts w:hint="eastAsia" w:asciiTheme="minorEastAsia" w:hAnsiTheme="minorEastAsia" w:eastAsiaTheme="minorEastAsia" w:cstheme="minorEastAsia"/>
                <w:i w:val="0"/>
                <w:color w:val="auto"/>
                <w:kern w:val="0"/>
                <w:sz w:val="21"/>
                <w:szCs w:val="21"/>
                <w:highlight w:val="none"/>
                <w:u w:val="none"/>
                <w:lang w:val="zh-CN" w:eastAsia="zh-CN" w:bidi="ar"/>
              </w:rPr>
              <w:t>开展</w:t>
            </w:r>
            <w:r>
              <w:rPr>
                <w:rFonts w:hint="eastAsia" w:asciiTheme="minorEastAsia" w:hAnsiTheme="minorEastAsia" w:eastAsiaTheme="minorEastAsia" w:cstheme="minorEastAsia"/>
                <w:i w:val="0"/>
                <w:color w:val="auto"/>
                <w:kern w:val="0"/>
                <w:sz w:val="21"/>
                <w:szCs w:val="21"/>
                <w:highlight w:val="none"/>
                <w:u w:val="none"/>
                <w:lang w:val="en-US" w:eastAsia="zh-CN" w:bidi="ar"/>
              </w:rPr>
              <w:t>2次</w:t>
            </w:r>
            <w:r>
              <w:rPr>
                <w:rFonts w:hint="eastAsia" w:asciiTheme="minorEastAsia" w:hAnsiTheme="minorEastAsia" w:eastAsiaTheme="minorEastAsia" w:cstheme="minorEastAsia"/>
                <w:i w:val="0"/>
                <w:color w:val="auto"/>
                <w:kern w:val="0"/>
                <w:sz w:val="21"/>
                <w:szCs w:val="21"/>
                <w:highlight w:val="none"/>
                <w:u w:val="none"/>
                <w:lang w:val="zh-CN" w:eastAsia="zh-CN" w:bidi="ar"/>
              </w:rPr>
              <w:t>日常老年文体活动</w:t>
            </w:r>
            <w:r>
              <w:rPr>
                <w:rFonts w:hint="eastAsia" w:asciiTheme="minorEastAsia" w:hAnsiTheme="minorEastAsia" w:eastAsiaTheme="minorEastAsia" w:cstheme="minorEastAsia"/>
                <w:i w:val="0"/>
                <w:color w:val="auto"/>
                <w:kern w:val="0"/>
                <w:sz w:val="21"/>
                <w:szCs w:val="21"/>
                <w:highlight w:val="none"/>
                <w:u w:val="none"/>
                <w:lang w:eastAsia="zh-CN" w:bidi="ar"/>
              </w:rPr>
              <w:t>；</w:t>
            </w:r>
          </w:p>
          <w:p w14:paraId="289CCA0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2"/>
                <w:sz w:val="21"/>
                <w:szCs w:val="21"/>
                <w:highlight w:val="none"/>
                <w:u w:val="none"/>
                <w:lang w:eastAsia="zh-CN" w:bidi="ar-SA"/>
              </w:rPr>
            </w:pPr>
            <w:r>
              <w:rPr>
                <w:rFonts w:hint="eastAsia" w:asciiTheme="minorEastAsia" w:hAnsiTheme="minorEastAsia" w:eastAsiaTheme="minorEastAsia" w:cstheme="minorEastAsia"/>
                <w:i w:val="0"/>
                <w:color w:val="auto"/>
                <w:kern w:val="0"/>
                <w:sz w:val="21"/>
                <w:szCs w:val="21"/>
                <w:highlight w:val="none"/>
                <w:u w:val="none"/>
                <w:lang w:eastAsia="zh-CN" w:bidi="ar"/>
              </w:rPr>
              <w:t>6.</w:t>
            </w:r>
            <w:r>
              <w:rPr>
                <w:rFonts w:hint="eastAsia" w:asciiTheme="minorEastAsia" w:hAnsiTheme="minorEastAsia" w:eastAsiaTheme="minorEastAsia" w:cstheme="minorEastAsia"/>
                <w:i w:val="0"/>
                <w:color w:val="auto"/>
                <w:kern w:val="0"/>
                <w:sz w:val="21"/>
                <w:szCs w:val="21"/>
                <w:highlight w:val="none"/>
                <w:u w:val="none"/>
                <w:lang w:val="en-US" w:eastAsia="zh-CN" w:bidi="ar"/>
              </w:rPr>
              <w:t>项目周期内</w:t>
            </w:r>
            <w:r>
              <w:rPr>
                <w:rFonts w:hint="eastAsia" w:asciiTheme="minorEastAsia" w:hAnsiTheme="minorEastAsia" w:eastAsiaTheme="minorEastAsia" w:cstheme="minorEastAsia"/>
                <w:i w:val="0"/>
                <w:color w:val="auto"/>
                <w:kern w:val="0"/>
                <w:sz w:val="21"/>
                <w:szCs w:val="21"/>
                <w:highlight w:val="none"/>
                <w:u w:val="none"/>
                <w:lang w:eastAsia="zh-CN" w:bidi="ar"/>
              </w:rPr>
              <w:t>至少</w:t>
            </w:r>
            <w:r>
              <w:rPr>
                <w:rFonts w:hint="eastAsia" w:asciiTheme="minorEastAsia" w:hAnsiTheme="minorEastAsia" w:eastAsiaTheme="minorEastAsia" w:cstheme="minorEastAsia"/>
                <w:i w:val="0"/>
                <w:color w:val="auto"/>
                <w:kern w:val="0"/>
                <w:sz w:val="21"/>
                <w:szCs w:val="21"/>
                <w:highlight w:val="none"/>
                <w:u w:val="none"/>
                <w:lang w:val="en-US" w:eastAsia="zh-CN" w:bidi="ar"/>
              </w:rPr>
              <w:t>开展</w:t>
            </w:r>
            <w:r>
              <w:rPr>
                <w:rFonts w:hint="eastAsia" w:asciiTheme="minorEastAsia" w:hAnsiTheme="minorEastAsia" w:eastAsiaTheme="minorEastAsia" w:cstheme="minorEastAsia"/>
                <w:i w:val="0"/>
                <w:color w:val="auto"/>
                <w:kern w:val="0"/>
                <w:sz w:val="21"/>
                <w:szCs w:val="21"/>
                <w:highlight w:val="none"/>
                <w:u w:val="none"/>
                <w:lang w:eastAsia="zh-CN" w:bidi="ar"/>
              </w:rPr>
              <w:t>4次</w:t>
            </w:r>
            <w:r>
              <w:rPr>
                <w:rFonts w:hint="eastAsia" w:asciiTheme="minorEastAsia" w:hAnsiTheme="minorEastAsia" w:eastAsiaTheme="minorEastAsia" w:cstheme="minorEastAsia"/>
                <w:i w:val="0"/>
                <w:color w:val="auto"/>
                <w:kern w:val="0"/>
                <w:sz w:val="21"/>
                <w:szCs w:val="21"/>
                <w:highlight w:val="none"/>
                <w:u w:val="none"/>
                <w:lang w:val="en-US" w:eastAsia="zh-CN" w:bidi="ar"/>
              </w:rPr>
              <w:t>防诈、智能手机使用、法律维权、心理、健康生活、文体、便民等专题讲座</w:t>
            </w:r>
            <w:r>
              <w:rPr>
                <w:rFonts w:hint="eastAsia" w:asciiTheme="minorEastAsia" w:hAnsiTheme="minorEastAsia" w:eastAsiaTheme="minorEastAsia" w:cstheme="minorEastAsia"/>
                <w:i w:val="0"/>
                <w:color w:val="auto"/>
                <w:kern w:val="0"/>
                <w:sz w:val="21"/>
                <w:szCs w:val="21"/>
                <w:highlight w:val="none"/>
                <w:u w:val="none"/>
                <w:lang w:eastAsia="zh-CN" w:bidi="ar"/>
              </w:rPr>
              <w:t>；</w:t>
            </w:r>
          </w:p>
          <w:p w14:paraId="356DCB1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2"/>
                <w:sz w:val="21"/>
                <w:szCs w:val="21"/>
                <w:highlight w:val="none"/>
                <w:u w:val="none"/>
                <w:lang w:eastAsia="zh-CN" w:bidi="ar-SA"/>
              </w:rPr>
            </w:pPr>
            <w:r>
              <w:rPr>
                <w:rFonts w:hint="eastAsia" w:asciiTheme="minorEastAsia" w:hAnsiTheme="minorEastAsia" w:eastAsiaTheme="minorEastAsia" w:cstheme="minorEastAsia"/>
                <w:i w:val="0"/>
                <w:color w:val="auto"/>
                <w:kern w:val="0"/>
                <w:sz w:val="21"/>
                <w:szCs w:val="21"/>
                <w:highlight w:val="none"/>
                <w:u w:val="none"/>
                <w:lang w:eastAsia="zh-CN" w:bidi="ar"/>
              </w:rPr>
              <w:t>7.</w:t>
            </w:r>
            <w:r>
              <w:rPr>
                <w:rFonts w:hint="eastAsia" w:asciiTheme="minorEastAsia" w:hAnsiTheme="minorEastAsia" w:eastAsiaTheme="minorEastAsia" w:cstheme="minorEastAsia"/>
                <w:i w:val="0"/>
                <w:color w:val="auto"/>
                <w:kern w:val="0"/>
                <w:sz w:val="21"/>
                <w:szCs w:val="21"/>
                <w:highlight w:val="none"/>
                <w:u w:val="none"/>
                <w:lang w:val="en-US" w:eastAsia="zh-CN" w:bidi="ar"/>
              </w:rPr>
              <w:t>项目周期至少开展4次以上节庆活动</w:t>
            </w:r>
            <w:r>
              <w:rPr>
                <w:rFonts w:hint="eastAsia" w:asciiTheme="minorEastAsia" w:hAnsiTheme="minorEastAsia" w:eastAsiaTheme="minorEastAsia" w:cstheme="minorEastAsia"/>
                <w:i w:val="0"/>
                <w:color w:val="auto"/>
                <w:kern w:val="0"/>
                <w:sz w:val="21"/>
                <w:szCs w:val="21"/>
                <w:highlight w:val="none"/>
                <w:u w:val="none"/>
                <w:lang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以弘扬传统文化为主题，以中秋、重阳、元旦、春节、元宵、端午等传统节日为契机，开展传统节庆活动，营造浓厚的社区节日氛围</w:t>
            </w:r>
            <w:r>
              <w:rPr>
                <w:rFonts w:hint="eastAsia" w:asciiTheme="minorEastAsia" w:hAnsiTheme="minorEastAsia" w:eastAsiaTheme="minorEastAsia" w:cstheme="minorEastAsia"/>
                <w:i w:val="0"/>
                <w:color w:val="auto"/>
                <w:kern w:val="0"/>
                <w:sz w:val="21"/>
                <w:szCs w:val="21"/>
                <w:highlight w:val="none"/>
                <w:u w:val="none"/>
                <w:lang w:eastAsia="zh-CN" w:bidi="ar"/>
              </w:rPr>
              <w:t>。</w:t>
            </w:r>
          </w:p>
        </w:tc>
      </w:tr>
      <w:tr w14:paraId="6AEA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20" w:type="dxa"/>
            <w:vMerge w:val="continue"/>
            <w:noWrap w:val="0"/>
            <w:vAlign w:val="top"/>
          </w:tcPr>
          <w:p w14:paraId="34C0D175">
            <w:pPr>
              <w:pStyle w:val="27"/>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1816" w:type="dxa"/>
            <w:noWrap w:val="0"/>
            <w:vAlign w:val="center"/>
          </w:tcPr>
          <w:p w14:paraId="5572D0B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2</w:t>
            </w: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w:t>
            </w: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康复护理服务</w:t>
            </w:r>
          </w:p>
        </w:tc>
        <w:tc>
          <w:tcPr>
            <w:tcW w:w="7189" w:type="dxa"/>
            <w:noWrap w:val="0"/>
            <w:vAlign w:val="center"/>
          </w:tcPr>
          <w:p w14:paraId="2F0CDBA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提供康复护理训练和指导、健康监测和指导、用药提醒和指导等服务。</w:t>
            </w:r>
          </w:p>
        </w:tc>
      </w:tr>
      <w:tr w14:paraId="202F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0" w:type="dxa"/>
            <w:vMerge w:val="continue"/>
            <w:noWrap w:val="0"/>
            <w:vAlign w:val="top"/>
          </w:tcPr>
          <w:p w14:paraId="7A1D602A">
            <w:pPr>
              <w:pStyle w:val="27"/>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1816" w:type="dxa"/>
            <w:noWrap w:val="0"/>
            <w:vAlign w:val="center"/>
          </w:tcPr>
          <w:p w14:paraId="16A2DB8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3</w:t>
            </w: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w:t>
            </w: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托养服务</w:t>
            </w:r>
          </w:p>
        </w:tc>
        <w:tc>
          <w:tcPr>
            <w:tcW w:w="7189" w:type="dxa"/>
            <w:noWrap w:val="0"/>
            <w:vAlign w:val="center"/>
          </w:tcPr>
          <w:p w14:paraId="1D8648D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为区域内的老年人提供日托或中短期全托服务，向长期照料老人的家庭提供喘息服务。</w:t>
            </w:r>
          </w:p>
        </w:tc>
      </w:tr>
      <w:tr w14:paraId="1E6B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20" w:type="dxa"/>
            <w:vMerge w:val="continue"/>
            <w:noWrap w:val="0"/>
            <w:vAlign w:val="top"/>
          </w:tcPr>
          <w:p w14:paraId="06B3F28F">
            <w:pPr>
              <w:pStyle w:val="27"/>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1816" w:type="dxa"/>
            <w:noWrap w:val="0"/>
            <w:vAlign w:val="center"/>
          </w:tcPr>
          <w:p w14:paraId="1E4D698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4</w:t>
            </w: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w:t>
            </w: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家庭支持服务</w:t>
            </w:r>
          </w:p>
        </w:tc>
        <w:tc>
          <w:tcPr>
            <w:tcW w:w="7189" w:type="dxa"/>
            <w:noWrap w:val="0"/>
            <w:vAlign w:val="center"/>
          </w:tcPr>
          <w:p w14:paraId="554A228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为高龄、失能老年人家庭提供护理、康复、照顾服务技术指导、培训和帮助。</w:t>
            </w:r>
          </w:p>
        </w:tc>
      </w:tr>
      <w:tr w14:paraId="0C4B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0" w:type="dxa"/>
            <w:vMerge w:val="continue"/>
            <w:noWrap w:val="0"/>
            <w:vAlign w:val="top"/>
          </w:tcPr>
          <w:p w14:paraId="5CDD9B50">
            <w:pPr>
              <w:pStyle w:val="27"/>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1816" w:type="dxa"/>
            <w:noWrap w:val="0"/>
            <w:vAlign w:val="center"/>
          </w:tcPr>
          <w:p w14:paraId="2C731EE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5</w:t>
            </w: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w:t>
            </w: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社会工作</w:t>
            </w: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和</w:t>
            </w: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心理疏导服务</w:t>
            </w:r>
          </w:p>
        </w:tc>
        <w:tc>
          <w:tcPr>
            <w:tcW w:w="7189" w:type="dxa"/>
            <w:noWrap w:val="0"/>
            <w:vAlign w:val="center"/>
          </w:tcPr>
          <w:p w14:paraId="3237682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运营团队建有助老队伍，开展心理疏导服务。</w:t>
            </w:r>
          </w:p>
        </w:tc>
      </w:tr>
      <w:tr w14:paraId="2D61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0" w:type="dxa"/>
            <w:vMerge w:val="continue"/>
            <w:noWrap w:val="0"/>
            <w:vAlign w:val="top"/>
          </w:tcPr>
          <w:p w14:paraId="1F31FE43">
            <w:pPr>
              <w:pStyle w:val="27"/>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1816" w:type="dxa"/>
            <w:noWrap w:val="0"/>
            <w:vAlign w:val="center"/>
          </w:tcPr>
          <w:p w14:paraId="6DDCB91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6</w:t>
            </w: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w:t>
            </w: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康复辅助器具租赁服务</w:t>
            </w:r>
          </w:p>
        </w:tc>
        <w:tc>
          <w:tcPr>
            <w:tcW w:w="7189" w:type="dxa"/>
            <w:noWrap w:val="0"/>
            <w:vAlign w:val="center"/>
          </w:tcPr>
          <w:p w14:paraId="52C7637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开展康复辅助器具租赁服务，并有服务记录。</w:t>
            </w:r>
          </w:p>
        </w:tc>
      </w:tr>
      <w:tr w14:paraId="093D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0" w:type="dxa"/>
            <w:vMerge w:val="continue"/>
            <w:noWrap w:val="0"/>
            <w:vAlign w:val="top"/>
          </w:tcPr>
          <w:p w14:paraId="74766CE9">
            <w:pPr>
              <w:pStyle w:val="27"/>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c>
          <w:tcPr>
            <w:tcW w:w="1816" w:type="dxa"/>
            <w:noWrap w:val="0"/>
            <w:vAlign w:val="center"/>
          </w:tcPr>
          <w:p w14:paraId="460BA3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7</w:t>
            </w: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w:t>
            </w: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其他</w:t>
            </w:r>
          </w:p>
        </w:tc>
        <w:tc>
          <w:tcPr>
            <w:tcW w:w="7189" w:type="dxa"/>
            <w:noWrap w:val="0"/>
            <w:vAlign w:val="center"/>
          </w:tcPr>
          <w:p w14:paraId="55EDF76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0"/>
                <w:sz w:val="21"/>
                <w:szCs w:val="21"/>
                <w:highlight w:val="none"/>
                <w:u w:val="none"/>
                <w:lang w:eastAsia="zh-CN" w:bidi="ar"/>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1.服务中心需辐射</w:t>
            </w: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无</w:t>
            </w: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 xml:space="preserve">社会化运营照料中心的村社，活动要求参照托管照料中心 </w:t>
            </w: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w:t>
            </w:r>
          </w:p>
          <w:p w14:paraId="2DC66D5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0"/>
                <w:sz w:val="21"/>
                <w:szCs w:val="21"/>
                <w:highlight w:val="none"/>
                <w:u w:val="none"/>
                <w:lang w:eastAsia="zh-CN" w:bidi="ar"/>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2.做好镇（街道）安排的其他活动</w:t>
            </w: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w:t>
            </w:r>
          </w:p>
        </w:tc>
      </w:tr>
      <w:tr w14:paraId="498E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0" w:type="dxa"/>
            <w:noWrap w:val="0"/>
            <w:vAlign w:val="center"/>
          </w:tcPr>
          <w:p w14:paraId="4C2A94A0">
            <w:pPr>
              <w:pStyle w:val="2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人员配置</w:t>
            </w:r>
          </w:p>
        </w:tc>
        <w:tc>
          <w:tcPr>
            <w:tcW w:w="9005" w:type="dxa"/>
            <w:gridSpan w:val="2"/>
            <w:noWrap w:val="0"/>
            <w:vAlign w:val="center"/>
          </w:tcPr>
          <w:p w14:paraId="080E7B5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1.</w:t>
            </w: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需配备1</w:t>
            </w:r>
            <w:r>
              <w:rPr>
                <w:rFonts w:hint="eastAsia" w:asciiTheme="minorEastAsia" w:hAnsiTheme="minorEastAsia" w:eastAsiaTheme="minorEastAsia" w:cstheme="minorEastAsia"/>
                <w:b w:val="0"/>
                <w:bCs w:val="0"/>
                <w:i w:val="0"/>
                <w:color w:val="auto"/>
                <w:kern w:val="0"/>
                <w:sz w:val="21"/>
                <w:szCs w:val="21"/>
                <w:highlight w:val="none"/>
                <w:u w:val="none"/>
                <w:lang w:val="zh-CN" w:eastAsia="zh-CN" w:bidi="ar"/>
              </w:rPr>
              <w:t>名</w:t>
            </w: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项目负责人，负责统筹安排服务（照料）中心运营管理工作；</w:t>
            </w:r>
          </w:p>
          <w:p w14:paraId="73102CF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0"/>
                <w:sz w:val="21"/>
                <w:szCs w:val="21"/>
                <w:highlight w:val="none"/>
                <w:u w:val="none"/>
                <w:lang w:eastAsia="zh-CN" w:bidi="ar"/>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2.服务中心要配备相应资质的工作人员，其中持证护理员不少于1名</w:t>
            </w:r>
            <w:r>
              <w:rPr>
                <w:rFonts w:hint="eastAsia" w:asciiTheme="minorEastAsia" w:hAnsiTheme="minorEastAsia" w:eastAsiaTheme="minorEastAsia" w:cstheme="minorEastAsia"/>
                <w:b w:val="0"/>
                <w:bCs w:val="0"/>
                <w:i w:val="0"/>
                <w:color w:val="auto"/>
                <w:kern w:val="0"/>
                <w:sz w:val="21"/>
                <w:szCs w:val="21"/>
                <w:highlight w:val="none"/>
                <w:u w:val="none"/>
                <w:lang w:val="zh-CN" w:eastAsia="zh-CN" w:bidi="ar"/>
              </w:rPr>
              <w:t>，并要求年龄小于</w:t>
            </w: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50</w:t>
            </w:r>
            <w:r>
              <w:rPr>
                <w:rFonts w:hint="eastAsia" w:asciiTheme="minorEastAsia" w:hAnsiTheme="minorEastAsia" w:eastAsiaTheme="minorEastAsia" w:cstheme="minorEastAsia"/>
                <w:b w:val="0"/>
                <w:bCs w:val="0"/>
                <w:i w:val="0"/>
                <w:color w:val="auto"/>
                <w:kern w:val="0"/>
                <w:sz w:val="21"/>
                <w:szCs w:val="21"/>
                <w:highlight w:val="none"/>
                <w:u w:val="none"/>
                <w:lang w:val="zh-CN" w:eastAsia="zh-CN" w:bidi="ar"/>
              </w:rPr>
              <w:t>岁，</w:t>
            </w: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熟练掌握计算机办公软件，落实服务中心具体的服务功能，不得由其他</w:t>
            </w:r>
            <w:r>
              <w:rPr>
                <w:rFonts w:hint="eastAsia" w:asciiTheme="minorEastAsia" w:hAnsiTheme="minorEastAsia" w:eastAsiaTheme="minorEastAsia" w:cstheme="minorEastAsia"/>
                <w:b w:val="0"/>
                <w:bCs w:val="0"/>
                <w:i w:val="0"/>
                <w:color w:val="auto"/>
                <w:kern w:val="0"/>
                <w:sz w:val="21"/>
                <w:szCs w:val="21"/>
                <w:highlight w:val="none"/>
                <w:u w:val="none"/>
                <w:lang w:val="zh-CN" w:eastAsia="zh-CN" w:bidi="ar"/>
              </w:rPr>
              <w:t>养老服务中心专职管理人员兼任</w:t>
            </w: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w:t>
            </w:r>
          </w:p>
          <w:p w14:paraId="0D71937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3.</w:t>
            </w: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落实护理员打卡</w:t>
            </w:r>
            <w:r>
              <w:rPr>
                <w:rFonts w:hint="eastAsia" w:asciiTheme="minorEastAsia" w:hAnsiTheme="minorEastAsia" w:eastAsiaTheme="minorEastAsia" w:cstheme="minorEastAsia"/>
                <w:b w:val="0"/>
                <w:bCs w:val="0"/>
                <w:i w:val="0"/>
                <w:color w:val="auto"/>
                <w:kern w:val="0"/>
                <w:sz w:val="21"/>
                <w:szCs w:val="21"/>
                <w:highlight w:val="none"/>
                <w:u w:val="none"/>
                <w:lang w:val="zh-CN" w:eastAsia="zh-CN" w:bidi="ar"/>
              </w:rPr>
              <w:t>。</w:t>
            </w:r>
          </w:p>
        </w:tc>
      </w:tr>
      <w:tr w14:paraId="4796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720" w:type="dxa"/>
            <w:noWrap w:val="0"/>
            <w:vAlign w:val="center"/>
          </w:tcPr>
          <w:p w14:paraId="7131C60B">
            <w:pPr>
              <w:pStyle w:val="2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管理制度</w:t>
            </w:r>
          </w:p>
        </w:tc>
        <w:tc>
          <w:tcPr>
            <w:tcW w:w="9005" w:type="dxa"/>
            <w:gridSpan w:val="2"/>
            <w:noWrap w:val="0"/>
            <w:vAlign w:val="center"/>
          </w:tcPr>
          <w:p w14:paraId="682B4F6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0"/>
                <w:sz w:val="21"/>
                <w:szCs w:val="21"/>
                <w:highlight w:val="none"/>
                <w:u w:val="none"/>
                <w:lang w:val="zh-CN" w:eastAsia="zh-CN" w:bidi="ar"/>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1</w:t>
            </w: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w:t>
            </w:r>
            <w:r>
              <w:rPr>
                <w:rFonts w:hint="eastAsia" w:asciiTheme="minorEastAsia" w:hAnsiTheme="minorEastAsia" w:eastAsiaTheme="minorEastAsia" w:cstheme="minorEastAsia"/>
                <w:b w:val="0"/>
                <w:bCs w:val="0"/>
                <w:i w:val="0"/>
                <w:color w:val="auto"/>
                <w:kern w:val="0"/>
                <w:sz w:val="21"/>
                <w:szCs w:val="21"/>
                <w:highlight w:val="none"/>
                <w:u w:val="none"/>
                <w:lang w:val="zh-CN" w:eastAsia="zh-CN" w:bidi="ar"/>
              </w:rPr>
              <w:t>服务人员、服务项目、收费标准和工作流程等需公示上墙；</w:t>
            </w:r>
          </w:p>
          <w:p w14:paraId="73AB416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2</w:t>
            </w: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w:t>
            </w: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建立健全日常管理制度及档案管理制度，服务中心须指导本（镇）街道</w:t>
            </w:r>
            <w:r>
              <w:rPr>
                <w:rFonts w:hint="eastAsia" w:asciiTheme="minorEastAsia" w:hAnsiTheme="minorEastAsia" w:eastAsiaTheme="minorEastAsia" w:cstheme="minorEastAsia"/>
                <w:b w:val="0"/>
                <w:bCs w:val="0"/>
                <w:i w:val="0"/>
                <w:color w:val="auto"/>
                <w:kern w:val="0"/>
                <w:sz w:val="21"/>
                <w:szCs w:val="21"/>
                <w:highlight w:val="none"/>
                <w:u w:val="none"/>
                <w:lang w:val="zh-CN" w:eastAsia="zh-CN" w:bidi="ar"/>
              </w:rPr>
              <w:t>内的照料中心完善各类（包括助餐配送餐）台账资料</w:t>
            </w: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w:t>
            </w:r>
            <w:r>
              <w:rPr>
                <w:rFonts w:hint="eastAsia" w:asciiTheme="minorEastAsia" w:hAnsiTheme="minorEastAsia" w:eastAsiaTheme="minorEastAsia" w:cstheme="minorEastAsia"/>
                <w:b w:val="0"/>
                <w:bCs w:val="0"/>
                <w:i w:val="0"/>
                <w:color w:val="auto"/>
                <w:kern w:val="0"/>
                <w:sz w:val="21"/>
                <w:szCs w:val="21"/>
                <w:highlight w:val="none"/>
                <w:u w:val="none"/>
                <w:lang w:val="zh-CN" w:eastAsia="zh-CN" w:bidi="ar"/>
              </w:rPr>
              <w:t>按照建立的制度及标准完成日常工作，并编写服务记录等工作台账；</w:t>
            </w:r>
          </w:p>
          <w:p w14:paraId="7FD4C6B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3</w:t>
            </w: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w:t>
            </w: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运营数据及时上传至“台州智慧养老服务监管平台”或指定的其他平台。</w:t>
            </w:r>
          </w:p>
        </w:tc>
      </w:tr>
      <w:tr w14:paraId="3668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0" w:type="dxa"/>
            <w:noWrap w:val="0"/>
            <w:vAlign w:val="center"/>
          </w:tcPr>
          <w:p w14:paraId="567E4B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开放时间</w:t>
            </w:r>
          </w:p>
        </w:tc>
        <w:tc>
          <w:tcPr>
            <w:tcW w:w="9005" w:type="dxa"/>
            <w:gridSpan w:val="2"/>
            <w:noWrap w:val="0"/>
            <w:vAlign w:val="center"/>
          </w:tcPr>
          <w:p w14:paraId="4EB78B3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0"/>
                <w:sz w:val="21"/>
                <w:szCs w:val="21"/>
                <w:highlight w:val="none"/>
                <w:u w:val="none"/>
                <w:lang w:val="zh-CN" w:eastAsia="zh-CN" w:bidi="ar"/>
              </w:rPr>
            </w:pP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1.</w:t>
            </w:r>
            <w:r>
              <w:rPr>
                <w:rFonts w:hint="eastAsia" w:asciiTheme="minorEastAsia" w:hAnsiTheme="minorEastAsia" w:eastAsiaTheme="minorEastAsia" w:cstheme="minorEastAsia"/>
                <w:b w:val="0"/>
                <w:bCs w:val="0"/>
                <w:i w:val="0"/>
                <w:color w:val="auto"/>
                <w:kern w:val="0"/>
                <w:sz w:val="21"/>
                <w:szCs w:val="21"/>
                <w:highlight w:val="none"/>
                <w:u w:val="none"/>
                <w:lang w:val="zh-CN" w:eastAsia="zh-CN" w:bidi="ar"/>
              </w:rPr>
              <w:t>周一至周日，早上8:00—下午4:30（如有全托需求的，需安排值班）；</w:t>
            </w:r>
          </w:p>
          <w:p w14:paraId="30B163F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i w:val="0"/>
                <w:color w:val="auto"/>
                <w:kern w:val="0"/>
                <w:sz w:val="21"/>
                <w:szCs w:val="21"/>
                <w:highlight w:val="none"/>
                <w:u w:val="none"/>
                <w:lang w:val="zh-CN" w:eastAsia="zh-CN" w:bidi="ar"/>
              </w:rPr>
            </w:pP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2.</w:t>
            </w:r>
            <w:r>
              <w:rPr>
                <w:rFonts w:hint="eastAsia" w:asciiTheme="minorEastAsia" w:hAnsiTheme="minorEastAsia" w:eastAsiaTheme="minorEastAsia" w:cstheme="minorEastAsia"/>
                <w:b w:val="0"/>
                <w:bCs w:val="0"/>
                <w:i w:val="0"/>
                <w:color w:val="auto"/>
                <w:kern w:val="0"/>
                <w:sz w:val="21"/>
                <w:szCs w:val="21"/>
                <w:highlight w:val="none"/>
                <w:u w:val="none"/>
                <w:lang w:val="zh-CN" w:eastAsia="zh-CN" w:bidi="ar"/>
              </w:rPr>
              <w:t>如遇法定节假日及特殊情况，根据镇</w:t>
            </w: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w:t>
            </w:r>
            <w:r>
              <w:rPr>
                <w:rFonts w:hint="eastAsia" w:asciiTheme="minorEastAsia" w:hAnsiTheme="minorEastAsia" w:eastAsiaTheme="minorEastAsia" w:cstheme="minorEastAsia"/>
                <w:b w:val="0"/>
                <w:bCs w:val="0"/>
                <w:i w:val="0"/>
                <w:color w:val="auto"/>
                <w:kern w:val="0"/>
                <w:sz w:val="21"/>
                <w:szCs w:val="21"/>
                <w:highlight w:val="none"/>
                <w:u w:val="none"/>
                <w:lang w:val="zh-CN" w:eastAsia="zh-CN" w:bidi="ar"/>
              </w:rPr>
              <w:t>街道</w:t>
            </w:r>
            <w:r>
              <w:rPr>
                <w:rFonts w:hint="eastAsia" w:asciiTheme="minorEastAsia" w:hAnsiTheme="minorEastAsia" w:eastAsiaTheme="minorEastAsia" w:cstheme="minorEastAsia"/>
                <w:b w:val="0"/>
                <w:bCs w:val="0"/>
                <w:i w:val="0"/>
                <w:color w:val="auto"/>
                <w:kern w:val="0"/>
                <w:sz w:val="21"/>
                <w:szCs w:val="21"/>
                <w:highlight w:val="none"/>
                <w:u w:val="none"/>
                <w:lang w:eastAsia="zh-CN" w:bidi="ar"/>
              </w:rPr>
              <w:t>)</w:t>
            </w:r>
            <w:r>
              <w:rPr>
                <w:rFonts w:hint="eastAsia" w:asciiTheme="minorEastAsia" w:hAnsiTheme="minorEastAsia" w:eastAsiaTheme="minorEastAsia" w:cstheme="minorEastAsia"/>
                <w:b w:val="0"/>
                <w:bCs w:val="0"/>
                <w:i w:val="0"/>
                <w:color w:val="auto"/>
                <w:kern w:val="0"/>
                <w:sz w:val="21"/>
                <w:szCs w:val="21"/>
                <w:highlight w:val="none"/>
                <w:u w:val="none"/>
                <w:lang w:val="zh-CN" w:eastAsia="zh-CN" w:bidi="ar"/>
              </w:rPr>
              <w:t>统一安排执行。</w:t>
            </w:r>
          </w:p>
        </w:tc>
      </w:tr>
    </w:tbl>
    <w:p w14:paraId="58489562">
      <w:pPr>
        <w:keepNext w:val="0"/>
        <w:keepLines w:val="0"/>
        <w:widowControl/>
        <w:suppressLineNumbers w:val="0"/>
        <w:jc w:val="left"/>
        <w:rPr>
          <w:rFonts w:hint="eastAsia" w:asciiTheme="minorEastAsia" w:hAnsiTheme="minorEastAsia" w:eastAsiaTheme="minorEastAsia" w:cstheme="minorEastAsia"/>
          <w:b/>
          <w:bCs/>
          <w:color w:val="000000"/>
          <w:kern w:val="0"/>
          <w:sz w:val="21"/>
          <w:szCs w:val="21"/>
          <w:highlight w:val="none"/>
          <w:lang w:val="en-US" w:eastAsia="zh-CN" w:bidi="ar"/>
        </w:rPr>
      </w:pPr>
      <w:r>
        <w:rPr>
          <w:rFonts w:hint="eastAsia" w:asciiTheme="minorEastAsia" w:hAnsiTheme="minorEastAsia" w:eastAsiaTheme="minorEastAsia" w:cstheme="minorEastAsia"/>
          <w:b/>
          <w:bCs/>
          <w:color w:val="000000"/>
          <w:kern w:val="0"/>
          <w:sz w:val="21"/>
          <w:szCs w:val="21"/>
          <w:highlight w:val="none"/>
          <w:lang w:val="en-US" w:eastAsia="zh-CN" w:bidi="ar"/>
        </w:rPr>
        <w:t>②居家养老服务照料中心社会化运营要求</w:t>
      </w:r>
    </w:p>
    <w:tbl>
      <w:tblPr>
        <w:tblStyle w:val="78"/>
        <w:tblW w:w="947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590"/>
        <w:gridCol w:w="6830"/>
      </w:tblGrid>
      <w:tr w14:paraId="6FF9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50" w:type="dxa"/>
            <w:noWrap w:val="0"/>
            <w:vAlign w:val="center"/>
          </w:tcPr>
          <w:p w14:paraId="3A3394C9">
            <w:pPr>
              <w:widowControl/>
              <w:numPr>
                <w:ilvl w:val="0"/>
                <w:numId w:val="0"/>
              </w:numPr>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项目</w:t>
            </w:r>
          </w:p>
        </w:tc>
        <w:tc>
          <w:tcPr>
            <w:tcW w:w="1590" w:type="dxa"/>
            <w:noWrap w:val="0"/>
            <w:vAlign w:val="center"/>
          </w:tcPr>
          <w:p w14:paraId="5C0FA565">
            <w:pPr>
              <w:widowControl/>
              <w:numPr>
                <w:ilvl w:val="0"/>
                <w:numId w:val="0"/>
              </w:numPr>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内容</w:t>
            </w:r>
          </w:p>
        </w:tc>
        <w:tc>
          <w:tcPr>
            <w:tcW w:w="6830" w:type="dxa"/>
            <w:noWrap w:val="0"/>
            <w:vAlign w:val="center"/>
          </w:tcPr>
          <w:p w14:paraId="20E41E65">
            <w:pPr>
              <w:widowControl/>
              <w:numPr>
                <w:ilvl w:val="0"/>
                <w:numId w:val="0"/>
              </w:numPr>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要求</w:t>
            </w:r>
          </w:p>
        </w:tc>
      </w:tr>
      <w:tr w14:paraId="376E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50" w:type="dxa"/>
            <w:vMerge w:val="restart"/>
            <w:noWrap w:val="0"/>
            <w:vAlign w:val="center"/>
          </w:tcPr>
          <w:p w14:paraId="01AF8F19">
            <w:pPr>
              <w:widowControl/>
              <w:numPr>
                <w:ilvl w:val="0"/>
                <w:numId w:val="0"/>
              </w:numPr>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服务</w:t>
            </w:r>
          </w:p>
          <w:p w14:paraId="11B7BA93">
            <w:pPr>
              <w:widowControl/>
              <w:numPr>
                <w:ilvl w:val="0"/>
                <w:numId w:val="0"/>
              </w:numPr>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内容</w:t>
            </w:r>
          </w:p>
        </w:tc>
        <w:tc>
          <w:tcPr>
            <w:tcW w:w="1590" w:type="dxa"/>
            <w:noWrap w:val="0"/>
            <w:vAlign w:val="center"/>
          </w:tcPr>
          <w:p w14:paraId="4194E330">
            <w:pPr>
              <w:widowControl/>
              <w:numPr>
                <w:ilvl w:val="0"/>
                <w:numId w:val="0"/>
              </w:numPr>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r>
              <w:rPr>
                <w:rFonts w:hint="eastAsia" w:asciiTheme="minorEastAsia" w:hAnsiTheme="minorEastAsia" w:eastAsiaTheme="minorEastAsia" w:cstheme="minorEastAsia"/>
                <w:i w:val="0"/>
                <w:color w:val="auto"/>
                <w:kern w:val="0"/>
                <w:sz w:val="21"/>
                <w:szCs w:val="21"/>
                <w:highlight w:val="none"/>
                <w:u w:val="none"/>
                <w:lang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生活服务</w:t>
            </w:r>
          </w:p>
        </w:tc>
        <w:tc>
          <w:tcPr>
            <w:tcW w:w="6830" w:type="dxa"/>
            <w:noWrap w:val="0"/>
            <w:vAlign w:val="center"/>
          </w:tcPr>
          <w:p w14:paraId="6F9F3162">
            <w:pPr>
              <w:widowControl/>
              <w:numPr>
                <w:ilvl w:val="0"/>
                <w:numId w:val="0"/>
              </w:numPr>
              <w:spacing w:line="240" w:lineRule="auto"/>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eastAsia="zh-CN" w:bidi="ar"/>
              </w:rPr>
              <w:t>1.</w:t>
            </w:r>
            <w:r>
              <w:rPr>
                <w:rFonts w:hint="eastAsia" w:asciiTheme="minorEastAsia" w:hAnsiTheme="minorEastAsia" w:eastAsiaTheme="minorEastAsia" w:cstheme="minorEastAsia"/>
                <w:i w:val="0"/>
                <w:color w:val="auto"/>
                <w:kern w:val="0"/>
                <w:sz w:val="21"/>
                <w:szCs w:val="21"/>
                <w:highlight w:val="none"/>
                <w:u w:val="none"/>
                <w:lang w:val="en-US" w:eastAsia="zh-CN" w:bidi="ar"/>
              </w:rPr>
              <w:t>切实提供生活服务、康复护理服务、家庭支持服务、社会工作和心理疏导等服务。</w:t>
            </w:r>
          </w:p>
          <w:p w14:paraId="67F09B76">
            <w:pPr>
              <w:widowControl/>
              <w:numPr>
                <w:ilvl w:val="0"/>
                <w:numId w:val="0"/>
              </w:numPr>
              <w:spacing w:line="240" w:lineRule="auto"/>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每个照料中心每月至少组织1次为老年人免费理发、剪指甲、助浴、量血压等日常生活服务，每次服务活动时间不少于1天。</w:t>
            </w:r>
          </w:p>
        </w:tc>
      </w:tr>
      <w:tr w14:paraId="7125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50" w:type="dxa"/>
            <w:vMerge w:val="continue"/>
            <w:noWrap w:val="0"/>
            <w:vAlign w:val="top"/>
          </w:tcPr>
          <w:p w14:paraId="7D011778">
            <w:pPr>
              <w:widowControl/>
              <w:numPr>
                <w:ilvl w:val="0"/>
                <w:numId w:val="0"/>
              </w:numPr>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p>
        </w:tc>
        <w:tc>
          <w:tcPr>
            <w:tcW w:w="1590" w:type="dxa"/>
            <w:noWrap w:val="0"/>
            <w:vAlign w:val="center"/>
          </w:tcPr>
          <w:p w14:paraId="534C8C0C">
            <w:pPr>
              <w:widowControl/>
              <w:numPr>
                <w:ilvl w:val="0"/>
                <w:numId w:val="0"/>
              </w:numPr>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color w:val="auto"/>
                <w:kern w:val="0"/>
                <w:sz w:val="21"/>
                <w:szCs w:val="21"/>
                <w:highlight w:val="none"/>
                <w:u w:val="none"/>
                <w:lang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老年文体活动</w:t>
            </w:r>
          </w:p>
        </w:tc>
        <w:tc>
          <w:tcPr>
            <w:tcW w:w="6830" w:type="dxa"/>
            <w:noWrap w:val="0"/>
            <w:vAlign w:val="center"/>
          </w:tcPr>
          <w:p w14:paraId="3BC19C57">
            <w:pPr>
              <w:widowControl/>
              <w:numPr>
                <w:ilvl w:val="0"/>
                <w:numId w:val="0"/>
              </w:numPr>
              <w:spacing w:line="240" w:lineRule="auto"/>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zh-CN" w:eastAsia="zh-CN" w:bidi="ar"/>
              </w:rPr>
              <w:t>开展老年文体活动，每</w:t>
            </w:r>
            <w:r>
              <w:rPr>
                <w:rFonts w:hint="eastAsia" w:asciiTheme="minorEastAsia" w:hAnsiTheme="minorEastAsia" w:eastAsiaTheme="minorEastAsia" w:cstheme="minorEastAsia"/>
                <w:i w:val="0"/>
                <w:color w:val="auto"/>
                <w:kern w:val="0"/>
                <w:sz w:val="21"/>
                <w:szCs w:val="21"/>
                <w:highlight w:val="none"/>
                <w:u w:val="none"/>
                <w:lang w:val="en-US" w:eastAsia="zh-CN" w:bidi="ar"/>
              </w:rPr>
              <w:t>个照料中心</w:t>
            </w:r>
            <w:r>
              <w:rPr>
                <w:rFonts w:hint="eastAsia" w:asciiTheme="minorEastAsia" w:hAnsiTheme="minorEastAsia" w:eastAsiaTheme="minorEastAsia" w:cstheme="minorEastAsia"/>
                <w:i w:val="0"/>
                <w:color w:val="auto"/>
                <w:kern w:val="0"/>
                <w:sz w:val="21"/>
                <w:szCs w:val="21"/>
                <w:highlight w:val="none"/>
                <w:u w:val="none"/>
                <w:lang w:val="zh-CN" w:eastAsia="zh-CN" w:bidi="ar"/>
              </w:rPr>
              <w:t>每</w:t>
            </w:r>
            <w:r>
              <w:rPr>
                <w:rFonts w:hint="eastAsia" w:asciiTheme="minorEastAsia" w:hAnsiTheme="minorEastAsia" w:eastAsiaTheme="minorEastAsia" w:cstheme="minorEastAsia"/>
                <w:i w:val="0"/>
                <w:color w:val="auto"/>
                <w:kern w:val="0"/>
                <w:sz w:val="21"/>
                <w:szCs w:val="21"/>
                <w:highlight w:val="none"/>
                <w:u w:val="none"/>
                <w:lang w:val="en-US" w:eastAsia="zh-CN" w:bidi="ar"/>
              </w:rPr>
              <w:t>季度至少</w:t>
            </w:r>
            <w:r>
              <w:rPr>
                <w:rFonts w:hint="eastAsia" w:asciiTheme="minorEastAsia" w:hAnsiTheme="minorEastAsia" w:eastAsiaTheme="minorEastAsia" w:cstheme="minorEastAsia"/>
                <w:i w:val="0"/>
                <w:color w:val="auto"/>
                <w:kern w:val="0"/>
                <w:sz w:val="21"/>
                <w:szCs w:val="21"/>
                <w:highlight w:val="none"/>
                <w:u w:val="none"/>
                <w:lang w:val="zh-CN" w:eastAsia="zh-CN" w:bidi="ar"/>
              </w:rPr>
              <w:t>开展</w:t>
            </w:r>
            <w:r>
              <w:rPr>
                <w:rFonts w:hint="eastAsia" w:asciiTheme="minorEastAsia" w:hAnsiTheme="minorEastAsia" w:eastAsiaTheme="minorEastAsia" w:cstheme="minorEastAsia"/>
                <w:i w:val="0"/>
                <w:color w:val="auto"/>
                <w:kern w:val="0"/>
                <w:sz w:val="21"/>
                <w:szCs w:val="21"/>
                <w:highlight w:val="none"/>
                <w:u w:val="none"/>
                <w:lang w:val="en-US" w:eastAsia="zh-CN" w:bidi="ar"/>
              </w:rPr>
              <w:t>1次</w:t>
            </w:r>
            <w:r>
              <w:rPr>
                <w:rFonts w:hint="eastAsia" w:asciiTheme="minorEastAsia" w:hAnsiTheme="minorEastAsia" w:eastAsiaTheme="minorEastAsia" w:cstheme="minorEastAsia"/>
                <w:i w:val="0"/>
                <w:color w:val="auto"/>
                <w:kern w:val="0"/>
                <w:sz w:val="21"/>
                <w:szCs w:val="21"/>
                <w:highlight w:val="none"/>
                <w:u w:val="none"/>
                <w:lang w:val="zh-CN" w:eastAsia="zh-CN" w:bidi="ar"/>
              </w:rPr>
              <w:t>日常老年文体活动。</w:t>
            </w:r>
          </w:p>
        </w:tc>
      </w:tr>
      <w:tr w14:paraId="7219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50" w:type="dxa"/>
            <w:vMerge w:val="continue"/>
            <w:noWrap w:val="0"/>
            <w:vAlign w:val="top"/>
          </w:tcPr>
          <w:p w14:paraId="79F268D4">
            <w:pPr>
              <w:widowControl/>
              <w:numPr>
                <w:ilvl w:val="0"/>
                <w:numId w:val="0"/>
              </w:numPr>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p>
        </w:tc>
        <w:tc>
          <w:tcPr>
            <w:tcW w:w="1590" w:type="dxa"/>
            <w:noWrap w:val="0"/>
            <w:vAlign w:val="center"/>
          </w:tcPr>
          <w:p w14:paraId="3D1E2F40">
            <w:pPr>
              <w:widowControl/>
              <w:numPr>
                <w:ilvl w:val="0"/>
                <w:numId w:val="0"/>
              </w:numPr>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color w:val="auto"/>
                <w:kern w:val="0"/>
                <w:sz w:val="21"/>
                <w:szCs w:val="21"/>
                <w:highlight w:val="none"/>
                <w:u w:val="none"/>
                <w:lang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专题讲座</w:t>
            </w:r>
          </w:p>
        </w:tc>
        <w:tc>
          <w:tcPr>
            <w:tcW w:w="6830" w:type="dxa"/>
            <w:noWrap w:val="0"/>
            <w:vAlign w:val="center"/>
          </w:tcPr>
          <w:p w14:paraId="6ACFE070">
            <w:pPr>
              <w:widowControl/>
              <w:numPr>
                <w:ilvl w:val="0"/>
                <w:numId w:val="0"/>
              </w:numPr>
              <w:spacing w:line="240" w:lineRule="auto"/>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开展防诈、智能手机使用、法律维权、心理、健康生活、文体、便民等专题讲座，项目周期内每个照料中心至少开展1次相关活动。</w:t>
            </w:r>
          </w:p>
        </w:tc>
      </w:tr>
      <w:tr w14:paraId="15DD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50" w:type="dxa"/>
            <w:vMerge w:val="continue"/>
            <w:noWrap w:val="0"/>
            <w:vAlign w:val="top"/>
          </w:tcPr>
          <w:p w14:paraId="5FB54FBD">
            <w:pPr>
              <w:widowControl/>
              <w:numPr>
                <w:ilvl w:val="0"/>
                <w:numId w:val="0"/>
              </w:numPr>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p>
        </w:tc>
        <w:tc>
          <w:tcPr>
            <w:tcW w:w="1590" w:type="dxa"/>
            <w:noWrap w:val="0"/>
            <w:vAlign w:val="center"/>
          </w:tcPr>
          <w:p w14:paraId="11431C52">
            <w:pPr>
              <w:widowControl/>
              <w:numPr>
                <w:ilvl w:val="0"/>
                <w:numId w:val="0"/>
              </w:numPr>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color w:val="auto"/>
                <w:kern w:val="0"/>
                <w:sz w:val="21"/>
                <w:szCs w:val="21"/>
                <w:highlight w:val="none"/>
                <w:u w:val="none"/>
                <w:lang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节庆活动</w:t>
            </w:r>
          </w:p>
        </w:tc>
        <w:tc>
          <w:tcPr>
            <w:tcW w:w="6830" w:type="dxa"/>
            <w:noWrap w:val="0"/>
            <w:vAlign w:val="center"/>
          </w:tcPr>
          <w:p w14:paraId="16A0AA9C">
            <w:pPr>
              <w:widowControl/>
              <w:numPr>
                <w:ilvl w:val="0"/>
                <w:numId w:val="0"/>
              </w:numPr>
              <w:spacing w:line="240" w:lineRule="auto"/>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以弘扬传统文化为主题，以中秋、重阳、元旦、春节、元宵、端午等传统节日为契机，开展传统节庆活动，营造浓厚的社区节日氛围，项目周期内每个照料中心至少开展3次节庆活动。</w:t>
            </w:r>
          </w:p>
        </w:tc>
      </w:tr>
      <w:tr w14:paraId="27C8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50" w:type="dxa"/>
            <w:vMerge w:val="continue"/>
            <w:noWrap w:val="0"/>
            <w:vAlign w:val="top"/>
          </w:tcPr>
          <w:p w14:paraId="1AEE1F1C">
            <w:pPr>
              <w:widowControl/>
              <w:numPr>
                <w:ilvl w:val="0"/>
                <w:numId w:val="0"/>
              </w:numPr>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p>
        </w:tc>
        <w:tc>
          <w:tcPr>
            <w:tcW w:w="1590" w:type="dxa"/>
            <w:noWrap w:val="0"/>
            <w:vAlign w:val="center"/>
          </w:tcPr>
          <w:p w14:paraId="0F2837A6">
            <w:pPr>
              <w:widowControl/>
              <w:numPr>
                <w:ilvl w:val="0"/>
                <w:numId w:val="0"/>
              </w:numPr>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color w:val="auto"/>
                <w:kern w:val="0"/>
                <w:sz w:val="21"/>
                <w:szCs w:val="21"/>
                <w:highlight w:val="none"/>
                <w:u w:val="none"/>
                <w:lang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其他</w:t>
            </w:r>
          </w:p>
        </w:tc>
        <w:tc>
          <w:tcPr>
            <w:tcW w:w="6830" w:type="dxa"/>
            <w:noWrap w:val="0"/>
            <w:vAlign w:val="center"/>
          </w:tcPr>
          <w:p w14:paraId="4FB26F5E">
            <w:pPr>
              <w:widowControl/>
              <w:numPr>
                <w:ilvl w:val="0"/>
                <w:numId w:val="0"/>
              </w:numPr>
              <w:spacing w:line="240" w:lineRule="auto"/>
              <w:jc w:val="left"/>
              <w:textAlignment w:val="center"/>
              <w:rPr>
                <w:rFonts w:hint="eastAsia" w:asciiTheme="minorEastAsia" w:hAnsiTheme="minorEastAsia" w:eastAsiaTheme="minorEastAsia" w:cstheme="minorEastAsia"/>
                <w:i w:val="0"/>
                <w:color w:val="auto"/>
                <w:kern w:val="0"/>
                <w:sz w:val="21"/>
                <w:szCs w:val="21"/>
                <w:highlight w:val="none"/>
                <w:u w:val="none"/>
                <w:lang w:eastAsia="zh-CN" w:bidi="ar"/>
              </w:rPr>
            </w:pPr>
            <w:r>
              <w:rPr>
                <w:rFonts w:hint="eastAsia" w:asciiTheme="minorEastAsia" w:hAnsiTheme="minorEastAsia" w:eastAsiaTheme="minorEastAsia" w:cstheme="minorEastAsia"/>
                <w:i w:val="0"/>
                <w:color w:val="auto"/>
                <w:kern w:val="0"/>
                <w:sz w:val="21"/>
                <w:szCs w:val="21"/>
                <w:highlight w:val="none"/>
                <w:u w:val="none"/>
                <w:lang w:eastAsia="zh-CN" w:bidi="ar"/>
              </w:rPr>
              <w:t>1.负责村（社）无感智能终端日常维护使用；</w:t>
            </w:r>
          </w:p>
          <w:p w14:paraId="74370AC1">
            <w:pPr>
              <w:widowControl/>
              <w:numPr>
                <w:ilvl w:val="0"/>
                <w:numId w:val="0"/>
              </w:numPr>
              <w:spacing w:line="240" w:lineRule="auto"/>
              <w:jc w:val="left"/>
              <w:textAlignment w:val="center"/>
              <w:rPr>
                <w:rFonts w:hint="eastAsia" w:asciiTheme="minorEastAsia" w:hAnsiTheme="minorEastAsia" w:eastAsiaTheme="minorEastAsia" w:cstheme="minorEastAsia"/>
                <w:i w:val="0"/>
                <w:color w:val="auto"/>
                <w:kern w:val="0"/>
                <w:sz w:val="21"/>
                <w:szCs w:val="21"/>
                <w:highlight w:val="none"/>
                <w:u w:val="none"/>
                <w:lang w:eastAsia="zh-CN" w:bidi="ar"/>
              </w:rPr>
            </w:pPr>
            <w:r>
              <w:rPr>
                <w:rFonts w:hint="eastAsia" w:asciiTheme="minorEastAsia" w:hAnsiTheme="minorEastAsia" w:eastAsiaTheme="minorEastAsia" w:cstheme="minorEastAsia"/>
                <w:i w:val="0"/>
                <w:color w:val="auto"/>
                <w:kern w:val="0"/>
                <w:sz w:val="21"/>
                <w:szCs w:val="21"/>
                <w:highlight w:val="none"/>
                <w:u w:val="none"/>
                <w:lang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做好镇（街道）安排的其他活动</w:t>
            </w:r>
            <w:r>
              <w:rPr>
                <w:rFonts w:hint="eastAsia" w:asciiTheme="minorEastAsia" w:hAnsiTheme="minorEastAsia" w:eastAsiaTheme="minorEastAsia" w:cstheme="minorEastAsia"/>
                <w:i w:val="0"/>
                <w:color w:val="auto"/>
                <w:kern w:val="0"/>
                <w:sz w:val="21"/>
                <w:szCs w:val="21"/>
                <w:highlight w:val="none"/>
                <w:u w:val="none"/>
                <w:lang w:eastAsia="zh-CN" w:bidi="ar"/>
              </w:rPr>
              <w:t>。</w:t>
            </w:r>
          </w:p>
        </w:tc>
      </w:tr>
      <w:tr w14:paraId="5763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50" w:type="dxa"/>
            <w:noWrap w:val="0"/>
            <w:vAlign w:val="center"/>
          </w:tcPr>
          <w:p w14:paraId="6428CCC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宋体" w:hAnsi="宋体" w:cs="宋体"/>
                <w:kern w:val="0"/>
                <w:sz w:val="21"/>
                <w:szCs w:val="21"/>
                <w:lang w:bidi="ar"/>
              </w:rPr>
              <w:t>人员配置</w:t>
            </w:r>
          </w:p>
        </w:tc>
        <w:tc>
          <w:tcPr>
            <w:tcW w:w="8420" w:type="dxa"/>
            <w:gridSpan w:val="2"/>
            <w:noWrap w:val="0"/>
            <w:vAlign w:val="center"/>
          </w:tcPr>
          <w:p w14:paraId="7E3CF94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居家养老服务照料中心配置不少于1名及以上兼职助老员。</w:t>
            </w:r>
          </w:p>
        </w:tc>
      </w:tr>
      <w:tr w14:paraId="416A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50" w:type="dxa"/>
            <w:noWrap w:val="0"/>
            <w:vAlign w:val="center"/>
          </w:tcPr>
          <w:p w14:paraId="59F3C8E4">
            <w:pPr>
              <w:widowControl/>
              <w:numPr>
                <w:ilvl w:val="0"/>
                <w:numId w:val="0"/>
              </w:numPr>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管理</w:t>
            </w:r>
          </w:p>
          <w:p w14:paraId="501CEF20">
            <w:pPr>
              <w:widowControl/>
              <w:numPr>
                <w:ilvl w:val="0"/>
                <w:numId w:val="0"/>
              </w:numPr>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制度</w:t>
            </w:r>
          </w:p>
        </w:tc>
        <w:tc>
          <w:tcPr>
            <w:tcW w:w="8420" w:type="dxa"/>
            <w:gridSpan w:val="2"/>
            <w:noWrap w:val="0"/>
            <w:vAlign w:val="center"/>
          </w:tcPr>
          <w:p w14:paraId="18866C96">
            <w:pPr>
              <w:widowControl/>
              <w:numPr>
                <w:ilvl w:val="0"/>
                <w:numId w:val="0"/>
              </w:numPr>
              <w:spacing w:line="240" w:lineRule="auto"/>
              <w:jc w:val="left"/>
              <w:textAlignment w:val="center"/>
              <w:rPr>
                <w:rFonts w:hint="eastAsia" w:asciiTheme="minorEastAsia" w:hAnsiTheme="minorEastAsia" w:eastAsiaTheme="minorEastAsia" w:cstheme="minorEastAsia"/>
                <w:i w:val="0"/>
                <w:color w:val="auto"/>
                <w:kern w:val="0"/>
                <w:sz w:val="21"/>
                <w:szCs w:val="21"/>
                <w:highlight w:val="none"/>
                <w:u w:val="none"/>
                <w:lang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r>
              <w:rPr>
                <w:rFonts w:hint="eastAsia" w:asciiTheme="minorEastAsia" w:hAnsiTheme="minorEastAsia" w:eastAsiaTheme="minorEastAsia" w:cstheme="minorEastAsia"/>
                <w:i w:val="0"/>
                <w:color w:val="auto"/>
                <w:kern w:val="0"/>
                <w:sz w:val="21"/>
                <w:szCs w:val="21"/>
                <w:highlight w:val="none"/>
                <w:u w:val="none"/>
                <w:lang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建立健全日常管理制度及档案管理制度。</w:t>
            </w:r>
            <w:r>
              <w:rPr>
                <w:rFonts w:hint="eastAsia" w:asciiTheme="minorEastAsia" w:hAnsiTheme="minorEastAsia" w:eastAsiaTheme="minorEastAsia" w:cstheme="minorEastAsia"/>
                <w:i w:val="0"/>
                <w:color w:val="auto"/>
                <w:kern w:val="0"/>
                <w:sz w:val="21"/>
                <w:szCs w:val="21"/>
                <w:highlight w:val="none"/>
                <w:u w:val="none"/>
                <w:lang w:val="zh-CN" w:eastAsia="zh-CN" w:bidi="ar"/>
              </w:rPr>
              <w:t>服务供应商应按照建立的制度及标准完成日常工作，并编写工作台账</w:t>
            </w:r>
            <w:r>
              <w:rPr>
                <w:rFonts w:hint="eastAsia" w:asciiTheme="minorEastAsia" w:hAnsiTheme="minorEastAsia" w:eastAsiaTheme="minorEastAsia" w:cstheme="minorEastAsia"/>
                <w:i w:val="0"/>
                <w:color w:val="auto"/>
                <w:kern w:val="0"/>
                <w:sz w:val="21"/>
                <w:szCs w:val="21"/>
                <w:highlight w:val="none"/>
                <w:u w:val="none"/>
                <w:lang w:eastAsia="zh-CN" w:bidi="ar"/>
              </w:rPr>
              <w:t>；</w:t>
            </w:r>
          </w:p>
          <w:p w14:paraId="1B813DB7">
            <w:pPr>
              <w:widowControl/>
              <w:numPr>
                <w:ilvl w:val="0"/>
                <w:numId w:val="0"/>
              </w:numPr>
              <w:spacing w:line="240" w:lineRule="auto"/>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color w:val="auto"/>
                <w:kern w:val="0"/>
                <w:sz w:val="21"/>
                <w:szCs w:val="21"/>
                <w:highlight w:val="none"/>
                <w:u w:val="none"/>
                <w:lang w:eastAsia="zh-CN" w:bidi="ar"/>
              </w:rPr>
              <w:t>.</w:t>
            </w:r>
            <w:r>
              <w:rPr>
                <w:rFonts w:hint="eastAsia" w:asciiTheme="minorEastAsia" w:hAnsiTheme="minorEastAsia" w:eastAsiaTheme="minorEastAsia" w:cstheme="minorEastAsia"/>
                <w:i w:val="0"/>
                <w:color w:val="auto"/>
                <w:kern w:val="0"/>
                <w:sz w:val="21"/>
                <w:szCs w:val="21"/>
                <w:highlight w:val="none"/>
                <w:u w:val="none"/>
                <w:lang w:val="en-US" w:eastAsia="zh-CN" w:bidi="ar"/>
              </w:rPr>
              <w:t>运营数据及时上传至“台州智慧养老服务与监管平台”或区民政局指定的其他平台。</w:t>
            </w:r>
          </w:p>
        </w:tc>
      </w:tr>
      <w:tr w14:paraId="2E9F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50" w:type="dxa"/>
            <w:noWrap w:val="0"/>
            <w:vAlign w:val="center"/>
          </w:tcPr>
          <w:p w14:paraId="06431CEF">
            <w:pPr>
              <w:widowControl/>
              <w:numPr>
                <w:ilvl w:val="0"/>
                <w:numId w:val="0"/>
              </w:numPr>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开放</w:t>
            </w:r>
          </w:p>
          <w:p w14:paraId="6106A3CD">
            <w:pPr>
              <w:widowControl/>
              <w:numPr>
                <w:ilvl w:val="0"/>
                <w:numId w:val="0"/>
              </w:numPr>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时间</w:t>
            </w:r>
          </w:p>
        </w:tc>
        <w:tc>
          <w:tcPr>
            <w:tcW w:w="8420" w:type="dxa"/>
            <w:gridSpan w:val="2"/>
            <w:noWrap w:val="0"/>
            <w:vAlign w:val="center"/>
          </w:tcPr>
          <w:p w14:paraId="2B478381">
            <w:pPr>
              <w:widowControl/>
              <w:numPr>
                <w:ilvl w:val="0"/>
                <w:numId w:val="0"/>
              </w:numPr>
              <w:spacing w:line="240" w:lineRule="auto"/>
              <w:jc w:val="left"/>
              <w:textAlignment w:val="center"/>
              <w:rPr>
                <w:rFonts w:hint="eastAsia" w:asciiTheme="minorEastAsia" w:hAnsiTheme="minorEastAsia" w:eastAsiaTheme="minorEastAsia" w:cstheme="minorEastAsia"/>
                <w:i w:val="0"/>
                <w:color w:val="auto"/>
                <w:kern w:val="0"/>
                <w:sz w:val="21"/>
                <w:szCs w:val="21"/>
                <w:highlight w:val="none"/>
                <w:u w:val="none"/>
                <w:lang w:eastAsia="zh-CN" w:bidi="ar"/>
              </w:rPr>
            </w:pPr>
            <w:r>
              <w:rPr>
                <w:rFonts w:hint="eastAsia" w:asciiTheme="minorEastAsia" w:hAnsiTheme="minorEastAsia" w:eastAsiaTheme="minorEastAsia" w:cstheme="minorEastAsia"/>
                <w:i w:val="0"/>
                <w:color w:val="auto"/>
                <w:kern w:val="0"/>
                <w:sz w:val="21"/>
                <w:szCs w:val="21"/>
                <w:highlight w:val="none"/>
                <w:u w:val="none"/>
                <w:lang w:eastAsia="zh-CN" w:bidi="ar"/>
              </w:rPr>
              <w:t>1.</w:t>
            </w:r>
            <w:r>
              <w:rPr>
                <w:rFonts w:hint="eastAsia" w:asciiTheme="minorEastAsia" w:hAnsiTheme="minorEastAsia" w:eastAsiaTheme="minorEastAsia" w:cstheme="minorEastAsia"/>
                <w:i w:val="0"/>
                <w:color w:val="auto"/>
                <w:kern w:val="0"/>
                <w:sz w:val="21"/>
                <w:szCs w:val="21"/>
                <w:highlight w:val="none"/>
                <w:u w:val="none"/>
                <w:lang w:val="en-US" w:eastAsia="zh-CN" w:bidi="ar"/>
              </w:rPr>
              <w:t>项目周期内确保每个照料中心不少于300天的常年开放时间，开放时间为</w:t>
            </w:r>
            <w:r>
              <w:rPr>
                <w:rFonts w:hint="eastAsia" w:asciiTheme="minorEastAsia" w:hAnsiTheme="minorEastAsia" w:eastAsiaTheme="minorEastAsia" w:cstheme="minorEastAsia"/>
                <w:i w:val="0"/>
                <w:color w:val="auto"/>
                <w:kern w:val="0"/>
                <w:sz w:val="21"/>
                <w:szCs w:val="21"/>
                <w:highlight w:val="none"/>
                <w:u w:val="none"/>
                <w:lang w:val="zh-CN" w:eastAsia="zh-CN" w:bidi="ar"/>
              </w:rPr>
              <w:t>早上8:00—下午4:30</w:t>
            </w:r>
            <w:r>
              <w:rPr>
                <w:rFonts w:hint="eastAsia" w:asciiTheme="minorEastAsia" w:hAnsiTheme="minorEastAsia" w:eastAsiaTheme="minorEastAsia" w:cstheme="minorEastAsia"/>
                <w:i w:val="0"/>
                <w:color w:val="auto"/>
                <w:kern w:val="0"/>
                <w:sz w:val="21"/>
                <w:szCs w:val="21"/>
                <w:highlight w:val="none"/>
                <w:u w:val="none"/>
                <w:lang w:eastAsia="zh-CN" w:bidi="ar"/>
              </w:rPr>
              <w:t>；</w:t>
            </w:r>
          </w:p>
          <w:p w14:paraId="170609D9">
            <w:pPr>
              <w:widowControl/>
              <w:numPr>
                <w:ilvl w:val="0"/>
                <w:numId w:val="0"/>
              </w:numPr>
              <w:spacing w:line="240" w:lineRule="auto"/>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eastAsia="zh-CN" w:bidi="ar"/>
              </w:rPr>
              <w:t>2.</w:t>
            </w:r>
            <w:r>
              <w:rPr>
                <w:rFonts w:hint="eastAsia" w:asciiTheme="minorEastAsia" w:hAnsiTheme="minorEastAsia" w:eastAsiaTheme="minorEastAsia" w:cstheme="minorEastAsia"/>
                <w:i w:val="0"/>
                <w:color w:val="auto"/>
                <w:kern w:val="0"/>
                <w:sz w:val="21"/>
                <w:szCs w:val="21"/>
                <w:highlight w:val="none"/>
                <w:u w:val="none"/>
                <w:lang w:val="zh-CN" w:eastAsia="zh-CN" w:bidi="ar"/>
              </w:rPr>
              <w:t>如遇法定节假日及特殊情况自行调整。</w:t>
            </w:r>
          </w:p>
        </w:tc>
      </w:tr>
      <w:tr w14:paraId="60CB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50" w:type="dxa"/>
            <w:noWrap w:val="0"/>
            <w:vAlign w:val="center"/>
          </w:tcPr>
          <w:p w14:paraId="5C5A173C">
            <w:pPr>
              <w:widowControl/>
              <w:numPr>
                <w:ilvl w:val="0"/>
                <w:numId w:val="0"/>
              </w:numPr>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备注</w:t>
            </w:r>
          </w:p>
        </w:tc>
        <w:tc>
          <w:tcPr>
            <w:tcW w:w="8420" w:type="dxa"/>
            <w:gridSpan w:val="2"/>
            <w:noWrap w:val="0"/>
            <w:vAlign w:val="center"/>
          </w:tcPr>
          <w:p w14:paraId="7F4D6F5D">
            <w:pPr>
              <w:widowControl/>
              <w:numPr>
                <w:ilvl w:val="0"/>
                <w:numId w:val="0"/>
              </w:numPr>
              <w:spacing w:line="240" w:lineRule="auto"/>
              <w:jc w:val="left"/>
              <w:textAlignment w:val="center"/>
              <w:rPr>
                <w:rFonts w:hint="eastAsia" w:asciiTheme="minorEastAsia" w:hAnsiTheme="minorEastAsia" w:eastAsiaTheme="minorEastAsia" w:cstheme="minorEastAsia"/>
                <w:i w:val="0"/>
                <w:color w:val="auto"/>
                <w:kern w:val="0"/>
                <w:sz w:val="21"/>
                <w:szCs w:val="21"/>
                <w:highlight w:val="none"/>
                <w:u w:val="none"/>
                <w:lang w:eastAsia="zh-CN" w:bidi="ar"/>
              </w:rPr>
            </w:pPr>
            <w:r>
              <w:rPr>
                <w:rFonts w:hint="eastAsia" w:asciiTheme="minorEastAsia" w:hAnsiTheme="minorEastAsia" w:eastAsiaTheme="minorEastAsia" w:cstheme="minorEastAsia"/>
                <w:i w:val="0"/>
                <w:color w:val="auto"/>
                <w:kern w:val="0"/>
                <w:sz w:val="21"/>
                <w:szCs w:val="21"/>
                <w:highlight w:val="none"/>
                <w:u w:val="none"/>
                <w:lang w:eastAsia="zh-CN" w:bidi="ar"/>
              </w:rPr>
              <w:t>1.</w:t>
            </w:r>
            <w:r>
              <w:rPr>
                <w:rFonts w:hint="eastAsia" w:asciiTheme="minorEastAsia" w:hAnsiTheme="minorEastAsia" w:eastAsiaTheme="minorEastAsia" w:cstheme="minorEastAsia"/>
                <w:i w:val="0"/>
                <w:color w:val="auto"/>
                <w:kern w:val="0"/>
                <w:sz w:val="21"/>
                <w:szCs w:val="21"/>
                <w:highlight w:val="none"/>
                <w:u w:val="none"/>
                <w:lang w:val="en-US" w:eastAsia="zh-CN" w:bidi="ar"/>
              </w:rPr>
              <w:t>活动（讲座）开展前须进行必要宣传，如悬挂横幅、粘贴海报等宣传方式，横幅或海报内容须符合活动（讲座）主题并事先同镇（街道）确认</w:t>
            </w:r>
            <w:r>
              <w:rPr>
                <w:rFonts w:hint="eastAsia" w:asciiTheme="minorEastAsia" w:hAnsiTheme="minorEastAsia" w:eastAsiaTheme="minorEastAsia" w:cstheme="minorEastAsia"/>
                <w:i w:val="0"/>
                <w:color w:val="auto"/>
                <w:kern w:val="0"/>
                <w:sz w:val="21"/>
                <w:szCs w:val="21"/>
                <w:highlight w:val="none"/>
                <w:u w:val="none"/>
                <w:lang w:eastAsia="zh-CN" w:bidi="ar"/>
              </w:rPr>
              <w:t>;</w:t>
            </w:r>
          </w:p>
          <w:p w14:paraId="2F585811">
            <w:pPr>
              <w:widowControl/>
              <w:numPr>
                <w:ilvl w:val="0"/>
                <w:numId w:val="0"/>
              </w:numPr>
              <w:spacing w:line="240" w:lineRule="auto"/>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eastAsia="zh-CN" w:bidi="ar"/>
              </w:rPr>
              <w:t>2.</w:t>
            </w:r>
            <w:r>
              <w:rPr>
                <w:rFonts w:hint="eastAsia" w:asciiTheme="minorEastAsia" w:hAnsiTheme="minorEastAsia" w:eastAsiaTheme="minorEastAsia" w:cstheme="minorEastAsia"/>
                <w:i w:val="0"/>
                <w:color w:val="auto"/>
                <w:kern w:val="0"/>
                <w:sz w:val="21"/>
                <w:szCs w:val="21"/>
                <w:highlight w:val="none"/>
                <w:u w:val="none"/>
                <w:lang w:val="en-US" w:eastAsia="zh-CN" w:bidi="ar"/>
              </w:rPr>
              <w:t>上传活动（讲座）的签到册、活动照片（须带有起止时间及地点的水印）。</w:t>
            </w:r>
          </w:p>
        </w:tc>
      </w:tr>
    </w:tbl>
    <w:p w14:paraId="2E6A9001">
      <w:pPr>
        <w:keepNext w:val="0"/>
        <w:keepLines w:val="0"/>
        <w:widowControl/>
        <w:suppressLineNumbers w:val="0"/>
        <w:jc w:val="lef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color w:val="000000"/>
          <w:kern w:val="0"/>
          <w:sz w:val="21"/>
          <w:szCs w:val="21"/>
          <w:highlight w:val="none"/>
          <w:lang w:val="en-US" w:eastAsia="zh-CN" w:bidi="ar"/>
        </w:rPr>
        <w:t xml:space="preserve">（2）居家养老服务（照料）中心托管运营具体要求 </w:t>
      </w:r>
    </w:p>
    <w:p w14:paraId="0EBB1223">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①在每月 25 日前，须将居家养老服务（照料）中心下个月详细的活动方案及工作计划，上报镇（街道），并经镇（街道）审核同意后执行。如遇工作计划或活动有变更的，至少须提前 2 日上报镇（街道），经镇（街道）同意后，按新的方案执行。活动方案及工作计划的内容须尽可能详细，包括但不限于活动内容、活动主题、活动方式、计划组织人数及拟服务人员名单、计划时长、工作人员名单、预期成果、存档表格模板等。 </w:t>
      </w:r>
    </w:p>
    <w:p w14:paraId="12F22DB7">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②在每月 10 日前，须将服务（照料）中心上个月详细的活动实施情况、活动影像、相关表格、等存档所需的汇编资料，上报镇（街道），需提供纸质存档资料及电子扫描件（PDF格式）。 </w:t>
      </w:r>
    </w:p>
    <w:p w14:paraId="3DDF266E">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③中标人须积极配合镇（街道）及路桥区民政局的检查及其他相关工作。 </w:t>
      </w:r>
    </w:p>
    <w:p w14:paraId="6CECCD09">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④对原由镇（街道）提供的已登记造册各项设施、设备使用中出现损坏或报废等情况申报和理赔作出规定。 </w:t>
      </w:r>
    </w:p>
    <w:p w14:paraId="59170186">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⑤在委托运营期限内，中标人须承担网点内活动的老年人日常管理以及相关的纠纷和安全管理，独立承担有关经济、民事及安全责任。 </w:t>
      </w:r>
    </w:p>
    <w:p w14:paraId="7F643EED">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⑥不得擅自改变建筑物结构。若因运营需要改变装修或改扩建的，应报镇（街道）同意、备案，并明确经费承担。 </w:t>
      </w:r>
    </w:p>
    <w:p w14:paraId="06E57F82">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⑦不得从事与养老服务无关的经营活动，不得利用本项目场地从事生产、销售、经营国家规定的违禁品，不得从事任何违法活动。 </w:t>
      </w:r>
    </w:p>
    <w:p w14:paraId="0CD3304F">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⑧不得以本项目的运营权向第三方进行转包、分包、担保、保证、抵押或其他有损害镇（街道）权益的行为。 </w:t>
      </w:r>
    </w:p>
    <w:p w14:paraId="0583D603">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⑨积极承担镇（街道）有关社会福利事业发展任务，优先保障镇（街道）委托的有关项目运营事宜。 </w:t>
      </w:r>
    </w:p>
    <w:p w14:paraId="70F793DA">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4、服务期内，因政策变化或政府方要求，需对居家养老服务（照料）中心进行改造扩建，中标人须积极配合。 </w:t>
      </w:r>
    </w:p>
    <w:p w14:paraId="63CF4987">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color w:val="000000"/>
          <w:kern w:val="0"/>
          <w:sz w:val="21"/>
          <w:szCs w:val="21"/>
          <w:highlight w:val="none"/>
          <w:lang w:val="en-US" w:eastAsia="zh-CN" w:bidi="ar"/>
        </w:rPr>
        <w:t xml:space="preserve">三、管理要求 </w:t>
      </w:r>
    </w:p>
    <w:p w14:paraId="66BA041F">
      <w:pPr>
        <w:keepNext w:val="0"/>
        <w:keepLines w:val="0"/>
        <w:widowControl/>
        <w:suppressLineNumbers w:val="0"/>
        <w:ind w:firstLine="420" w:firstLineChars="200"/>
        <w:jc w:val="left"/>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1、中标人必须有健全的组织机构，完善的质量监督体系，良好的企业员工形象，所有人员由中标人统一招聘、统一培训、统一管理。</w:t>
      </w:r>
    </w:p>
    <w:p w14:paraId="4433C47E">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中标人须有完善的管理结构，制订切实可行的管理制度，包括员工招聘、培训制度；员工岗位责任制；员工劳动纪律和行为规范；员工奖惩制度；员工考核办法；各类检查、考核制度；设备设施、工具使用、存放、保养制度；工作应急预案。其流程清晰，职责明确，有服务优先的管理理念与明确的服务定位和目标方案。 </w:t>
      </w:r>
    </w:p>
    <w:p w14:paraId="64A8C6A6">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3、科学、合理地安排各区域的人员及工作时间，采用动态管理方式，保持服务区域的正常运行。 </w:t>
      </w:r>
    </w:p>
    <w:p w14:paraId="5B4DDE69">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4、中标人应了解工作人员的思想动态、工作表现、遵纪情况以及采购人其他合理要求，提供最佳服务。 </w:t>
      </w:r>
    </w:p>
    <w:p w14:paraId="7A454644">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5、根据采购人的服务要求设定工作岗位，分配工作任务，并对工作人员的工作情况实行监督、检查、考核管理。 </w:t>
      </w:r>
    </w:p>
    <w:p w14:paraId="3A9E4FDB">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6、工作人员应相对稳定，主要管理岗位人员如需调动需提前征求采购人意见。 </w:t>
      </w:r>
    </w:p>
    <w:p w14:paraId="56B4912D">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7、中标人须自行配备员工的劳保用品，根据岗位统一穿工作制服。 </w:t>
      </w:r>
    </w:p>
    <w:p w14:paraId="6B471BF7">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8、工作人员应遵守采购人的规章制度。 </w:t>
      </w:r>
    </w:p>
    <w:p w14:paraId="7BBD30B3">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color w:val="000000"/>
          <w:kern w:val="0"/>
          <w:sz w:val="21"/>
          <w:szCs w:val="21"/>
          <w:highlight w:val="none"/>
          <w:lang w:val="en-US" w:eastAsia="zh-CN" w:bidi="ar"/>
        </w:rPr>
        <w:t xml:space="preserve">四、环境设施要求 </w:t>
      </w:r>
    </w:p>
    <w:p w14:paraId="6FB55BDF">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1、设有服务基本内容公示牌或导向图，公开服务时间、服务项目和服务承诺。 </w:t>
      </w:r>
    </w:p>
    <w:p w14:paraId="13ACAD29">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2、活动台账（登记簿）整齐清楚。 </w:t>
      </w:r>
    </w:p>
    <w:p w14:paraId="1DE0B63D">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3、环境安静舒适，室内物品摆放整洁有序。 </w:t>
      </w:r>
    </w:p>
    <w:p w14:paraId="16BC27D1">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4、环境卫生整洁干净，无痰迹、无烟头、无灰尘。 </w:t>
      </w:r>
    </w:p>
    <w:p w14:paraId="4B127D27">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5、居家养老服务中心有多功能教室、图书阅览室、棋牌室、健身康复室等，配备有适合老人的多媒体设施、报纸、刊物、健身器材和乐器等。 </w:t>
      </w:r>
    </w:p>
    <w:p w14:paraId="22E1390D">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6、网点内功能布局合理，配置有供老年人休息的躺椅或床位，窗户应采用明窗，具有良好的采光和通风条件，配备窗帘与防寒降暑设施。 </w:t>
      </w:r>
    </w:p>
    <w:p w14:paraId="25B8D8EB">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7、卫生间配有自来水冲刷设施，清洁无异味，室内地面应防渗防滑并有无障碍设施。 </w:t>
      </w:r>
    </w:p>
    <w:p w14:paraId="52DE3B4D">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8、老年人集中就餐场所和厨房符合卫生标准。 </w:t>
      </w:r>
    </w:p>
    <w:p w14:paraId="34BEA640">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color w:val="000000"/>
          <w:kern w:val="0"/>
          <w:sz w:val="21"/>
          <w:szCs w:val="21"/>
          <w:highlight w:val="none"/>
          <w:lang w:val="en-US" w:eastAsia="zh-CN" w:bidi="ar"/>
        </w:rPr>
        <w:t xml:space="preserve">五、评估要求 </w:t>
      </w:r>
    </w:p>
    <w:p w14:paraId="06F080BA">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1、组织实施和风险控制要求 </w:t>
      </w:r>
    </w:p>
    <w:p w14:paraId="1DF4A063">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中标人应提供本项目中各阶段目标的实施方案，在项目开展前，中标人需提供实施项目的人员组织架构，各阶段实施进度和预期成效。项目实施过程中，对各类活动要做好前期安全防范工作，做好突发事件风险应急预案，活动期间确保服务对象人身及环境安全。对于每次活动，事先要做好备案，活动时间、内容成效要做记录归档。对于每次提供的服务，事后要有意见反馈、评估和总结。 </w:t>
      </w:r>
    </w:p>
    <w:p w14:paraId="0E488471">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2、从业经验与专业能力要求 </w:t>
      </w:r>
    </w:p>
    <w:p w14:paraId="7AE64C0E">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中标人应确保在项目实施团队成员中具备居家养老服务行业的相关从业经验，可以有效的组织开展，完成各项活动。项目实施团队成员中应配备但不限于：康复理疗师、营养师、中医师、养老护理员、社会工作者。 </w:t>
      </w:r>
    </w:p>
    <w:p w14:paraId="079965A8">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3、项目监管要求 </w:t>
      </w:r>
    </w:p>
    <w:p w14:paraId="70F454F3">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项目执行过程中中标人须接受镇（街道）的检查要求，每季度末向镇（街道）递交项目活动表和项目完成情况季度报表，项目结束时向镇（街道）准时递交项目终期报告。 </w:t>
      </w:r>
    </w:p>
    <w:p w14:paraId="6C89C0E3">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4、项目完成后中标人应提供符合审计所需的证明材料、档案资料。 </w:t>
      </w:r>
    </w:p>
    <w:p w14:paraId="37289670">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5、项目完成后，中标人按要求提供项目完成的相关证明材料和档案资料。若提供的证明材料和档案资料不完整，视同未完成相应项目，中标人需退还镇（街道）已支付的合同款项。证明材料和档案资料包括但不仅限于以下内容： </w:t>
      </w:r>
    </w:p>
    <w:p w14:paraId="3E020200">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①项目活动中参与人员身份或资质有特定要求的，须保存其身份或资质证明文件的复印件； </w:t>
      </w:r>
    </w:p>
    <w:p w14:paraId="08055CF2">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②志愿者、实习生、外聘人员等相关人员完整档案信息。必须包含上述人员的身份证号、联系电话、联系地址等内容； </w:t>
      </w:r>
    </w:p>
    <w:p w14:paraId="5C71A798">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③项目实施过程中的满意度调查问卷及分析报告； </w:t>
      </w:r>
    </w:p>
    <w:p w14:paraId="29659D10">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④项目日常活动应有记录资料及服务对象的反馈意见，开展主题活动或讲座、培训等应有参加人员（服务对象、工作人员及志愿者等）签到表、计划、通知、小结等材料，拍摄的照片、录像等资料应显示日期； </w:t>
      </w:r>
    </w:p>
    <w:p w14:paraId="7D83BA3F">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⑤与项目有关的成绩或成果资料包括：出版物、报告、会议日程、录像/录音带、光盘以及新闻报道等。同时，中标人须向镇（街道）提供台账、项目决算表、项目总结报告等相关数据资料。 </w:t>
      </w:r>
    </w:p>
    <w:p w14:paraId="5D318A2E">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color w:val="000000"/>
          <w:kern w:val="0"/>
          <w:sz w:val="21"/>
          <w:szCs w:val="21"/>
          <w:highlight w:val="none"/>
          <w:lang w:val="en-US" w:eastAsia="zh-CN" w:bidi="ar"/>
        </w:rPr>
        <w:t xml:space="preserve">六、项目移交及移交回转 </w:t>
      </w:r>
    </w:p>
    <w:p w14:paraId="3176C800">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1、本项目移交内容为固定资产（包括但不仅限于设备、设施、工器具）以及无形资产（包括但不仅限于技术文件、资质证书文件）。 </w:t>
      </w:r>
    </w:p>
    <w:p w14:paraId="5B739464">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移交方式：合同签订后，由采购人和中标人共同对固定资产﹝默认现状移交（所谓现状移交是据合同签约时的现状不动产实物移交，与实物质量、功能和资料能否满足运行和验收要求无关，采购人提供清单，中标人默认接收使用；在接收前十日内，双方共同对固定资产和无形资产进行清点造册并签署移交确认函﹞以及无形资产进行清点造册，双方共同签署移交确认函，即视为清点移交终结。 如因办理上述移交，涉及相关的费用由中标人承担。 </w:t>
      </w:r>
    </w:p>
    <w:p w14:paraId="7395F4E8">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3、因采购人原因不能按时移交的，其后果和责任由采购人承担。反之，由中标人负责。 </w:t>
      </w:r>
    </w:p>
    <w:p w14:paraId="38FCAB84">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4、移交回转内容：本项目设施、设备及工器具等； 与本项目运营有关的手册、制度、技术文件、资格、资质等文件资料；本项目运营期间所产生的记录、档案资料等。 </w:t>
      </w:r>
    </w:p>
    <w:p w14:paraId="6E79B914">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5、移交回转清单：中标人需在运营期满前 2 个月提交所移交回转的项目清单：如设施、</w:t>
      </w:r>
    </w:p>
    <w:p w14:paraId="7B48672C">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设备、工具、备品备件、技术文件、资质文件等。采购人和中标人根据清单进行清点和复核，清单上所列设施、设备、工具、器材等均应处于可正常使用状态，正常磨损除外。 </w:t>
      </w:r>
    </w:p>
    <w:p w14:paraId="1EF3DD73">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6、移交回转方式：在运营期满前 1 个月内，由采购人会同中标人共同完成本项目的移 </w:t>
      </w:r>
    </w:p>
    <w:p w14:paraId="4827223D">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交回转工作，共同完成有关本项目移交回转内容的清点和复核工作，并签署预移交回转备忘录。双方最终确认完成移交回转工作，将正式签署移交回转备忘录，正式签署移交回转备忘录当天即为运营期满之日，将由采购人的管理人员负责本项目的运营维护工作。如因办理上述移交回转，涉及的相关费用由中标人承担。 </w:t>
      </w:r>
    </w:p>
    <w:p w14:paraId="7F8914DE">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7、因采购人原因不能按时移交回转的，其后果和责任由采购人承担。反之，由中标人负责。 </w:t>
      </w:r>
    </w:p>
    <w:p w14:paraId="6E188A2C">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color w:val="000000"/>
          <w:kern w:val="0"/>
          <w:sz w:val="21"/>
          <w:szCs w:val="21"/>
          <w:highlight w:val="none"/>
          <w:lang w:val="en-US" w:eastAsia="zh-CN" w:bidi="ar"/>
        </w:rPr>
        <w:t xml:space="preserve">七、托管运营要求 </w:t>
      </w:r>
    </w:p>
    <w:p w14:paraId="3831F3BB">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严格按照国家及地方法律法规、相关政策和采购人要求，合法运维管理、依法纳税、自负盈亏，独立承担民事、刑事责任；服从工商、税务、市政、电力、消防、环保、公安、国土资源、住建、城市管理等部门的监督和管理，做好作业安全、防火、防水淹等相关安全措施。 </w:t>
      </w:r>
    </w:p>
    <w:p w14:paraId="31D7ACBD">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在居家养老服务（照料）中心托管运营过程中涉及的工商、税务、市政、电力、消防、环保、公安、卫生、国土资源、住建、城市管理等相关证书手续，中标人须按相关法律、法规依法自行办理审批，所产生的一切费用由中标人负责，必要时，采购人可在职能范围内予以协助。 </w:t>
      </w:r>
    </w:p>
    <w:p w14:paraId="0FE77F4B">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3、中标人企业内部管理必须严格执行国家相关法律法规及标准要求，所有工作人员必须持有相应工作岗位的专业能力证书方可上岗服务。 </w:t>
      </w:r>
    </w:p>
    <w:p w14:paraId="61CDFF30">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4、居家养老服务（照料）中心设施设备的日常维护保养均归属中标人，服务期内，中标人需确保所有技术设备正常运行。如遇设备损坏、人为偷盗损失、人为破坏，影响正常运行的，由中标人自行免费修复或更换，且需在 2 个工作日内维修完毕，恢复设施正常运行。 </w:t>
      </w:r>
    </w:p>
    <w:p w14:paraId="1EF47D41">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color w:val="000000"/>
          <w:kern w:val="0"/>
          <w:sz w:val="21"/>
          <w:szCs w:val="21"/>
          <w:highlight w:val="none"/>
          <w:lang w:val="en-US" w:eastAsia="zh-CN" w:bidi="ar"/>
        </w:rPr>
        <w:t xml:space="preserve">八、服务人员要求 </w:t>
      </w:r>
    </w:p>
    <w:p w14:paraId="0D75893B">
      <w:pPr>
        <w:keepNext w:val="0"/>
        <w:keepLines w:val="0"/>
        <w:widowControl/>
        <w:suppressLineNumbers w:val="0"/>
        <w:ind w:firstLine="420" w:firstLineChars="200"/>
        <w:jc w:val="left"/>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 xml:space="preserve"> 1、配备人员：</w:t>
      </w: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需配备1</w:t>
      </w:r>
      <w:r>
        <w:rPr>
          <w:rFonts w:hint="eastAsia" w:asciiTheme="minorEastAsia" w:hAnsiTheme="minorEastAsia" w:eastAsiaTheme="minorEastAsia" w:cstheme="minorEastAsia"/>
          <w:b w:val="0"/>
          <w:bCs w:val="0"/>
          <w:i w:val="0"/>
          <w:color w:val="auto"/>
          <w:kern w:val="0"/>
          <w:sz w:val="21"/>
          <w:szCs w:val="21"/>
          <w:highlight w:val="none"/>
          <w:u w:val="none"/>
          <w:lang w:val="zh-CN" w:eastAsia="zh-CN" w:bidi="ar"/>
        </w:rPr>
        <w:t>名</w:t>
      </w: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项目负责人，负责统筹安排服务（照料）中心运营管理工作，</w:t>
      </w:r>
    </w:p>
    <w:p w14:paraId="7E09F177">
      <w:pPr>
        <w:keepNext w:val="0"/>
        <w:keepLines w:val="0"/>
        <w:widowControl/>
        <w:suppressLineNumbers w:val="0"/>
        <w:ind w:firstLine="420" w:firstLineChars="200"/>
        <w:jc w:val="left"/>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服务中心要配备相应资质的工作人员，其中持证护理员不少于1名，并要求年龄小于50岁，熟练掌握计算机办公软件，落实服务中心具体的服务功能，不得由其他养老服务中心专职管理人员兼任；居家服务照料中心配置不少于1名及以上兼职助老员。</w:t>
      </w:r>
    </w:p>
    <w:p w14:paraId="1D3952D9">
      <w:pPr>
        <w:keepNext w:val="0"/>
        <w:keepLines w:val="0"/>
        <w:widowControl/>
        <w:suppressLineNumbers w:val="0"/>
        <w:ind w:firstLine="420" w:firstLineChars="200"/>
        <w:jc w:val="left"/>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落实护理员打卡。</w:t>
      </w:r>
    </w:p>
    <w:p w14:paraId="45D0D9C0">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2、中标人所用员工需自行向社会招聘，身体健康，符合《劳动法》、《劳动合同法》等相关规定，与员工签订书面劳动（劳务）合同，落实护理员打卡。 </w:t>
      </w:r>
    </w:p>
    <w:p w14:paraId="5FDE6448">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3、中标人每月应按时、足额向服务人员支付相应的人工工资与加班费，发放津贴、高温费、福利等，保障员工的合法权益。同时，一经发现中标人未及时、足额支付的，在中标人补足欠薪的基础上，采购人将按原欠薪额的 200%对中标人进行扣款。 </w:t>
      </w:r>
    </w:p>
    <w:p w14:paraId="02BDCCF4">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4、服务人员基本工资不得低于法律、法规规定的劳动最低福利待遇及台州市最低工资标准等。 </w:t>
      </w:r>
    </w:p>
    <w:p w14:paraId="6FA81935">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color w:val="000000"/>
          <w:kern w:val="0"/>
          <w:sz w:val="21"/>
          <w:szCs w:val="21"/>
          <w:highlight w:val="none"/>
          <w:lang w:val="en-US" w:eastAsia="zh-CN" w:bidi="ar"/>
        </w:rPr>
        <w:t xml:space="preserve">九、安全管理要求 </w:t>
      </w:r>
    </w:p>
    <w:p w14:paraId="1DFD40E8">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1、严格遵守设备操作规程，防止发生人身设备安全事故。 </w:t>
      </w:r>
    </w:p>
    <w:p w14:paraId="78B3DE04">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2、做好节水、节能、防盗、防火等安全工作，若有发生责任事故，如属管理失职或不到位所造成的，后果由中标人全部承担，采购人有权进行监督和检查。 </w:t>
      </w:r>
    </w:p>
    <w:p w14:paraId="7BB60CA9">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3、加大对消防安全工作的管理力度，配备安全负责人，须取得消防安全培训合格证书，定期组织消防安全检查，查处并整改消防安全隐患，切实把消防安全工作与生产经营管理工作相结合，确保各项工作能顺利进行。制定消防应急预案，通过开展消防安全知识培训和消防演练，提高员工的消防安全意识。定期对消防设备进行检查和保养，以备发生事故时能及时启动，为消防安全工作得以顺利开展提供硬件保障。 </w:t>
      </w:r>
    </w:p>
    <w:p w14:paraId="09F16502">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 </w:t>
      </w:r>
      <w:r>
        <w:rPr>
          <w:rFonts w:hint="eastAsia" w:asciiTheme="minorEastAsia" w:hAnsiTheme="minorEastAsia" w:eastAsiaTheme="minorEastAsia" w:cstheme="minorEastAsia"/>
          <w:b/>
          <w:bCs/>
          <w:color w:val="000000"/>
          <w:kern w:val="0"/>
          <w:sz w:val="21"/>
          <w:szCs w:val="21"/>
          <w:highlight w:val="none"/>
          <w:lang w:val="en-US" w:eastAsia="zh-CN" w:bidi="ar"/>
        </w:rPr>
        <w:t xml:space="preserve">十、考核及评价办法 </w:t>
      </w:r>
    </w:p>
    <w:p w14:paraId="21CC8061">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本项目专职管理人员须固定，名单须上报镇（街道）；如中途确需更换人员的，须及时上报镇（街道）。项目实施三个月后，由镇（街道）核查其劳动合同及工资流水或其他专职证明材料，如与其他居家养老服务中心专职管理人员兼任的，罚款 2000元，在应付款项中扣除。 </w:t>
      </w:r>
    </w:p>
    <w:p w14:paraId="450EF8C5">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2、在托管运营过程中，由镇（街道）对中标人进行不定期的抽查，如发现不符合服务要求的，每发现一次罚款 500 元，如未及时整改的，则再每次罚款 500 元；以上罚款在应付款项中扣除。 </w:t>
      </w:r>
    </w:p>
    <w:p w14:paraId="7E1D651B">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3、在委托运营过程中，镇（街道）有权适时对中标人的服务质量进行满意度综合评测（详见附件路桥区镇(街道)托管运营服务检查表（第 x季度），采购人有权根据项目实际实施情况调整检查表，中标人不得拒绝）。如满意度低于 60%的，视为服务不合格，镇（街道）有权终止合同，并没收履约保证金，中标人须返还预付款（如有结余）至镇（街道）指定账户，不视为镇（街道）违约。 </w:t>
      </w:r>
    </w:p>
    <w:p w14:paraId="5DFF3606">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4、在运营期满时，由镇（街道）对中标人的服务质量进行满意度综合评测（详见附件路桥区镇(街道)托管运营服务检查表（第 x季度），采购人有权根据项目实际实施情况调整检查表，中标人不得拒绝），并以此作为付款依据之一。 </w:t>
      </w:r>
    </w:p>
    <w:p w14:paraId="12F993C7">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5、镇（街道）对中标人进行年底满意度综合评测（详见附件路桥区镇(街道)托管运营服务检查表（第 x季度），采购人有权根据项目实际实施情况调整检查表，中标人不得拒绝）： </w:t>
      </w:r>
    </w:p>
    <w:p w14:paraId="4E1F9805">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满意度在 90%及以上的为满意，支付剩余结算款项的 100%。 </w:t>
      </w:r>
    </w:p>
    <w:p w14:paraId="25CA4F2D">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满意度在 80%及以上 90%以下的为合格，支付剩余结算款项的 90%。 </w:t>
      </w:r>
    </w:p>
    <w:p w14:paraId="6B1775F1">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满意度在 60%及以上 80%以下的为基本合格，支付剩余结算款项的 70%。 </w:t>
      </w:r>
    </w:p>
    <w:p w14:paraId="2C5B7BC4">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满意度低于 60%的为不合格，支付剩余结算款项的 50%。 </w:t>
      </w:r>
    </w:p>
    <w:p w14:paraId="49887FBB">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color w:val="000000"/>
          <w:kern w:val="0"/>
          <w:sz w:val="21"/>
          <w:szCs w:val="21"/>
          <w:highlight w:val="none"/>
          <w:lang w:val="en-US" w:eastAsia="zh-CN" w:bidi="ar"/>
        </w:rPr>
        <w:t xml:space="preserve">十一、其他要求 </w:t>
      </w:r>
    </w:p>
    <w:p w14:paraId="110A0ECF">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 1、若遇突击检查等特殊情况，中标人须无条件配合采购人完成相应工作。 </w:t>
      </w:r>
    </w:p>
    <w:p w14:paraId="54C4E61E">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 2、责任界定 </w:t>
      </w:r>
    </w:p>
    <w:p w14:paraId="7118248D">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1）中标人须按国家有关规定为工作人员购买工伤保险、社会保险及人身意外伤害保险等与居家养老服务（照料）中心托管运营有关的一切保险。要求工伤保险应保尽保，人身意外伤害险全覆盖，纳入考核。因未办理作业人员保险引起的纠纷投诉等，由投标人自行承担，与采购人无关。</w:t>
      </w:r>
    </w:p>
    <w:p w14:paraId="39F01EF0">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中标人须按有关规定采取严格的工作安全措施，承担由于自身安全措施不力造成的事故责任和因此发生的费用及后果。运维管理过程产生的所有安全事故（含意外风险事故）以及因事故引发的一切法律和经济责任均由中标人承担，与采购人无关，采购人有权没收其履约保证金并无条件终止合同，并要求依法补偿造成的经济损失。 </w:t>
      </w:r>
    </w:p>
    <w:p w14:paraId="60AA58F4">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3）中标人应严格执行各项国家地方有关法律法规规定，实施严格的各类作业安全防护保证措施，做好安全工作。中标人因经营管理失职造成人身损害事故及其他安全事故，一切法律和经济责任均由中标人承担，与采购人无关，采购人有权没收其履约保证金并无条件终止合同，并要求依法补偿造成的经济损失。 </w:t>
      </w:r>
    </w:p>
    <w:p w14:paraId="0151F5A5">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（4）因中标人的劳动用工、提供服务或其服务领域发生因人身财产损害等所引发的一切纠纷和法律责任均由中标人承担，与采购人无关，保证不对采购人造成任何负面影响。 </w:t>
      </w:r>
    </w:p>
    <w:p w14:paraId="561175CD">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5）服务期内，中标人应保证服务责任区域内的设施、设备良好的运营状况和环境状况，并接受采购人或其授权人员的检查，对由中标人养护不当、操作失误等引起或造成设施、设备的损坏，由中标人全额赔偿。 </w:t>
      </w:r>
    </w:p>
    <w:p w14:paraId="563D4D1A">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（6）服务期内，如中标人因管理不善或其他原因无法提供居家养老服务（照料）中心托管运营服务，必须提前 1 个月向采购人提交书面情况说明，征得采购人同意后方可解除合同，否则采购人有权没收其履约保证金并无条件终止合同，并要求依法补偿造成的经济损失。 </w:t>
      </w:r>
    </w:p>
    <w:p w14:paraId="7B9F2FDD">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3、中标人服务达不到采购文件要求或投标时各项服务承诺，采购人有权要求其整改，拒不整改的，采购人有权没收其履约保证金并无条件终止合同，并要求依法补偿造成的经济损失。 </w:t>
      </w:r>
    </w:p>
    <w:p w14:paraId="2387CECE">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4、合同结束后，中标人须按采购人要求交还原有设备。由中标人养护不当、操作失误等引起或造成设施、设备的损坏，由中标人全额赔偿。 </w:t>
      </w:r>
    </w:p>
    <w:p w14:paraId="550CC3DA">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5、服务期内，如中标人所派人员不能满足实际正常运行需要的，中标人须根据实际需要增派人员，相关费用在投标报价时综合考虑，采购人不再另行支付。</w:t>
      </w:r>
    </w:p>
    <w:p w14:paraId="791B7C62">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 </w:t>
      </w:r>
      <w:r>
        <w:rPr>
          <w:rFonts w:hint="eastAsia" w:asciiTheme="minorEastAsia" w:hAnsiTheme="minorEastAsia" w:eastAsiaTheme="minorEastAsia" w:cstheme="minorEastAsia"/>
          <w:b/>
          <w:bCs/>
          <w:color w:val="000000"/>
          <w:kern w:val="0"/>
          <w:sz w:val="21"/>
          <w:szCs w:val="21"/>
          <w:highlight w:val="none"/>
          <w:lang w:val="en-US" w:eastAsia="zh-CN" w:bidi="ar"/>
        </w:rPr>
        <w:t xml:space="preserve">十二、付款条件 </w:t>
      </w:r>
    </w:p>
    <w:p w14:paraId="0E895343">
      <w:pPr>
        <w:keepNext w:val="0"/>
        <w:keepLines w:val="0"/>
        <w:widowControl/>
        <w:suppressLineNumbers w:val="0"/>
        <w:ind w:firstLine="420" w:firstLineChars="200"/>
        <w:jc w:val="left"/>
        <w:rPr>
          <w:rFonts w:hint="eastAsia" w:asciiTheme="minorEastAsia" w:hAnsiTheme="minorEastAsia" w:eastAsiaTheme="minorEastAsia" w:cstheme="minorEastAsia"/>
          <w:color w:val="000000"/>
          <w:kern w:val="0"/>
          <w:sz w:val="21"/>
          <w:szCs w:val="21"/>
          <w:highlight w:val="none"/>
          <w:lang w:val="en-US" w:eastAsia="zh-CN" w:bidi="ar"/>
        </w:rPr>
        <w:sectPr>
          <w:headerReference r:id="rId10" w:type="default"/>
          <w:footerReference r:id="rId11" w:type="default"/>
          <w:pgSz w:w="11906" w:h="16838"/>
          <w:pgMar w:top="1247" w:right="1417" w:bottom="1474" w:left="1417" w:header="851" w:footer="896" w:gutter="0"/>
          <w:cols w:space="0" w:num="1"/>
          <w:titlePg/>
          <w:rtlGutter w:val="0"/>
          <w:docGrid w:type="lines" w:linePitch="312" w:charSpace="0"/>
        </w:sectPr>
      </w:pPr>
      <w:r>
        <w:rPr>
          <w:rFonts w:hint="eastAsia" w:asciiTheme="minorEastAsia" w:hAnsiTheme="minorEastAsia" w:eastAsiaTheme="minorEastAsia" w:cstheme="minorEastAsia"/>
          <w:color w:val="000000"/>
          <w:kern w:val="0"/>
          <w:sz w:val="21"/>
          <w:szCs w:val="21"/>
          <w:highlight w:val="none"/>
          <w:lang w:val="en-US" w:eastAsia="zh-CN" w:bidi="ar"/>
        </w:rPr>
        <w:t>按实际运营的家数和实际运营的月份数结算。在合同生效以及具备实施条件后 7 个工作日内支付合同金额的 40%作为预付款，支付预付款前，中标方需提供等额的预付款保函，预付款担保的主要形式为金融机构独立保函、保险公司保单、担保公司保函；预付款担保期限自预付款支付给中标方起生效，至项目服务期结束为止。托管运营 6 个月后支付合同金额的10%；剩余部分，在年底根据日常检查结果和年底满意度测评结果支付。</w:t>
      </w:r>
    </w:p>
    <w:p w14:paraId="24060B50">
      <w:pPr>
        <w:pStyle w:val="17"/>
        <w:ind w:left="0" w:leftChars="0" w:firstLine="0" w:firstLineChars="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附件</w:t>
      </w:r>
    </w:p>
    <w:p w14:paraId="0D186EA2">
      <w:pPr>
        <w:pStyle w:val="17"/>
        <w:ind w:left="0" w:leftChars="0" w:firstLine="720" w:firstLineChars="200"/>
        <w:jc w:val="both"/>
        <w:rPr>
          <w:rFonts w:hint="eastAsia" w:asciiTheme="minorEastAsia" w:hAnsiTheme="minorEastAsia" w:eastAsiaTheme="minorEastAsia" w:cstheme="minorEastAsia"/>
          <w:color w:val="000000"/>
          <w:kern w:val="2"/>
          <w:sz w:val="36"/>
          <w:szCs w:val="36"/>
          <w:highlight w:val="none"/>
          <w:lang w:eastAsia="zh-CN" w:bidi="ar-SA"/>
        </w:rPr>
      </w:pPr>
      <w:r>
        <w:rPr>
          <w:rFonts w:hint="eastAsia" w:asciiTheme="minorEastAsia" w:hAnsiTheme="minorEastAsia" w:eastAsiaTheme="minorEastAsia" w:cstheme="minorEastAsia"/>
          <w:color w:val="000000"/>
          <w:kern w:val="2"/>
          <w:sz w:val="36"/>
          <w:szCs w:val="36"/>
          <w:highlight w:val="none"/>
          <w:lang w:val="en-US" w:eastAsia="zh-CN" w:bidi="ar-SA"/>
        </w:rPr>
        <w:t>路桥区镇(街道)托管运营服务检查表</w:t>
      </w:r>
      <w:r>
        <w:rPr>
          <w:rFonts w:hint="eastAsia" w:asciiTheme="minorEastAsia" w:hAnsiTheme="minorEastAsia" w:eastAsiaTheme="minorEastAsia" w:cstheme="minorEastAsia"/>
          <w:color w:val="000000"/>
          <w:kern w:val="2"/>
          <w:sz w:val="36"/>
          <w:szCs w:val="36"/>
          <w:highlight w:val="none"/>
          <w:lang w:eastAsia="zh-CN" w:bidi="ar-SA"/>
        </w:rPr>
        <w:t>（</w:t>
      </w:r>
      <w:r>
        <w:rPr>
          <w:rFonts w:hint="eastAsia" w:asciiTheme="minorEastAsia" w:hAnsiTheme="minorEastAsia" w:eastAsiaTheme="minorEastAsia" w:cstheme="minorEastAsia"/>
          <w:color w:val="000000"/>
          <w:kern w:val="2"/>
          <w:sz w:val="36"/>
          <w:szCs w:val="36"/>
          <w:highlight w:val="none"/>
          <w:lang w:val="en-US" w:eastAsia="zh-CN" w:bidi="ar-SA"/>
        </w:rPr>
        <w:t>第</w:t>
      </w:r>
      <w:r>
        <w:rPr>
          <w:rFonts w:hint="eastAsia" w:asciiTheme="minorEastAsia" w:hAnsiTheme="minorEastAsia" w:eastAsiaTheme="minorEastAsia" w:cstheme="minorEastAsia"/>
          <w:color w:val="000000"/>
          <w:kern w:val="2"/>
          <w:sz w:val="36"/>
          <w:szCs w:val="36"/>
          <w:highlight w:val="none"/>
          <w:lang w:eastAsia="zh-CN" w:bidi="ar-SA"/>
        </w:rPr>
        <w:t xml:space="preserve"> x</w:t>
      </w:r>
      <w:r>
        <w:rPr>
          <w:rFonts w:hint="eastAsia" w:asciiTheme="minorEastAsia" w:hAnsiTheme="minorEastAsia" w:eastAsiaTheme="minorEastAsia" w:cstheme="minorEastAsia"/>
          <w:color w:val="000000"/>
          <w:kern w:val="2"/>
          <w:sz w:val="36"/>
          <w:szCs w:val="36"/>
          <w:highlight w:val="none"/>
          <w:lang w:val="en-US" w:eastAsia="zh-CN" w:bidi="ar-SA"/>
        </w:rPr>
        <w:t>季度</w:t>
      </w:r>
      <w:r>
        <w:rPr>
          <w:rFonts w:hint="eastAsia" w:asciiTheme="minorEastAsia" w:hAnsiTheme="minorEastAsia" w:eastAsiaTheme="minorEastAsia" w:cstheme="minorEastAsia"/>
          <w:color w:val="000000"/>
          <w:kern w:val="2"/>
          <w:sz w:val="36"/>
          <w:szCs w:val="36"/>
          <w:highlight w:val="none"/>
          <w:lang w:eastAsia="zh-CN" w:bidi="ar-SA"/>
        </w:rPr>
        <w:t>）</w:t>
      </w:r>
    </w:p>
    <w:p w14:paraId="4DFFC0F0">
      <w:pPr>
        <w:pStyle w:val="17"/>
        <w:rPr>
          <w:rFonts w:hint="eastAsia" w:asciiTheme="minorEastAsia" w:hAnsiTheme="minorEastAsia" w:eastAsiaTheme="minorEastAsia" w:cstheme="minorEastAsia"/>
          <w:color w:val="000000"/>
          <w:kern w:val="2"/>
          <w:sz w:val="36"/>
          <w:szCs w:val="36"/>
          <w:highlight w:val="none"/>
          <w:lang w:val="en-US" w:eastAsia="zh-CN" w:bidi="ar-SA"/>
        </w:rPr>
      </w:pPr>
    </w:p>
    <w:p w14:paraId="0745607A">
      <w:pPr>
        <w:pStyle w:val="17"/>
        <w:ind w:left="0" w:leftChars="0" w:firstLine="0" w:firstLineChars="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运营</w:t>
      </w:r>
      <w:r>
        <w:rPr>
          <w:rFonts w:hint="eastAsia" w:asciiTheme="minorEastAsia" w:hAnsiTheme="minorEastAsia" w:eastAsiaTheme="minorEastAsia" w:cstheme="minorEastAsia"/>
          <w:b w:val="0"/>
          <w:bCs w:val="0"/>
          <w:sz w:val="24"/>
          <w:szCs w:val="24"/>
          <w:highlight w:val="none"/>
          <w:lang w:eastAsia="zh-CN"/>
        </w:rPr>
        <w:t>机构（组织）</w:t>
      </w:r>
      <w:r>
        <w:rPr>
          <w:rFonts w:hint="eastAsia" w:asciiTheme="minorEastAsia" w:hAnsiTheme="minorEastAsia" w:eastAsiaTheme="minorEastAsia" w:cstheme="minorEastAsia"/>
          <w:b w:val="0"/>
          <w:bCs w:val="0"/>
          <w:sz w:val="24"/>
          <w:szCs w:val="24"/>
          <w:highlight w:val="none"/>
          <w:lang w:val="en-US" w:eastAsia="zh-CN"/>
        </w:rPr>
        <w:t>名称</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lang w:val="en-US" w:eastAsia="zh-CN"/>
        </w:rPr>
        <w:t xml:space="preserve">                        </w:t>
      </w:r>
    </w:p>
    <w:p w14:paraId="606400B1">
      <w:pPr>
        <w:pStyle w:val="17"/>
        <w:ind w:left="0" w:leftChars="0" w:firstLine="0" w:firstLineChars="0"/>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检查人员</w:t>
      </w:r>
      <w:r>
        <w:rPr>
          <w:rFonts w:hint="eastAsia" w:asciiTheme="minorEastAsia" w:hAnsiTheme="minorEastAsia" w:eastAsiaTheme="minorEastAsia" w:cstheme="minorEastAsia"/>
          <w:b w:val="0"/>
          <w:bCs w:val="0"/>
          <w:sz w:val="24"/>
          <w:szCs w:val="24"/>
          <w:highlight w:val="none"/>
          <w:lang w:eastAsia="zh-CN"/>
        </w:rPr>
        <w:t xml:space="preserve">：                          </w:t>
      </w:r>
      <w:r>
        <w:rPr>
          <w:rFonts w:hint="eastAsia" w:asciiTheme="minorEastAsia" w:hAnsiTheme="minorEastAsia" w:eastAsiaTheme="minorEastAsia" w:cstheme="minorEastAsia"/>
          <w:b w:val="0"/>
          <w:bCs w:val="0"/>
          <w:sz w:val="24"/>
          <w:szCs w:val="24"/>
          <w:highlight w:val="none"/>
          <w:lang w:val="en-US" w:eastAsia="zh-CN"/>
        </w:rPr>
        <w:t xml:space="preserve">       </w:t>
      </w:r>
      <w:r>
        <w:rPr>
          <w:rFonts w:hint="eastAsia" w:asciiTheme="minorEastAsia" w:hAnsiTheme="minorEastAsia" w:eastAsiaTheme="minorEastAsia" w:cstheme="minorEastAsia"/>
          <w:b w:val="0"/>
          <w:bCs w:val="0"/>
          <w:sz w:val="24"/>
          <w:szCs w:val="24"/>
          <w:highlight w:val="none"/>
          <w:lang w:eastAsia="zh-CN"/>
        </w:rPr>
        <w:t xml:space="preserve">   检查时间：</w:t>
      </w:r>
    </w:p>
    <w:tbl>
      <w:tblPr>
        <w:tblStyle w:val="77"/>
        <w:tblW w:w="86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8"/>
        <w:gridCol w:w="4430"/>
        <w:gridCol w:w="1386"/>
        <w:gridCol w:w="2360"/>
      </w:tblGrid>
      <w:tr w14:paraId="52ECB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97042">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项目</w:t>
            </w: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D432E">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考核标准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B3584">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分数</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435C">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得分</w:t>
            </w:r>
          </w:p>
        </w:tc>
      </w:tr>
      <w:tr w14:paraId="0C591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0A594">
            <w:pPr>
              <w:spacing w:line="240" w:lineRule="atLeast"/>
              <w:jc w:val="center"/>
              <w:rPr>
                <w:rFonts w:hint="eastAsia" w:asciiTheme="minorEastAsia" w:hAnsiTheme="minorEastAsia" w:eastAsiaTheme="minorEastAsia" w:cstheme="minorEastAsia"/>
                <w:sz w:val="21"/>
                <w:szCs w:val="21"/>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F0FED">
            <w:pPr>
              <w:spacing w:line="240" w:lineRule="atLeast"/>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人员配备：服务中心配备一名负责人和专职人员，居家服务照料中心配置不少于1名及以上兼职助老员。工作人员信息和照片上墙（少一人扣10分）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A932">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6776">
            <w:pPr>
              <w:spacing w:line="240" w:lineRule="atLeast"/>
              <w:jc w:val="center"/>
              <w:rPr>
                <w:rFonts w:hint="eastAsia" w:asciiTheme="minorEastAsia" w:hAnsiTheme="minorEastAsia" w:eastAsiaTheme="minorEastAsia" w:cstheme="minorEastAsia"/>
                <w:sz w:val="21"/>
                <w:szCs w:val="21"/>
                <w:highlight w:val="none"/>
                <w:lang w:val="en-US" w:eastAsia="zh-CN"/>
              </w:rPr>
            </w:pPr>
          </w:p>
        </w:tc>
      </w:tr>
      <w:tr w14:paraId="18BD5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F6BEA">
            <w:pPr>
              <w:spacing w:line="240" w:lineRule="atLeast"/>
              <w:jc w:val="center"/>
              <w:rPr>
                <w:rFonts w:hint="eastAsia" w:asciiTheme="minorEastAsia" w:hAnsiTheme="minorEastAsia" w:eastAsiaTheme="minorEastAsia" w:cstheme="minorEastAsia"/>
                <w:sz w:val="21"/>
                <w:szCs w:val="21"/>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399A5">
            <w:pPr>
              <w:spacing w:line="240" w:lineRule="atLeast"/>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服务内容、服务项目、服务流程、收费标准、 有专用求助电话等，并公示上墙（少一项扣2分）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869E">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34B9D">
            <w:pPr>
              <w:spacing w:line="240" w:lineRule="atLeast"/>
              <w:jc w:val="center"/>
              <w:rPr>
                <w:rFonts w:hint="eastAsia" w:asciiTheme="minorEastAsia" w:hAnsiTheme="minorEastAsia" w:eastAsiaTheme="minorEastAsia" w:cstheme="minorEastAsia"/>
                <w:sz w:val="21"/>
                <w:szCs w:val="21"/>
                <w:highlight w:val="none"/>
                <w:lang w:val="en-US" w:eastAsia="zh-CN"/>
              </w:rPr>
            </w:pPr>
          </w:p>
        </w:tc>
      </w:tr>
      <w:tr w14:paraId="2289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128E9">
            <w:pPr>
              <w:spacing w:line="240" w:lineRule="atLeast"/>
              <w:jc w:val="center"/>
              <w:rPr>
                <w:rFonts w:hint="eastAsia" w:asciiTheme="minorEastAsia" w:hAnsiTheme="minorEastAsia" w:eastAsiaTheme="minorEastAsia" w:cstheme="minorEastAsia"/>
                <w:sz w:val="21"/>
                <w:szCs w:val="21"/>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2F375">
            <w:pPr>
              <w:spacing w:line="240" w:lineRule="atLeast"/>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是否开展上门服务，每月25人次以上并有记录得10分，无记录不得分。有服务记录，包括服务对象花名册服务对象接受服(2分)务情况统计 (3分)，派工情况 (2分)，服务情况反馈 (2分)。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B5CCC">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AA798">
            <w:pPr>
              <w:spacing w:line="240" w:lineRule="atLeast"/>
              <w:jc w:val="center"/>
              <w:rPr>
                <w:rFonts w:hint="eastAsia" w:asciiTheme="minorEastAsia" w:hAnsiTheme="minorEastAsia" w:eastAsiaTheme="minorEastAsia" w:cstheme="minorEastAsia"/>
                <w:sz w:val="21"/>
                <w:szCs w:val="21"/>
                <w:highlight w:val="none"/>
                <w:lang w:val="en-US" w:eastAsia="zh-CN"/>
              </w:rPr>
            </w:pPr>
          </w:p>
        </w:tc>
      </w:tr>
      <w:tr w14:paraId="7DB2D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FF466">
            <w:pPr>
              <w:spacing w:line="240" w:lineRule="atLeast"/>
              <w:jc w:val="center"/>
              <w:rPr>
                <w:rFonts w:hint="eastAsia" w:asciiTheme="minorEastAsia" w:hAnsiTheme="minorEastAsia" w:eastAsiaTheme="minorEastAsia" w:cstheme="minorEastAsia"/>
                <w:sz w:val="21"/>
                <w:szCs w:val="21"/>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5118C">
            <w:pPr>
              <w:spacing w:line="240" w:lineRule="atLeast"/>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提供助餐(2分)、助洁 (2分)、助医 (2分)、助浴(2分)、助行 (2分)、助急 (2分) 、日间照料 (2分) 、心里疏导(1分) 等服务。</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D6395">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8CAE">
            <w:pPr>
              <w:spacing w:line="240" w:lineRule="atLeast"/>
              <w:jc w:val="center"/>
              <w:rPr>
                <w:rFonts w:hint="eastAsia" w:asciiTheme="minorEastAsia" w:hAnsiTheme="minorEastAsia" w:eastAsiaTheme="minorEastAsia" w:cstheme="minorEastAsia"/>
                <w:sz w:val="21"/>
                <w:szCs w:val="21"/>
                <w:highlight w:val="none"/>
                <w:lang w:val="en-US" w:eastAsia="zh-CN"/>
              </w:rPr>
            </w:pPr>
          </w:p>
        </w:tc>
      </w:tr>
      <w:tr w14:paraId="36D48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BCBD4">
            <w:pPr>
              <w:spacing w:line="240" w:lineRule="atLeast"/>
              <w:jc w:val="center"/>
              <w:rPr>
                <w:rFonts w:hint="eastAsia" w:asciiTheme="minorEastAsia" w:hAnsiTheme="minorEastAsia" w:eastAsiaTheme="minorEastAsia" w:cstheme="minorEastAsia"/>
                <w:sz w:val="21"/>
                <w:szCs w:val="21"/>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AEA6D">
            <w:pPr>
              <w:spacing w:line="240" w:lineRule="atLeast"/>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开展专题讲座，节庆活动每次活动文字记录和图片资料完善。</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8EA62">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CAD75">
            <w:pPr>
              <w:spacing w:line="240" w:lineRule="atLeast"/>
              <w:jc w:val="center"/>
              <w:rPr>
                <w:rFonts w:hint="eastAsia" w:asciiTheme="minorEastAsia" w:hAnsiTheme="minorEastAsia" w:eastAsiaTheme="minorEastAsia" w:cstheme="minorEastAsia"/>
                <w:sz w:val="21"/>
                <w:szCs w:val="21"/>
                <w:highlight w:val="none"/>
                <w:lang w:val="en-US" w:eastAsia="zh-CN"/>
              </w:rPr>
            </w:pPr>
          </w:p>
        </w:tc>
      </w:tr>
      <w:tr w14:paraId="4F08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D7563">
            <w:pPr>
              <w:spacing w:line="240" w:lineRule="atLeast"/>
              <w:jc w:val="center"/>
              <w:rPr>
                <w:rFonts w:hint="eastAsia" w:asciiTheme="minorEastAsia" w:hAnsiTheme="minorEastAsia" w:eastAsiaTheme="minorEastAsia" w:cstheme="minorEastAsia"/>
                <w:sz w:val="21"/>
                <w:szCs w:val="21"/>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492D4">
            <w:pPr>
              <w:spacing w:line="240" w:lineRule="atLeast"/>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是否开展每月免费理发、剪指甲、量血压等日常生活服务，每月老年人文体活动（未开展不得分）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353C">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9B1A8">
            <w:pPr>
              <w:spacing w:line="240" w:lineRule="atLeast"/>
              <w:jc w:val="center"/>
              <w:rPr>
                <w:rFonts w:hint="eastAsia" w:asciiTheme="minorEastAsia" w:hAnsiTheme="minorEastAsia" w:eastAsiaTheme="minorEastAsia" w:cstheme="minorEastAsia"/>
                <w:sz w:val="21"/>
                <w:szCs w:val="21"/>
                <w:highlight w:val="none"/>
                <w:lang w:val="en-US" w:eastAsia="zh-CN"/>
              </w:rPr>
            </w:pPr>
          </w:p>
        </w:tc>
      </w:tr>
      <w:tr w14:paraId="01AE4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1A59D">
            <w:pPr>
              <w:spacing w:line="240" w:lineRule="atLeast"/>
              <w:jc w:val="center"/>
              <w:rPr>
                <w:rFonts w:hint="eastAsia" w:asciiTheme="minorEastAsia" w:hAnsiTheme="minorEastAsia" w:eastAsiaTheme="minorEastAsia" w:cstheme="minorEastAsia"/>
                <w:sz w:val="21"/>
                <w:szCs w:val="21"/>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12A4C">
            <w:pPr>
              <w:spacing w:line="240" w:lineRule="atLeast"/>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老人服务满意度（不满意一人扣一分）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7D19">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99CD2">
            <w:pPr>
              <w:spacing w:line="240" w:lineRule="atLeast"/>
              <w:jc w:val="center"/>
              <w:rPr>
                <w:rFonts w:hint="eastAsia" w:asciiTheme="minorEastAsia" w:hAnsiTheme="minorEastAsia" w:eastAsiaTheme="minorEastAsia" w:cstheme="minorEastAsia"/>
                <w:sz w:val="21"/>
                <w:szCs w:val="21"/>
                <w:highlight w:val="none"/>
                <w:lang w:val="en-US" w:eastAsia="zh-CN"/>
              </w:rPr>
            </w:pPr>
          </w:p>
        </w:tc>
      </w:tr>
      <w:tr w14:paraId="51C1C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66B16">
            <w:pPr>
              <w:spacing w:line="240" w:lineRule="atLeast"/>
              <w:jc w:val="center"/>
              <w:rPr>
                <w:rFonts w:hint="eastAsia" w:asciiTheme="minorEastAsia" w:hAnsiTheme="minorEastAsia" w:eastAsiaTheme="minorEastAsia" w:cstheme="minorEastAsia"/>
                <w:sz w:val="21"/>
                <w:szCs w:val="21"/>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03ED8">
            <w:pPr>
              <w:spacing w:line="240" w:lineRule="atLeast"/>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建立服务台账，按时完成相关工作</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19B4E">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CFF5E">
            <w:pPr>
              <w:spacing w:line="240" w:lineRule="atLeast"/>
              <w:jc w:val="center"/>
              <w:rPr>
                <w:rFonts w:hint="eastAsia" w:asciiTheme="minorEastAsia" w:hAnsiTheme="minorEastAsia" w:eastAsiaTheme="minorEastAsia" w:cstheme="minorEastAsia"/>
                <w:sz w:val="21"/>
                <w:szCs w:val="21"/>
                <w:highlight w:val="none"/>
                <w:lang w:val="en-US" w:eastAsia="zh-CN"/>
              </w:rPr>
            </w:pPr>
          </w:p>
        </w:tc>
      </w:tr>
      <w:tr w14:paraId="25E8A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21858">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否定项</w:t>
            </w: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D312C">
            <w:pPr>
              <w:spacing w:line="240" w:lineRule="atLeast"/>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 不接受民政部门监督管理或弄虚作假。</w:t>
            </w:r>
          </w:p>
          <w:p w14:paraId="3C01B402">
            <w:pPr>
              <w:spacing w:line="240" w:lineRule="atLeast"/>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 发生安全事故。</w:t>
            </w:r>
          </w:p>
          <w:p w14:paraId="24C4B2C7">
            <w:pPr>
              <w:spacing w:line="240" w:lineRule="atLeast"/>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 抽查有三次以上 (含三次) 未对外开放。</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8E1EC">
            <w:pPr>
              <w:spacing w:line="240" w:lineRule="atLeast"/>
              <w:jc w:val="center"/>
              <w:rPr>
                <w:rFonts w:hint="eastAsia" w:asciiTheme="minorEastAsia" w:hAnsiTheme="minorEastAsia" w:eastAsiaTheme="minorEastAsia" w:cstheme="minorEastAsia"/>
                <w:sz w:val="21"/>
                <w:szCs w:val="21"/>
                <w:highlight w:val="none"/>
                <w:lang w:val="en-US" w:eastAsia="zh-CN"/>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8DB45">
            <w:pPr>
              <w:spacing w:line="240" w:lineRule="atLeast"/>
              <w:jc w:val="center"/>
              <w:rPr>
                <w:rFonts w:hint="eastAsia" w:asciiTheme="minorEastAsia" w:hAnsiTheme="minorEastAsia" w:eastAsiaTheme="minorEastAsia" w:cstheme="minorEastAsia"/>
                <w:sz w:val="21"/>
                <w:szCs w:val="21"/>
                <w:highlight w:val="none"/>
                <w:lang w:val="en-US" w:eastAsia="zh-CN"/>
              </w:rPr>
            </w:pPr>
          </w:p>
        </w:tc>
      </w:tr>
      <w:tr w14:paraId="3671C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6D339">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总分</w:t>
            </w: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890EE">
            <w:pPr>
              <w:spacing w:line="240" w:lineRule="atLeast"/>
              <w:jc w:val="center"/>
              <w:rPr>
                <w:rFonts w:hint="eastAsia" w:asciiTheme="minorEastAsia" w:hAnsiTheme="minorEastAsia" w:eastAsiaTheme="minorEastAsia" w:cstheme="minorEastAsia"/>
                <w:sz w:val="21"/>
                <w:szCs w:val="21"/>
                <w:highlight w:val="none"/>
                <w:lang w:val="en-US" w:eastAsia="zh-CN"/>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2935">
            <w:pPr>
              <w:spacing w:line="240" w:lineRule="atLeast"/>
              <w:jc w:val="center"/>
              <w:rPr>
                <w:rFonts w:hint="eastAsia" w:asciiTheme="minorEastAsia" w:hAnsiTheme="minorEastAsia" w:eastAsiaTheme="minorEastAsia" w:cstheme="minorEastAsia"/>
                <w:sz w:val="21"/>
                <w:szCs w:val="21"/>
                <w:highlight w:val="none"/>
                <w:lang w:val="en-US" w:eastAsia="zh-CN"/>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2A37">
            <w:pPr>
              <w:spacing w:line="240" w:lineRule="atLeast"/>
              <w:jc w:val="center"/>
              <w:rPr>
                <w:rFonts w:hint="eastAsia" w:asciiTheme="minorEastAsia" w:hAnsiTheme="minorEastAsia" w:eastAsiaTheme="minorEastAsia" w:cstheme="minorEastAsia"/>
                <w:sz w:val="21"/>
                <w:szCs w:val="21"/>
                <w:highlight w:val="none"/>
                <w:lang w:val="en-US" w:eastAsia="zh-CN"/>
              </w:rPr>
            </w:pPr>
          </w:p>
        </w:tc>
      </w:tr>
    </w:tbl>
    <w:p w14:paraId="787F4AED">
      <w:pP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sz w:val="24"/>
          <w:highlight w:val="none"/>
          <w:lang w:val="en-US" w:eastAsia="zh-CN"/>
        </w:rPr>
        <w:t>注：采购人有权根据项目实际实施情况调整检查表，中标人不得拒绝。</w:t>
      </w:r>
    </w:p>
    <w:p w14:paraId="2035FBC8">
      <w:pPr>
        <w:pStyle w:val="17"/>
        <w:rPr>
          <w:rFonts w:hint="eastAsia" w:asciiTheme="minorEastAsia" w:hAnsiTheme="minorEastAsia" w:eastAsiaTheme="minorEastAsia" w:cstheme="minorEastAsia"/>
          <w:highlight w:val="none"/>
        </w:rPr>
      </w:pPr>
    </w:p>
    <w:p w14:paraId="74C7621A">
      <w:pP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br w:type="page"/>
      </w:r>
    </w:p>
    <w:p w14:paraId="55D32F85">
      <w:pPr>
        <w:pStyle w:val="17"/>
        <w:rPr>
          <w:rFonts w:hint="eastAsia" w:asciiTheme="minorEastAsia" w:hAnsiTheme="minorEastAsia" w:eastAsiaTheme="minorEastAsia" w:cstheme="minorEastAsia"/>
          <w:highlight w:val="none"/>
        </w:rPr>
      </w:pPr>
    </w:p>
    <w:p w14:paraId="55F684F8">
      <w:pPr>
        <w:pStyle w:val="3"/>
        <w:numPr>
          <w:ilvl w:val="0"/>
          <w:numId w:val="0"/>
        </w:numPr>
        <w:shd w:val="clear"/>
        <w:tabs>
          <w:tab w:val="clear" w:pos="432"/>
        </w:tabs>
        <w:spacing w:before="0" w:after="0" w:line="360" w:lineRule="auto"/>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第三部分 投标人须知</w:t>
      </w:r>
      <w:bookmarkEnd w:id="1"/>
    </w:p>
    <w:p w14:paraId="1AFA41D4">
      <w:pPr>
        <w:pStyle w:val="17"/>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bookmarkStart w:id="8" w:name="_Toc331502478"/>
      <w:r>
        <w:rPr>
          <w:rFonts w:hint="eastAsia" w:asciiTheme="minorEastAsia" w:hAnsiTheme="minorEastAsia" w:eastAsiaTheme="minorEastAsia" w:cstheme="minorEastAsia"/>
          <w:b/>
          <w:bCs/>
          <w:color w:val="auto"/>
          <w:kern w:val="2"/>
          <w:sz w:val="32"/>
          <w:szCs w:val="32"/>
          <w:highlight w:val="none"/>
        </w:rPr>
        <w:t>前附表</w:t>
      </w:r>
      <w:bookmarkEnd w:id="8"/>
    </w:p>
    <w:tbl>
      <w:tblPr>
        <w:tblStyle w:val="77"/>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7CBB8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14:paraId="02C1DFDA">
            <w:pPr>
              <w:shd w:val="clear"/>
              <w:snapToGrid w:val="0"/>
              <w:spacing w:line="240" w:lineRule="auto"/>
              <w:jc w:val="center"/>
              <w:rPr>
                <w:rFonts w:hint="eastAsia" w:asciiTheme="minorEastAsia" w:hAnsiTheme="minorEastAsia" w:eastAsiaTheme="minorEastAsia" w:cstheme="minorEastAsia"/>
                <w:color w:val="auto"/>
                <w:sz w:val="21"/>
                <w:szCs w:val="21"/>
                <w:highlight w:val="none"/>
              </w:rPr>
            </w:pPr>
            <w:bookmarkStart w:id="9" w:name="_Hlt74714665"/>
            <w:bookmarkEnd w:id="9"/>
            <w:bookmarkStart w:id="10" w:name="_Hlt74730295"/>
            <w:bookmarkEnd w:id="10"/>
            <w:bookmarkStart w:id="11" w:name="_Toc91899872"/>
            <w:bookmarkStart w:id="12" w:name="_Hlt74730208"/>
            <w:bookmarkStart w:id="13" w:name="_Hlt74730112"/>
            <w:bookmarkStart w:id="14" w:name="_Toc331502480"/>
            <w:r>
              <w:rPr>
                <w:rFonts w:hint="eastAsia" w:asciiTheme="minorEastAsia" w:hAnsiTheme="minorEastAsia" w:eastAsiaTheme="minorEastAsia" w:cstheme="minorEastAsia"/>
                <w:color w:val="auto"/>
                <w:sz w:val="21"/>
                <w:szCs w:val="21"/>
                <w:highlight w:val="none"/>
              </w:rPr>
              <w:t>序号</w:t>
            </w:r>
          </w:p>
        </w:tc>
        <w:tc>
          <w:tcPr>
            <w:tcW w:w="8371" w:type="dxa"/>
            <w:tcBorders>
              <w:top w:val="single" w:color="auto" w:sz="4" w:space="0"/>
              <w:left w:val="single" w:color="auto" w:sz="4" w:space="0"/>
              <w:bottom w:val="single" w:color="auto" w:sz="4" w:space="0"/>
            </w:tcBorders>
            <w:vAlign w:val="center"/>
          </w:tcPr>
          <w:p w14:paraId="6DB6BFF9">
            <w:pPr>
              <w:shd w:val="clea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内容、要求</w:t>
            </w:r>
          </w:p>
        </w:tc>
      </w:tr>
      <w:tr w14:paraId="77DB6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14:paraId="2F7BEAE8">
            <w:pPr>
              <w:shd w:val="clea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371" w:type="dxa"/>
            <w:tcBorders>
              <w:top w:val="single" w:color="auto" w:sz="4" w:space="0"/>
              <w:left w:val="single" w:color="auto" w:sz="4" w:space="0"/>
              <w:bottom w:val="single" w:color="auto" w:sz="4" w:space="0"/>
            </w:tcBorders>
            <w:vAlign w:val="center"/>
          </w:tcPr>
          <w:p w14:paraId="359C52E5">
            <w:pPr>
              <w:shd w:val="clear"/>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：2025年度峰江街道居家养老服务（照料）中心</w:t>
            </w:r>
          </w:p>
        </w:tc>
      </w:tr>
      <w:tr w14:paraId="18812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69" w:type="dxa"/>
            <w:tcBorders>
              <w:top w:val="single" w:color="auto" w:sz="4" w:space="0"/>
              <w:bottom w:val="single" w:color="auto" w:sz="4" w:space="0"/>
              <w:right w:val="single" w:color="auto" w:sz="4" w:space="0"/>
            </w:tcBorders>
            <w:vAlign w:val="center"/>
          </w:tcPr>
          <w:p w14:paraId="4D63F5E8">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8371" w:type="dxa"/>
            <w:tcBorders>
              <w:top w:val="single" w:color="auto" w:sz="4" w:space="0"/>
              <w:left w:val="single" w:color="auto" w:sz="4" w:space="0"/>
              <w:bottom w:val="single" w:color="auto" w:sz="4" w:space="0"/>
            </w:tcBorders>
            <w:vAlign w:val="center"/>
          </w:tcPr>
          <w:p w14:paraId="084CE258">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采购数量及被供应的主体单位：</w:t>
            </w:r>
            <w:r>
              <w:rPr>
                <w:rFonts w:hint="eastAsia" w:asciiTheme="minorEastAsia" w:hAnsiTheme="minorEastAsia" w:eastAsiaTheme="minorEastAsia" w:cstheme="minorEastAsia"/>
                <w:color w:val="auto"/>
                <w:kern w:val="0"/>
                <w:sz w:val="21"/>
                <w:szCs w:val="21"/>
                <w:highlight w:val="none"/>
              </w:rPr>
              <w:t>详见</w:t>
            </w:r>
            <w:r>
              <w:rPr>
                <w:rFonts w:hint="eastAsia" w:asciiTheme="minorEastAsia" w:hAnsiTheme="minorEastAsia" w:eastAsiaTheme="minorEastAsia" w:cstheme="minorEastAsia"/>
                <w:color w:val="auto"/>
                <w:kern w:val="0"/>
                <w:sz w:val="21"/>
                <w:szCs w:val="21"/>
                <w:highlight w:val="none"/>
                <w:lang w:eastAsia="zh-CN"/>
              </w:rPr>
              <w:t>项目需求</w:t>
            </w:r>
          </w:p>
        </w:tc>
      </w:tr>
      <w:tr w14:paraId="60C50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14:paraId="6DCFC76B">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8371" w:type="dxa"/>
            <w:tcBorders>
              <w:top w:val="single" w:color="auto" w:sz="4" w:space="0"/>
              <w:left w:val="single" w:color="auto" w:sz="4" w:space="0"/>
              <w:bottom w:val="single" w:color="auto" w:sz="4" w:space="0"/>
            </w:tcBorders>
            <w:vAlign w:val="center"/>
          </w:tcPr>
          <w:p w14:paraId="7E1CA255">
            <w:pPr>
              <w:keepNext w:val="0"/>
              <w:keepLines w:val="0"/>
              <w:suppressLineNumbers w:val="0"/>
              <w:shd w:val="clear"/>
              <w:snapToGrid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投标报价要求及费用：</w:t>
            </w:r>
          </w:p>
          <w:p w14:paraId="3F5957C8">
            <w:pPr>
              <w:keepNext w:val="0"/>
              <w:keepLines w:val="0"/>
              <w:suppressLineNumbers w:val="0"/>
              <w:shd w:val="clear"/>
              <w:snapToGrid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1、本项目投标应以</w:t>
            </w:r>
            <w:r>
              <w:rPr>
                <w:rFonts w:hint="eastAsia" w:asciiTheme="minorEastAsia" w:hAnsiTheme="minorEastAsia" w:eastAsiaTheme="minorEastAsia" w:cstheme="minorEastAsia"/>
                <w:color w:val="auto"/>
                <w:sz w:val="21"/>
                <w:szCs w:val="21"/>
                <w:highlight w:val="none"/>
                <w:lang w:val="en-US" w:eastAsia="zh-CN"/>
              </w:rPr>
              <w:t>人民币</w:t>
            </w:r>
            <w:r>
              <w:rPr>
                <w:rFonts w:hint="eastAsia" w:asciiTheme="minorEastAsia" w:hAnsiTheme="minorEastAsia" w:eastAsiaTheme="minorEastAsia" w:cstheme="minorEastAsia"/>
                <w:color w:val="auto"/>
                <w:sz w:val="21"/>
                <w:szCs w:val="21"/>
                <w:highlight w:val="none"/>
              </w:rPr>
              <w:t>报价。</w:t>
            </w:r>
          </w:p>
          <w:p w14:paraId="68E10BF2">
            <w:pPr>
              <w:pStyle w:val="27"/>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2、详细报价要求详见</w:t>
            </w:r>
            <w:r>
              <w:rPr>
                <w:rFonts w:hint="eastAsia" w:asciiTheme="minorEastAsia" w:hAnsiTheme="minorEastAsia" w:eastAsiaTheme="minorEastAsia" w:cstheme="minorEastAsia"/>
                <w:color w:val="auto"/>
                <w:sz w:val="21"/>
                <w:szCs w:val="21"/>
                <w:highlight w:val="none"/>
                <w:lang w:eastAsia="zh-CN"/>
              </w:rPr>
              <w:t>项目需求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未按要求报价</w:t>
            </w:r>
            <w:r>
              <w:rPr>
                <w:rFonts w:hint="eastAsia" w:asciiTheme="minorEastAsia" w:hAnsiTheme="minorEastAsia" w:eastAsiaTheme="minorEastAsia" w:cstheme="minorEastAsia"/>
                <w:color w:val="auto"/>
                <w:sz w:val="21"/>
                <w:szCs w:val="21"/>
                <w:highlight w:val="none"/>
              </w:rPr>
              <w:t>的，按无效标处理；</w:t>
            </w:r>
          </w:p>
          <w:p w14:paraId="1C7A626E">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3、不论投标结果如何，投标人均应自行承担所有与投标有关的全部费用。</w:t>
            </w:r>
          </w:p>
        </w:tc>
      </w:tr>
      <w:tr w14:paraId="1B2B1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9" w:type="dxa"/>
            <w:tcBorders>
              <w:top w:val="single" w:color="auto" w:sz="4" w:space="0"/>
              <w:bottom w:val="single" w:color="auto" w:sz="4" w:space="0"/>
              <w:right w:val="single" w:color="auto" w:sz="4" w:space="0"/>
            </w:tcBorders>
            <w:vAlign w:val="center"/>
          </w:tcPr>
          <w:p w14:paraId="323084FF">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8371" w:type="dxa"/>
            <w:tcBorders>
              <w:top w:val="single" w:color="auto" w:sz="4" w:space="0"/>
              <w:left w:val="single" w:color="auto" w:sz="4" w:space="0"/>
              <w:bottom w:val="single" w:color="auto" w:sz="4" w:space="0"/>
            </w:tcBorders>
            <w:vAlign w:val="center"/>
          </w:tcPr>
          <w:p w14:paraId="7B6171F4">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投标保证金：</w:t>
            </w:r>
            <w:r>
              <w:rPr>
                <w:rFonts w:hint="eastAsia" w:asciiTheme="minorEastAsia" w:hAnsiTheme="minorEastAsia" w:eastAsiaTheme="minorEastAsia" w:cstheme="minorEastAsia"/>
                <w:b/>
                <w:color w:val="auto"/>
                <w:sz w:val="21"/>
                <w:szCs w:val="21"/>
                <w:highlight w:val="none"/>
                <w:lang w:val="en-US" w:eastAsia="zh-CN"/>
              </w:rPr>
              <w:t>0元，</w:t>
            </w:r>
            <w:r>
              <w:rPr>
                <w:rFonts w:hint="eastAsia" w:asciiTheme="minorEastAsia" w:hAnsiTheme="minorEastAsia" w:eastAsiaTheme="minorEastAsia" w:cstheme="minorEastAsia"/>
                <w:color w:val="auto"/>
                <w:kern w:val="0"/>
                <w:sz w:val="21"/>
                <w:szCs w:val="21"/>
                <w:highlight w:val="none"/>
              </w:rPr>
              <w:t>但若投标人在投标过程中存在违规行为给采购人造成损失的，须赔偿全部损失</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color w:val="auto"/>
                <w:sz w:val="21"/>
                <w:szCs w:val="21"/>
                <w:highlight w:val="none"/>
                <w:lang w:eastAsia="zh-CN"/>
              </w:rPr>
              <w:t>。</w:t>
            </w:r>
          </w:p>
        </w:tc>
      </w:tr>
      <w:tr w14:paraId="3F144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bottom w:val="single" w:color="auto" w:sz="4" w:space="0"/>
              <w:right w:val="single" w:color="auto" w:sz="4" w:space="0"/>
            </w:tcBorders>
            <w:vAlign w:val="center"/>
          </w:tcPr>
          <w:p w14:paraId="335BD992">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8371" w:type="dxa"/>
            <w:tcBorders>
              <w:top w:val="single" w:color="auto" w:sz="4" w:space="0"/>
              <w:left w:val="single" w:color="auto" w:sz="4" w:space="0"/>
              <w:bottom w:val="single" w:color="auto" w:sz="4" w:space="0"/>
            </w:tcBorders>
            <w:vAlign w:val="center"/>
          </w:tcPr>
          <w:p w14:paraId="2ED887C6">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答疑会或现场踏勘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本项目不组织答疑会或现场踏勘，如投标人认为有必要可自行前往现场踏勘。</w:t>
            </w:r>
          </w:p>
        </w:tc>
      </w:tr>
      <w:tr w14:paraId="679CA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869" w:type="dxa"/>
            <w:tcBorders>
              <w:top w:val="single" w:color="auto" w:sz="4" w:space="0"/>
              <w:bottom w:val="single" w:color="auto" w:sz="4" w:space="0"/>
              <w:right w:val="single" w:color="auto" w:sz="4" w:space="0"/>
            </w:tcBorders>
            <w:shd w:val="clear" w:color="auto" w:fill="auto"/>
            <w:vAlign w:val="center"/>
          </w:tcPr>
          <w:p w14:paraId="6CE998DA">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8371" w:type="dxa"/>
            <w:tcBorders>
              <w:top w:val="single" w:color="auto" w:sz="4" w:space="0"/>
              <w:left w:val="single" w:color="auto" w:sz="4" w:space="0"/>
              <w:bottom w:val="single" w:color="auto" w:sz="4" w:space="0"/>
            </w:tcBorders>
            <w:shd w:val="clear" w:color="auto" w:fill="auto"/>
            <w:vAlign w:val="center"/>
          </w:tcPr>
          <w:p w14:paraId="6EB7FF92">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演示时间及地点：</w:t>
            </w:r>
            <w:r>
              <w:rPr>
                <w:rFonts w:hint="eastAsia" w:asciiTheme="minorEastAsia" w:hAnsiTheme="minorEastAsia" w:eastAsiaTheme="minorEastAsia" w:cstheme="minorEastAsia"/>
                <w:color w:val="auto"/>
                <w:sz w:val="21"/>
                <w:szCs w:val="21"/>
                <w:highlight w:val="none"/>
                <w:lang w:val="en-US" w:eastAsia="zh-CN"/>
              </w:rPr>
              <w:t>无</w:t>
            </w:r>
            <w:r>
              <w:rPr>
                <w:rFonts w:hint="eastAsia" w:asciiTheme="minorEastAsia" w:hAnsiTheme="minorEastAsia" w:eastAsiaTheme="minorEastAsia" w:cstheme="minorEastAsia"/>
                <w:color w:val="auto"/>
                <w:sz w:val="21"/>
                <w:szCs w:val="21"/>
                <w:highlight w:val="none"/>
              </w:rPr>
              <w:t>。</w:t>
            </w:r>
          </w:p>
        </w:tc>
      </w:tr>
      <w:tr w14:paraId="6AFF5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9" w:type="dxa"/>
            <w:tcBorders>
              <w:top w:val="single" w:color="auto" w:sz="4" w:space="0"/>
              <w:bottom w:val="single" w:color="auto" w:sz="4" w:space="0"/>
              <w:right w:val="single" w:color="auto" w:sz="4" w:space="0"/>
            </w:tcBorders>
            <w:vAlign w:val="center"/>
          </w:tcPr>
          <w:p w14:paraId="5B5CA5CB">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8371" w:type="dxa"/>
            <w:tcBorders>
              <w:top w:val="single" w:color="auto" w:sz="4" w:space="0"/>
              <w:left w:val="single" w:color="auto" w:sz="4" w:space="0"/>
              <w:bottom w:val="single" w:color="auto" w:sz="4" w:space="0"/>
            </w:tcBorders>
            <w:vAlign w:val="center"/>
          </w:tcPr>
          <w:p w14:paraId="01A5D249">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答疑与澄清：</w:t>
            </w:r>
            <w:r>
              <w:rPr>
                <w:rFonts w:hint="eastAsia" w:asciiTheme="minorEastAsia" w:hAnsiTheme="minorEastAsia" w:eastAsiaTheme="minorEastAsia" w:cstheme="minorEastAsia"/>
                <w:color w:val="auto"/>
                <w:sz w:val="21"/>
                <w:szCs w:val="21"/>
                <w:highlight w:val="none"/>
                <w:lang w:val="en-US" w:eastAsia="zh-CN"/>
              </w:rPr>
              <w:t>详见招标公告</w:t>
            </w:r>
            <w:r>
              <w:rPr>
                <w:rFonts w:hint="eastAsia" w:asciiTheme="minorEastAsia" w:hAnsiTheme="minorEastAsia" w:eastAsiaTheme="minorEastAsia" w:cstheme="minorEastAsia"/>
                <w:color w:val="auto"/>
                <w:sz w:val="21"/>
                <w:szCs w:val="21"/>
                <w:highlight w:val="none"/>
              </w:rPr>
              <w:t>。</w:t>
            </w:r>
          </w:p>
        </w:tc>
      </w:tr>
      <w:tr w14:paraId="1D11F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69" w:type="dxa"/>
            <w:tcBorders>
              <w:top w:val="single" w:color="auto" w:sz="4" w:space="0"/>
              <w:bottom w:val="single" w:color="auto" w:sz="4" w:space="0"/>
              <w:right w:val="single" w:color="auto" w:sz="4" w:space="0"/>
            </w:tcBorders>
            <w:vAlign w:val="center"/>
          </w:tcPr>
          <w:p w14:paraId="1CBCDCFD">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8371" w:type="dxa"/>
            <w:tcBorders>
              <w:top w:val="single" w:color="auto" w:sz="4" w:space="0"/>
              <w:left w:val="single" w:color="auto" w:sz="4" w:space="0"/>
              <w:bottom w:val="single" w:color="auto" w:sz="4" w:space="0"/>
            </w:tcBorders>
            <w:vAlign w:val="center"/>
          </w:tcPr>
          <w:p w14:paraId="3FC3B803">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本项目实行电子投标，供应商应准备电子投标文件、备份投标文件（电子备份投标文件</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其中备份投标文件为自愿提供，非实质性要求，因电子投标文件无法读取的后果由投标人自行承担）：</w:t>
            </w:r>
          </w:p>
          <w:p w14:paraId="54E694BE">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1、电子投标文件：</w:t>
            </w:r>
            <w:r>
              <w:rPr>
                <w:rFonts w:hint="eastAsia" w:asciiTheme="minorEastAsia" w:hAnsiTheme="minorEastAsia" w:eastAsiaTheme="minorEastAsia" w:cstheme="minorEastAsia"/>
                <w:highlight w:val="none"/>
                <w:lang w:val="zh-CN"/>
              </w:rPr>
              <w:t>按政府采购云平台供应商项目采购</w:t>
            </w:r>
            <w:r>
              <w:rPr>
                <w:rFonts w:hint="eastAsia" w:asciiTheme="minorEastAsia" w:hAnsiTheme="minorEastAsia" w:eastAsiaTheme="minorEastAsia" w:cstheme="minorEastAsia"/>
                <w:highlight w:val="none"/>
              </w:rPr>
              <w:t>--电子招投标操作指南（</w:t>
            </w:r>
            <w:r>
              <w:rPr>
                <w:rFonts w:hint="eastAsia" w:asciiTheme="minorEastAsia" w:hAnsiTheme="minorEastAsia" w:eastAsiaTheme="minorEastAsia" w:cstheme="minorEastAsia"/>
                <w:highlight w:val="none"/>
                <w:lang w:val="zh-CN"/>
              </w:rPr>
              <w:t>网址</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"https://help.zcy.gov.cn/web/site_2/2018/12-28/2573.html）及本采购文件要求制作"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lang w:eastAsia="zh-CN"/>
              </w:rPr>
              <w:t>https://service.zcygov.cn/#/help/superior</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t>及本项目招标文件要求编制</w:t>
            </w:r>
            <w:r>
              <w:rPr>
                <w:rFonts w:hint="eastAsia" w:asciiTheme="minorEastAsia" w:hAnsiTheme="minorEastAsia" w:eastAsiaTheme="minorEastAsia" w:cstheme="minorEastAsia"/>
                <w:highlight w:val="none"/>
                <w:lang w:val="zh-CN"/>
              </w:rPr>
              <w:t>、加密并递交</w:t>
            </w:r>
            <w:r>
              <w:rPr>
                <w:rFonts w:hint="eastAsia" w:asciiTheme="minorEastAsia" w:hAnsiTheme="minorEastAsia" w:eastAsiaTheme="minorEastAsia" w:cstheme="minorEastAsia"/>
                <w:highlight w:val="none"/>
              </w:rPr>
              <w:t>。</w:t>
            </w:r>
          </w:p>
          <w:p w14:paraId="618BCD49">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2、备份投标文件：电子备份投标文件。电子备份投标文件通过“政采云”平台电子投标工具制作电子投标文件产生的备份文件（后缀名为“.bfbs”），投标人自行确定是否提交；若提交请将备份投标文件以U盘、光盘或电子邮件（发送至</w:t>
            </w:r>
            <w:r>
              <w:rPr>
                <w:rFonts w:hint="eastAsia" w:asciiTheme="minorEastAsia" w:hAnsiTheme="minorEastAsia" w:eastAsiaTheme="minorEastAsia" w:cstheme="minorEastAsia"/>
                <w:highlight w:val="none"/>
                <w:lang w:eastAsia="zh-CN"/>
              </w:rPr>
              <w:t>1391370120</w:t>
            </w:r>
            <w:r>
              <w:rPr>
                <w:rFonts w:hint="eastAsia" w:asciiTheme="minorEastAsia" w:hAnsiTheme="minorEastAsia" w:eastAsiaTheme="minorEastAsia" w:cstheme="minorEastAsia"/>
                <w:highlight w:val="none"/>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tc>
      </w:tr>
      <w:tr w14:paraId="59505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69" w:type="dxa"/>
            <w:tcBorders>
              <w:top w:val="single" w:color="auto" w:sz="4" w:space="0"/>
              <w:bottom w:val="single" w:color="auto" w:sz="4" w:space="0"/>
              <w:right w:val="single" w:color="auto" w:sz="4" w:space="0"/>
            </w:tcBorders>
            <w:vAlign w:val="center"/>
          </w:tcPr>
          <w:p w14:paraId="6D7A04C8">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8371" w:type="dxa"/>
            <w:tcBorders>
              <w:top w:val="single" w:color="auto" w:sz="4" w:space="0"/>
              <w:left w:val="single" w:color="auto" w:sz="4" w:space="0"/>
              <w:bottom w:val="single" w:color="auto" w:sz="4" w:space="0"/>
            </w:tcBorders>
            <w:vAlign w:val="center"/>
          </w:tcPr>
          <w:p w14:paraId="6F8373E1">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投标截止时间：详见招标公告</w:t>
            </w:r>
          </w:p>
          <w:p w14:paraId="2356D82F">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投标文件递交方式：通过“政府采购云平台（www.zcygov.cn）”实行在线投标响应。</w:t>
            </w:r>
          </w:p>
        </w:tc>
      </w:tr>
      <w:tr w14:paraId="47D6A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869" w:type="dxa"/>
            <w:tcBorders>
              <w:top w:val="single" w:color="auto" w:sz="4" w:space="0"/>
              <w:bottom w:val="single" w:color="auto" w:sz="4" w:space="0"/>
              <w:right w:val="single" w:color="auto" w:sz="4" w:space="0"/>
            </w:tcBorders>
            <w:vAlign w:val="center"/>
          </w:tcPr>
          <w:p w14:paraId="0FC0BE26">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8371" w:type="dxa"/>
            <w:tcBorders>
              <w:top w:val="single" w:color="auto" w:sz="4" w:space="0"/>
              <w:left w:val="single" w:color="auto" w:sz="4" w:space="0"/>
              <w:bottom w:val="single" w:color="auto" w:sz="4" w:space="0"/>
            </w:tcBorders>
            <w:vAlign w:val="center"/>
          </w:tcPr>
          <w:p w14:paraId="69F2019A">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开标时间</w:t>
            </w:r>
            <w:r>
              <w:rPr>
                <w:rFonts w:hint="eastAsia" w:asciiTheme="minorEastAsia" w:hAnsiTheme="minorEastAsia" w:eastAsiaTheme="minorEastAsia" w:cstheme="minorEastAsia"/>
                <w:color w:val="auto"/>
                <w:sz w:val="21"/>
                <w:szCs w:val="21"/>
                <w:highlight w:val="none"/>
                <w:lang w:val="en-US" w:eastAsia="zh-CN"/>
              </w:rPr>
              <w:t>及</w:t>
            </w:r>
            <w:r>
              <w:rPr>
                <w:rFonts w:hint="eastAsia" w:asciiTheme="minorEastAsia" w:hAnsiTheme="minorEastAsia" w:eastAsiaTheme="minorEastAsia" w:cstheme="minorEastAsia"/>
                <w:color w:val="auto"/>
                <w:sz w:val="21"/>
                <w:szCs w:val="21"/>
                <w:highlight w:val="none"/>
              </w:rPr>
              <w:t>开标地点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详见招标公告</w:t>
            </w:r>
          </w:p>
        </w:tc>
      </w:tr>
      <w:tr w14:paraId="5D458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69" w:type="dxa"/>
            <w:tcBorders>
              <w:top w:val="single" w:color="auto" w:sz="4" w:space="0"/>
              <w:bottom w:val="single" w:color="auto" w:sz="4" w:space="0"/>
              <w:right w:val="single" w:color="auto" w:sz="4" w:space="0"/>
            </w:tcBorders>
            <w:vAlign w:val="center"/>
          </w:tcPr>
          <w:p w14:paraId="2DF58DA3">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8371" w:type="dxa"/>
            <w:tcBorders>
              <w:top w:val="single" w:color="auto" w:sz="4" w:space="0"/>
              <w:left w:val="single" w:color="auto" w:sz="4" w:space="0"/>
              <w:bottom w:val="single" w:color="auto" w:sz="4" w:space="0"/>
            </w:tcBorders>
            <w:vAlign w:val="center"/>
          </w:tcPr>
          <w:p w14:paraId="41470E65">
            <w:pPr>
              <w:keepNext w:val="0"/>
              <w:keepLines w:val="0"/>
              <w:suppressLineNumbers w:val="0"/>
              <w:shd w:val="clear"/>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评标办法：综合评估法。</w:t>
            </w:r>
          </w:p>
        </w:tc>
      </w:tr>
      <w:tr w14:paraId="3209D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69" w:type="dxa"/>
            <w:tcBorders>
              <w:top w:val="single" w:color="auto" w:sz="4" w:space="0"/>
              <w:bottom w:val="single" w:color="auto" w:sz="4" w:space="0"/>
              <w:right w:val="single" w:color="auto" w:sz="4" w:space="0"/>
            </w:tcBorders>
            <w:vAlign w:val="center"/>
          </w:tcPr>
          <w:p w14:paraId="71E47D8D">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8371" w:type="dxa"/>
            <w:tcBorders>
              <w:top w:val="single" w:color="auto" w:sz="4" w:space="0"/>
              <w:left w:val="single" w:color="auto" w:sz="4" w:space="0"/>
              <w:bottom w:val="single" w:color="auto" w:sz="4" w:space="0"/>
            </w:tcBorders>
            <w:vAlign w:val="center"/>
          </w:tcPr>
          <w:p w14:paraId="687646D8">
            <w:pPr>
              <w:keepNext w:val="0"/>
              <w:keepLines w:val="0"/>
              <w:suppressLineNumbers w:val="0"/>
              <w:shd w:val="clear"/>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评标结果公示：评标结束后，评标结果公示于浙江省政府采购网(https://zfcg.czt.zj.gov.cn/)等网站。</w:t>
            </w:r>
          </w:p>
        </w:tc>
      </w:tr>
      <w:tr w14:paraId="2DDD3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869" w:type="dxa"/>
            <w:tcBorders>
              <w:top w:val="single" w:color="auto" w:sz="4" w:space="0"/>
              <w:bottom w:val="single" w:color="auto" w:sz="4" w:space="0"/>
              <w:right w:val="single" w:color="auto" w:sz="4" w:space="0"/>
            </w:tcBorders>
            <w:vAlign w:val="center"/>
          </w:tcPr>
          <w:p w14:paraId="0A339E56">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8371" w:type="dxa"/>
            <w:tcBorders>
              <w:top w:val="single" w:color="auto" w:sz="4" w:space="0"/>
              <w:left w:val="single" w:color="auto" w:sz="4" w:space="0"/>
              <w:bottom w:val="single" w:color="auto" w:sz="4" w:space="0"/>
            </w:tcBorders>
            <w:vAlign w:val="center"/>
          </w:tcPr>
          <w:p w14:paraId="1AC94D4E">
            <w:pPr>
              <w:keepNext w:val="0"/>
              <w:keepLines w:val="0"/>
              <w:suppressLineNumbers w:val="0"/>
              <w:shd w:val="clear"/>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中标公告及中标通知书：评标结束后，中标公告发布于上述媒体；</w:t>
            </w:r>
          </w:p>
        </w:tc>
      </w:tr>
      <w:tr w14:paraId="043D5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69" w:type="dxa"/>
            <w:tcBorders>
              <w:top w:val="single" w:color="auto" w:sz="4" w:space="0"/>
              <w:bottom w:val="single" w:color="auto" w:sz="4" w:space="0"/>
              <w:right w:val="single" w:color="auto" w:sz="4" w:space="0"/>
            </w:tcBorders>
            <w:vAlign w:val="center"/>
          </w:tcPr>
          <w:p w14:paraId="6F895969">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8371" w:type="dxa"/>
            <w:tcBorders>
              <w:top w:val="single" w:color="auto" w:sz="4" w:space="0"/>
              <w:left w:val="single" w:color="auto" w:sz="4" w:space="0"/>
              <w:bottom w:val="single" w:color="auto" w:sz="4" w:space="0"/>
            </w:tcBorders>
            <w:vAlign w:val="center"/>
          </w:tcPr>
          <w:p w14:paraId="0EF5C598">
            <w:pPr>
              <w:keepNext w:val="0"/>
              <w:keepLines w:val="0"/>
              <w:suppressLineNumbers w:val="0"/>
              <w:shd w:val="clear"/>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签订合同时间：中标通知书发出后30日内。</w:t>
            </w:r>
          </w:p>
        </w:tc>
      </w:tr>
      <w:tr w14:paraId="261DB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14:paraId="33983192">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8371" w:type="dxa"/>
            <w:tcBorders>
              <w:top w:val="single" w:color="auto" w:sz="4" w:space="0"/>
              <w:left w:val="single" w:color="auto" w:sz="4" w:space="0"/>
              <w:bottom w:val="single" w:color="auto" w:sz="4" w:space="0"/>
            </w:tcBorders>
            <w:vAlign w:val="center"/>
          </w:tcPr>
          <w:p w14:paraId="31D70CB5">
            <w:pPr>
              <w:pStyle w:val="70"/>
              <w:keepNext w:val="0"/>
              <w:keepLines w:val="0"/>
              <w:widowControl/>
              <w:suppressLineNumbers w:val="0"/>
              <w:shd w:val="clear"/>
              <w:wordWrap/>
              <w:spacing w:before="0" w:beforeAutospacing="0" w:after="0" w:afterAutospacing="0" w:line="240" w:lineRule="auto"/>
              <w:ind w:left="0" w:right="0" w:firstLine="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履约保证金的收取</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履约保证金按合同总金额的 </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 xml:space="preserve"> %计收。履约保证金交至</w:t>
            </w:r>
            <w:r>
              <w:rPr>
                <w:rFonts w:hint="eastAsia" w:asciiTheme="minorEastAsia" w:hAnsiTheme="minorEastAsia" w:eastAsiaTheme="minorEastAsia" w:cstheme="minorEastAsia"/>
                <w:color w:val="auto"/>
                <w:sz w:val="21"/>
                <w:szCs w:val="21"/>
                <w:highlight w:val="none"/>
                <w:lang w:eastAsia="zh-CN"/>
              </w:rPr>
              <w:t>台州市路桥区人民政府峰江街道办事处</w:t>
            </w:r>
            <w:r>
              <w:rPr>
                <w:rFonts w:hint="eastAsia" w:asciiTheme="minorEastAsia" w:hAnsiTheme="minorEastAsia" w:eastAsiaTheme="minorEastAsia" w:cstheme="minorEastAsia"/>
                <w:color w:val="auto"/>
                <w:sz w:val="21"/>
                <w:szCs w:val="21"/>
                <w:highlight w:val="none"/>
              </w:rPr>
              <w:t>账户，提交形式为现金转账或汇款或</w:t>
            </w:r>
            <w:r>
              <w:rPr>
                <w:rFonts w:hint="eastAsia" w:asciiTheme="minorEastAsia" w:hAnsiTheme="minorEastAsia" w:eastAsiaTheme="minorEastAsia" w:cstheme="minorEastAsia"/>
                <w:color w:val="auto"/>
                <w:sz w:val="21"/>
                <w:szCs w:val="21"/>
                <w:highlight w:val="none"/>
                <w:lang w:val="en-US" w:eastAsia="zh-CN"/>
              </w:rPr>
              <w:t>银行保函或保险</w:t>
            </w:r>
            <w:r>
              <w:rPr>
                <w:rFonts w:hint="eastAsia" w:asciiTheme="minorEastAsia" w:hAnsiTheme="minorEastAsia" w:eastAsiaTheme="minorEastAsia" w:cstheme="minorEastAsia"/>
                <w:color w:val="auto"/>
                <w:sz w:val="21"/>
                <w:szCs w:val="21"/>
                <w:highlight w:val="none"/>
              </w:rPr>
              <w:t>。</w:t>
            </w:r>
          </w:p>
        </w:tc>
      </w:tr>
      <w:tr w14:paraId="70925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69" w:type="dxa"/>
            <w:tcBorders>
              <w:top w:val="single" w:color="auto" w:sz="4" w:space="0"/>
              <w:bottom w:val="single" w:color="auto" w:sz="4" w:space="0"/>
              <w:right w:val="single" w:color="auto" w:sz="4" w:space="0"/>
            </w:tcBorders>
            <w:vAlign w:val="center"/>
          </w:tcPr>
          <w:p w14:paraId="4B877834">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8371" w:type="dxa"/>
            <w:tcBorders>
              <w:top w:val="single" w:color="auto" w:sz="4" w:space="0"/>
              <w:left w:val="single" w:color="auto" w:sz="4" w:space="0"/>
              <w:bottom w:val="single" w:color="auto" w:sz="4" w:space="0"/>
            </w:tcBorders>
            <w:vAlign w:val="center"/>
          </w:tcPr>
          <w:p w14:paraId="1438BC7D">
            <w:pPr>
              <w:keepNext w:val="0"/>
              <w:keepLines w:val="0"/>
              <w:suppressLineNumbers w:val="0"/>
              <w:shd w:val="clear"/>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采购资金来源：</w:t>
            </w:r>
            <w:r>
              <w:rPr>
                <w:rFonts w:hint="eastAsia" w:asciiTheme="minorEastAsia" w:hAnsiTheme="minorEastAsia" w:eastAsiaTheme="minorEastAsia" w:cstheme="minorEastAsia"/>
                <w:color w:val="auto"/>
                <w:sz w:val="21"/>
                <w:szCs w:val="21"/>
                <w:highlight w:val="none"/>
                <w:lang w:val="en-US" w:eastAsia="zh-CN"/>
              </w:rPr>
              <w:t>政府</w:t>
            </w:r>
            <w:r>
              <w:rPr>
                <w:rFonts w:hint="eastAsia" w:asciiTheme="minorEastAsia" w:hAnsiTheme="minorEastAsia" w:eastAsiaTheme="minorEastAsia" w:cstheme="minorEastAsia"/>
                <w:color w:val="auto"/>
                <w:sz w:val="21"/>
                <w:szCs w:val="21"/>
                <w:highlight w:val="none"/>
              </w:rPr>
              <w:t>100%</w:t>
            </w:r>
          </w:p>
        </w:tc>
      </w:tr>
      <w:tr w14:paraId="0386E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69" w:type="dxa"/>
            <w:tcBorders>
              <w:top w:val="single" w:color="auto" w:sz="4" w:space="0"/>
              <w:bottom w:val="single" w:color="auto" w:sz="4" w:space="0"/>
              <w:right w:val="single" w:color="auto" w:sz="4" w:space="0"/>
            </w:tcBorders>
            <w:vAlign w:val="center"/>
          </w:tcPr>
          <w:p w14:paraId="56E0EEC7">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8371" w:type="dxa"/>
            <w:tcBorders>
              <w:top w:val="single" w:color="auto" w:sz="4" w:space="0"/>
              <w:left w:val="single" w:color="auto" w:sz="4" w:space="0"/>
              <w:bottom w:val="single" w:color="auto" w:sz="4" w:space="0"/>
            </w:tcBorders>
            <w:vAlign w:val="center"/>
          </w:tcPr>
          <w:p w14:paraId="447FAEED">
            <w:pPr>
              <w:pStyle w:val="70"/>
              <w:keepNext w:val="0"/>
              <w:keepLines w:val="0"/>
              <w:widowControl/>
              <w:suppressLineNumbers w:val="0"/>
              <w:shd w:val="clear"/>
              <w:wordWrap/>
              <w:spacing w:before="0" w:beforeAutospacing="0" w:after="0" w:afterAutospacing="0" w:line="240" w:lineRule="auto"/>
              <w:ind w:left="0" w:right="0" w:firstLine="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付款方式：</w:t>
            </w:r>
            <w:r>
              <w:rPr>
                <w:rFonts w:hint="eastAsia" w:asciiTheme="minorEastAsia" w:hAnsiTheme="minorEastAsia" w:eastAsiaTheme="minorEastAsia" w:cstheme="minorEastAsia"/>
                <w:color w:val="auto"/>
                <w:sz w:val="21"/>
                <w:szCs w:val="21"/>
                <w:highlight w:val="none"/>
                <w:lang w:val="en-US" w:eastAsia="zh-CN"/>
              </w:rPr>
              <w:t>详见采购合同</w:t>
            </w:r>
          </w:p>
        </w:tc>
      </w:tr>
      <w:tr w14:paraId="38514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69" w:type="dxa"/>
            <w:tcBorders>
              <w:top w:val="single" w:color="auto" w:sz="4" w:space="0"/>
              <w:bottom w:val="single" w:color="auto" w:sz="4" w:space="0"/>
              <w:right w:val="single" w:color="auto" w:sz="4" w:space="0"/>
            </w:tcBorders>
            <w:vAlign w:val="center"/>
          </w:tcPr>
          <w:p w14:paraId="22E662F6">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8371" w:type="dxa"/>
            <w:tcBorders>
              <w:top w:val="single" w:color="auto" w:sz="4" w:space="0"/>
              <w:left w:val="single" w:color="auto" w:sz="4" w:space="0"/>
              <w:bottom w:val="single" w:color="auto" w:sz="4" w:space="0"/>
            </w:tcBorders>
            <w:vAlign w:val="center"/>
          </w:tcPr>
          <w:p w14:paraId="078BD695">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投标文件有效期：自投标截止日起</w:t>
            </w:r>
            <w:r>
              <w:rPr>
                <w:rFonts w:hint="eastAsia" w:asciiTheme="minorEastAsia" w:hAnsiTheme="minorEastAsia" w:eastAsiaTheme="minorEastAsia" w:cstheme="minorEastAsia"/>
                <w:color w:val="auto"/>
                <w:sz w:val="21"/>
                <w:szCs w:val="21"/>
                <w:highlight w:val="none"/>
                <w:u w:val="single"/>
              </w:rPr>
              <w:t>90</w:t>
            </w:r>
            <w:r>
              <w:rPr>
                <w:rFonts w:hint="eastAsia" w:asciiTheme="minorEastAsia" w:hAnsiTheme="minorEastAsia" w:eastAsiaTheme="minorEastAsia" w:cstheme="minorEastAsia"/>
                <w:color w:val="auto"/>
                <w:sz w:val="21"/>
                <w:szCs w:val="21"/>
                <w:highlight w:val="none"/>
              </w:rPr>
              <w:t>日历天。如</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认为必要，经投标人同意可延长。</w:t>
            </w:r>
          </w:p>
        </w:tc>
      </w:tr>
      <w:tr w14:paraId="24C43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69" w:type="dxa"/>
            <w:tcBorders>
              <w:top w:val="single" w:color="auto" w:sz="4" w:space="0"/>
              <w:bottom w:val="single" w:color="auto" w:sz="4" w:space="0"/>
              <w:right w:val="single" w:color="auto" w:sz="4" w:space="0"/>
            </w:tcBorders>
            <w:vAlign w:val="center"/>
          </w:tcPr>
          <w:p w14:paraId="138F1AE5">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19</w:t>
            </w:r>
          </w:p>
        </w:tc>
        <w:tc>
          <w:tcPr>
            <w:tcW w:w="8371" w:type="dxa"/>
            <w:tcBorders>
              <w:top w:val="single" w:color="auto" w:sz="4" w:space="0"/>
              <w:left w:val="single" w:color="auto" w:sz="4" w:space="0"/>
              <w:bottom w:val="single" w:color="auto" w:sz="4" w:space="0"/>
            </w:tcBorders>
            <w:vAlign w:val="center"/>
          </w:tcPr>
          <w:p w14:paraId="38A7D88B">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本项目为服务项目，不执行节能产品、环保产品政策。</w:t>
            </w:r>
          </w:p>
        </w:tc>
      </w:tr>
      <w:tr w14:paraId="70E18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69" w:type="dxa"/>
            <w:tcBorders>
              <w:top w:val="single" w:color="auto" w:sz="4" w:space="0"/>
              <w:bottom w:val="single" w:color="auto" w:sz="4" w:space="0"/>
              <w:right w:val="single" w:color="auto" w:sz="4" w:space="0"/>
            </w:tcBorders>
            <w:vAlign w:val="center"/>
          </w:tcPr>
          <w:p w14:paraId="28C39C69">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20</w:t>
            </w:r>
          </w:p>
        </w:tc>
        <w:tc>
          <w:tcPr>
            <w:tcW w:w="8371" w:type="dxa"/>
            <w:tcBorders>
              <w:top w:val="single" w:color="auto" w:sz="4" w:space="0"/>
              <w:left w:val="single" w:color="auto" w:sz="4" w:space="0"/>
              <w:bottom w:val="single" w:color="auto" w:sz="4" w:space="0"/>
            </w:tcBorders>
            <w:vAlign w:val="center"/>
          </w:tcPr>
          <w:p w14:paraId="3B80DD96">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解释：本招标文件的解释权属于</w:t>
            </w:r>
            <w:r>
              <w:rPr>
                <w:rFonts w:hint="eastAsia" w:asciiTheme="minorEastAsia" w:hAnsiTheme="minorEastAsia" w:eastAsiaTheme="minorEastAsia" w:cstheme="minorEastAsia"/>
                <w:highlight w:val="none"/>
                <w:lang w:eastAsia="zh-CN"/>
              </w:rPr>
              <w:t>采购人</w:t>
            </w:r>
            <w:r>
              <w:rPr>
                <w:rFonts w:hint="eastAsia" w:asciiTheme="minorEastAsia" w:hAnsiTheme="minorEastAsia" w:eastAsiaTheme="minorEastAsia" w:cstheme="minorEastAsia"/>
                <w:highlight w:val="none"/>
              </w:rPr>
              <w:t>或招标代理单位。</w:t>
            </w:r>
          </w:p>
        </w:tc>
      </w:tr>
      <w:tr w14:paraId="5402A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bottom w:val="single" w:color="auto" w:sz="4" w:space="0"/>
              <w:right w:val="single" w:color="auto" w:sz="4" w:space="0"/>
            </w:tcBorders>
            <w:vAlign w:val="center"/>
          </w:tcPr>
          <w:p w14:paraId="334DFE80">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21</w:t>
            </w:r>
          </w:p>
        </w:tc>
        <w:tc>
          <w:tcPr>
            <w:tcW w:w="8371" w:type="dxa"/>
            <w:tcBorders>
              <w:top w:val="single" w:color="auto" w:sz="4" w:space="0"/>
              <w:left w:val="single" w:color="auto" w:sz="4" w:space="0"/>
              <w:bottom w:val="single" w:color="auto" w:sz="4" w:space="0"/>
            </w:tcBorders>
            <w:vAlign w:val="center"/>
          </w:tcPr>
          <w:p w14:paraId="2FF2ECB2">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特别需要注意事项：</w:t>
            </w:r>
            <w:r>
              <w:rPr>
                <w:rFonts w:hint="eastAsia" w:asciiTheme="minorEastAsia" w:hAnsiTheme="minorEastAsia" w:eastAsiaTheme="minorEastAsia" w:cstheme="minorEastAsia"/>
                <w:color w:val="auto"/>
                <w:sz w:val="21"/>
                <w:szCs w:val="21"/>
                <w:highlight w:val="none"/>
              </w:rPr>
              <w:t>招标文件中打“▲”为实质性响应条款</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投标文件须作出实质性响应，否则作无效投标处理</w:t>
            </w:r>
            <w:r>
              <w:rPr>
                <w:rFonts w:hint="eastAsia" w:asciiTheme="minorEastAsia" w:hAnsiTheme="minorEastAsia" w:eastAsiaTheme="minorEastAsia" w:cstheme="minorEastAsia"/>
                <w:color w:val="auto"/>
                <w:sz w:val="21"/>
                <w:szCs w:val="21"/>
                <w:highlight w:val="none"/>
              </w:rPr>
              <w:t>。</w:t>
            </w:r>
          </w:p>
        </w:tc>
      </w:tr>
      <w:tr w14:paraId="77BE3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69" w:type="dxa"/>
            <w:tcBorders>
              <w:top w:val="single" w:color="auto" w:sz="4" w:space="0"/>
              <w:bottom w:val="single" w:color="auto" w:sz="4" w:space="0"/>
              <w:right w:val="single" w:color="auto" w:sz="4" w:space="0"/>
            </w:tcBorders>
            <w:vAlign w:val="center"/>
          </w:tcPr>
          <w:p w14:paraId="3C2E9FAC">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22</w:t>
            </w:r>
          </w:p>
        </w:tc>
        <w:tc>
          <w:tcPr>
            <w:tcW w:w="8371" w:type="dxa"/>
            <w:tcBorders>
              <w:top w:val="single" w:color="auto" w:sz="4" w:space="0"/>
              <w:left w:val="single" w:color="auto" w:sz="4" w:space="0"/>
              <w:bottom w:val="single" w:color="auto" w:sz="4" w:space="0"/>
            </w:tcBorders>
            <w:vAlign w:val="center"/>
          </w:tcPr>
          <w:p w14:paraId="28F98757">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服务期限： 详见项目需求</w:t>
            </w:r>
          </w:p>
        </w:tc>
      </w:tr>
      <w:tr w14:paraId="515E2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14:paraId="0CFE5268">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23</w:t>
            </w:r>
          </w:p>
        </w:tc>
        <w:tc>
          <w:tcPr>
            <w:tcW w:w="8371" w:type="dxa"/>
            <w:tcBorders>
              <w:top w:val="single" w:color="auto" w:sz="4" w:space="0"/>
              <w:left w:val="single" w:color="auto" w:sz="4" w:space="0"/>
              <w:bottom w:val="single" w:color="auto" w:sz="4" w:space="0"/>
            </w:tcBorders>
            <w:vAlign w:val="center"/>
          </w:tcPr>
          <w:p w14:paraId="46B69C8A">
            <w:pPr>
              <w:shd w:val="clear"/>
              <w:snapToGrid w:val="0"/>
              <w:spacing w:line="24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1、本项目不提供样品，无现场演示。</w:t>
            </w:r>
          </w:p>
          <w:p w14:paraId="2F321C73">
            <w:pPr>
              <w:shd w:val="clear"/>
              <w:snapToGri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2、若因历史遗留原因导致投标人员不能提供社保证明的，须提供相关证明材料，否则后果自负。</w:t>
            </w:r>
          </w:p>
          <w:p w14:paraId="0D4770FC">
            <w:pPr>
              <w:shd w:val="clear"/>
              <w:snapToGri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3、关于小微企业：</w:t>
            </w:r>
            <w:r>
              <w:rPr>
                <w:rFonts w:hint="eastAsia" w:asciiTheme="minorEastAsia" w:hAnsiTheme="minorEastAsia" w:eastAsiaTheme="minorEastAsia" w:cstheme="minorEastAsia"/>
                <w:color w:val="auto"/>
                <w:sz w:val="21"/>
                <w:szCs w:val="21"/>
                <w:highlight w:val="none"/>
                <w:lang w:val="zh-CN" w:eastAsia="zh-CN"/>
              </w:rPr>
              <w:t>小微企业投标是指符合《中小企业划型标准规定》的投标人，通过投标提供本企业制造的货物、承担的工程或者服务，或者提供其他小微企业制造的货物。本项</w:t>
            </w:r>
            <w:r>
              <w:rPr>
                <w:rFonts w:hint="eastAsia" w:asciiTheme="minorEastAsia" w:hAnsiTheme="minorEastAsia" w:eastAsiaTheme="minorEastAsia" w:cstheme="minorEastAsia"/>
                <w:color w:val="auto"/>
                <w:sz w:val="21"/>
                <w:szCs w:val="21"/>
                <w:highlight w:val="none"/>
                <w:lang w:val="en-US" w:eastAsia="zh-CN"/>
              </w:rPr>
              <w:t>所指货物不包括使用大、中型企业注册商标的货物。小微企业投标应提供 《小微企业声明函》。本项目在报价评审时对符合中小企业划型标准规定（工信部联企业〔2011〕300号）的小型和微型企业给予价格优惠扶持，用扣除后的报价参与报价分评审(经认定的监狱企业与残疾人福利性单位视同小微企业)。监狱企业按招标文件格式提供证明文件；残疾人福利性单位提供《残疾人福利性单位声明函》。</w:t>
            </w:r>
          </w:p>
          <w:p w14:paraId="0D13842B">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textAlignment w:val="auto"/>
              <w:rPr>
                <w:rFonts w:hint="eastAsia" w:asciiTheme="minorEastAsia" w:hAnsiTheme="minorEastAsia" w:eastAsiaTheme="minorEastAsia" w:cstheme="minorEastAsia"/>
                <w:highlight w:val="none"/>
                <w:lang w:val="en-US"/>
              </w:rPr>
            </w:pPr>
            <w:r>
              <w:rPr>
                <w:rFonts w:hint="eastAsia" w:asciiTheme="minorEastAsia" w:hAnsiTheme="minorEastAsia" w:eastAsiaTheme="minorEastAsia" w:cstheme="minorEastAsia"/>
                <w:color w:val="auto"/>
                <w:sz w:val="21"/>
                <w:szCs w:val="21"/>
                <w:highlight w:val="none"/>
                <w:lang w:val="en-US" w:eastAsia="zh-CN"/>
              </w:rPr>
              <w:t>4、本项目采购标的对应中小企业划分标准所属行业为：其他未列明行业。</w:t>
            </w:r>
          </w:p>
        </w:tc>
      </w:tr>
      <w:tr w14:paraId="79FE6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69" w:type="dxa"/>
            <w:tcBorders>
              <w:top w:val="single" w:color="auto" w:sz="4" w:space="0"/>
              <w:bottom w:val="single" w:color="auto" w:sz="4" w:space="0"/>
              <w:right w:val="single" w:color="auto" w:sz="4" w:space="0"/>
            </w:tcBorders>
            <w:vAlign w:val="center"/>
          </w:tcPr>
          <w:p w14:paraId="7D06FEE5">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w:t>
            </w:r>
          </w:p>
        </w:tc>
        <w:tc>
          <w:tcPr>
            <w:tcW w:w="8371" w:type="dxa"/>
            <w:tcBorders>
              <w:top w:val="single" w:color="auto" w:sz="4" w:space="0"/>
              <w:left w:val="single" w:color="auto" w:sz="4" w:space="0"/>
              <w:bottom w:val="single" w:color="auto" w:sz="4" w:space="0"/>
            </w:tcBorders>
            <w:vAlign w:val="center"/>
          </w:tcPr>
          <w:p w14:paraId="038932C8">
            <w:pPr>
              <w:numPr>
                <w:ilvl w:val="0"/>
                <w:numId w:val="0"/>
              </w:numPr>
              <w:shd w:val="clear"/>
              <w:snapToGri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本项目所有投标人均可不参加本项目现场开标。</w:t>
            </w:r>
          </w:p>
        </w:tc>
      </w:tr>
      <w:tr w14:paraId="0B7B5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69" w:type="dxa"/>
            <w:tcBorders>
              <w:top w:val="single" w:color="auto" w:sz="4" w:space="0"/>
              <w:bottom w:val="single" w:color="auto" w:sz="4" w:space="0"/>
              <w:right w:val="single" w:color="auto" w:sz="4" w:space="0"/>
            </w:tcBorders>
            <w:vAlign w:val="center"/>
          </w:tcPr>
          <w:p w14:paraId="0CDA7917">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25</w:t>
            </w:r>
          </w:p>
        </w:tc>
        <w:tc>
          <w:tcPr>
            <w:tcW w:w="8371" w:type="dxa"/>
            <w:tcBorders>
              <w:top w:val="single" w:color="auto" w:sz="4" w:space="0"/>
              <w:left w:val="single" w:color="auto" w:sz="4" w:space="0"/>
              <w:bottom w:val="single" w:color="auto" w:sz="4" w:space="0"/>
            </w:tcBorders>
            <w:vAlign w:val="center"/>
          </w:tcPr>
          <w:p w14:paraId="36FA106E">
            <w:pPr>
              <w:numPr>
                <w:ilvl w:val="0"/>
                <w:numId w:val="0"/>
              </w:numPr>
              <w:shd w:val="clear"/>
              <w:snapToGri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本项目推荐1名中标候选人。</w:t>
            </w:r>
          </w:p>
        </w:tc>
      </w:tr>
    </w:tbl>
    <w:p w14:paraId="43579AFA">
      <w:pPr>
        <w:pStyle w:val="17"/>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p>
    <w:p w14:paraId="692A8E14">
      <w:pPr>
        <w:pStyle w:val="17"/>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p>
    <w:p w14:paraId="4A501726">
      <w:pPr>
        <w:pStyle w:val="17"/>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p>
    <w:p w14:paraId="4EF799FA">
      <w:pPr>
        <w:shd w:val="clear"/>
        <w:rPr>
          <w:rFonts w:hint="eastAsia" w:asciiTheme="minorEastAsia" w:hAnsiTheme="minorEastAsia" w:eastAsiaTheme="minorEastAsia" w:cstheme="minorEastAsia"/>
          <w:highlight w:val="none"/>
        </w:rPr>
      </w:pPr>
    </w:p>
    <w:p w14:paraId="62BDEA5A">
      <w:pPr>
        <w:shd w:val="clear"/>
        <w:rPr>
          <w:rFonts w:hint="eastAsia" w:asciiTheme="minorEastAsia" w:hAnsiTheme="minorEastAsia" w:eastAsiaTheme="minorEastAsia" w:cstheme="minorEastAsia"/>
          <w:highlight w:val="none"/>
        </w:rPr>
      </w:pPr>
    </w:p>
    <w:p w14:paraId="31F3B944">
      <w:pPr>
        <w:shd w:val="clear"/>
        <w:rPr>
          <w:rFonts w:hint="eastAsia" w:asciiTheme="minorEastAsia" w:hAnsiTheme="minorEastAsia" w:eastAsiaTheme="minorEastAsia" w:cstheme="minorEastAsia"/>
          <w:b/>
          <w:bCs/>
          <w:color w:val="auto"/>
          <w:kern w:val="2"/>
          <w:sz w:val="32"/>
          <w:szCs w:val="32"/>
          <w:highlight w:val="none"/>
        </w:rPr>
      </w:pPr>
      <w:r>
        <w:rPr>
          <w:rFonts w:hint="eastAsia" w:asciiTheme="minorEastAsia" w:hAnsiTheme="minorEastAsia" w:eastAsiaTheme="minorEastAsia" w:cstheme="minorEastAsia"/>
          <w:b/>
          <w:bCs/>
          <w:color w:val="auto"/>
          <w:kern w:val="2"/>
          <w:sz w:val="32"/>
          <w:szCs w:val="32"/>
          <w:highlight w:val="none"/>
        </w:rPr>
        <w:br w:type="page"/>
      </w:r>
    </w:p>
    <w:p w14:paraId="3E1ECEB6">
      <w:pPr>
        <w:pStyle w:val="17"/>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r>
        <w:rPr>
          <w:rFonts w:hint="eastAsia" w:asciiTheme="minorEastAsia" w:hAnsiTheme="minorEastAsia" w:eastAsiaTheme="minorEastAsia" w:cstheme="minorEastAsia"/>
          <w:b/>
          <w:bCs/>
          <w:color w:val="auto"/>
          <w:kern w:val="2"/>
          <w:sz w:val="32"/>
          <w:szCs w:val="32"/>
          <w:highlight w:val="none"/>
        </w:rPr>
        <w:t>一、总则</w:t>
      </w:r>
    </w:p>
    <w:p w14:paraId="03A1D7BF">
      <w:pPr>
        <w:pStyle w:val="39"/>
        <w:shd w:val="clear"/>
        <w:snapToGrid w:val="0"/>
        <w:spacing w:before="120" w:after="120" w:line="24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   总  则</w:t>
      </w:r>
    </w:p>
    <w:p w14:paraId="708027D4">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 适用范围</w:t>
      </w:r>
    </w:p>
    <w:p w14:paraId="60BD1B24">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本招标文件适用于</w:t>
      </w:r>
      <w:r>
        <w:rPr>
          <w:rFonts w:hint="eastAsia" w:asciiTheme="minorEastAsia" w:hAnsiTheme="minorEastAsia" w:eastAsiaTheme="minorEastAsia" w:cstheme="minorEastAsia"/>
          <w:color w:val="auto"/>
          <w:sz w:val="21"/>
          <w:szCs w:val="21"/>
          <w:highlight w:val="none"/>
          <w:u w:val="single"/>
          <w:lang w:eastAsia="zh-CN"/>
        </w:rPr>
        <w:t>台州市路桥区人民政府峰江街道办事处</w:t>
      </w:r>
      <w:r>
        <w:rPr>
          <w:rFonts w:hint="eastAsia" w:asciiTheme="minorEastAsia" w:hAnsiTheme="minorEastAsia" w:eastAsiaTheme="minorEastAsia" w:cstheme="minorEastAsia"/>
          <w:bCs/>
          <w:color w:val="auto"/>
          <w:sz w:val="21"/>
          <w:szCs w:val="21"/>
          <w:highlight w:val="none"/>
        </w:rPr>
        <w:t>单位</w:t>
      </w:r>
      <w:r>
        <w:rPr>
          <w:rFonts w:hint="eastAsia" w:asciiTheme="minorEastAsia" w:hAnsiTheme="minorEastAsia" w:eastAsiaTheme="minorEastAsia" w:cstheme="minorEastAsia"/>
          <w:color w:val="auto"/>
          <w:sz w:val="21"/>
          <w:szCs w:val="21"/>
          <w:highlight w:val="none"/>
          <w:u w:val="single"/>
          <w:lang w:eastAsia="zh-CN"/>
        </w:rPr>
        <w:t>2025年度峰江街道居家养老服务（照料）中心</w:t>
      </w:r>
      <w:r>
        <w:rPr>
          <w:rFonts w:hint="eastAsia" w:asciiTheme="minorEastAsia" w:hAnsiTheme="minorEastAsia" w:eastAsiaTheme="minorEastAsia" w:cstheme="minorEastAsia"/>
          <w:color w:val="auto"/>
          <w:sz w:val="21"/>
          <w:szCs w:val="21"/>
          <w:highlight w:val="none"/>
        </w:rPr>
        <w:t>的招标、投标、评标、定标、合同履约、付款等行为（法律、法规另有规定的，从其规定）。</w:t>
      </w:r>
    </w:p>
    <w:p w14:paraId="3B4FFE05">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（二）定义</w:t>
      </w:r>
    </w:p>
    <w:p w14:paraId="17F8FCE5">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1.招标采购单位系指组织本次招标活动的法人。</w:t>
      </w:r>
    </w:p>
    <w:p w14:paraId="1D7140AE">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2.“投标人”系指经认定有资格响应招标，参加投标竞争的法人或其他组织、自然人。</w:t>
      </w:r>
    </w:p>
    <w:p w14:paraId="55CF0207">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3.“产品”、“货物”系指供方按招标文件规定，须向采购人提供的一切设备、保险、税金、物品、备品备件、工具、手册及其它有关技术资料和材料。</w:t>
      </w:r>
    </w:p>
    <w:p w14:paraId="6FA0D6EE">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4.“服务”系指招标文件规定投标人须承担的安装、调试、技术协助、校准、培训、技术指导以及其他类似的义务。</w:t>
      </w:r>
    </w:p>
    <w:p w14:paraId="3D6CB2F7">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5.“项目”系指投标人按招标文件规定向采购人提供的产品和服务。</w:t>
      </w:r>
    </w:p>
    <w:p w14:paraId="2435997D">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6.“书面形式”包括信函、传真、电报等。</w:t>
      </w:r>
    </w:p>
    <w:p w14:paraId="4204267D">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7.“▲”系指实质性要求条款。</w:t>
      </w:r>
    </w:p>
    <w:p w14:paraId="0B0F0FBF">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8.甲方：合同中明确规定的实际购买服务的法人或其他组织和自然人 。</w:t>
      </w:r>
    </w:p>
    <w:p w14:paraId="0DB86AF8">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9.乙方：合同中规定的向甲方提供服务的法人或其他组织和自然人。</w:t>
      </w:r>
    </w:p>
    <w:p w14:paraId="7E58DC5E">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10.知识产权：指专利权、商标权、著作权等无形资产专有权的统称。</w:t>
      </w:r>
    </w:p>
    <w:p w14:paraId="76417AD9">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11.不可抗力：不能预见、不能避免并且不能克服的客观情况。</w:t>
      </w:r>
    </w:p>
    <w:p w14:paraId="14C8D649">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（三）招标方式</w:t>
      </w:r>
    </w:p>
    <w:p w14:paraId="4F85D8EF">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本次招标采用公开招标方式进行。</w:t>
      </w:r>
    </w:p>
    <w:p w14:paraId="1D13A405">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（四）投标费用</w:t>
      </w:r>
    </w:p>
    <w:p w14:paraId="6AF66C12">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不论投标结果如何，投标人均应自行承担所有与投标有关的全部费用（招标文件有相反规定除外）。</w:t>
      </w:r>
    </w:p>
    <w:p w14:paraId="0CE0C5AD">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本项目代理服务费</w:t>
      </w:r>
      <w:r>
        <w:rPr>
          <w:rFonts w:hint="eastAsia" w:asciiTheme="minorEastAsia" w:hAnsiTheme="minorEastAsia" w:eastAsiaTheme="minorEastAsia" w:cstheme="minorEastAsia"/>
          <w:color w:val="auto"/>
          <w:sz w:val="21"/>
          <w:szCs w:val="21"/>
          <w:highlight w:val="none"/>
        </w:rPr>
        <w:t>向中标单位收取代理服务</w:t>
      </w:r>
      <w:r>
        <w:rPr>
          <w:rFonts w:hint="eastAsia" w:asciiTheme="minorEastAsia" w:hAnsiTheme="minorEastAsia" w:eastAsiaTheme="minorEastAsia" w:cstheme="minorEastAsia"/>
          <w:color w:val="auto"/>
          <w:sz w:val="21"/>
          <w:szCs w:val="21"/>
          <w:highlight w:val="none"/>
          <w:lang w:val="en-US" w:eastAsia="zh-CN"/>
        </w:rPr>
        <w:t>8000元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采购代理服务费须包含在总报价中，由采购代理机构在签发中标通知书</w:t>
      </w:r>
      <w:r>
        <w:rPr>
          <w:rFonts w:hint="eastAsia" w:asciiTheme="minorEastAsia" w:hAnsiTheme="minorEastAsia" w:eastAsiaTheme="minorEastAsia" w:cstheme="minorEastAsia"/>
          <w:color w:val="auto"/>
          <w:sz w:val="21"/>
          <w:szCs w:val="21"/>
          <w:highlight w:val="none"/>
          <w:lang w:eastAsia="zh-CN"/>
        </w:rPr>
        <w:t>前</w:t>
      </w:r>
      <w:r>
        <w:rPr>
          <w:rFonts w:hint="eastAsia" w:asciiTheme="minorEastAsia" w:hAnsiTheme="minorEastAsia" w:eastAsiaTheme="minorEastAsia" w:cstheme="minorEastAsia"/>
          <w:color w:val="auto"/>
          <w:sz w:val="21"/>
          <w:szCs w:val="21"/>
          <w:highlight w:val="none"/>
          <w:lang w:val="en-US" w:eastAsia="zh-CN"/>
        </w:rPr>
        <w:t>向中标供应商</w:t>
      </w:r>
      <w:r>
        <w:rPr>
          <w:rFonts w:hint="eastAsia" w:asciiTheme="minorEastAsia" w:hAnsiTheme="minorEastAsia" w:eastAsiaTheme="minorEastAsia" w:cstheme="minorEastAsia"/>
          <w:color w:val="auto"/>
          <w:sz w:val="21"/>
          <w:szCs w:val="21"/>
          <w:highlight w:val="none"/>
        </w:rPr>
        <w:t>收取（收取后不退还）。请投标人在投标报价时综合考虑，费用计入中标人投标费用内，</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不再支付该部分费用给中标人。</w:t>
      </w:r>
    </w:p>
    <w:p w14:paraId="38BF53ED">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附表：招标代理服务收费标准</w:t>
      </w:r>
    </w:p>
    <w:tbl>
      <w:tblPr>
        <w:tblStyle w:val="77"/>
        <w:tblW w:w="968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8"/>
        <w:gridCol w:w="2843"/>
        <w:gridCol w:w="2067"/>
        <w:gridCol w:w="2067"/>
      </w:tblGrid>
      <w:tr w14:paraId="50B3B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2708" w:type="dxa"/>
          </w:tcPr>
          <w:p w14:paraId="76743EAA">
            <w:pPr>
              <w:pStyle w:val="692"/>
              <w:shd w:val="clear"/>
              <w:ind w:left="1577"/>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1662336" behindDoc="1" locked="0" layoutInCell="1" allowOverlap="1">
                      <wp:simplePos x="0" y="0"/>
                      <wp:positionH relativeFrom="page">
                        <wp:posOffset>-53975</wp:posOffset>
                      </wp:positionH>
                      <wp:positionV relativeFrom="paragraph">
                        <wp:posOffset>1905</wp:posOffset>
                      </wp:positionV>
                      <wp:extent cx="1772920" cy="798195"/>
                      <wp:effectExtent l="0" t="0" r="5080" b="1905"/>
                      <wp:wrapNone/>
                      <wp:docPr id="1" name="任意多边形 2"/>
                      <wp:cNvGraphicFramePr/>
                      <a:graphic xmlns:a="http://schemas.openxmlformats.org/drawingml/2006/main">
                        <a:graphicData uri="http://schemas.microsoft.com/office/word/2010/wordprocessingShape">
                          <wps:wsp>
                            <wps:cNvSpPr/>
                            <wps:spPr>
                              <a:xfrm>
                                <a:off x="0" y="0"/>
                                <a:ext cx="1772920" cy="798195"/>
                              </a:xfrm>
                              <a:custGeom>
                                <a:avLst/>
                                <a:gdLst/>
                                <a:ahLst/>
                                <a:cxnLst/>
                                <a:pathLst>
                                  <a:path w="2569" h="1189">
                                    <a:moveTo>
                                      <a:pt x="2556" y="1175"/>
                                    </a:moveTo>
                                    <a:lnTo>
                                      <a:pt x="6" y="33"/>
                                    </a:lnTo>
                                    <a:lnTo>
                                      <a:pt x="0" y="47"/>
                                    </a:lnTo>
                                    <a:lnTo>
                                      <a:pt x="2550" y="1189"/>
                                    </a:lnTo>
                                    <a:lnTo>
                                      <a:pt x="2556" y="1175"/>
                                    </a:lnTo>
                                    <a:moveTo>
                                      <a:pt x="2569" y="1165"/>
                                    </a:moveTo>
                                    <a:lnTo>
                                      <a:pt x="1116" y="0"/>
                                    </a:lnTo>
                                    <a:lnTo>
                                      <a:pt x="1106" y="12"/>
                                    </a:lnTo>
                                    <a:lnTo>
                                      <a:pt x="2559" y="1177"/>
                                    </a:lnTo>
                                    <a:lnTo>
                                      <a:pt x="2569" y="1165"/>
                                    </a:lnTo>
                                  </a:path>
                                </a:pathLst>
                              </a:custGeom>
                              <a:solidFill>
                                <a:srgbClr val="000000"/>
                              </a:solidFill>
                              <a:ln>
                                <a:noFill/>
                              </a:ln>
                            </wps:spPr>
                            <wps:bodyPr vert="horz" anchor="t" anchorCtr="0" upright="1"/>
                          </wps:wsp>
                        </a:graphicData>
                      </a:graphic>
                    </wp:anchor>
                  </w:drawing>
                </mc:Choice>
                <mc:Fallback>
                  <w:pict>
                    <v:shape id="任意多边形 2" o:spid="_x0000_s1026" o:spt="100" style="position:absolute;left:0pt;margin-left:-4.25pt;margin-top:0.15pt;height:62.85pt;width:139.6pt;mso-position-horizontal-relative:page;z-index:-251654144;mso-width-relative:page;mso-height-relative:page;" fillcolor="#000000" filled="t" stroked="f" coordsize="2569,1189" o:gfxdata="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IxFNtUAAAAHAQAADwAAAAAAAAABACAAAAAiAAAAZHJzL2Rvd25yZXYueG1sUEsBAhQAFAAAAAgA&#10;h07iQCe8CuxhAgAAdwUAAA4AAAAAAAAAAQAgAAAAJAEAAGRycy9lMm9Eb2MueG1sUEsFBgAAAAAG&#10;AAYAWQEAAPcFAAAAAA==&#10;" path="m2556,1175l6,33,0,47,2550,1189,2556,1175m2569,1165l1116,0,1106,12,2559,1177,2569,1165e">
                      <v:fill on="t" focussize="0,0"/>
                      <v:stroke on="f"/>
                      <v:imagedata o:title=""/>
                      <o:lock v:ext="edit" aspectratio="f"/>
                    </v:shape>
                  </w:pict>
                </mc:Fallback>
              </mc:AlternateContent>
            </w:r>
            <w:r>
              <w:rPr>
                <w:rFonts w:hint="eastAsia" w:asciiTheme="minorEastAsia" w:hAnsiTheme="minorEastAsia" w:eastAsiaTheme="minorEastAsia" w:cstheme="minorEastAsia"/>
                <w:b/>
                <w:color w:val="auto"/>
                <w:sz w:val="21"/>
                <w:szCs w:val="21"/>
                <w:highlight w:val="none"/>
              </w:rPr>
              <w:t>服务类</w:t>
            </w:r>
            <w:r>
              <w:rPr>
                <w:rFonts w:hint="eastAsia" w:asciiTheme="minorEastAsia" w:hAnsiTheme="minorEastAsia" w:eastAsiaTheme="minorEastAsia" w:cstheme="minorEastAsia"/>
                <w:b/>
                <w:color w:val="auto"/>
                <w:spacing w:val="-17"/>
                <w:sz w:val="21"/>
                <w:szCs w:val="21"/>
                <w:highlight w:val="none"/>
              </w:rPr>
              <w:t>型</w:t>
            </w:r>
          </w:p>
          <w:p w14:paraId="4B7CCEB4">
            <w:pPr>
              <w:pStyle w:val="692"/>
              <w:shd w:val="clear"/>
              <w:tabs>
                <w:tab w:val="left" w:pos="1790"/>
              </w:tabs>
              <w:spacing w:before="4" w:line="242" w:lineRule="auto"/>
              <w:ind w:left="1577" w:right="333" w:hanging="42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费率</w:t>
            </w:r>
            <w:r>
              <w:rPr>
                <w:rFonts w:hint="eastAsia" w:asciiTheme="minorEastAsia" w:hAnsiTheme="minorEastAsia" w:eastAsiaTheme="minorEastAsia" w:cstheme="minorEastAsia"/>
                <w:b/>
                <w:color w:val="auto"/>
                <w:sz w:val="21"/>
                <w:szCs w:val="21"/>
                <w:highlight w:val="none"/>
              </w:rPr>
              <w:tab/>
            </w:r>
          </w:p>
          <w:p w14:paraId="66DF89B7">
            <w:pPr>
              <w:pStyle w:val="692"/>
              <w:shd w:val="clear"/>
              <w:spacing w:before="2"/>
              <w:ind w:left="10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w w:val="95"/>
                <w:sz w:val="21"/>
                <w:szCs w:val="21"/>
                <w:highlight w:val="none"/>
              </w:rPr>
              <w:t>中标金额（万元）</w:t>
            </w:r>
          </w:p>
        </w:tc>
        <w:tc>
          <w:tcPr>
            <w:tcW w:w="2843" w:type="dxa"/>
          </w:tcPr>
          <w:p w14:paraId="33C025C6">
            <w:pPr>
              <w:pStyle w:val="692"/>
              <w:shd w:val="clear"/>
              <w:rPr>
                <w:rFonts w:hint="eastAsia" w:asciiTheme="minorEastAsia" w:hAnsiTheme="minorEastAsia" w:eastAsiaTheme="minorEastAsia" w:cstheme="minorEastAsia"/>
                <w:b/>
                <w:color w:val="auto"/>
                <w:sz w:val="21"/>
                <w:szCs w:val="21"/>
                <w:highlight w:val="none"/>
              </w:rPr>
            </w:pPr>
          </w:p>
          <w:p w14:paraId="60F58F1D">
            <w:pPr>
              <w:pStyle w:val="692"/>
              <w:shd w:val="clear"/>
              <w:ind w:left="590" w:right="58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货物招标</w:t>
            </w:r>
          </w:p>
        </w:tc>
        <w:tc>
          <w:tcPr>
            <w:tcW w:w="2067" w:type="dxa"/>
          </w:tcPr>
          <w:p w14:paraId="4D490505">
            <w:pPr>
              <w:pStyle w:val="692"/>
              <w:shd w:val="clear"/>
              <w:rPr>
                <w:rFonts w:hint="eastAsia" w:asciiTheme="minorEastAsia" w:hAnsiTheme="minorEastAsia" w:eastAsiaTheme="minorEastAsia" w:cstheme="minorEastAsia"/>
                <w:b/>
                <w:color w:val="auto"/>
                <w:sz w:val="21"/>
                <w:szCs w:val="21"/>
                <w:highlight w:val="none"/>
              </w:rPr>
            </w:pPr>
          </w:p>
          <w:p w14:paraId="3CAC982C">
            <w:pPr>
              <w:pStyle w:val="692"/>
              <w:shd w:val="clear"/>
              <w:ind w:left="589" w:right="58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服务招标</w:t>
            </w:r>
          </w:p>
        </w:tc>
        <w:tc>
          <w:tcPr>
            <w:tcW w:w="2067" w:type="dxa"/>
          </w:tcPr>
          <w:p w14:paraId="49DB66EA">
            <w:pPr>
              <w:pStyle w:val="692"/>
              <w:shd w:val="clear"/>
              <w:rPr>
                <w:rFonts w:hint="eastAsia" w:asciiTheme="minorEastAsia" w:hAnsiTheme="minorEastAsia" w:eastAsiaTheme="minorEastAsia" w:cstheme="minorEastAsia"/>
                <w:b/>
                <w:color w:val="auto"/>
                <w:sz w:val="21"/>
                <w:szCs w:val="21"/>
                <w:highlight w:val="none"/>
              </w:rPr>
            </w:pPr>
          </w:p>
          <w:p w14:paraId="77F87D27">
            <w:pPr>
              <w:pStyle w:val="692"/>
              <w:shd w:val="clear"/>
              <w:ind w:left="591" w:right="579"/>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工程招标</w:t>
            </w:r>
          </w:p>
        </w:tc>
      </w:tr>
      <w:tr w14:paraId="12505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14:paraId="270CC46E">
            <w:pPr>
              <w:pStyle w:val="692"/>
              <w:shd w:val="clear"/>
              <w:spacing w:before="1"/>
              <w:ind w:left="624"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 以下</w:t>
            </w:r>
          </w:p>
        </w:tc>
        <w:tc>
          <w:tcPr>
            <w:tcW w:w="2843" w:type="dxa"/>
          </w:tcPr>
          <w:p w14:paraId="77024CA4">
            <w:pPr>
              <w:pStyle w:val="692"/>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067" w:type="dxa"/>
          </w:tcPr>
          <w:p w14:paraId="4F6C8B24">
            <w:pPr>
              <w:pStyle w:val="692"/>
              <w:shd w:val="clear"/>
              <w:spacing w:before="1"/>
              <w:ind w:left="590"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067" w:type="dxa"/>
          </w:tcPr>
          <w:p w14:paraId="175D1E1B">
            <w:pPr>
              <w:pStyle w:val="692"/>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14:paraId="7FDFF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708" w:type="dxa"/>
          </w:tcPr>
          <w:p w14:paraId="0126E624">
            <w:pPr>
              <w:pStyle w:val="692"/>
              <w:shd w:val="clear"/>
              <w:spacing w:before="2"/>
              <w:ind w:left="627"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100-500</w:t>
            </w:r>
          </w:p>
        </w:tc>
        <w:tc>
          <w:tcPr>
            <w:tcW w:w="2843" w:type="dxa"/>
          </w:tcPr>
          <w:p w14:paraId="30068B63">
            <w:pPr>
              <w:pStyle w:val="692"/>
              <w:shd w:val="clear"/>
              <w:spacing w:before="2"/>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2067" w:type="dxa"/>
          </w:tcPr>
          <w:p w14:paraId="727E56B2">
            <w:pPr>
              <w:pStyle w:val="692"/>
              <w:shd w:val="clear"/>
              <w:spacing w:before="2"/>
              <w:ind w:left="590"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067" w:type="dxa"/>
          </w:tcPr>
          <w:p w14:paraId="09D8DAD7">
            <w:pPr>
              <w:pStyle w:val="692"/>
              <w:shd w:val="clear"/>
              <w:spacing w:before="2"/>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w:t>
            </w:r>
          </w:p>
        </w:tc>
      </w:tr>
      <w:tr w14:paraId="28827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14:paraId="798B650D">
            <w:pPr>
              <w:pStyle w:val="692"/>
              <w:shd w:val="clear"/>
              <w:ind w:left="627"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500-1000</w:t>
            </w:r>
          </w:p>
        </w:tc>
        <w:tc>
          <w:tcPr>
            <w:tcW w:w="2843" w:type="dxa"/>
          </w:tcPr>
          <w:p w14:paraId="267B41BD">
            <w:pPr>
              <w:pStyle w:val="692"/>
              <w:shd w:val="clear"/>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067" w:type="dxa"/>
          </w:tcPr>
          <w:p w14:paraId="606B8D35">
            <w:pPr>
              <w:pStyle w:val="692"/>
              <w:shd w:val="clear"/>
              <w:ind w:left="587"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0.45%</w:t>
            </w:r>
          </w:p>
        </w:tc>
        <w:tc>
          <w:tcPr>
            <w:tcW w:w="2067" w:type="dxa"/>
          </w:tcPr>
          <w:p w14:paraId="1CD5E00F">
            <w:pPr>
              <w:pStyle w:val="692"/>
              <w:shd w:val="clear"/>
              <w:ind w:left="586"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0.55%</w:t>
            </w:r>
          </w:p>
        </w:tc>
      </w:tr>
      <w:tr w14:paraId="0236A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14:paraId="57019BC5">
            <w:pPr>
              <w:pStyle w:val="692"/>
              <w:shd w:val="clear"/>
              <w:spacing w:before="1"/>
              <w:ind w:left="625"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1000-5000</w:t>
            </w:r>
          </w:p>
        </w:tc>
        <w:tc>
          <w:tcPr>
            <w:tcW w:w="2843" w:type="dxa"/>
          </w:tcPr>
          <w:p w14:paraId="0535A1FA">
            <w:pPr>
              <w:pStyle w:val="692"/>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w:t>
            </w:r>
          </w:p>
        </w:tc>
        <w:tc>
          <w:tcPr>
            <w:tcW w:w="2067" w:type="dxa"/>
          </w:tcPr>
          <w:p w14:paraId="3478A774">
            <w:pPr>
              <w:pStyle w:val="692"/>
              <w:shd w:val="clear"/>
              <w:spacing w:before="1"/>
              <w:ind w:left="587"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2067" w:type="dxa"/>
          </w:tcPr>
          <w:p w14:paraId="7C05466F">
            <w:pPr>
              <w:pStyle w:val="692"/>
              <w:shd w:val="clear"/>
              <w:spacing w:before="1"/>
              <w:ind w:left="586"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0.35%</w:t>
            </w:r>
          </w:p>
        </w:tc>
      </w:tr>
    </w:tbl>
    <w:p w14:paraId="20D30AC3">
      <w:pPr>
        <w:shd w:val="clear"/>
        <w:snapToGrid w:val="0"/>
        <w:spacing w:beforeLines="50"/>
        <w:ind w:firstLine="413" w:firstLineChars="196"/>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b/>
          <w:color w:val="auto"/>
          <w:kern w:val="0"/>
          <w:sz w:val="21"/>
          <w:szCs w:val="21"/>
          <w:highlight w:val="none"/>
          <w:lang w:val="en-US" w:eastAsia="zh-CN"/>
        </w:rPr>
        <w:t>五</w:t>
      </w:r>
      <w:r>
        <w:rPr>
          <w:rFonts w:hint="eastAsia" w:asciiTheme="minorEastAsia" w:hAnsiTheme="minorEastAsia" w:eastAsiaTheme="minorEastAsia" w:cstheme="minorEastAsia"/>
          <w:b/>
          <w:color w:val="auto"/>
          <w:kern w:val="0"/>
          <w:sz w:val="21"/>
          <w:szCs w:val="21"/>
          <w:highlight w:val="none"/>
        </w:rPr>
        <w:t>）投标人应具备的资格要求</w:t>
      </w:r>
    </w:p>
    <w:p w14:paraId="3B01AFBD">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1、基本资格要求：符合《中华人民共和国政府采购法》第二十二条规定的投标人资格条件。</w:t>
      </w:r>
    </w:p>
    <w:p w14:paraId="7C89B14C">
      <w:pPr>
        <w:keepNext w:val="0"/>
        <w:keepLines w:val="0"/>
        <w:pageBreakBefore w:val="0"/>
        <w:widowControl w:val="0"/>
        <w:shd w:val="clear"/>
        <w:kinsoku/>
        <w:wordWrap/>
        <w:overflowPunct/>
        <w:topLinePunct w:val="0"/>
        <w:autoSpaceDE/>
        <w:autoSpaceDN/>
        <w:bidi w:val="0"/>
        <w:adjustRightInd/>
        <w:snapToGrid/>
        <w:spacing w:line="312"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特定资格条件：</w:t>
      </w:r>
    </w:p>
    <w:p w14:paraId="38C15D42">
      <w:pPr>
        <w:keepNext w:val="0"/>
        <w:keepLines w:val="0"/>
        <w:widowControl/>
        <w:suppressLineNumbers w:val="0"/>
        <w:shd w:val="clear"/>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rPr>
        <w:t>（1）未被“信用中国”（www.creditchina.gov.cn）、中国政府采购网（www.ccgp.gov.cn）列入失信被执行人、重大税收违法案件当事人名单、政府采购严重违法失信行为记录名单。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b/>
          <w:bCs/>
          <w:color w:val="000000"/>
          <w:kern w:val="0"/>
          <w:sz w:val="21"/>
          <w:szCs w:val="21"/>
          <w:highlight w:val="none"/>
          <w:lang w:val="en-US" w:eastAsia="zh-CN" w:bidi="ar"/>
        </w:rPr>
        <w:t xml:space="preserve"> </w:t>
      </w:r>
    </w:p>
    <w:p w14:paraId="71A6A544">
      <w:pPr>
        <w:keepNext w:val="0"/>
        <w:keepLines w:val="0"/>
        <w:pageBreakBefore w:val="0"/>
        <w:widowControl w:val="0"/>
        <w:shd w:val="clear"/>
        <w:kinsoku/>
        <w:wordWrap/>
        <w:overflowPunct/>
        <w:topLinePunct w:val="0"/>
        <w:autoSpaceDE/>
        <w:autoSpaceDN/>
        <w:bidi w:val="0"/>
        <w:adjustRightInd/>
        <w:snapToGrid/>
        <w:spacing w:line="312"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落实政府采购政策需满足的资格要求：本项目按照《政府采购促进中小企业发展管理办法》【财库（2020）46 号】第七条规定：</w:t>
      </w:r>
      <w:r>
        <w:rPr>
          <w:rFonts w:hint="eastAsia" w:asciiTheme="minorEastAsia" w:hAnsiTheme="minorEastAsia" w:eastAsiaTheme="minorEastAsia" w:cstheme="minorEastAsia"/>
          <w:b/>
          <w:bCs/>
          <w:color w:val="auto"/>
          <w:sz w:val="21"/>
          <w:szCs w:val="21"/>
          <w:highlight w:val="none"/>
          <w:u w:val="single"/>
          <w:lang w:eastAsia="zh-CN"/>
        </w:rPr>
        <w:t>本项目专门面向中小企业采购</w:t>
      </w:r>
      <w:r>
        <w:rPr>
          <w:rFonts w:hint="eastAsia" w:asciiTheme="minorEastAsia" w:hAnsiTheme="minorEastAsia" w:eastAsiaTheme="minorEastAsia" w:cstheme="minorEastAsia"/>
          <w:color w:val="auto"/>
          <w:sz w:val="21"/>
          <w:szCs w:val="21"/>
          <w:highlight w:val="none"/>
          <w:lang w:val="en-US" w:eastAsia="zh-CN"/>
        </w:rPr>
        <w:t>。</w:t>
      </w:r>
    </w:p>
    <w:p w14:paraId="6BA7F0A3">
      <w:pPr>
        <w:keepNext w:val="0"/>
        <w:keepLines w:val="0"/>
        <w:pageBreakBefore w:val="0"/>
        <w:widowControl w:val="0"/>
        <w:shd w:val="clear"/>
        <w:kinsoku/>
        <w:wordWrap/>
        <w:overflowPunct/>
        <w:topLinePunct w:val="0"/>
        <w:autoSpaceDE/>
        <w:autoSpaceDN/>
        <w:bidi w:val="0"/>
        <w:adjustRightInd/>
        <w:snapToGrid/>
        <w:spacing w:line="312"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本项目不接受联合体</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0"/>
          <w:sz w:val="21"/>
          <w:szCs w:val="21"/>
          <w:highlight w:val="none"/>
          <w:lang w:val="zh-CN" w:eastAsia="zh-CN"/>
        </w:rPr>
        <w:t>。</w:t>
      </w:r>
    </w:p>
    <w:p w14:paraId="4FCE96D7">
      <w:pPr>
        <w:keepNext w:val="0"/>
        <w:keepLines w:val="0"/>
        <w:pageBreakBefore w:val="0"/>
        <w:widowControl w:val="0"/>
        <w:shd w:val="clear"/>
        <w:kinsoku/>
        <w:wordWrap/>
        <w:overflowPunct/>
        <w:topLinePunct w:val="0"/>
        <w:autoSpaceDE/>
        <w:autoSpaceDN/>
        <w:bidi w:val="0"/>
        <w:adjustRightInd/>
        <w:snapToGrid/>
        <w:spacing w:line="312"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zh-CN" w:eastAsia="zh-CN"/>
        </w:rPr>
        <w:t>单位负责人为同一人或者存在直接控股、管理关系的不同供应商，不得参加同一合同项下的政府采购活动。</w:t>
      </w:r>
    </w:p>
    <w:p w14:paraId="599FD54F">
      <w:pPr>
        <w:shd w:val="clear"/>
        <w:snapToGrid w:val="0"/>
        <w:spacing w:beforeLines="50"/>
        <w:ind w:firstLine="413" w:firstLineChars="196"/>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六</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kern w:val="0"/>
          <w:sz w:val="21"/>
          <w:szCs w:val="21"/>
          <w:highlight w:val="none"/>
        </w:rPr>
        <w:t>转包与分包</w:t>
      </w:r>
    </w:p>
    <w:p w14:paraId="110B517E">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1.本项目不允许转包。</w:t>
      </w:r>
    </w:p>
    <w:p w14:paraId="6331C7FA">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2.本项目允许分包，经采购人事先书面同意。</w:t>
      </w:r>
    </w:p>
    <w:p w14:paraId="2C4D2041">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）特别说明：</w:t>
      </w:r>
    </w:p>
    <w:p w14:paraId="6110D66E">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1.投标人投标所使用的资格、信誉、荣誉、业绩与企业认证必须为本法人所拥有。投标人投标所使用的采购项目实施人员必须为本法人员工（或必须为本法人正式员工）</w:t>
      </w:r>
      <w:r>
        <w:rPr>
          <w:rFonts w:hint="eastAsia" w:asciiTheme="minorEastAsia" w:hAnsiTheme="minorEastAsia" w:eastAsiaTheme="minorEastAsia" w:cstheme="minorEastAsia"/>
          <w:color w:val="auto"/>
          <w:kern w:val="0"/>
          <w:sz w:val="21"/>
          <w:szCs w:val="21"/>
          <w:highlight w:val="none"/>
          <w:lang w:eastAsia="zh-CN"/>
        </w:rPr>
        <w:t>。</w:t>
      </w:r>
    </w:p>
    <w:p w14:paraId="5E001BC7">
      <w:pPr>
        <w:shd w:val="clear"/>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2.投标人不得相互串通投标报价，不得妨碍其他投标人的公平竞争，不得损害采购人或其他投标人的合法权益，投标人不得以向采购人、评标委员会成员行贿或者采取其他不正当手段谋取中标。</w:t>
      </w:r>
    </w:p>
    <w:p w14:paraId="652EA670">
      <w:pPr>
        <w:shd w:val="clear"/>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3.投标人应仔细阅读招标文件的所有内容，按照招标文件的要求提交投标文件，并对所提供的全部资料的真实性承担法律责任。</w:t>
      </w:r>
    </w:p>
    <w:p w14:paraId="0854D126">
      <w:pPr>
        <w:shd w:val="clear"/>
        <w:snapToGrid w:val="0"/>
        <w:ind w:firstLine="420"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kern w:val="0"/>
          <w:sz w:val="21"/>
          <w:szCs w:val="21"/>
          <w:highlight w:val="none"/>
        </w:rPr>
        <w:t>4.</w:t>
      </w:r>
      <w:r>
        <w:rPr>
          <w:rFonts w:hint="eastAsia" w:asciiTheme="minorEastAsia" w:hAnsiTheme="minorEastAsia" w:eastAsiaTheme="minorEastAsia" w:cstheme="minorEastAsia"/>
          <w:b/>
          <w:bCs/>
          <w:color w:val="auto"/>
          <w:sz w:val="21"/>
          <w:szCs w:val="21"/>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EastAsia"/>
          <w:b/>
          <w:bCs/>
          <w:color w:val="auto"/>
          <w:kern w:val="0"/>
          <w:sz w:val="21"/>
          <w:szCs w:val="21"/>
          <w:highlight w:val="none"/>
        </w:rPr>
        <w:t>。</w:t>
      </w:r>
    </w:p>
    <w:p w14:paraId="3CFA7B04">
      <w:pPr>
        <w:shd w:val="clear"/>
        <w:tabs>
          <w:tab w:val="left" w:pos="8280"/>
        </w:tabs>
        <w:autoSpaceDE w:val="0"/>
        <w:autoSpaceDN w:val="0"/>
        <w:adjustRightInd w:val="0"/>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5</w:t>
      </w:r>
      <w:r>
        <w:rPr>
          <w:rFonts w:hint="eastAsia" w:asciiTheme="minorEastAsia" w:hAnsiTheme="minorEastAsia" w:eastAsiaTheme="minorEastAsia" w:cstheme="minorEastAsia"/>
          <w:bCs/>
          <w:color w:val="auto"/>
          <w:kern w:val="0"/>
          <w:sz w:val="21"/>
          <w:szCs w:val="21"/>
          <w:highlight w:val="none"/>
        </w:rPr>
        <w:t>.投标文件格式中的表格式样可以根据项目差别做适当调整,但应当保持表格样式基本形态不变。</w:t>
      </w:r>
    </w:p>
    <w:p w14:paraId="1E623A6C">
      <w:pPr>
        <w:shd w:val="clea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lang w:val="en-US" w:eastAsia="zh-CN"/>
        </w:rPr>
        <w:t>6</w:t>
      </w:r>
      <w:r>
        <w:rPr>
          <w:rFonts w:hint="eastAsia" w:asciiTheme="minorEastAsia" w:hAnsiTheme="minorEastAsia" w:eastAsiaTheme="minorEastAsia" w:cstheme="minorEastAsia"/>
          <w:bCs/>
          <w:color w:val="auto"/>
          <w:kern w:val="0"/>
          <w:sz w:val="21"/>
          <w:szCs w:val="21"/>
          <w:highlight w:val="none"/>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bCs/>
          <w:color w:val="auto"/>
          <w:kern w:val="0"/>
          <w:sz w:val="21"/>
          <w:szCs w:val="21"/>
          <w:highlight w:val="none"/>
          <w:lang w:eastAsia="zh-CN"/>
        </w:rPr>
        <w:t>。</w:t>
      </w:r>
    </w:p>
    <w:p w14:paraId="47169AA4">
      <w:pPr>
        <w:shd w:val="clea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7、</w:t>
      </w:r>
      <w:r>
        <w:rPr>
          <w:rFonts w:hint="eastAsia" w:asciiTheme="minorEastAsia" w:hAnsiTheme="minorEastAsia" w:eastAsiaTheme="minorEastAsia" w:cstheme="minorEastAsia"/>
          <w:bCs/>
          <w:color w:val="auto"/>
          <w:kern w:val="0"/>
          <w:sz w:val="21"/>
          <w:szCs w:val="21"/>
          <w:highlight w:val="none"/>
        </w:rPr>
        <w:t>关于小微企业投标</w:t>
      </w:r>
    </w:p>
    <w:p w14:paraId="3B0FCDA0">
      <w:pPr>
        <w:shd w:val="clear"/>
        <w:tabs>
          <w:tab w:val="left" w:pos="8280"/>
        </w:tabs>
        <w:autoSpaceDE w:val="0"/>
        <w:autoSpaceDN w:val="0"/>
        <w:adjustRightInd w:val="0"/>
        <w:ind w:firstLine="480"/>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小微企业投标是指符合《中小企业划型标准规定》的投标人，通过投标提供本企业制造的货物、承担的工程或者服务，或者提供其他小微企业制造的货物。本项所指货物不包括使用大、中型企业注册商标的货物。</w:t>
      </w:r>
      <w:r>
        <w:rPr>
          <w:rFonts w:hint="eastAsia" w:asciiTheme="minorEastAsia" w:hAnsiTheme="minorEastAsia" w:eastAsiaTheme="minorEastAsia" w:cstheme="minorEastAsia"/>
          <w:b/>
          <w:bCs/>
          <w:sz w:val="21"/>
          <w:szCs w:val="21"/>
          <w:highlight w:val="none"/>
          <w:lang w:val="zh-CN"/>
        </w:rPr>
        <w:t>小微企业投标应提供《小微企业声明函》、国家企业信用信息公示系统——“小微企业名录”页面查询结果（查询时间为投标前一周内，并加盖单位公章）等相关证明材料（评标委员会据此进行核查）</w:t>
      </w:r>
      <w:r>
        <w:rPr>
          <w:rFonts w:hint="eastAsia" w:asciiTheme="minorEastAsia" w:hAnsiTheme="minorEastAsia" w:eastAsiaTheme="minorEastAsia" w:cstheme="minorEastAsia"/>
          <w:bCs/>
          <w:kern w:val="0"/>
          <w:sz w:val="21"/>
          <w:szCs w:val="21"/>
          <w:highlight w:val="none"/>
        </w:rPr>
        <w:t>。</w:t>
      </w:r>
    </w:p>
    <w:p w14:paraId="51745B41">
      <w:pPr>
        <w:shd w:val="clear"/>
        <w:tabs>
          <w:tab w:val="left" w:pos="8280"/>
        </w:tabs>
        <w:autoSpaceDE w:val="0"/>
        <w:autoSpaceDN w:val="0"/>
        <w:adjustRightInd w:val="0"/>
        <w:ind w:firstLine="480"/>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本项目在报价评审时对符合中小企业划型标准规定（工信部联企业〔2011〕300号）的小型和微型企业给予价格优惠扶持，用扣除后的报价参与报价分评审(经认定的监狱企业与残疾人福利性单位视同小微企业)。监狱企业按招标文件格式提供证明文件；残疾人福利性单位提供《残疾人福利性单位声明函》。</w:t>
      </w:r>
    </w:p>
    <w:p w14:paraId="060B14E1">
      <w:pPr>
        <w:shd w:val="clear"/>
        <w:tabs>
          <w:tab w:val="left" w:pos="8280"/>
        </w:tabs>
        <w:autoSpaceDE w:val="0"/>
        <w:autoSpaceDN w:val="0"/>
        <w:adjustRightInd w:val="0"/>
        <w:ind w:firstLine="480"/>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8、关于联合体投标说明：本项目不接受联合体投标；</w:t>
      </w:r>
    </w:p>
    <w:p w14:paraId="7C42615E">
      <w:pPr>
        <w:shd w:val="clear"/>
        <w:tabs>
          <w:tab w:val="left" w:pos="8280"/>
        </w:tabs>
        <w:autoSpaceDE w:val="0"/>
        <w:autoSpaceDN w:val="0"/>
        <w:adjustRightInd w:val="0"/>
        <w:ind w:firstLine="480"/>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sz w:val="21"/>
          <w:szCs w:val="21"/>
          <w:highlight w:val="none"/>
        </w:rPr>
        <w:t>9、采用合同分包形式投标的</w:t>
      </w:r>
      <w:r>
        <w:rPr>
          <w:rFonts w:hint="eastAsia" w:asciiTheme="minorEastAsia" w:hAnsiTheme="minorEastAsia" w:eastAsiaTheme="minorEastAsia" w:cstheme="minorEastAsia"/>
          <w:bCs/>
          <w:kern w:val="0"/>
          <w:sz w:val="21"/>
          <w:szCs w:val="21"/>
          <w:highlight w:val="none"/>
        </w:rPr>
        <w:t>投标说明：本项目不接受</w:t>
      </w:r>
      <w:r>
        <w:rPr>
          <w:rFonts w:hint="eastAsia" w:asciiTheme="minorEastAsia" w:hAnsiTheme="minorEastAsia" w:eastAsiaTheme="minorEastAsia" w:cstheme="minorEastAsia"/>
          <w:sz w:val="21"/>
          <w:szCs w:val="21"/>
          <w:highlight w:val="none"/>
        </w:rPr>
        <w:t>采用合同分包形式投标</w:t>
      </w:r>
      <w:r>
        <w:rPr>
          <w:rFonts w:hint="eastAsia" w:asciiTheme="minorEastAsia" w:hAnsiTheme="minorEastAsia" w:eastAsiaTheme="minorEastAsia" w:cstheme="minorEastAsia"/>
          <w:bCs/>
          <w:kern w:val="0"/>
          <w:sz w:val="21"/>
          <w:szCs w:val="21"/>
          <w:highlight w:val="none"/>
        </w:rPr>
        <w:t>；</w:t>
      </w:r>
    </w:p>
    <w:p w14:paraId="6515FBBA">
      <w:pPr>
        <w:shd w:val="clear"/>
        <w:tabs>
          <w:tab w:val="left" w:pos="8280"/>
        </w:tabs>
        <w:autoSpaceDE w:val="0"/>
        <w:autoSpaceDN w:val="0"/>
        <w:adjustRightInd w:val="0"/>
        <w:ind w:firstLine="48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▲10</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val="zh-CN"/>
        </w:rPr>
        <w:t>单位负责人为同一人或者存在直接控股、管理关系的不同供应商，不得参加同一合同项下的政府采购活动</w:t>
      </w:r>
      <w:r>
        <w:rPr>
          <w:rFonts w:hint="eastAsia" w:asciiTheme="minorEastAsia" w:hAnsiTheme="minorEastAsia" w:eastAsiaTheme="minorEastAsia" w:cstheme="minorEastAsia"/>
          <w:kern w:val="0"/>
          <w:sz w:val="21"/>
          <w:szCs w:val="21"/>
          <w:highlight w:val="none"/>
        </w:rPr>
        <w:t>。</w:t>
      </w:r>
    </w:p>
    <w:p w14:paraId="1DE7648F">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）质疑和投诉</w:t>
      </w:r>
    </w:p>
    <w:p w14:paraId="161D4763">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认为招标文件使自己的权益受到损害的，可在获取采购文件或者采购文件公告期限届满之日起7个工作日内一次性，质疑供应商对采购人、采购代理机构的答复不满意或者采购人、采购代理机构未在规定的时间内作出答复的，可以在答复期满后十五个工作日内向同级政府采购监督管理部门投诉。</w:t>
      </w:r>
    </w:p>
    <w:p w14:paraId="3402F04B">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2.质疑、投诉应当采用书面形式，质疑书、投诉书均应明确阐述招标文件中使自己合法权益受到损害的实质性内容，提供相关事实、依据和证据及其来源或线索，便于有关单位调查、答复和处理。</w:t>
      </w:r>
    </w:p>
    <w:p w14:paraId="54A85ECA">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lang w:eastAsia="zh-CN"/>
        </w:rPr>
        <w:t>提</w:t>
      </w:r>
      <w:r>
        <w:rPr>
          <w:rFonts w:hint="eastAsia" w:asciiTheme="minorEastAsia" w:hAnsiTheme="minorEastAsia" w:eastAsiaTheme="minorEastAsia" w:cstheme="minorEastAsia"/>
          <w:color w:val="auto"/>
          <w:sz w:val="21"/>
          <w:szCs w:val="21"/>
          <w:highlight w:val="none"/>
        </w:rPr>
        <w:t>出质疑</w:t>
      </w:r>
      <w:r>
        <w:rPr>
          <w:rFonts w:hint="eastAsia" w:asciiTheme="minorEastAsia" w:hAnsiTheme="minorEastAsia" w:eastAsiaTheme="minorEastAsia" w:cstheme="minorEastAsia"/>
          <w:color w:val="auto"/>
          <w:sz w:val="21"/>
          <w:szCs w:val="21"/>
          <w:highlight w:val="none"/>
          <w:lang w:eastAsia="zh-CN"/>
        </w:rPr>
        <w:t>应</w:t>
      </w:r>
      <w:r>
        <w:rPr>
          <w:rFonts w:hint="eastAsia" w:asciiTheme="minorEastAsia" w:hAnsiTheme="minorEastAsia" w:eastAsiaTheme="minorEastAsia" w:cstheme="minorEastAsia"/>
          <w:color w:val="auto"/>
          <w:sz w:val="21"/>
          <w:szCs w:val="21"/>
          <w:highlight w:val="none"/>
        </w:rPr>
        <w:t>当提交质疑</w:t>
      </w:r>
      <w:r>
        <w:rPr>
          <w:rFonts w:hint="eastAsia" w:asciiTheme="minorEastAsia" w:hAnsiTheme="minorEastAsia" w:eastAsiaTheme="minorEastAsia" w:cstheme="minorEastAsia"/>
          <w:color w:val="auto"/>
          <w:sz w:val="21"/>
          <w:szCs w:val="21"/>
          <w:highlight w:val="none"/>
          <w:lang w:eastAsia="zh-CN"/>
        </w:rPr>
        <w:t>函</w:t>
      </w:r>
      <w:r>
        <w:rPr>
          <w:rFonts w:hint="eastAsia" w:asciiTheme="minorEastAsia" w:hAnsiTheme="minorEastAsia" w:eastAsiaTheme="minorEastAsia" w:cstheme="minorEastAsia"/>
          <w:color w:val="auto"/>
          <w:sz w:val="21"/>
          <w:szCs w:val="21"/>
          <w:highlight w:val="none"/>
        </w:rPr>
        <w:t>的和必要的</w:t>
      </w:r>
      <w:r>
        <w:rPr>
          <w:rFonts w:hint="eastAsia" w:asciiTheme="minorEastAsia" w:hAnsiTheme="minorEastAsia" w:eastAsiaTheme="minorEastAsia" w:cstheme="minorEastAsia"/>
          <w:color w:val="auto"/>
          <w:sz w:val="21"/>
          <w:szCs w:val="21"/>
          <w:highlight w:val="none"/>
          <w:lang w:eastAsia="zh-CN"/>
        </w:rPr>
        <w:t>证</w:t>
      </w:r>
      <w:r>
        <w:rPr>
          <w:rFonts w:hint="eastAsia" w:asciiTheme="minorEastAsia" w:hAnsiTheme="minorEastAsia" w:eastAsiaTheme="minorEastAsia" w:cstheme="minorEastAsia"/>
          <w:color w:val="auto"/>
          <w:sz w:val="21"/>
          <w:szCs w:val="21"/>
          <w:highlight w:val="none"/>
        </w:rPr>
        <w:t>明</w:t>
      </w:r>
      <w:r>
        <w:rPr>
          <w:rFonts w:hint="eastAsia" w:asciiTheme="minorEastAsia" w:hAnsiTheme="minorEastAsia" w:eastAsiaTheme="minorEastAsia" w:cstheme="minorEastAsia"/>
          <w:color w:val="auto"/>
          <w:sz w:val="21"/>
          <w:szCs w:val="21"/>
          <w:highlight w:val="none"/>
          <w:lang w:eastAsia="zh-CN"/>
        </w:rPr>
        <w:t>材</w:t>
      </w:r>
      <w:r>
        <w:rPr>
          <w:rFonts w:hint="eastAsia" w:asciiTheme="minorEastAsia" w:hAnsiTheme="minorEastAsia" w:eastAsiaTheme="minorEastAsia" w:cstheme="minorEastAsia"/>
          <w:color w:val="auto"/>
          <w:sz w:val="21"/>
          <w:szCs w:val="21"/>
          <w:highlight w:val="none"/>
        </w:rPr>
        <w:t>料</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政府</w:t>
      </w:r>
      <w:r>
        <w:rPr>
          <w:rFonts w:hint="eastAsia" w:asciiTheme="minorEastAsia" w:hAnsiTheme="minorEastAsia" w:eastAsiaTheme="minorEastAsia" w:cstheme="minorEastAsia"/>
          <w:color w:val="auto"/>
          <w:sz w:val="21"/>
          <w:szCs w:val="21"/>
          <w:highlight w:val="none"/>
        </w:rPr>
        <w:t>采购供应商质疑函范本</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下载地址</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（中华人民共和国财政部国库司）</w:t>
      </w:r>
      <w:r>
        <w:rPr>
          <w:rFonts w:hint="eastAsia" w:asciiTheme="minorEastAsia" w:hAnsiTheme="minorEastAsia" w:eastAsiaTheme="minorEastAsia" w:cstheme="minorEastAsia"/>
          <w:color w:val="auto"/>
          <w:sz w:val="21"/>
          <w:szCs w:val="21"/>
          <w:highlight w:val="none"/>
        </w:rPr>
        <w:t>,质疑</w:t>
      </w:r>
      <w:r>
        <w:rPr>
          <w:rFonts w:hint="eastAsia" w:asciiTheme="minorEastAsia" w:hAnsiTheme="minorEastAsia" w:eastAsiaTheme="minorEastAsia" w:cstheme="minorEastAsia"/>
          <w:color w:val="auto"/>
          <w:sz w:val="21"/>
          <w:szCs w:val="21"/>
          <w:highlight w:val="none"/>
          <w:lang w:eastAsia="zh-CN"/>
        </w:rPr>
        <w:t>函应当</w:t>
      </w:r>
      <w:r>
        <w:rPr>
          <w:rFonts w:hint="eastAsia" w:asciiTheme="minorEastAsia" w:hAnsiTheme="minorEastAsia" w:eastAsiaTheme="minorEastAsia" w:cstheme="minorEastAsia"/>
          <w:color w:val="auto"/>
          <w:sz w:val="21"/>
          <w:szCs w:val="21"/>
          <w:highlight w:val="none"/>
        </w:rPr>
        <w:t>包括下列</w:t>
      </w:r>
      <w:r>
        <w:rPr>
          <w:rFonts w:hint="eastAsia" w:asciiTheme="minorEastAsia" w:hAnsiTheme="minorEastAsia" w:eastAsiaTheme="minorEastAsia" w:cstheme="minorEastAsia"/>
          <w:color w:val="auto"/>
          <w:sz w:val="21"/>
          <w:szCs w:val="21"/>
          <w:highlight w:val="none"/>
          <w:lang w:eastAsia="zh-CN"/>
        </w:rPr>
        <w:t>内容</w:t>
      </w:r>
      <w:r>
        <w:rPr>
          <w:rFonts w:hint="eastAsia" w:asciiTheme="minorEastAsia" w:hAnsiTheme="minorEastAsia" w:eastAsiaTheme="minorEastAsia" w:cstheme="minorEastAsia"/>
          <w:color w:val="auto"/>
          <w:sz w:val="21"/>
          <w:szCs w:val="21"/>
          <w:highlight w:val="none"/>
        </w:rPr>
        <w:t>:</w:t>
      </w:r>
    </w:p>
    <w:p w14:paraId="76EAB377">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一</w:t>
      </w:r>
      <w:r>
        <w:rPr>
          <w:rFonts w:hint="eastAsia" w:asciiTheme="minorEastAsia" w:hAnsiTheme="minorEastAsia" w:eastAsiaTheme="minorEastAsia" w:cstheme="minorEastAsia"/>
          <w:color w:val="auto"/>
          <w:sz w:val="21"/>
          <w:szCs w:val="21"/>
          <w:highlight w:val="none"/>
        </w:rPr>
        <w:t>) 供应商的姓名或者名称、地址、邮编、联 系人及联系电话</w:t>
      </w:r>
      <w:r>
        <w:rPr>
          <w:rFonts w:hint="eastAsia" w:asciiTheme="minorEastAsia" w:hAnsiTheme="minorEastAsia" w:eastAsiaTheme="minorEastAsia" w:cstheme="minorEastAsia"/>
          <w:color w:val="auto"/>
          <w:sz w:val="21"/>
          <w:szCs w:val="21"/>
          <w:highlight w:val="none"/>
          <w:lang w:eastAsia="zh-CN"/>
        </w:rPr>
        <w:t>；</w:t>
      </w:r>
    </w:p>
    <w:p w14:paraId="4083753D">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(二) 质疑项目的名称、编号</w:t>
      </w:r>
      <w:r>
        <w:rPr>
          <w:rFonts w:hint="eastAsia" w:asciiTheme="minorEastAsia" w:hAnsiTheme="minorEastAsia" w:eastAsiaTheme="minorEastAsia" w:cstheme="minorEastAsia"/>
          <w:color w:val="auto"/>
          <w:sz w:val="21"/>
          <w:szCs w:val="21"/>
          <w:highlight w:val="none"/>
          <w:lang w:eastAsia="zh-CN"/>
        </w:rPr>
        <w:t>；</w:t>
      </w:r>
    </w:p>
    <w:p w14:paraId="4464B546">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(三) 具体、明确的质疑事项和与质疑事项相关的请求</w:t>
      </w:r>
      <w:r>
        <w:rPr>
          <w:rFonts w:hint="eastAsia" w:asciiTheme="minorEastAsia" w:hAnsiTheme="minorEastAsia" w:eastAsiaTheme="minorEastAsia" w:cstheme="minorEastAsia"/>
          <w:color w:val="auto"/>
          <w:sz w:val="21"/>
          <w:szCs w:val="21"/>
          <w:highlight w:val="none"/>
          <w:lang w:eastAsia="zh-CN"/>
        </w:rPr>
        <w:t>；</w:t>
      </w:r>
    </w:p>
    <w:p w14:paraId="0DE24CE3">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(四) 事实依据</w:t>
      </w:r>
      <w:r>
        <w:rPr>
          <w:rFonts w:hint="eastAsia" w:asciiTheme="minorEastAsia" w:hAnsiTheme="minorEastAsia" w:eastAsiaTheme="minorEastAsia" w:cstheme="minorEastAsia"/>
          <w:color w:val="auto"/>
          <w:sz w:val="21"/>
          <w:szCs w:val="21"/>
          <w:highlight w:val="none"/>
          <w:lang w:eastAsia="zh-CN"/>
        </w:rPr>
        <w:t>；</w:t>
      </w:r>
    </w:p>
    <w:p w14:paraId="38FB2F1A">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(五) 必要的法律依据</w:t>
      </w:r>
      <w:r>
        <w:rPr>
          <w:rFonts w:hint="eastAsia" w:asciiTheme="minorEastAsia" w:hAnsiTheme="minorEastAsia" w:eastAsiaTheme="minorEastAsia" w:cstheme="minorEastAsia"/>
          <w:color w:val="auto"/>
          <w:sz w:val="21"/>
          <w:szCs w:val="21"/>
          <w:highlight w:val="none"/>
          <w:lang w:eastAsia="zh-CN"/>
        </w:rPr>
        <w:t>；</w:t>
      </w:r>
    </w:p>
    <w:p w14:paraId="65072D17">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 提出质疑的日期。</w:t>
      </w:r>
    </w:p>
    <w:p w14:paraId="6DDFAC4B">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投标人为自然人的，应当由本人签字</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投标人为法人或者其他组织的，应当由法定代表人、主要负责人，或者其授权代表签字或者盖章，并加盖公章。</w:t>
      </w:r>
    </w:p>
    <w:p w14:paraId="289E6EC4">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质疑受理地点：</w:t>
      </w:r>
      <w:r>
        <w:rPr>
          <w:rFonts w:hint="eastAsia" w:asciiTheme="minorEastAsia" w:hAnsiTheme="minorEastAsia" w:eastAsiaTheme="minorEastAsia" w:cstheme="minorEastAsia"/>
          <w:color w:val="auto"/>
          <w:sz w:val="21"/>
          <w:szCs w:val="21"/>
          <w:highlight w:val="none"/>
          <w:lang w:eastAsia="zh-CN"/>
        </w:rPr>
        <w:t>路桥区</w:t>
      </w:r>
      <w:r>
        <w:rPr>
          <w:rFonts w:hint="eastAsia" w:asciiTheme="minorEastAsia" w:hAnsiTheme="minorEastAsia" w:eastAsiaTheme="minorEastAsia" w:cstheme="minorEastAsia"/>
          <w:color w:val="auto"/>
          <w:sz w:val="21"/>
          <w:szCs w:val="21"/>
          <w:highlight w:val="none"/>
          <w:lang w:val="en-US" w:eastAsia="zh-CN"/>
        </w:rPr>
        <w:t>花鸟巷238号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建经投资咨询有限公司</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联系人：林炳洪，联系电话：13362681081。</w:t>
      </w:r>
    </w:p>
    <w:p w14:paraId="61195F66">
      <w:pPr>
        <w:numPr>
          <w:ilvl w:val="0"/>
          <w:numId w:val="0"/>
        </w:num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提出质疑的供应商应当是参与本项招标活动的投标人或法律规定具备质疑资格的主体，在法定质疑期内应一次性提出针对同一采购程序环节的所有质疑。</w:t>
      </w:r>
    </w:p>
    <w:p w14:paraId="35957877">
      <w:pPr>
        <w:numPr>
          <w:ilvl w:val="0"/>
          <w:numId w:val="0"/>
        </w:num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根据《政府采购质疑和投诉办法》第三十七条的规定，投诉人在全国范围12个月内三</w:t>
      </w:r>
      <w:r>
        <w:rPr>
          <w:rFonts w:hint="eastAsia" w:asciiTheme="minorEastAsia" w:hAnsiTheme="minorEastAsia" w:eastAsiaTheme="minorEastAsia" w:cstheme="minorEastAsia"/>
          <w:color w:val="auto"/>
          <w:sz w:val="21"/>
          <w:szCs w:val="21"/>
          <w:highlight w:val="none"/>
          <w:lang w:eastAsia="zh-CN"/>
        </w:rPr>
        <w:t>次</w:t>
      </w:r>
      <w:r>
        <w:rPr>
          <w:rFonts w:hint="eastAsia" w:asciiTheme="minorEastAsia" w:hAnsiTheme="minorEastAsia" w:eastAsiaTheme="minorEastAsia" w:cstheme="minorEastAsia"/>
          <w:color w:val="auto"/>
          <w:sz w:val="21"/>
          <w:szCs w:val="21"/>
          <w:highlight w:val="none"/>
        </w:rPr>
        <w:t>以上投诉查无实据的，由财政部门列入不良行为记录名单。</w:t>
      </w:r>
    </w:p>
    <w:p w14:paraId="7F9FCE62">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  招标文件</w:t>
      </w:r>
    </w:p>
    <w:p w14:paraId="26B0BABD">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（一）招标文件的构成。本招标文件由以下部份组成：</w:t>
      </w:r>
    </w:p>
    <w:p w14:paraId="27E95320">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1.招标公告</w:t>
      </w:r>
      <w:r>
        <w:rPr>
          <w:rFonts w:hint="eastAsia" w:asciiTheme="minorEastAsia" w:hAnsiTheme="minorEastAsia" w:eastAsiaTheme="minorEastAsia" w:cstheme="minorEastAsia"/>
          <w:color w:val="auto"/>
          <w:sz w:val="21"/>
          <w:szCs w:val="21"/>
          <w:highlight w:val="none"/>
          <w:lang w:eastAsia="zh-CN"/>
        </w:rPr>
        <w:t>；</w:t>
      </w:r>
    </w:p>
    <w:p w14:paraId="17D09867">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2.招标需求</w:t>
      </w:r>
      <w:r>
        <w:rPr>
          <w:rFonts w:hint="eastAsia" w:asciiTheme="minorEastAsia" w:hAnsiTheme="minorEastAsia" w:eastAsiaTheme="minorEastAsia" w:cstheme="minorEastAsia"/>
          <w:color w:val="auto"/>
          <w:sz w:val="21"/>
          <w:szCs w:val="21"/>
          <w:highlight w:val="none"/>
          <w:lang w:eastAsia="zh-CN"/>
        </w:rPr>
        <w:t>；</w:t>
      </w:r>
    </w:p>
    <w:p w14:paraId="228173B1">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3.投标人须知</w:t>
      </w:r>
      <w:r>
        <w:rPr>
          <w:rFonts w:hint="eastAsia" w:asciiTheme="minorEastAsia" w:hAnsiTheme="minorEastAsia" w:eastAsiaTheme="minorEastAsia" w:cstheme="minorEastAsia"/>
          <w:color w:val="auto"/>
          <w:sz w:val="21"/>
          <w:szCs w:val="21"/>
          <w:highlight w:val="none"/>
          <w:lang w:eastAsia="zh-CN"/>
        </w:rPr>
        <w:t>；</w:t>
      </w:r>
    </w:p>
    <w:p w14:paraId="448DDFC3">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4.评标办法及标准</w:t>
      </w:r>
      <w:r>
        <w:rPr>
          <w:rFonts w:hint="eastAsia" w:asciiTheme="minorEastAsia" w:hAnsiTheme="minorEastAsia" w:eastAsiaTheme="minorEastAsia" w:cstheme="minorEastAsia"/>
          <w:color w:val="auto"/>
          <w:sz w:val="21"/>
          <w:szCs w:val="21"/>
          <w:highlight w:val="none"/>
          <w:lang w:eastAsia="zh-CN"/>
        </w:rPr>
        <w:t>；</w:t>
      </w:r>
    </w:p>
    <w:p w14:paraId="432B2EA3">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5.合同主要条款</w:t>
      </w:r>
      <w:r>
        <w:rPr>
          <w:rFonts w:hint="eastAsia" w:asciiTheme="minorEastAsia" w:hAnsiTheme="minorEastAsia" w:eastAsiaTheme="minorEastAsia" w:cstheme="minorEastAsia"/>
          <w:color w:val="auto"/>
          <w:sz w:val="21"/>
          <w:szCs w:val="21"/>
          <w:highlight w:val="none"/>
          <w:lang w:eastAsia="zh-CN"/>
        </w:rPr>
        <w:t>；</w:t>
      </w:r>
    </w:p>
    <w:p w14:paraId="3E53F23C">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6.投标文件格式</w:t>
      </w:r>
      <w:r>
        <w:rPr>
          <w:rFonts w:hint="eastAsia" w:asciiTheme="minorEastAsia" w:hAnsiTheme="minorEastAsia" w:eastAsiaTheme="minorEastAsia" w:cstheme="minorEastAsia"/>
          <w:color w:val="auto"/>
          <w:sz w:val="21"/>
          <w:szCs w:val="21"/>
          <w:highlight w:val="none"/>
          <w:lang w:eastAsia="zh-CN"/>
        </w:rPr>
        <w:t>；</w:t>
      </w:r>
    </w:p>
    <w:p w14:paraId="06A02039">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7.本项目招标文件的澄清、答复、修改、补充的内容</w:t>
      </w:r>
      <w:r>
        <w:rPr>
          <w:rFonts w:hint="eastAsia" w:asciiTheme="minorEastAsia" w:hAnsiTheme="minorEastAsia" w:eastAsiaTheme="minorEastAsia" w:cstheme="minorEastAsia"/>
          <w:color w:val="auto"/>
          <w:sz w:val="21"/>
          <w:szCs w:val="21"/>
          <w:highlight w:val="none"/>
          <w:lang w:eastAsia="zh-CN"/>
        </w:rPr>
        <w:t>。</w:t>
      </w:r>
    </w:p>
    <w:p w14:paraId="323FEAA4">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（二）投标人的风险</w:t>
      </w:r>
    </w:p>
    <w:p w14:paraId="1AD277F3">
      <w:pPr>
        <w:pStyle w:val="60"/>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投标人没有按照招标文件要求提供全部资料，或者投标人没有对招标文件在各方面作出实质性响应是投标人的风险，并可能导致其投标被拒绝。</w:t>
      </w:r>
    </w:p>
    <w:p w14:paraId="0AC1D84A">
      <w:pPr>
        <w:pStyle w:val="16"/>
        <w:numPr>
          <w:ilvl w:val="0"/>
          <w:numId w:val="0"/>
        </w:numPr>
        <w:shd w:val="clear"/>
        <w:tabs>
          <w:tab w:val="left" w:pos="454"/>
          <w:tab w:val="left" w:pos="720"/>
        </w:tabs>
        <w:spacing w:beforeLines="50"/>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（三）招标文件的澄清与修改 </w:t>
      </w:r>
    </w:p>
    <w:p w14:paraId="48D3E853">
      <w:pPr>
        <w:pStyle w:val="39"/>
        <w:shd w:val="clear"/>
        <w:snapToGrid w:val="0"/>
        <w:ind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可视采购具体情况对已发出的招标文件进行必要的澄清或者修改。澄清或者修改的内容可能影响投标文件编制的，采购人或者</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应当在投标截止时间至少15日前，在原公告发布媒体上发布澄清公告，澄清或者修改的内容为招标文件的组成部分；不足15日的，采购人或者</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应当顺延提交投标文件的截止时间。</w:t>
      </w:r>
    </w:p>
    <w:p w14:paraId="59A879A3">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2.招标文件澄清、答复、修改、补充的内容为招标文件的组成部分。当招标文件与招标文件的答复、澄清、修改、补充通知就同一内容的表述不一致时，以最后发出的书面文件为准。</w:t>
      </w:r>
    </w:p>
    <w:p w14:paraId="77007E61">
      <w:pPr>
        <w:pStyle w:val="39"/>
        <w:shd w:val="clear"/>
        <w:snapToGrid w:val="0"/>
        <w:ind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3.招标文件的澄清、答复、修改或补充都应该通过本代理机构以法定形式发布，采购人非通过本机构，不得擅自澄清、答复、修改或补充招标文件。</w:t>
      </w:r>
    </w:p>
    <w:p w14:paraId="230143AC">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stheme="minorEastAsia"/>
          <w:color w:val="auto"/>
          <w:kern w:val="2"/>
          <w:sz w:val="21"/>
          <w:szCs w:val="21"/>
          <w:highlight w:val="none"/>
        </w:rPr>
        <w:t>。</w:t>
      </w:r>
    </w:p>
    <w:p w14:paraId="42CA7EFE">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13" w:firstLineChars="196"/>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三、投标文件的编制</w:t>
      </w:r>
    </w:p>
    <w:p w14:paraId="3AC4C3E8">
      <w:pPr>
        <w:keepNext w:val="0"/>
        <w:keepLines w:val="0"/>
        <w:pageBreakBefore w:val="0"/>
        <w:widowControl w:val="0"/>
        <w:shd w:val="clear"/>
        <w:kinsoku/>
        <w:wordWrap/>
        <w:overflowPunct/>
        <w:topLinePunct w:val="0"/>
        <w:autoSpaceDE/>
        <w:autoSpaceDN/>
        <w:bidi w:val="0"/>
        <w:adjustRightInd/>
        <w:snapToGrid w:val="0"/>
        <w:spacing w:line="360" w:lineRule="auto"/>
        <w:ind w:firstLine="413" w:firstLineChars="196"/>
        <w:jc w:val="left"/>
        <w:textAlignment w:val="auto"/>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（一）投标文件的组成</w:t>
      </w:r>
    </w:p>
    <w:p w14:paraId="47EB9CA9">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投标文件由</w:t>
      </w:r>
      <w:r>
        <w:rPr>
          <w:rFonts w:hint="eastAsia" w:asciiTheme="minorEastAsia" w:hAnsiTheme="minorEastAsia" w:eastAsiaTheme="minorEastAsia" w:cstheme="minorEastAsia"/>
          <w:b/>
          <w:bCs/>
          <w:color w:val="auto"/>
          <w:sz w:val="21"/>
          <w:szCs w:val="21"/>
          <w:highlight w:val="none"/>
          <w:u w:val="single"/>
        </w:rPr>
        <w:t>资格证明文件</w:t>
      </w:r>
      <w:r>
        <w:rPr>
          <w:rFonts w:hint="eastAsia" w:asciiTheme="minorEastAsia" w:hAnsiTheme="minorEastAsia" w:eastAsiaTheme="minorEastAsia" w:cstheme="minorEastAsia"/>
          <w:b/>
          <w:bCs/>
          <w:color w:val="auto"/>
          <w:sz w:val="21"/>
          <w:szCs w:val="21"/>
          <w:highlight w:val="none"/>
          <w:u w:val="single"/>
          <w:lang w:eastAsia="zh-CN"/>
        </w:rPr>
        <w:t>、</w:t>
      </w:r>
      <w:r>
        <w:rPr>
          <w:rFonts w:hint="eastAsia" w:asciiTheme="minorEastAsia" w:hAnsiTheme="minorEastAsia" w:eastAsiaTheme="minorEastAsia" w:cstheme="minorEastAsia"/>
          <w:b/>
          <w:bCs/>
          <w:color w:val="auto"/>
          <w:sz w:val="21"/>
          <w:szCs w:val="21"/>
          <w:highlight w:val="none"/>
          <w:u w:val="single"/>
        </w:rPr>
        <w:t>商务与技术文件</w:t>
      </w:r>
      <w:r>
        <w:rPr>
          <w:rFonts w:hint="eastAsia" w:asciiTheme="minorEastAsia" w:hAnsiTheme="minorEastAsia" w:eastAsiaTheme="minorEastAsia" w:cstheme="minorEastAsia"/>
          <w:b/>
          <w:bCs/>
          <w:color w:val="auto"/>
          <w:sz w:val="21"/>
          <w:szCs w:val="21"/>
          <w:highlight w:val="none"/>
          <w:u w:val="single"/>
          <w:lang w:eastAsia="zh-CN"/>
        </w:rPr>
        <w:t>和</w:t>
      </w:r>
      <w:r>
        <w:rPr>
          <w:rFonts w:hint="eastAsia" w:asciiTheme="minorEastAsia" w:hAnsiTheme="minorEastAsia" w:eastAsiaTheme="minorEastAsia" w:cstheme="minorEastAsia"/>
          <w:b/>
          <w:bCs/>
          <w:color w:val="auto"/>
          <w:sz w:val="21"/>
          <w:szCs w:val="21"/>
          <w:highlight w:val="none"/>
          <w:u w:val="single"/>
        </w:rPr>
        <w:t>报价文件</w:t>
      </w:r>
      <w:r>
        <w:rPr>
          <w:rFonts w:hint="eastAsia" w:asciiTheme="minorEastAsia" w:hAnsiTheme="minorEastAsia" w:eastAsiaTheme="minorEastAsia" w:cstheme="minorEastAsia"/>
          <w:b w:val="0"/>
          <w:bCs w:val="0"/>
          <w:color w:val="auto"/>
          <w:sz w:val="21"/>
          <w:szCs w:val="21"/>
          <w:highlight w:val="none"/>
          <w:u w:val="none"/>
          <w:lang w:val="en-US" w:eastAsia="zh-CN"/>
        </w:rPr>
        <w:t>三部分</w:t>
      </w:r>
      <w:r>
        <w:rPr>
          <w:rFonts w:hint="eastAsia" w:asciiTheme="minorEastAsia" w:hAnsiTheme="minorEastAsia" w:eastAsiaTheme="minorEastAsia" w:cstheme="minorEastAsia"/>
          <w:color w:val="auto"/>
          <w:sz w:val="21"/>
          <w:szCs w:val="21"/>
          <w:highlight w:val="none"/>
        </w:rPr>
        <w:t>组成。</w:t>
      </w:r>
    </w:p>
    <w:p w14:paraId="6D422D67">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1、资格证明文件的组成：</w:t>
      </w:r>
    </w:p>
    <w:p w14:paraId="6561CD81">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投标函（格式见附件）；</w:t>
      </w:r>
    </w:p>
    <w:p w14:paraId="4836670F">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投标声明书（格式见附件）；</w:t>
      </w:r>
    </w:p>
    <w:p w14:paraId="2708317D">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授权委托书（格式见附件）（若规定签字或盖章位置由法定代表人签字盖章的，则无需提供法定代表人授权书，仅提供法定代表人身份证明即可，法定代表人须与营业执照上载明的一致）；</w:t>
      </w:r>
    </w:p>
    <w:p w14:paraId="1192A0F8">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）企业营业执照或事业单位法人证书</w:t>
      </w:r>
      <w:r>
        <w:rPr>
          <w:rFonts w:hint="eastAsia" w:asciiTheme="minorEastAsia" w:hAnsiTheme="minorEastAsia" w:eastAsiaTheme="minorEastAsia" w:cstheme="minorEastAsia"/>
          <w:color w:val="auto"/>
          <w:sz w:val="21"/>
          <w:szCs w:val="21"/>
          <w:highlight w:val="none"/>
          <w:lang w:val="en-US" w:eastAsia="zh-CN"/>
        </w:rPr>
        <w:t>；</w:t>
      </w:r>
    </w:p>
    <w:p w14:paraId="5358F42C">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具有履行合同所必需的场地、设备和专业技术能力的承诺函</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eastAsia="zh-CN"/>
        </w:rPr>
        <w:t>格式见附件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w:t>
      </w:r>
    </w:p>
    <w:p w14:paraId="7E011E3F">
      <w:pPr>
        <w:shd w:val="clear"/>
        <w:snapToGrid w:val="0"/>
        <w:ind w:firstLine="411" w:firstLineChars="196"/>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依法缴纳税收和社会保障资金的承诺函（</w:t>
      </w:r>
      <w:r>
        <w:rPr>
          <w:rFonts w:hint="eastAsia" w:asciiTheme="minorEastAsia" w:hAnsiTheme="minorEastAsia" w:eastAsiaTheme="minorEastAsia" w:cstheme="minorEastAsia"/>
          <w:color w:val="auto"/>
          <w:sz w:val="21"/>
          <w:szCs w:val="21"/>
          <w:highlight w:val="none"/>
          <w:lang w:val="zh-CN" w:eastAsia="zh-CN"/>
        </w:rPr>
        <w:t>格式见附件</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w:t>
      </w:r>
    </w:p>
    <w:p w14:paraId="72D89D97">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（7）投标供应商没有失信记录承诺函（格式见附件）。</w:t>
      </w:r>
    </w:p>
    <w:p w14:paraId="7E190809">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（8）《中小企业声明函》（格式见附件）、监狱企业的证明文件（如有，格式见附件）、残疾人福利性单位声明函（如有，格式见附件）。产品适用政府采购政策情况表（如有，格式见附件）。</w:t>
      </w:r>
    </w:p>
    <w:p w14:paraId="16160C48">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上述资格条件审查材料有一项不提供的，视为资格审查不通过。</w:t>
      </w:r>
    </w:p>
    <w:p w14:paraId="4F15E57A">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2、商务与技术文件的组成：</w:t>
      </w:r>
    </w:p>
    <w:p w14:paraId="70064DCD">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（1）诚信承诺书（格式见附件）</w:t>
      </w:r>
      <w:r>
        <w:rPr>
          <w:rFonts w:hint="eastAsia" w:asciiTheme="minorEastAsia" w:hAnsiTheme="minorEastAsia" w:eastAsiaTheme="minorEastAsia" w:cstheme="minorEastAsia"/>
          <w:color w:val="auto"/>
          <w:sz w:val="21"/>
          <w:szCs w:val="21"/>
          <w:highlight w:val="none"/>
        </w:rPr>
        <w:t>；</w:t>
      </w:r>
    </w:p>
    <w:p w14:paraId="572B2D6E">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（2）项目实施人员汇总表（格式见附件）；</w:t>
      </w:r>
    </w:p>
    <w:p w14:paraId="377B7285">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（3）技术条款偏离表（格式见附件）；</w:t>
      </w:r>
    </w:p>
    <w:p w14:paraId="319FA73C">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（4）商务需求响应表（格式见附件）；</w:t>
      </w:r>
    </w:p>
    <w:p w14:paraId="021D2962">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（5）根据评标办法内容自拟格式编制其他相应内容。</w:t>
      </w:r>
    </w:p>
    <w:p w14:paraId="51F5FB6A">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3、报价文件：</w:t>
      </w:r>
    </w:p>
    <w:p w14:paraId="5135E093">
      <w:pPr>
        <w:shd w:val="clea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（1）▲投标报价一览表（格式见附件）；</w:t>
      </w:r>
    </w:p>
    <w:p w14:paraId="0CB54710">
      <w:pPr>
        <w:keepNext w:val="0"/>
        <w:keepLines w:val="0"/>
        <w:pageBreakBefore w:val="0"/>
        <w:shd w:val="clear"/>
        <w:kinsoku/>
        <w:wordWrap/>
        <w:overflowPunct/>
        <w:topLinePunct w:val="0"/>
        <w:autoSpaceDE/>
        <w:autoSpaceDN/>
        <w:bidi w:val="0"/>
        <w:adjustRightInd w:val="0"/>
        <w:snapToGrid w:val="0"/>
        <w:ind w:firstLine="411" w:firstLineChars="196"/>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（2）报价明细表</w:t>
      </w:r>
      <w:r>
        <w:rPr>
          <w:rFonts w:hint="eastAsia" w:asciiTheme="minorEastAsia" w:hAnsiTheme="minorEastAsia" w:eastAsiaTheme="minorEastAsia" w:cstheme="minorEastAsia"/>
          <w:color w:val="auto"/>
          <w:sz w:val="21"/>
          <w:szCs w:val="21"/>
          <w:highlight w:val="none"/>
        </w:rPr>
        <w:t>（格式见附件）；</w:t>
      </w:r>
    </w:p>
    <w:p w14:paraId="6B341A05">
      <w:pPr>
        <w:keepNext w:val="0"/>
        <w:keepLines w:val="0"/>
        <w:pageBreakBefore w:val="0"/>
        <w:shd w:val="clear"/>
        <w:kinsoku/>
        <w:wordWrap/>
        <w:overflowPunct/>
        <w:topLinePunct w:val="0"/>
        <w:autoSpaceDE/>
        <w:autoSpaceDN/>
        <w:bidi w:val="0"/>
        <w:adjustRightInd w:val="0"/>
        <w:snapToGrid w:val="0"/>
        <w:ind w:firstLine="411" w:firstLineChars="196"/>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（3）投标人针对报价需要说明的其他文件和说明；</w:t>
      </w:r>
    </w:p>
    <w:p w14:paraId="2A358CEE">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 xml:space="preserve"> 注意：</w:t>
      </w:r>
      <w:r>
        <w:rPr>
          <w:rFonts w:hint="eastAsia" w:asciiTheme="minorEastAsia" w:hAnsiTheme="minorEastAsia" w:eastAsiaTheme="minorEastAsia" w:cstheme="minorEastAsia"/>
          <w:color w:val="auto"/>
          <w:sz w:val="21"/>
          <w:szCs w:val="21"/>
          <w:highlight w:val="none"/>
        </w:rPr>
        <w:t>投标报价单不得涂改和增删，如有错漏必须修改，修改处须由报价单同一签署人</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或盖章。由于字迹模糊或表达不清引起的后果由投标人负责</w:t>
      </w:r>
      <w:r>
        <w:rPr>
          <w:rFonts w:hint="eastAsia" w:asciiTheme="minorEastAsia" w:hAnsiTheme="minorEastAsia" w:eastAsiaTheme="minorEastAsia" w:cstheme="minorEastAsia"/>
          <w:color w:val="auto"/>
          <w:sz w:val="21"/>
          <w:szCs w:val="21"/>
          <w:highlight w:val="none"/>
          <w:lang w:eastAsia="zh-CN"/>
        </w:rPr>
        <w:t>。</w:t>
      </w:r>
    </w:p>
    <w:p w14:paraId="189F1C36">
      <w:pPr>
        <w:shd w:val="clea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▲本次招标只有一次投标报价的机会，供应商应考虑企业自身实力、经验及项目实施过程中的各种因素，在投标报价中应充分考虑所有可能发生的费用，否则采购人将视投标总价中已包括所有费用。</w:t>
      </w:r>
    </w:p>
    <w:p w14:paraId="5B5B078C">
      <w:pPr>
        <w:shd w:val="clear"/>
        <w:snapToGrid w:val="0"/>
        <w:ind w:firstLine="413" w:firstLineChars="196"/>
        <w:jc w:val="left"/>
        <w:outlineLvl w:val="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rPr>
        <w:t>（二）</w:t>
      </w:r>
      <w:r>
        <w:rPr>
          <w:rFonts w:hint="eastAsia" w:asciiTheme="minorEastAsia" w:hAnsiTheme="minorEastAsia" w:eastAsiaTheme="minorEastAsia" w:cstheme="minorEastAsia"/>
          <w:b/>
          <w:bCs/>
          <w:color w:val="auto"/>
          <w:kern w:val="0"/>
          <w:sz w:val="21"/>
          <w:szCs w:val="21"/>
          <w:highlight w:val="none"/>
        </w:rPr>
        <w:t>投标文件的制作、封装及递交</w:t>
      </w:r>
      <w:r>
        <w:rPr>
          <w:rFonts w:hint="eastAsia" w:asciiTheme="minorEastAsia" w:hAnsiTheme="minorEastAsia" w:eastAsiaTheme="minorEastAsia" w:cstheme="minorEastAsia"/>
          <w:b/>
          <w:bCs/>
          <w:color w:val="auto"/>
          <w:kern w:val="0"/>
          <w:sz w:val="21"/>
          <w:szCs w:val="21"/>
          <w:highlight w:val="none"/>
          <w:lang w:val="en-US" w:eastAsia="zh-CN"/>
        </w:rPr>
        <w:t>要求</w:t>
      </w:r>
    </w:p>
    <w:p w14:paraId="5899A4C4">
      <w:pPr>
        <w:shd w:val="clear"/>
        <w:snapToGrid w:val="0"/>
        <w:ind w:firstLine="413"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投标文件制作</w:t>
      </w:r>
      <w:r>
        <w:rPr>
          <w:rFonts w:hint="eastAsia" w:asciiTheme="minorEastAsia" w:hAnsiTheme="minorEastAsia" w:eastAsiaTheme="minorEastAsia" w:cstheme="minorEastAsia"/>
          <w:b/>
          <w:bCs/>
          <w:color w:val="auto"/>
          <w:sz w:val="21"/>
          <w:szCs w:val="21"/>
          <w:highlight w:val="none"/>
          <w:lang w:val="en-US" w:eastAsia="zh-CN"/>
        </w:rPr>
        <w:t>要求</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ab/>
      </w:r>
    </w:p>
    <w:p w14:paraId="24763308">
      <w:pPr>
        <w:numPr>
          <w:ilvl w:val="0"/>
          <w:numId w:val="0"/>
        </w:numPr>
        <w:shd w:val="clear"/>
        <w:snapToGrid w:val="0"/>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投标人应对所提供的全部资料的真实性承担法律责任，</w:t>
      </w:r>
      <w:r>
        <w:rPr>
          <w:rFonts w:hint="eastAsia" w:asciiTheme="minorEastAsia" w:hAnsiTheme="minorEastAsia" w:eastAsiaTheme="minorEastAsia" w:cstheme="minorEastAsia"/>
          <w:color w:val="auto"/>
          <w:kern w:val="0"/>
          <w:sz w:val="21"/>
          <w:szCs w:val="21"/>
          <w:highlight w:val="none"/>
          <w:lang w:val="zh-CN"/>
        </w:rPr>
        <w:t>投标文件内容中有要求盖章或签字的地方，必须加盖投标人的公章以及法定代表人或</w:t>
      </w:r>
      <w:r>
        <w:rPr>
          <w:rFonts w:hint="eastAsia" w:asciiTheme="minorEastAsia" w:hAnsiTheme="minorEastAsia" w:eastAsiaTheme="minorEastAsia" w:cstheme="minorEastAsia"/>
          <w:color w:val="auto"/>
          <w:kern w:val="0"/>
          <w:sz w:val="21"/>
          <w:szCs w:val="21"/>
          <w:highlight w:val="none"/>
          <w:lang w:val="en-US" w:eastAsia="zh-CN"/>
        </w:rPr>
        <w:t>授权委托代理人</w:t>
      </w:r>
      <w:r>
        <w:rPr>
          <w:rFonts w:hint="eastAsia" w:asciiTheme="minorEastAsia" w:hAnsiTheme="minorEastAsia" w:eastAsiaTheme="minorEastAsia" w:cstheme="minorEastAsia"/>
          <w:color w:val="auto"/>
          <w:kern w:val="0"/>
          <w:sz w:val="21"/>
          <w:szCs w:val="21"/>
          <w:highlight w:val="none"/>
          <w:lang w:val="zh-CN"/>
        </w:rPr>
        <w:t>盖章或签字。</w:t>
      </w:r>
    </w:p>
    <w:p w14:paraId="456BE79B">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投标文件以及投标人与</w:t>
      </w:r>
      <w:r>
        <w:rPr>
          <w:rFonts w:hint="eastAsia" w:asciiTheme="minorEastAsia" w:hAnsiTheme="minorEastAsia" w:eastAsiaTheme="minorEastAsia" w:cstheme="minorEastAsia"/>
          <w:color w:val="auto"/>
          <w:sz w:val="21"/>
          <w:szCs w:val="21"/>
          <w:highlight w:val="none"/>
          <w:lang w:eastAsia="zh-CN"/>
        </w:rPr>
        <w:t>采购组织机构</w:t>
      </w:r>
      <w:r>
        <w:rPr>
          <w:rFonts w:hint="eastAsia" w:asciiTheme="minorEastAsia" w:hAnsiTheme="minorEastAsia" w:eastAsiaTheme="minorEastAsia" w:cstheme="minorEastAsia"/>
          <w:color w:val="auto"/>
          <w:sz w:val="21"/>
          <w:szCs w:val="21"/>
          <w:highlight w:val="none"/>
        </w:rPr>
        <w:t>就有关投标事宜的所有来往函电，均应以中文汉语书写。除</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、盖章、专用名称等特殊情形外，以中文汉语以外的文字表述的投标文件视同未提供</w:t>
      </w:r>
      <w:r>
        <w:rPr>
          <w:rFonts w:hint="eastAsia" w:asciiTheme="minorEastAsia" w:hAnsiTheme="minorEastAsia" w:eastAsiaTheme="minorEastAsia" w:cstheme="minorEastAsia"/>
          <w:color w:val="auto"/>
          <w:sz w:val="21"/>
          <w:szCs w:val="21"/>
          <w:highlight w:val="none"/>
          <w:lang w:eastAsia="zh-CN"/>
        </w:rPr>
        <w:t>。</w:t>
      </w:r>
    </w:p>
    <w:p w14:paraId="5F2B48D8">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投标计量单位，招标文件已有明确规定的，使用招标文件规定的计量单位；招标文件没有规定的，应采用中华人民共和国法定计量单位，否则视同未响应</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按无效标处理</w:t>
      </w:r>
      <w:r>
        <w:rPr>
          <w:rFonts w:hint="eastAsia" w:asciiTheme="minorEastAsia" w:hAnsiTheme="minorEastAsia" w:eastAsiaTheme="minorEastAsia" w:cstheme="minorEastAsia"/>
          <w:color w:val="auto"/>
          <w:sz w:val="21"/>
          <w:szCs w:val="21"/>
          <w:highlight w:val="none"/>
        </w:rPr>
        <w:t>。</w:t>
      </w:r>
    </w:p>
    <w:p w14:paraId="662E747B">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若投标人不按招标文件的要求提供材料，其风险</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责任</w:t>
      </w:r>
      <w:r>
        <w:rPr>
          <w:rFonts w:hint="eastAsia" w:asciiTheme="minorEastAsia" w:hAnsiTheme="minorEastAsia" w:eastAsiaTheme="minorEastAsia" w:cstheme="minorEastAsia"/>
          <w:color w:val="auto"/>
          <w:sz w:val="21"/>
          <w:szCs w:val="21"/>
          <w:highlight w:val="none"/>
        </w:rPr>
        <w:t>由投标人自行承担</w:t>
      </w:r>
      <w:r>
        <w:rPr>
          <w:rFonts w:hint="eastAsia" w:asciiTheme="minorEastAsia" w:hAnsiTheme="minorEastAsia" w:eastAsiaTheme="minorEastAsia" w:cstheme="minorEastAsia"/>
          <w:color w:val="auto"/>
          <w:sz w:val="21"/>
          <w:szCs w:val="21"/>
          <w:highlight w:val="none"/>
          <w:lang w:eastAsia="zh-CN"/>
        </w:rPr>
        <w:t>。</w:t>
      </w:r>
    </w:p>
    <w:p w14:paraId="6027BA58">
      <w:pPr>
        <w:shd w:val="clear"/>
        <w:autoSpaceDE w:val="0"/>
        <w:autoSpaceDN w:val="0"/>
        <w:adjustRightInd w:val="0"/>
        <w:spacing w:line="360" w:lineRule="auto"/>
        <w:ind w:firstLine="48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2、投标文件的封装</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提交</w:t>
      </w:r>
      <w:r>
        <w:rPr>
          <w:rFonts w:hint="eastAsia" w:asciiTheme="minorEastAsia" w:hAnsiTheme="minorEastAsia" w:eastAsiaTheme="minorEastAsia" w:cstheme="minorEastAsia"/>
          <w:b/>
          <w:bCs/>
          <w:color w:val="auto"/>
          <w:sz w:val="21"/>
          <w:szCs w:val="21"/>
          <w:highlight w:val="none"/>
        </w:rPr>
        <w:t>要求</w:t>
      </w:r>
    </w:p>
    <w:p w14:paraId="74A6DD12">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2.1本项目实行电子投标。</w:t>
      </w:r>
    </w:p>
    <w:p w14:paraId="2D7E70F1">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2.1.1电子投标文件：</w:t>
      </w:r>
      <w:r>
        <w:rPr>
          <w:rFonts w:hint="eastAsia" w:asciiTheme="minorEastAsia" w:hAnsiTheme="minorEastAsia" w:eastAsiaTheme="minorEastAsia" w:cstheme="minorEastAsia"/>
          <w:color w:val="auto"/>
          <w:sz w:val="21"/>
          <w:szCs w:val="21"/>
          <w:highlight w:val="none"/>
          <w:lang w:val="zh-CN" w:eastAsia="zh-CN"/>
        </w:rPr>
        <w:t>按政府采购云平台供应商项目采购</w:t>
      </w:r>
      <w:r>
        <w:rPr>
          <w:rFonts w:hint="eastAsia" w:asciiTheme="minorEastAsia" w:hAnsiTheme="minorEastAsia" w:eastAsiaTheme="minorEastAsia" w:cstheme="minorEastAsia"/>
          <w:color w:val="auto"/>
          <w:sz w:val="21"/>
          <w:szCs w:val="21"/>
          <w:highlight w:val="none"/>
          <w:lang w:val="en-US" w:eastAsia="zh-CN"/>
        </w:rPr>
        <w:t>--电子招投标操作指南及本项目招标文件要求编制</w:t>
      </w:r>
      <w:r>
        <w:rPr>
          <w:rFonts w:hint="eastAsia" w:asciiTheme="minorEastAsia" w:hAnsiTheme="minorEastAsia" w:eastAsiaTheme="minorEastAsia" w:cstheme="minorEastAsia"/>
          <w:color w:val="auto"/>
          <w:sz w:val="21"/>
          <w:szCs w:val="21"/>
          <w:highlight w:val="none"/>
          <w:lang w:val="zh-CN" w:eastAsia="zh-CN"/>
        </w:rPr>
        <w:t>、加密并递交。</w:t>
      </w:r>
    </w:p>
    <w:p w14:paraId="16A0AD37">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2.1.2</w:t>
      </w:r>
      <w:r>
        <w:rPr>
          <w:rFonts w:hint="eastAsia" w:asciiTheme="minorEastAsia" w:hAnsiTheme="minorEastAsia" w:eastAsiaTheme="minorEastAsia" w:cstheme="minorEastAsia"/>
          <w:color w:val="auto"/>
          <w:sz w:val="21"/>
          <w:szCs w:val="21"/>
          <w:highlight w:val="none"/>
          <w:lang w:val="zh-CN" w:eastAsia="zh-CN"/>
        </w:rPr>
        <w:t>投标文件启用顺序和效力：投标文件的启用，按先后顺位分别为电子投标文件、电子备份投标文件。通过“政府采购云平台”上传递交的“电子加密投标文件”按时完成解密的投标人，其“备份投标文件”自动失效。通过“政府采购云平台”上传递交的“电子加密投标文件”无法按时完成解密的，以电子备份投标文件为依据。否则视为投标文件撤回。</w:t>
      </w:r>
    </w:p>
    <w:p w14:paraId="6A2F7A36">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2.1.3投标人未通过“政府采购云平台”上传递交“电子加密投标文件”及未按规定提供相应的备份投标文件的，其投标无效。</w:t>
      </w:r>
    </w:p>
    <w:p w14:paraId="23C274C5">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2.2</w:t>
      </w:r>
      <w:r>
        <w:rPr>
          <w:rFonts w:hint="eastAsia" w:asciiTheme="minorEastAsia" w:hAnsiTheme="minorEastAsia" w:eastAsiaTheme="minorEastAsia" w:cstheme="minorEastAsia"/>
          <w:b w:val="0"/>
          <w:bCs w:val="0"/>
          <w:color w:val="auto"/>
          <w:sz w:val="21"/>
          <w:szCs w:val="21"/>
          <w:highlight w:val="none"/>
          <w:lang w:eastAsia="zh-CN"/>
        </w:rPr>
        <w:t>电子投标文件、</w:t>
      </w:r>
      <w:r>
        <w:rPr>
          <w:rFonts w:hint="eastAsia" w:asciiTheme="minorEastAsia" w:hAnsiTheme="minorEastAsia" w:eastAsiaTheme="minorEastAsia" w:cstheme="minorEastAsia"/>
          <w:b w:val="0"/>
          <w:bCs w:val="0"/>
          <w:color w:val="auto"/>
          <w:sz w:val="21"/>
          <w:szCs w:val="21"/>
          <w:highlight w:val="none"/>
          <w:lang w:val="en-US" w:eastAsia="zh-CN"/>
        </w:rPr>
        <w:t>电子备份投标文件制作</w:t>
      </w:r>
      <w:r>
        <w:rPr>
          <w:rFonts w:hint="eastAsia" w:asciiTheme="minorEastAsia" w:hAnsiTheme="minorEastAsia" w:eastAsiaTheme="minorEastAsia" w:cstheme="minorEastAsia"/>
          <w:b w:val="0"/>
          <w:bCs w:val="0"/>
          <w:color w:val="auto"/>
          <w:sz w:val="21"/>
          <w:szCs w:val="21"/>
          <w:highlight w:val="none"/>
          <w:lang w:eastAsia="zh-CN"/>
        </w:rPr>
        <w:t>要求</w:t>
      </w:r>
    </w:p>
    <w:p w14:paraId="2240ADA5">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电子投标文件、电子备份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电子备份投标文件）未能关联定位提供相应的内容与其对应，则评标委员会在评审时如做出对投标人不利的评审由投标人自行承担。</w:t>
      </w:r>
    </w:p>
    <w:p w14:paraId="590376AD">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2）电子投标文件、电子备份投标文件如内容不完整、编排混乱导致投标文件被误读、漏读，或者在按采购文件规定的部位查找不到相关内容的，由投标人自行承担。</w:t>
      </w:r>
    </w:p>
    <w:p w14:paraId="0C838FE1">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温馨提醒：CA签章上目前没有法人或授权代表签字信息，需要投标人联系浙江杭州汇信科技有限公司（400-8884636）等相应公司进行办理，或在投标文件中涉及到签字的位置线下签好字然后扫描或者拍照做成PDF的格式亦可。</w:t>
      </w:r>
    </w:p>
    <w:p w14:paraId="569E52CA">
      <w:pPr>
        <w:shd w:val="clear"/>
        <w:autoSpaceDE w:val="0"/>
        <w:autoSpaceDN w:val="0"/>
        <w:adjustRightInd w:val="0"/>
        <w:spacing w:line="360" w:lineRule="auto"/>
        <w:ind w:firstLine="48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rPr>
        <w:t>3、</w:t>
      </w:r>
      <w:r>
        <w:rPr>
          <w:rFonts w:hint="eastAsia" w:asciiTheme="minorEastAsia" w:hAnsiTheme="minorEastAsia" w:eastAsiaTheme="minorEastAsia" w:cstheme="minorEastAsia"/>
          <w:b/>
          <w:bCs/>
          <w:color w:val="auto"/>
          <w:sz w:val="21"/>
          <w:szCs w:val="21"/>
          <w:highlight w:val="none"/>
        </w:rPr>
        <w:t>投标文件的递交</w:t>
      </w:r>
      <w:r>
        <w:rPr>
          <w:rFonts w:hint="eastAsia" w:asciiTheme="minorEastAsia" w:hAnsiTheme="minorEastAsia" w:eastAsiaTheme="minorEastAsia" w:cstheme="minorEastAsia"/>
          <w:b/>
          <w:bCs/>
          <w:color w:val="auto"/>
          <w:sz w:val="21"/>
          <w:szCs w:val="21"/>
          <w:highlight w:val="none"/>
          <w:lang w:val="en-US" w:eastAsia="zh-CN"/>
        </w:rPr>
        <w:t>时间</w:t>
      </w:r>
      <w:r>
        <w:rPr>
          <w:rFonts w:hint="eastAsia" w:asciiTheme="minorEastAsia" w:hAnsiTheme="minorEastAsia" w:eastAsiaTheme="minorEastAsia" w:cstheme="minorEastAsia"/>
          <w:b/>
          <w:bCs/>
          <w:color w:val="auto"/>
          <w:sz w:val="21"/>
          <w:szCs w:val="21"/>
          <w:highlight w:val="none"/>
        </w:rPr>
        <w:t>要求</w:t>
      </w:r>
    </w:p>
    <w:p w14:paraId="04E0D0C9">
      <w:pPr>
        <w:shd w:val="clear"/>
        <w:autoSpaceDE w:val="0"/>
        <w:autoSpaceDN w:val="0"/>
        <w:adjustRightInd w:val="0"/>
        <w:spacing w:line="440" w:lineRule="exact"/>
        <w:ind w:firstLine="422"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（1）电子投标文件须在投标截止时间之前上传。</w:t>
      </w:r>
    </w:p>
    <w:p w14:paraId="141D1F88">
      <w:pPr>
        <w:shd w:val="clear"/>
        <w:autoSpaceDE w:val="0"/>
        <w:autoSpaceDN w:val="0"/>
        <w:adjustRightInd w:val="0"/>
        <w:spacing w:line="440" w:lineRule="exact"/>
        <w:ind w:firstLine="420" w:firstLineChars="20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（2）如有特殊情况，采购组织机构延长截止时间和开标时间，采购组织机构和投标人的权利和义务将受到新的截止时间和开标时间的约束。</w:t>
      </w:r>
    </w:p>
    <w:p w14:paraId="37499403">
      <w:pPr>
        <w:shd w:val="clear"/>
        <w:autoSpaceDE w:val="0"/>
        <w:autoSpaceDN w:val="0"/>
        <w:adjustRightInd w:val="0"/>
        <w:spacing w:line="440" w:lineRule="exact"/>
        <w:ind w:firstLine="422" w:firstLineChars="200"/>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rPr>
        <w:t>4、</w:t>
      </w:r>
      <w:r>
        <w:rPr>
          <w:rFonts w:hint="eastAsia" w:asciiTheme="minorEastAsia" w:hAnsiTheme="minorEastAsia" w:eastAsiaTheme="minorEastAsia" w:cstheme="minorEastAsia"/>
          <w:b/>
          <w:bCs/>
          <w:color w:val="auto"/>
          <w:sz w:val="21"/>
          <w:szCs w:val="21"/>
          <w:highlight w:val="none"/>
          <w:lang w:val="zh-CN"/>
        </w:rPr>
        <w:t>投标文件的编制、签署、份数</w:t>
      </w:r>
    </w:p>
    <w:p w14:paraId="55029DA5">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（1）投标文件包括“资格证明文件、商务与技术文件和报价文件”三部分。投标人应按“政府采购云平台”供应商项目采购-电子招投标操作指南（网址：</w:t>
      </w:r>
      <w:r>
        <w:rPr>
          <w:rFonts w:hint="eastAsia" w:asciiTheme="minorEastAsia" w:hAnsiTheme="minorEastAsia" w:eastAsiaTheme="minorEastAsia" w:cstheme="minorEastAsia"/>
          <w:b/>
          <w:bCs/>
          <w:color w:val="auto"/>
          <w:sz w:val="21"/>
          <w:szCs w:val="21"/>
          <w:highlight w:val="none"/>
          <w:u w:val="none"/>
          <w:lang w:val="en-US" w:eastAsia="zh-CN"/>
        </w:rPr>
        <w:fldChar w:fldCharType="begin"/>
      </w:r>
      <w:r>
        <w:rPr>
          <w:rFonts w:hint="eastAsia" w:asciiTheme="minorEastAsia" w:hAnsiTheme="minorEastAsia" w:eastAsiaTheme="minorEastAsia" w:cstheme="minorEastAsia"/>
          <w:b/>
          <w:bCs/>
          <w:color w:val="auto"/>
          <w:sz w:val="21"/>
          <w:szCs w:val="21"/>
          <w:highlight w:val="none"/>
          <w:u w:val="none"/>
          <w:lang w:val="en-US" w:eastAsia="zh-CN"/>
        </w:rPr>
        <w:instrText xml:space="preserve"> HYPERLINK "https://help.zcy.gov.cn/web/site_2/2018/12-28/2573.html）及本采购文件要求制作" </w:instrText>
      </w:r>
      <w:r>
        <w:rPr>
          <w:rFonts w:hint="eastAsia" w:asciiTheme="minorEastAsia" w:hAnsiTheme="minorEastAsia" w:eastAsiaTheme="minorEastAsia" w:cstheme="minorEastAsia"/>
          <w:b/>
          <w:bCs/>
          <w:color w:val="auto"/>
          <w:sz w:val="21"/>
          <w:szCs w:val="21"/>
          <w:highlight w:val="none"/>
          <w:u w:val="none"/>
          <w:lang w:val="en-US" w:eastAsia="zh-CN"/>
        </w:rPr>
        <w:fldChar w:fldCharType="separate"/>
      </w:r>
      <w:r>
        <w:rPr>
          <w:rFonts w:hint="eastAsia" w:asciiTheme="minorEastAsia" w:hAnsiTheme="minorEastAsia" w:eastAsiaTheme="minorEastAsia" w:cstheme="minorEastAsia"/>
          <w:b/>
          <w:bCs/>
          <w:color w:val="auto"/>
          <w:sz w:val="21"/>
          <w:szCs w:val="21"/>
          <w:highlight w:val="none"/>
          <w:u w:val="none"/>
          <w:lang w:val="en-US" w:eastAsia="zh-CN"/>
        </w:rPr>
        <w:t>https://help.zcy.gov.cn/web/site_2/2018/12-28/2573.html）及本招标文件要求制作</w:t>
      </w:r>
      <w:r>
        <w:rPr>
          <w:rFonts w:hint="eastAsia" w:asciiTheme="minorEastAsia" w:hAnsiTheme="minorEastAsia" w:eastAsiaTheme="minorEastAsia" w:cstheme="minorEastAsia"/>
          <w:b/>
          <w:bCs/>
          <w:color w:val="auto"/>
          <w:sz w:val="21"/>
          <w:szCs w:val="21"/>
          <w:highlight w:val="none"/>
          <w:u w:val="none"/>
          <w:lang w:val="en-US" w:eastAsia="zh-CN"/>
        </w:rPr>
        <w:fldChar w:fldCharType="end"/>
      </w:r>
      <w:r>
        <w:rPr>
          <w:rFonts w:hint="eastAsia" w:asciiTheme="minorEastAsia" w:hAnsiTheme="minorEastAsia" w:eastAsiaTheme="minorEastAsia" w:cstheme="minorEastAsia"/>
          <w:b/>
          <w:bCs/>
          <w:color w:val="auto"/>
          <w:sz w:val="21"/>
          <w:szCs w:val="21"/>
          <w:highlight w:val="none"/>
          <w:u w:val="none"/>
          <w:lang w:val="en-US" w:eastAsia="zh-CN"/>
        </w:rPr>
        <w:t>。</w:t>
      </w:r>
    </w:p>
    <w:p w14:paraId="74378A6A">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2）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14:paraId="37C2D70F">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（3）份数：</w:t>
      </w:r>
    </w:p>
    <w:p w14:paraId="033ABF73">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1）“电子加密投标文件”（后缀格式为.jmbs）：在线上传递交一份。</w:t>
      </w:r>
    </w:p>
    <w:p w14:paraId="48F3F101">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2）“备份投标文件”（后缀格式为.bfbs）（自愿提供，非实质性要求，因电子投标文件无法读取的后果由投标人自行承担）：发送一份电子备份投标文件至邮箱：</w:t>
      </w:r>
      <w:r>
        <w:rPr>
          <w:rFonts w:hint="eastAsia" w:asciiTheme="minorEastAsia" w:hAnsiTheme="minorEastAsia" w:eastAsiaTheme="minorEastAsia" w:cstheme="minorEastAsia"/>
          <w:b/>
          <w:bCs/>
          <w:color w:val="auto"/>
          <w:sz w:val="21"/>
          <w:szCs w:val="21"/>
          <w:highlight w:val="none"/>
          <w:u w:val="none"/>
          <w:lang w:val="en-US" w:eastAsia="zh-CN"/>
        </w:rPr>
        <w:fldChar w:fldCharType="begin"/>
      </w:r>
      <w:r>
        <w:rPr>
          <w:rFonts w:hint="eastAsia" w:asciiTheme="minorEastAsia" w:hAnsiTheme="minorEastAsia" w:eastAsiaTheme="minorEastAsia" w:cstheme="minorEastAsia"/>
          <w:b/>
          <w:bCs/>
          <w:color w:val="auto"/>
          <w:sz w:val="21"/>
          <w:szCs w:val="21"/>
          <w:highlight w:val="none"/>
          <w:u w:val="none"/>
          <w:lang w:val="en-US" w:eastAsia="zh-CN"/>
        </w:rPr>
        <w:instrText xml:space="preserve"> HYPERLINK "mailto:1391370120@qq.com，以接收方邮箱收件箱所显示时间为准。" </w:instrText>
      </w:r>
      <w:r>
        <w:rPr>
          <w:rFonts w:hint="eastAsia" w:asciiTheme="minorEastAsia" w:hAnsiTheme="minorEastAsia" w:eastAsiaTheme="minorEastAsia" w:cstheme="minorEastAsia"/>
          <w:b/>
          <w:bCs/>
          <w:color w:val="auto"/>
          <w:sz w:val="21"/>
          <w:szCs w:val="21"/>
          <w:highlight w:val="none"/>
          <w:u w:val="none"/>
          <w:lang w:val="en-US" w:eastAsia="zh-CN"/>
        </w:rPr>
        <w:fldChar w:fldCharType="separate"/>
      </w:r>
      <w:r>
        <w:rPr>
          <w:rStyle w:val="89"/>
          <w:rFonts w:hint="eastAsia" w:asciiTheme="minorEastAsia" w:hAnsiTheme="minorEastAsia" w:eastAsiaTheme="minorEastAsia" w:cstheme="minorEastAsia"/>
          <w:b/>
          <w:bCs/>
          <w:color w:val="auto"/>
          <w:sz w:val="21"/>
          <w:szCs w:val="21"/>
          <w:highlight w:val="none"/>
          <w:lang w:val="en-US" w:eastAsia="zh-CN"/>
        </w:rPr>
        <w:t>1391370120@qq.com，以接收方邮箱收件箱所显示时间为准。</w:t>
      </w:r>
      <w:r>
        <w:rPr>
          <w:rFonts w:hint="eastAsia" w:asciiTheme="minorEastAsia" w:hAnsiTheme="minorEastAsia" w:eastAsiaTheme="minorEastAsia" w:cstheme="minorEastAsia"/>
          <w:b/>
          <w:bCs/>
          <w:color w:val="auto"/>
          <w:sz w:val="21"/>
          <w:szCs w:val="21"/>
          <w:highlight w:val="none"/>
          <w:u w:val="none"/>
          <w:lang w:val="en-US" w:eastAsia="zh-CN"/>
        </w:rPr>
        <w:fldChar w:fldCharType="end"/>
      </w:r>
    </w:p>
    <w:p w14:paraId="287983D1">
      <w:pPr>
        <w:pStyle w:val="16"/>
        <w:numPr>
          <w:ilvl w:val="0"/>
          <w:numId w:val="0"/>
        </w:numPr>
        <w:shd w:val="clear"/>
        <w:tabs>
          <w:tab w:val="left" w:pos="454"/>
          <w:tab w:val="left" w:pos="720"/>
        </w:tabs>
        <w:spacing w:beforeLines="50"/>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5、</w:t>
      </w:r>
      <w:r>
        <w:rPr>
          <w:rFonts w:hint="eastAsia" w:asciiTheme="minorEastAsia" w:hAnsiTheme="minorEastAsia" w:eastAsiaTheme="minorEastAsia" w:cstheme="minorEastAsia"/>
          <w:b/>
          <w:color w:val="auto"/>
          <w:sz w:val="21"/>
          <w:szCs w:val="21"/>
          <w:highlight w:val="none"/>
        </w:rPr>
        <w:t>投标文件的有效期</w:t>
      </w:r>
    </w:p>
    <w:p w14:paraId="760FD904">
      <w:pPr>
        <w:pStyle w:val="16"/>
        <w:numPr>
          <w:ilvl w:val="0"/>
          <w:numId w:val="0"/>
        </w:numPr>
        <w:shd w:val="clear"/>
        <w:tabs>
          <w:tab w:val="left" w:pos="454"/>
          <w:tab w:val="left" w:pos="720"/>
        </w:tabs>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rPr>
        <w:t>自投标截止日起</w:t>
      </w:r>
      <w:r>
        <w:rPr>
          <w:rFonts w:hint="eastAsia" w:asciiTheme="minorEastAsia" w:hAnsiTheme="minorEastAsia" w:eastAsiaTheme="minorEastAsia" w:cstheme="minorEastAsia"/>
          <w:color w:val="auto"/>
          <w:sz w:val="21"/>
          <w:szCs w:val="21"/>
          <w:highlight w:val="none"/>
          <w:u w:val="single"/>
        </w:rPr>
        <w:t>90</w:t>
      </w:r>
      <w:r>
        <w:rPr>
          <w:rFonts w:hint="eastAsia" w:asciiTheme="minorEastAsia" w:hAnsiTheme="minorEastAsia" w:eastAsiaTheme="minorEastAsia" w:cstheme="minorEastAsia"/>
          <w:color w:val="auto"/>
          <w:sz w:val="21"/>
          <w:szCs w:val="21"/>
          <w:highlight w:val="none"/>
        </w:rPr>
        <w:t>天内投标文件应保持有效。有效期不足的投标文件将被拒绝。</w:t>
      </w:r>
    </w:p>
    <w:p w14:paraId="73E59A18">
      <w:pPr>
        <w:pStyle w:val="16"/>
        <w:numPr>
          <w:ilvl w:val="0"/>
          <w:numId w:val="0"/>
        </w:numPr>
        <w:shd w:val="clear"/>
        <w:tabs>
          <w:tab w:val="left" w:pos="454"/>
          <w:tab w:val="left" w:pos="720"/>
        </w:tabs>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在特殊情况下，</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可与投标人协商延长投标书的有效期，这种要求和答复均以书面形式进行。</w:t>
      </w:r>
    </w:p>
    <w:p w14:paraId="78104DD6">
      <w:pPr>
        <w:shd w:val="clear"/>
        <w:snapToGrid w:val="0"/>
        <w:ind w:firstLine="420" w:firstLineChars="20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延长有效期</w:t>
      </w:r>
      <w:r>
        <w:rPr>
          <w:rFonts w:hint="eastAsia" w:asciiTheme="minorEastAsia" w:hAnsiTheme="minorEastAsia" w:eastAsiaTheme="minorEastAsia" w:cstheme="minorEastAsia"/>
          <w:color w:val="auto"/>
          <w:sz w:val="21"/>
          <w:szCs w:val="21"/>
          <w:highlight w:val="none"/>
          <w:lang w:val="en-US" w:eastAsia="zh-CN"/>
        </w:rPr>
        <w:t>内</w:t>
      </w:r>
      <w:r>
        <w:rPr>
          <w:rFonts w:hint="eastAsia" w:asciiTheme="minorEastAsia" w:hAnsiTheme="minorEastAsia" w:eastAsiaTheme="minorEastAsia" w:cstheme="minorEastAsia"/>
          <w:color w:val="auto"/>
          <w:sz w:val="21"/>
          <w:szCs w:val="21"/>
          <w:highlight w:val="none"/>
        </w:rPr>
        <w:t>投标人不能修改投标文件。</w:t>
      </w:r>
      <w:r>
        <w:rPr>
          <w:rFonts w:hint="eastAsia" w:asciiTheme="minorEastAsia" w:hAnsiTheme="minorEastAsia" w:eastAsiaTheme="minorEastAsia" w:cstheme="minorEastAsia"/>
          <w:b/>
          <w:color w:val="auto"/>
          <w:sz w:val="21"/>
          <w:szCs w:val="21"/>
          <w:highlight w:val="none"/>
        </w:rPr>
        <w:t xml:space="preserve"> </w:t>
      </w:r>
    </w:p>
    <w:p w14:paraId="65E5767D">
      <w:pPr>
        <w:shd w:val="clear"/>
        <w:snapToGrid w:val="0"/>
        <w:ind w:firstLine="420" w:firstLineChars="20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中标人的投标文件自开标之日起至合同履行完毕止均应保持有效。</w:t>
      </w:r>
    </w:p>
    <w:p w14:paraId="694D39C3">
      <w:pPr>
        <w:shd w:val="clear"/>
        <w:snapToGrid w:val="0"/>
        <w:spacing w:beforeLines="5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rPr>
        <w:t>投标保证金</w:t>
      </w:r>
    </w:p>
    <w:p w14:paraId="54797BB0">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不收取投标保证金。</w:t>
      </w:r>
    </w:p>
    <w:p w14:paraId="28153754">
      <w:pPr>
        <w:shd w:val="clear"/>
        <w:snapToGrid w:val="0"/>
        <w:ind w:firstLine="420" w:firstLineChars="200"/>
        <w:jc w:val="left"/>
        <w:outlineLvl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中标人应在中标通知书发出后30日内与采购人签订合同并在签订合同前提交履约保证金给采购人。</w:t>
      </w:r>
      <w:r>
        <w:rPr>
          <w:rFonts w:hint="eastAsia" w:asciiTheme="minorEastAsia" w:hAnsiTheme="minorEastAsia" w:eastAsiaTheme="minorEastAsia" w:cstheme="minorEastAsia"/>
          <w:b w:val="0"/>
          <w:bCs/>
          <w:color w:val="auto"/>
          <w:sz w:val="21"/>
          <w:szCs w:val="21"/>
          <w:highlight w:val="none"/>
          <w:lang w:val="en-US" w:eastAsia="zh-CN"/>
        </w:rPr>
        <w:t>如提供现金的，</w:t>
      </w:r>
      <w:r>
        <w:rPr>
          <w:rFonts w:hint="eastAsia" w:asciiTheme="minorEastAsia" w:hAnsiTheme="minorEastAsia" w:eastAsiaTheme="minorEastAsia" w:cstheme="minorEastAsia"/>
          <w:b w:val="0"/>
          <w:bCs/>
          <w:color w:val="auto"/>
          <w:sz w:val="21"/>
          <w:szCs w:val="21"/>
          <w:highlight w:val="none"/>
        </w:rPr>
        <w:t>履约保证金账户由招标人(采购人)提供。</w:t>
      </w:r>
    </w:p>
    <w:p w14:paraId="1455D0CF">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但投标人有下列情形之一的，将视情节轻重予以处罚（处罚措施由</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合理确定，若给</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造成损失的，须承担所有损失赔偿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color w:val="auto"/>
          <w:sz w:val="21"/>
          <w:szCs w:val="21"/>
          <w:highlight w:val="none"/>
        </w:rPr>
        <w:t>）。</w:t>
      </w:r>
    </w:p>
    <w:p w14:paraId="3B856104">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（1）投标人在截止时间后至投标有效期内无故撤回投标文件</w:t>
      </w:r>
      <w:r>
        <w:rPr>
          <w:rFonts w:hint="eastAsia" w:asciiTheme="minorEastAsia" w:hAnsiTheme="minorEastAsia" w:eastAsiaTheme="minorEastAsia" w:cstheme="minorEastAsia"/>
          <w:color w:val="auto"/>
          <w:kern w:val="0"/>
          <w:sz w:val="21"/>
          <w:szCs w:val="21"/>
          <w:highlight w:val="none"/>
        </w:rPr>
        <w:t>或放弃中标资格的</w:t>
      </w:r>
      <w:r>
        <w:rPr>
          <w:rFonts w:hint="eastAsia" w:asciiTheme="minorEastAsia" w:hAnsiTheme="minorEastAsia" w:eastAsiaTheme="minorEastAsia" w:cstheme="minorEastAsia"/>
          <w:color w:val="auto"/>
          <w:sz w:val="21"/>
          <w:szCs w:val="21"/>
          <w:highlight w:val="none"/>
        </w:rPr>
        <w:t>；</w:t>
      </w:r>
    </w:p>
    <w:p w14:paraId="6CBD5061">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（2）投标人在投标过程中弄虚作假，提供虚假材料的；</w:t>
      </w:r>
    </w:p>
    <w:p w14:paraId="3543F751">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bCs/>
          <w:color w:val="auto"/>
          <w:sz w:val="21"/>
          <w:szCs w:val="21"/>
          <w:highlight w:val="none"/>
        </w:rPr>
        <w:t>与采购人另行订立背离合同实质性内容的协议的</w:t>
      </w:r>
      <w:r>
        <w:rPr>
          <w:rFonts w:hint="eastAsia" w:asciiTheme="minorEastAsia" w:hAnsiTheme="minorEastAsia" w:eastAsiaTheme="minorEastAsia" w:cstheme="minorEastAsia"/>
          <w:color w:val="auto"/>
          <w:sz w:val="21"/>
          <w:szCs w:val="21"/>
          <w:highlight w:val="none"/>
        </w:rPr>
        <w:t>；</w:t>
      </w:r>
    </w:p>
    <w:p w14:paraId="2F0E5EB8">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（4）将中标项目转让或</w:t>
      </w:r>
      <w:r>
        <w:rPr>
          <w:rFonts w:hint="eastAsia" w:asciiTheme="minorEastAsia" w:hAnsiTheme="minorEastAsia" w:eastAsiaTheme="minorEastAsia" w:cstheme="minorEastAsia"/>
          <w:color w:val="auto"/>
          <w:sz w:val="21"/>
          <w:szCs w:val="21"/>
          <w:highlight w:val="none"/>
          <w:lang w:val="en-US" w:eastAsia="zh-CN"/>
        </w:rPr>
        <w:t>违规</w:t>
      </w:r>
      <w:r>
        <w:rPr>
          <w:rFonts w:hint="eastAsia" w:asciiTheme="minorEastAsia" w:hAnsiTheme="minorEastAsia" w:eastAsiaTheme="minorEastAsia" w:cstheme="minorEastAsia"/>
          <w:color w:val="auto"/>
          <w:sz w:val="21"/>
          <w:szCs w:val="21"/>
          <w:highlight w:val="none"/>
        </w:rPr>
        <w:t>分包给他人；</w:t>
      </w:r>
    </w:p>
    <w:p w14:paraId="02BDFC62">
      <w:pPr>
        <w:shd w:val="clear"/>
        <w:snapToGrid w:val="0"/>
        <w:ind w:firstLine="420" w:firstLineChars="200"/>
        <w:jc w:val="left"/>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bCs/>
          <w:color w:val="auto"/>
          <w:sz w:val="21"/>
          <w:szCs w:val="21"/>
          <w:highlight w:val="none"/>
        </w:rPr>
        <w:t>除因不可抗力或招标文件认可的情形以外，中标供应商不与采购人签订合同或拒绝履行合同义务的；</w:t>
      </w:r>
    </w:p>
    <w:p w14:paraId="0DB49D18">
      <w:pPr>
        <w:shd w:val="clear"/>
        <w:snapToGrid w:val="0"/>
        <w:ind w:firstLine="420" w:firstLineChars="200"/>
        <w:jc w:val="left"/>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（6）供应商与采购人、其他供应商或者</w:t>
      </w:r>
      <w:r>
        <w:rPr>
          <w:rFonts w:hint="eastAsia" w:asciiTheme="minorEastAsia" w:hAnsiTheme="minorEastAsia" w:eastAsiaTheme="minorEastAsia" w:cstheme="minorEastAsia"/>
          <w:bCs/>
          <w:color w:val="auto"/>
          <w:sz w:val="21"/>
          <w:szCs w:val="21"/>
          <w:highlight w:val="none"/>
          <w:lang w:eastAsia="zh-CN"/>
        </w:rPr>
        <w:t>采购组织机构</w:t>
      </w:r>
      <w:r>
        <w:rPr>
          <w:rFonts w:hint="eastAsia" w:asciiTheme="minorEastAsia" w:hAnsiTheme="minorEastAsia" w:eastAsiaTheme="minorEastAsia" w:cstheme="minorEastAsia"/>
          <w:bCs/>
          <w:color w:val="auto"/>
          <w:sz w:val="21"/>
          <w:szCs w:val="21"/>
          <w:highlight w:val="none"/>
        </w:rPr>
        <w:t>恶意串通的；</w:t>
      </w:r>
    </w:p>
    <w:p w14:paraId="59C59569">
      <w:pPr>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（7）其他严重扰乱招投标程序的</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法律、法规明确规定的其他行为</w:t>
      </w:r>
      <w:r>
        <w:rPr>
          <w:rFonts w:hint="eastAsia" w:asciiTheme="minorEastAsia" w:hAnsiTheme="minorEastAsia" w:eastAsiaTheme="minorEastAsia" w:cstheme="minorEastAsia"/>
          <w:bCs/>
          <w:color w:val="auto"/>
          <w:sz w:val="21"/>
          <w:szCs w:val="21"/>
          <w:highlight w:val="none"/>
          <w:lang w:eastAsia="zh-CN"/>
        </w:rPr>
        <w:t>。</w:t>
      </w:r>
    </w:p>
    <w:p w14:paraId="3C676E80">
      <w:pPr>
        <w:shd w:val="clear"/>
        <w:snapToGrid w:val="0"/>
        <w:spacing w:line="360" w:lineRule="auto"/>
        <w:jc w:val="left"/>
        <w:rPr>
          <w:rFonts w:hint="eastAsia" w:asciiTheme="minorEastAsia" w:hAnsiTheme="minorEastAsia" w:eastAsiaTheme="minorEastAsia" w:cstheme="minorEastAsia"/>
          <w:b/>
          <w:color w:val="auto"/>
          <w:kern w:val="0"/>
          <w:sz w:val="21"/>
          <w:szCs w:val="21"/>
          <w:highlight w:val="none"/>
          <w:shd w:val="clear" w:color="auto" w:fill="auto"/>
        </w:rPr>
      </w:pPr>
      <w:r>
        <w:rPr>
          <w:rFonts w:hint="eastAsia" w:asciiTheme="minorEastAsia" w:hAnsiTheme="minorEastAsia" w:eastAsiaTheme="minorEastAsia" w:cstheme="minorEastAsia"/>
          <w:b/>
          <w:color w:val="auto"/>
          <w:kern w:val="0"/>
          <w:sz w:val="21"/>
          <w:szCs w:val="21"/>
          <w:highlight w:val="none"/>
          <w:shd w:val="clear" w:color="auto" w:fill="auto"/>
        </w:rPr>
        <w:t>五、开标</w:t>
      </w:r>
    </w:p>
    <w:p w14:paraId="2133874F">
      <w:pPr>
        <w:pStyle w:val="39"/>
        <w:shd w:val="clear"/>
        <w:snapToGrid w:val="0"/>
        <w:spacing w:line="360" w:lineRule="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     （一）开标事项</w:t>
      </w:r>
    </w:p>
    <w:p w14:paraId="135FED0D">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采购组织机构在“招标公告”规定的时间和地点公开开标，所有投标人均可不参加本项目现场开标。投标人未在规定时间参与开标过程的，视为放弃开标监督权利、认可开标结果。</w:t>
      </w:r>
    </w:p>
    <w:p w14:paraId="28F51DED">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在开标过程中如有异议，按规定出具加盖公章（或者由法定代理人或其授权的代表签字）的质疑函的原件扫描件，原件也同时寄给或送至招标代理公司（或采购人）。在开标过程中如有澄清、无效标等，投标人也按上述方式进行操作。</w:t>
      </w:r>
    </w:p>
    <w:p w14:paraId="33A044D8">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本次招标先开评资格证明文件、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评审结束后再开评报价文件。</w:t>
      </w:r>
    </w:p>
    <w:p w14:paraId="1B1AD402">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采购过程中出现以下情形，导致电子交易平台无法正常运行，或者无法保证电子交易的公平、公正和安全时，采购组织机构可中止电子交易活动：</w:t>
      </w:r>
    </w:p>
    <w:p w14:paraId="57C14AEB">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（1）电子交易平台发生故障而无法登录访问的； </w:t>
      </w:r>
    </w:p>
    <w:p w14:paraId="66A12A58">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（2）电子交易平台应用或数据库出现错误，不能进行正常操作的；</w:t>
      </w:r>
    </w:p>
    <w:p w14:paraId="36694085">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（3）电子交易平台发现严重安全漏洞，有潜在泄密危险的；</w:t>
      </w:r>
    </w:p>
    <w:p w14:paraId="18F592A1">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（4）病毒发作导致不能进行正常操作的； </w:t>
      </w:r>
    </w:p>
    <w:p w14:paraId="0682DB6A">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（5）其他无法保证电子交易的公平、公正和安全的情况。</w:t>
      </w:r>
    </w:p>
    <w:p w14:paraId="63F8B776">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出现前款规定情形，不影响采购公平、公正性的，采购组织机构可以待上述情形消除后继续组织电子交易活动，也可以决定某些环节以纸质形式进行；影响或可能影响采购公平、公正性的，应当重新采购。</w:t>
      </w:r>
    </w:p>
    <w:p w14:paraId="49EAAB2F">
      <w:pPr>
        <w:pStyle w:val="39"/>
        <w:shd w:val="clear"/>
        <w:snapToGrid w:val="0"/>
        <w:spacing w:line="360" w:lineRule="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（二） 开标程序：</w:t>
      </w:r>
    </w:p>
    <w:p w14:paraId="2BB7EEFF">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14:paraId="7F8B7E0C">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2、主持人介绍参加开标会的人员名单； </w:t>
      </w:r>
    </w:p>
    <w:p w14:paraId="57A7953D">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3、主持人宣布评标期间的有关注意事项；</w:t>
      </w:r>
    </w:p>
    <w:p w14:paraId="14114E19">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4、向各投标人发出电子加密投标文件【开始解密】通知，由投标人按招标文件规定的时间内（30分钟内）自行进行投标文件解密。投标文件的制作和解密应使用同一个数字证书，否则将可能解密失败。投标文件解密结束，供应商通过邮件形式将经授权代表或法定代表人签署的《政府采购活动现场确认声明书》（格式见附件）的扫描件或（图片）发至代理机构经办人邮箱（邮箱地址：</w:t>
      </w:r>
      <w:r>
        <w:rPr>
          <w:rFonts w:hint="eastAsia" w:asciiTheme="minorEastAsia" w:hAnsiTheme="minorEastAsia" w:eastAsiaTheme="minorEastAsia" w:cstheme="minorEastAsia"/>
          <w:color w:val="auto"/>
          <w:kern w:val="0"/>
          <w:sz w:val="21"/>
          <w:szCs w:val="21"/>
          <w:highlight w:val="none"/>
          <w:shd w:val="clear" w:color="auto" w:fill="auto"/>
          <w:lang w:eastAsia="zh-CN"/>
        </w:rPr>
        <w:t>1391370120</w:t>
      </w:r>
      <w:r>
        <w:rPr>
          <w:rFonts w:hint="eastAsia" w:asciiTheme="minorEastAsia" w:hAnsiTheme="minorEastAsia" w:eastAsiaTheme="minorEastAsia" w:cstheme="minorEastAsia"/>
          <w:color w:val="auto"/>
          <w:kern w:val="0"/>
          <w:sz w:val="21"/>
          <w:szCs w:val="21"/>
          <w:highlight w:val="none"/>
          <w:shd w:val="clear" w:color="auto" w:fill="auto"/>
        </w:rPr>
        <w:t>@qq.com）。</w:t>
      </w:r>
    </w:p>
    <w:p w14:paraId="1ABC6C92">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5、采购组织机构点击【开启标书信息】，开启标书成功后进入开标流程。</w:t>
      </w:r>
    </w:p>
    <w:p w14:paraId="472D3B2E">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6、资格证明文件、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评审；</w:t>
      </w:r>
    </w:p>
    <w:p w14:paraId="37A3852B">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7、由主持人公布无效投标的投标人名单、投标无效的原因及其他有效投标的评分汇总分；</w:t>
      </w:r>
    </w:p>
    <w:p w14:paraId="3C5A0BD9">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8、开启报价文件：采购代理机构成功开启报价文件后，方可查看各供应商报价情况，同时当场制作开标记录表。</w:t>
      </w:r>
    </w:p>
    <w:p w14:paraId="2940AF1D">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9、报价文件评审；</w:t>
      </w:r>
    </w:p>
    <w:p w14:paraId="7F823F96">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10、由主持人公布无效投标的投标人名单、投标无效的原因及其他有效投标的报价文件得分；</w:t>
      </w:r>
    </w:p>
    <w:p w14:paraId="471D0C5F">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11、在完成评标后，宣布评标结果，开标会议结束。</w:t>
      </w:r>
    </w:p>
    <w:p w14:paraId="5EB6FE04">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2" w:firstLineChars="200"/>
        <w:textAlignment w:val="auto"/>
        <w:outlineLvl w:val="1"/>
        <w:rPr>
          <w:rFonts w:hint="eastAsia" w:asciiTheme="minorEastAsia" w:hAnsiTheme="minorEastAsia" w:eastAsiaTheme="minorEastAsia" w:cstheme="minorEastAsia"/>
          <w:b/>
          <w:bCs/>
          <w:color w:val="auto"/>
          <w:kern w:val="0"/>
          <w:sz w:val="21"/>
          <w:szCs w:val="21"/>
          <w:highlight w:val="none"/>
          <w:shd w:val="clear" w:color="auto" w:fill="auto"/>
        </w:rPr>
      </w:pPr>
      <w:r>
        <w:rPr>
          <w:rFonts w:hint="eastAsia" w:asciiTheme="minorEastAsia" w:hAnsiTheme="minorEastAsia" w:eastAsiaTheme="minorEastAsia" w:cstheme="minorEastAsia"/>
          <w:b/>
          <w:bCs/>
          <w:color w:val="auto"/>
          <w:kern w:val="0"/>
          <w:sz w:val="21"/>
          <w:szCs w:val="21"/>
          <w:highlight w:val="none"/>
          <w:shd w:val="clear" w:color="auto" w:fill="auto"/>
        </w:rPr>
        <w:t>特别说明：如政府采购云平台如对电子化开标及评审程序有调整的，按调整后的程序操作。</w:t>
      </w:r>
    </w:p>
    <w:p w14:paraId="01754606">
      <w:pPr>
        <w:pStyle w:val="39"/>
        <w:shd w:val="clear"/>
        <w:snapToGrid w:val="0"/>
        <w:spacing w:line="360" w:lineRule="auto"/>
        <w:outlineLvl w:val="1"/>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六、评标</w:t>
      </w:r>
    </w:p>
    <w:p w14:paraId="18C3E733">
      <w:pPr>
        <w:pStyle w:val="39"/>
        <w:shd w:val="clear"/>
        <w:snapToGrid w:val="0"/>
        <w:spacing w:line="360" w:lineRule="auto"/>
        <w:ind w:firstLine="420" w:firstLineChars="2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lang w:eastAsia="zh-CN"/>
        </w:rPr>
        <w:t>本项目采用不公开方式评标，评标的依据为招标文件和投标文件。本项目采用电子评审方法，</w:t>
      </w:r>
      <w:r>
        <w:rPr>
          <w:rFonts w:hint="eastAsia" w:asciiTheme="minorEastAsia" w:hAnsiTheme="minorEastAsia" w:eastAsiaTheme="minorEastAsia" w:cstheme="minorEastAsia"/>
          <w:color w:val="auto"/>
          <w:kern w:val="0"/>
          <w:sz w:val="21"/>
          <w:szCs w:val="21"/>
          <w:highlight w:val="none"/>
          <w:lang w:val="zh-CN"/>
        </w:rPr>
        <w:t>因</w:t>
      </w:r>
      <w:r>
        <w:rPr>
          <w:rFonts w:hint="eastAsia" w:asciiTheme="minorEastAsia" w:hAnsiTheme="minorEastAsia" w:eastAsiaTheme="minorEastAsia" w:cstheme="minorEastAsia"/>
          <w:b w:val="0"/>
          <w:bCs w:val="0"/>
          <w:color w:val="auto"/>
          <w:sz w:val="21"/>
          <w:szCs w:val="21"/>
          <w:highlight w:val="none"/>
          <w:lang w:eastAsia="zh-CN"/>
        </w:rPr>
        <w:t>政采云平台原因无法读取或电子开评标无法正常进行</w:t>
      </w:r>
      <w:r>
        <w:rPr>
          <w:rFonts w:hint="eastAsia" w:asciiTheme="minorEastAsia" w:hAnsiTheme="minorEastAsia" w:eastAsiaTheme="minorEastAsia" w:cstheme="minorEastAsia"/>
          <w:b w:val="0"/>
          <w:bCs w:val="0"/>
          <w:color w:val="auto"/>
          <w:sz w:val="21"/>
          <w:szCs w:val="21"/>
          <w:highlight w:val="none"/>
          <w:lang w:val="en-US" w:eastAsia="zh-CN"/>
        </w:rPr>
        <w:t>或</w:t>
      </w:r>
      <w:r>
        <w:rPr>
          <w:rFonts w:hint="eastAsia" w:asciiTheme="minorEastAsia" w:hAnsiTheme="minorEastAsia" w:eastAsiaTheme="minorEastAsia" w:cstheme="minorEastAsia"/>
          <w:color w:val="auto"/>
          <w:kern w:val="0"/>
          <w:sz w:val="21"/>
          <w:szCs w:val="21"/>
          <w:highlight w:val="none"/>
          <w:lang w:val="zh-CN"/>
        </w:rPr>
        <w:t>网络</w:t>
      </w:r>
      <w:r>
        <w:rPr>
          <w:rFonts w:hint="eastAsia" w:asciiTheme="minorEastAsia" w:hAnsiTheme="minorEastAsia" w:eastAsiaTheme="minorEastAsia" w:cstheme="minorEastAsia"/>
          <w:b w:val="0"/>
          <w:bCs w:val="0"/>
          <w:color w:val="auto"/>
          <w:sz w:val="21"/>
          <w:szCs w:val="21"/>
          <w:highlight w:val="none"/>
          <w:lang w:val="en-US" w:eastAsia="zh-CN"/>
        </w:rPr>
        <w:t>等问题</w:t>
      </w:r>
      <w:r>
        <w:rPr>
          <w:rFonts w:hint="eastAsia" w:asciiTheme="minorEastAsia" w:hAnsiTheme="minorEastAsia" w:eastAsiaTheme="minorEastAsia" w:cstheme="minorEastAsia"/>
          <w:color w:val="auto"/>
          <w:kern w:val="0"/>
          <w:sz w:val="21"/>
          <w:szCs w:val="21"/>
          <w:highlight w:val="none"/>
          <w:lang w:val="zh-CN"/>
        </w:rPr>
        <w:t>造成“电子加密投标文件”在规定时间内无法正常解密的，投标人提供了“备份投标文件”的，将由采购代理机构按“政府采购云平台”操作规范将“备份</w:t>
      </w:r>
      <w:r>
        <w:rPr>
          <w:rFonts w:hint="eastAsia" w:asciiTheme="minorEastAsia" w:hAnsiTheme="minorEastAsia" w:eastAsiaTheme="minorEastAsia" w:cstheme="minorEastAsia"/>
          <w:color w:val="auto"/>
          <w:kern w:val="0"/>
          <w:sz w:val="21"/>
          <w:szCs w:val="21"/>
          <w:highlight w:val="none"/>
          <w:lang w:val="en-US" w:eastAsia="zh-CN"/>
        </w:rPr>
        <w:t>电子</w:t>
      </w:r>
      <w:r>
        <w:rPr>
          <w:rFonts w:hint="eastAsia" w:asciiTheme="minorEastAsia" w:hAnsiTheme="minorEastAsia" w:eastAsiaTheme="minorEastAsia" w:cstheme="minorEastAsia"/>
          <w:color w:val="auto"/>
          <w:kern w:val="0"/>
          <w:sz w:val="21"/>
          <w:szCs w:val="21"/>
          <w:highlight w:val="none"/>
          <w:lang w:val="zh-CN"/>
        </w:rPr>
        <w:t>投标文件”上传至“政府采购云平台”，完成解密。</w:t>
      </w:r>
    </w:p>
    <w:p w14:paraId="01FDCDD4">
      <w:pPr>
        <w:pStyle w:val="39"/>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（一）组建评标委员会</w:t>
      </w:r>
    </w:p>
    <w:p w14:paraId="01A8B17C">
      <w:pPr>
        <w:pStyle w:val="39"/>
        <w:shd w:val="clear"/>
        <w:snapToGrid w:val="0"/>
        <w:spacing w:line="360" w:lineRule="auto"/>
        <w:ind w:firstLine="420" w:firstLineChars="20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本项目评标委员会由政府采购评审专家和采购单位评审代表组成</w:t>
      </w:r>
      <w:r>
        <w:rPr>
          <w:rFonts w:hint="eastAsia" w:asciiTheme="minorEastAsia" w:hAnsiTheme="minorEastAsia" w:eastAsiaTheme="minorEastAsia" w:cstheme="minorEastAsia"/>
          <w:color w:val="auto"/>
          <w:kern w:val="0"/>
          <w:sz w:val="21"/>
          <w:szCs w:val="21"/>
          <w:highlight w:val="none"/>
        </w:rPr>
        <w:t>，成员人数为五人或以上单数，其中评审专家不少于成员总数的三分之二</w:t>
      </w:r>
      <w:r>
        <w:rPr>
          <w:rFonts w:hint="eastAsia" w:asciiTheme="minorEastAsia" w:hAnsiTheme="minorEastAsia" w:eastAsiaTheme="minorEastAsia" w:cstheme="minorEastAsia"/>
          <w:color w:val="auto"/>
          <w:sz w:val="21"/>
          <w:szCs w:val="21"/>
          <w:highlight w:val="none"/>
          <w:shd w:val="clear" w:color="auto" w:fill="auto"/>
        </w:rPr>
        <w:t>。</w:t>
      </w:r>
    </w:p>
    <w:p w14:paraId="413D284C">
      <w:pPr>
        <w:pStyle w:val="39"/>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（二）</w:t>
      </w:r>
      <w:r>
        <w:rPr>
          <w:rFonts w:hint="eastAsia" w:asciiTheme="minorEastAsia" w:hAnsiTheme="minorEastAsia" w:eastAsiaTheme="minorEastAsia" w:cstheme="minorEastAsia"/>
          <w:b/>
          <w:bCs/>
          <w:color w:val="auto"/>
          <w:sz w:val="21"/>
          <w:szCs w:val="21"/>
          <w:highlight w:val="none"/>
          <w:shd w:val="clear" w:color="auto" w:fill="auto"/>
        </w:rPr>
        <w:t>评标程序</w:t>
      </w:r>
    </w:p>
    <w:p w14:paraId="6A0F0B16">
      <w:pPr>
        <w:shd w:val="clear"/>
        <w:snapToGrid w:val="0"/>
        <w:spacing w:line="360" w:lineRule="auto"/>
        <w:ind w:firstLine="413" w:firstLineChars="196"/>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1、资格审查</w:t>
      </w:r>
    </w:p>
    <w:p w14:paraId="1B2D31D8">
      <w:pPr>
        <w:pStyle w:val="71"/>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公开招标采购项目开标结束后，采购人或者</w:t>
      </w:r>
      <w:r>
        <w:rPr>
          <w:rFonts w:hint="eastAsia" w:asciiTheme="minorEastAsia" w:hAnsiTheme="minorEastAsia" w:eastAsiaTheme="minorEastAsia" w:cstheme="minorEastAsia"/>
          <w:color w:val="auto"/>
          <w:sz w:val="21"/>
          <w:szCs w:val="21"/>
          <w:highlight w:val="none"/>
          <w:shd w:val="clear" w:color="auto" w:fill="auto"/>
          <w:lang w:eastAsia="zh-CN"/>
        </w:rPr>
        <w:t>采购组织机构</w:t>
      </w:r>
      <w:r>
        <w:rPr>
          <w:rFonts w:hint="eastAsia" w:asciiTheme="minorEastAsia" w:hAnsiTheme="minorEastAsia" w:eastAsiaTheme="minorEastAsia" w:cstheme="minorEastAsia"/>
          <w:color w:val="auto"/>
          <w:sz w:val="21"/>
          <w:szCs w:val="21"/>
          <w:highlight w:val="none"/>
          <w:shd w:val="clear" w:color="auto" w:fill="auto"/>
        </w:rPr>
        <w:t>应当依法对投标人的资格进行审查</w:t>
      </w:r>
      <w:r>
        <w:rPr>
          <w:rFonts w:hint="eastAsia" w:asciiTheme="minorEastAsia" w:hAnsiTheme="minorEastAsia" w:eastAsiaTheme="minorEastAsia" w:cstheme="minorEastAsia"/>
          <w:color w:val="auto"/>
          <w:sz w:val="21"/>
          <w:szCs w:val="21"/>
          <w:highlight w:val="none"/>
          <w:shd w:val="clear" w:color="auto" w:fill="auto"/>
          <w:lang w:eastAsia="zh-CN"/>
        </w:rPr>
        <w:t>，对审查发现无效的</w:t>
      </w:r>
      <w:r>
        <w:rPr>
          <w:rFonts w:hint="eastAsia" w:asciiTheme="minorEastAsia" w:hAnsiTheme="minorEastAsia" w:eastAsiaTheme="minorEastAsia" w:cstheme="minorEastAsia"/>
          <w:color w:val="auto"/>
          <w:sz w:val="21"/>
          <w:szCs w:val="21"/>
          <w:highlight w:val="none"/>
          <w:shd w:val="clear" w:color="auto" w:fill="auto"/>
        </w:rPr>
        <w:t>进行必要的询标，结束后公布无效投标的投标人名单、投标无效的原因。</w:t>
      </w:r>
    </w:p>
    <w:p w14:paraId="20672292">
      <w:pPr>
        <w:pStyle w:val="71"/>
        <w:shd w:val="clear"/>
        <w:spacing w:before="0" w:beforeAutospacing="0" w:after="0" w:afterAutospacing="0" w:line="360" w:lineRule="auto"/>
        <w:ind w:firstLine="413" w:firstLineChars="196"/>
        <w:jc w:val="both"/>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2、</w:t>
      </w:r>
      <w:r>
        <w:rPr>
          <w:rFonts w:hint="eastAsia" w:asciiTheme="minorEastAsia" w:hAnsiTheme="minorEastAsia" w:eastAsiaTheme="minorEastAsia" w:cstheme="minorEastAsia"/>
          <w:b/>
          <w:bCs/>
          <w:color w:val="auto"/>
          <w:sz w:val="21"/>
          <w:szCs w:val="21"/>
          <w:highlight w:val="none"/>
          <w:shd w:val="clear" w:color="auto" w:fill="auto"/>
          <w:lang w:eastAsia="zh-CN"/>
        </w:rPr>
        <w:t>符合性</w:t>
      </w:r>
      <w:r>
        <w:rPr>
          <w:rFonts w:hint="eastAsia" w:asciiTheme="minorEastAsia" w:hAnsiTheme="minorEastAsia" w:eastAsiaTheme="minorEastAsia" w:cstheme="minorEastAsia"/>
          <w:b/>
          <w:bCs/>
          <w:color w:val="auto"/>
          <w:sz w:val="21"/>
          <w:szCs w:val="21"/>
          <w:highlight w:val="none"/>
          <w:shd w:val="clear" w:color="auto" w:fill="auto"/>
        </w:rPr>
        <w:t>审查</w:t>
      </w:r>
    </w:p>
    <w:p w14:paraId="603C2667">
      <w:pPr>
        <w:pStyle w:val="71"/>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评标委员会应当对符合资格的投标人的投标文件进行符合性审查，以确定其是否满足招标文件的实质性要求</w:t>
      </w:r>
      <w:r>
        <w:rPr>
          <w:rFonts w:hint="eastAsia" w:asciiTheme="minorEastAsia" w:hAnsiTheme="minorEastAsia" w:eastAsiaTheme="minorEastAsia" w:cstheme="minorEastAsia"/>
          <w:color w:val="auto"/>
          <w:sz w:val="21"/>
          <w:szCs w:val="21"/>
          <w:highlight w:val="none"/>
          <w:shd w:val="clear" w:color="auto" w:fill="auto"/>
          <w:lang w:eastAsia="zh-CN"/>
        </w:rPr>
        <w:t>，对审查发现无效的</w:t>
      </w:r>
      <w:r>
        <w:rPr>
          <w:rFonts w:hint="eastAsia" w:asciiTheme="minorEastAsia" w:hAnsiTheme="minorEastAsia" w:eastAsiaTheme="minorEastAsia" w:cstheme="minorEastAsia"/>
          <w:color w:val="auto"/>
          <w:sz w:val="21"/>
          <w:szCs w:val="21"/>
          <w:highlight w:val="none"/>
          <w:shd w:val="clear" w:color="auto" w:fill="auto"/>
        </w:rPr>
        <w:t>进行必要的询标</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w:t>
      </w:r>
      <w:r>
        <w:rPr>
          <w:rFonts w:hint="eastAsia" w:asciiTheme="minorEastAsia" w:hAnsiTheme="minorEastAsia" w:eastAsiaTheme="minorEastAsia" w:cstheme="minorEastAsia"/>
          <w:color w:val="auto"/>
          <w:sz w:val="21"/>
          <w:szCs w:val="21"/>
          <w:highlight w:val="none"/>
          <w:shd w:val="clear" w:color="auto" w:fill="auto"/>
        </w:rPr>
        <w:t>结束后公布无效投标的投标人名单、投标无效的原因。</w:t>
      </w:r>
    </w:p>
    <w:p w14:paraId="77C3663D">
      <w:pPr>
        <w:pStyle w:val="71"/>
        <w:shd w:val="clear"/>
        <w:spacing w:before="0" w:beforeAutospacing="0" w:after="0" w:afterAutospacing="0" w:line="360" w:lineRule="auto"/>
        <w:ind w:firstLine="422"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3</w:t>
      </w:r>
      <w:r>
        <w:rPr>
          <w:rFonts w:hint="eastAsia" w:asciiTheme="minorEastAsia" w:hAnsiTheme="minorEastAsia" w:eastAsiaTheme="minorEastAsia" w:cstheme="minorEastAsia"/>
          <w:b/>
          <w:bCs/>
          <w:color w:val="auto"/>
          <w:sz w:val="21"/>
          <w:szCs w:val="21"/>
          <w:highlight w:val="none"/>
          <w:shd w:val="clear" w:color="auto" w:fill="auto"/>
        </w:rPr>
        <w:t>、综合比较与评价</w:t>
      </w:r>
    </w:p>
    <w:p w14:paraId="0D49DD09">
      <w:pPr>
        <w:pStyle w:val="71"/>
        <w:shd w:val="clear"/>
        <w:spacing w:before="0" w:beforeAutospacing="0" w:after="0" w:afterAutospacing="0" w:line="360" w:lineRule="auto"/>
        <w:ind w:firstLine="315" w:firstLineChars="15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shd w:val="clear" w:color="auto" w:fill="auto"/>
          <w:lang w:val="en-US" w:eastAsia="zh-CN"/>
        </w:rPr>
        <w:t>1</w:t>
      </w:r>
      <w:r>
        <w:rPr>
          <w:rFonts w:hint="eastAsia" w:asciiTheme="minorEastAsia" w:hAnsiTheme="minorEastAsia" w:eastAsiaTheme="minorEastAsia" w:cstheme="minorEastAsia"/>
          <w:color w:val="auto"/>
          <w:sz w:val="21"/>
          <w:szCs w:val="21"/>
          <w:highlight w:val="none"/>
          <w:shd w:val="clear" w:color="auto" w:fill="auto"/>
        </w:rPr>
        <w:t>）对于投标文件中含义不明确、同类问题表述不一致或者有明显文字和计算错误的内容，评标委员会应当要求投标人作出必要的澄清、说明或者补正</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（时间不超过30分钟）</w:t>
      </w:r>
      <w:r>
        <w:rPr>
          <w:rFonts w:hint="eastAsia" w:asciiTheme="minorEastAsia" w:hAnsiTheme="minorEastAsia" w:eastAsiaTheme="minorEastAsia" w:cstheme="minorEastAsia"/>
          <w:color w:val="auto"/>
          <w:sz w:val="21"/>
          <w:szCs w:val="21"/>
          <w:highlight w:val="none"/>
          <w:shd w:val="clear" w:color="auto" w:fill="auto"/>
        </w:rPr>
        <w:t>。</w:t>
      </w:r>
    </w:p>
    <w:p w14:paraId="28C14DB2">
      <w:pPr>
        <w:pStyle w:val="71"/>
        <w:shd w:val="clear"/>
        <w:spacing w:before="0" w:beforeAutospacing="0" w:after="0" w:afterAutospacing="0" w:line="360" w:lineRule="auto"/>
        <w:ind w:firstLine="315" w:firstLineChars="15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shd w:val="clear" w:color="auto" w:fill="auto"/>
          <w:lang w:val="en-US" w:eastAsia="zh-CN"/>
        </w:rPr>
        <w:t>2</w:t>
      </w:r>
      <w:r>
        <w:rPr>
          <w:rFonts w:hint="eastAsia" w:asciiTheme="minorEastAsia" w:hAnsiTheme="minorEastAsia" w:eastAsiaTheme="minorEastAsia" w:cstheme="minorEastAsia"/>
          <w:color w:val="auto"/>
          <w:sz w:val="21"/>
          <w:szCs w:val="21"/>
          <w:highlight w:val="none"/>
          <w:shd w:val="clear" w:color="auto" w:fill="auto"/>
        </w:rPr>
        <w:t>）评标委员会应当按照招标文件中规定的评标方法和标准，对符合性审查合格的投标文件进行评估，综合比较与评价。</w:t>
      </w:r>
    </w:p>
    <w:p w14:paraId="6E8EB563">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3</w:t>
      </w:r>
      <w:r>
        <w:rPr>
          <w:rFonts w:hint="eastAsia" w:asciiTheme="minorEastAsia" w:hAnsiTheme="minorEastAsia" w:eastAsiaTheme="minorEastAsia" w:cstheme="minorEastAsia"/>
          <w:color w:val="auto"/>
          <w:kern w:val="0"/>
          <w:sz w:val="21"/>
          <w:szCs w:val="21"/>
          <w:highlight w:val="none"/>
          <w:shd w:val="clear" w:color="auto" w:fill="auto"/>
        </w:rPr>
        <w:t>）评标时，评标委员会各成员应当独立对每个投标人的投标文件进行评价，并汇总每个投标人的得分。</w:t>
      </w:r>
    </w:p>
    <w:p w14:paraId="307E70C7">
      <w:pPr>
        <w:shd w:val="clear"/>
        <w:snapToGrid w:val="0"/>
        <w:spacing w:line="360" w:lineRule="auto"/>
        <w:ind w:firstLine="315" w:firstLineChars="150"/>
        <w:rPr>
          <w:rFonts w:hint="eastAsia" w:asciiTheme="minorEastAsia" w:hAnsiTheme="minorEastAsia" w:eastAsiaTheme="minorEastAsia" w:cstheme="minorEastAsia"/>
          <w:color w:val="auto"/>
          <w:kern w:val="0"/>
          <w:sz w:val="24"/>
          <w:szCs w:val="24"/>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4</w:t>
      </w:r>
      <w:r>
        <w:rPr>
          <w:rFonts w:hint="eastAsia" w:asciiTheme="minorEastAsia" w:hAnsiTheme="minorEastAsia" w:eastAsiaTheme="minorEastAsia" w:cstheme="minorEastAsia"/>
          <w:color w:val="auto"/>
          <w:kern w:val="0"/>
          <w:sz w:val="21"/>
          <w:szCs w:val="21"/>
          <w:highlight w:val="none"/>
          <w:shd w:val="clear" w:color="auto" w:fill="auto"/>
        </w:rPr>
        <w:t>）评标委员会将根据投标人的投标文件进行审查、核对,如有疑问,将对投标人进行询标,投标人要向评标委员会澄清</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或说明</w:t>
      </w:r>
      <w:r>
        <w:rPr>
          <w:rFonts w:hint="eastAsia" w:asciiTheme="minorEastAsia" w:hAnsiTheme="minorEastAsia" w:eastAsiaTheme="minorEastAsia" w:cstheme="minorEastAsia"/>
          <w:color w:val="auto"/>
          <w:kern w:val="0"/>
          <w:sz w:val="21"/>
          <w:szCs w:val="21"/>
          <w:highlight w:val="none"/>
          <w:shd w:val="clear" w:color="auto" w:fill="auto"/>
        </w:rPr>
        <w:t>有关问题,并最终以书面形式进行答复</w:t>
      </w:r>
      <w:r>
        <w:rPr>
          <w:rFonts w:hint="eastAsia" w:asciiTheme="minorEastAsia" w:hAnsiTheme="minorEastAsia" w:eastAsiaTheme="minorEastAsia" w:cstheme="minorEastAsia"/>
          <w:b/>
          <w:bCs/>
          <w:color w:val="auto"/>
          <w:szCs w:val="21"/>
          <w:highlight w:val="none"/>
          <w:lang w:val="en-US" w:eastAsia="zh-CN"/>
        </w:rPr>
        <w:t>(授权的代表或法定代表人所留联系方式在30分钟内无法联系上的，可视作拒绝或放弃澄清或说明)</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14:paraId="69E6ADA7">
      <w:pPr>
        <w:numPr>
          <w:ilvl w:val="0"/>
          <w:numId w:val="0"/>
        </w:numPr>
        <w:shd w:val="clea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shd w:val="clear" w:color="auto" w:fill="auto"/>
          <w:lang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4、</w:t>
      </w:r>
      <w:r>
        <w:rPr>
          <w:rFonts w:hint="eastAsia" w:asciiTheme="minorEastAsia" w:hAnsiTheme="minorEastAsia" w:eastAsiaTheme="minorEastAsia" w:cstheme="minorEastAsia"/>
          <w:b/>
          <w:bCs/>
          <w:color w:val="auto"/>
          <w:sz w:val="21"/>
          <w:szCs w:val="21"/>
          <w:highlight w:val="none"/>
          <w:shd w:val="clear" w:color="auto" w:fill="auto"/>
          <w:lang w:eastAsia="zh-CN"/>
        </w:rPr>
        <w:t>得分确认及评审报告编写</w:t>
      </w:r>
    </w:p>
    <w:p w14:paraId="536242B9">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1</w:t>
      </w: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eastAsia="zh-CN"/>
        </w:rPr>
        <w:t>评标委员会对</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投标</w:t>
      </w:r>
      <w:r>
        <w:rPr>
          <w:rFonts w:hint="eastAsia" w:asciiTheme="minorEastAsia" w:hAnsiTheme="minorEastAsia" w:eastAsiaTheme="minorEastAsia" w:cstheme="minorEastAsia"/>
          <w:color w:val="auto"/>
          <w:kern w:val="0"/>
          <w:sz w:val="21"/>
          <w:szCs w:val="21"/>
          <w:highlight w:val="none"/>
          <w:shd w:val="clear" w:color="auto" w:fill="auto"/>
          <w:lang w:eastAsia="zh-CN"/>
        </w:rPr>
        <w:t>文件进行复核，对</w:t>
      </w:r>
      <w:r>
        <w:rPr>
          <w:rFonts w:hint="eastAsia" w:asciiTheme="minorEastAsia" w:hAnsiTheme="minorEastAsia" w:eastAsiaTheme="minorEastAsia" w:cstheme="minorEastAsia"/>
          <w:color w:val="auto"/>
          <w:kern w:val="0"/>
          <w:sz w:val="21"/>
          <w:szCs w:val="21"/>
          <w:highlight w:val="none"/>
          <w:shd w:val="clear" w:color="auto" w:fill="auto"/>
        </w:rPr>
        <w:t>总得分</w:t>
      </w:r>
      <w:r>
        <w:rPr>
          <w:rFonts w:hint="eastAsia" w:asciiTheme="minorEastAsia" w:hAnsiTheme="minorEastAsia" w:eastAsiaTheme="minorEastAsia" w:cstheme="minorEastAsia"/>
          <w:color w:val="auto"/>
          <w:kern w:val="0"/>
          <w:sz w:val="21"/>
          <w:szCs w:val="21"/>
          <w:highlight w:val="none"/>
          <w:shd w:val="clear" w:color="auto" w:fill="auto"/>
          <w:lang w:eastAsia="zh-CN"/>
        </w:rPr>
        <w:t>进行确认</w:t>
      </w:r>
      <w:r>
        <w:rPr>
          <w:rFonts w:hint="eastAsia" w:asciiTheme="minorEastAsia" w:hAnsiTheme="minorEastAsia" w:eastAsiaTheme="minorEastAsia" w:cstheme="minorEastAsia"/>
          <w:color w:val="auto"/>
          <w:kern w:val="0"/>
          <w:sz w:val="21"/>
          <w:szCs w:val="21"/>
          <w:highlight w:val="none"/>
          <w:shd w:val="clear" w:color="auto" w:fill="auto"/>
        </w:rPr>
        <w:t>；</w:t>
      </w:r>
    </w:p>
    <w:p w14:paraId="17B8E28E">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2</w:t>
      </w:r>
      <w:r>
        <w:rPr>
          <w:rFonts w:hint="eastAsia" w:asciiTheme="minorEastAsia" w:hAnsiTheme="minorEastAsia" w:eastAsiaTheme="minorEastAsia" w:cstheme="minorEastAsia"/>
          <w:color w:val="auto"/>
          <w:kern w:val="0"/>
          <w:sz w:val="21"/>
          <w:szCs w:val="21"/>
          <w:highlight w:val="none"/>
          <w:shd w:val="clear" w:color="auto" w:fill="auto"/>
        </w:rPr>
        <w:t>）评标委员会应当按照招标文件中规定的评标方法和标准，对符合性审查合格的投标文件进行评估，综合比较与评价</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14:paraId="60CAF284">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3</w:t>
      </w:r>
      <w:r>
        <w:rPr>
          <w:rFonts w:hint="eastAsia" w:asciiTheme="minorEastAsia" w:hAnsiTheme="minorEastAsia" w:eastAsiaTheme="minorEastAsia" w:cstheme="minorEastAsia"/>
          <w:color w:val="auto"/>
          <w:kern w:val="0"/>
          <w:sz w:val="21"/>
          <w:szCs w:val="21"/>
          <w:highlight w:val="none"/>
          <w:shd w:val="clear" w:color="auto" w:fill="auto"/>
        </w:rPr>
        <w:t>）评标委员会按评标原则</w:t>
      </w:r>
      <w:r>
        <w:rPr>
          <w:rFonts w:hint="eastAsia" w:asciiTheme="minorEastAsia" w:hAnsiTheme="minorEastAsia" w:eastAsiaTheme="minorEastAsia" w:cstheme="minorEastAsia"/>
          <w:color w:val="auto"/>
          <w:kern w:val="0"/>
          <w:sz w:val="21"/>
          <w:szCs w:val="21"/>
          <w:highlight w:val="none"/>
          <w:shd w:val="clear" w:color="auto" w:fill="auto"/>
          <w:lang w:eastAsia="zh-CN"/>
        </w:rPr>
        <w:t>及得分情况</w:t>
      </w:r>
      <w:r>
        <w:rPr>
          <w:rFonts w:hint="eastAsia" w:asciiTheme="minorEastAsia" w:hAnsiTheme="minorEastAsia" w:eastAsiaTheme="minorEastAsia" w:cstheme="minorEastAsia"/>
          <w:color w:val="auto"/>
          <w:kern w:val="0"/>
          <w:sz w:val="21"/>
          <w:szCs w:val="21"/>
          <w:highlight w:val="none"/>
          <w:shd w:val="clear" w:color="auto" w:fill="auto"/>
        </w:rPr>
        <w:t>编写评审报告</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14:paraId="52EE8723">
      <w:pPr>
        <w:numPr>
          <w:ilvl w:val="0"/>
          <w:numId w:val="0"/>
        </w:numPr>
        <w:shd w:val="clea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shd w:val="clear" w:color="auto" w:fill="auto"/>
          <w:lang w:eastAsia="zh-CN"/>
        </w:rPr>
      </w:pPr>
      <w:r>
        <w:rPr>
          <w:rFonts w:hint="eastAsia" w:asciiTheme="minorEastAsia" w:hAnsiTheme="minorEastAsia" w:eastAsiaTheme="minorEastAsia" w:cstheme="minorEastAsia"/>
          <w:b/>
          <w:bCs/>
          <w:color w:val="auto"/>
          <w:sz w:val="21"/>
          <w:szCs w:val="21"/>
          <w:highlight w:val="none"/>
          <w:shd w:val="clear" w:color="auto" w:fill="auto"/>
          <w:lang w:eastAsia="zh-CN"/>
        </w:rPr>
        <w:t>5、评价</w:t>
      </w:r>
    </w:p>
    <w:p w14:paraId="3E660851">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采购组织机构对评标委员会评审专家进行评价。</w:t>
      </w:r>
    </w:p>
    <w:p w14:paraId="02E9A352">
      <w:pPr>
        <w:shd w:val="clea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（三）澄清问题的形式</w:t>
      </w:r>
    </w:p>
    <w:p w14:paraId="5EBF7C53">
      <w:pPr>
        <w:shd w:val="clea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投标人的澄清、说明或者补正应当采用书面形式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授权的代表或法定代表人必须在开评标期间保持电话及网络畅通，评标委员会要求供应商进行澄清或说明时，供应商委托代理人或法定代表人所留联系方式在30分钟内无法联系上的，可视作拒绝或放弃澄清或说明</w:t>
      </w:r>
      <w:r>
        <w:rPr>
          <w:rFonts w:hint="eastAsia" w:asciiTheme="minorEastAsia" w:hAnsiTheme="minorEastAsia" w:eastAsiaTheme="minorEastAsia" w:cstheme="minorEastAsia"/>
          <w:color w:val="auto"/>
          <w:sz w:val="21"/>
          <w:szCs w:val="21"/>
          <w:highlight w:val="none"/>
          <w:lang w:val="en-US" w:eastAsia="zh-CN"/>
        </w:rPr>
        <w:t>），加盖公章</w:t>
      </w:r>
      <w:r>
        <w:rPr>
          <w:rFonts w:hint="eastAsia" w:asciiTheme="minorEastAsia" w:hAnsiTheme="minorEastAsia" w:eastAsiaTheme="minorEastAsia" w:cstheme="minorEastAsia"/>
          <w:color w:val="auto"/>
          <w:sz w:val="21"/>
          <w:szCs w:val="21"/>
          <w:highlight w:val="none"/>
        </w:rPr>
        <w:t>或者由法定代理人或其授权的代表</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，并不得超出投标文件的范围或者改变投标文件的实质性内容</w:t>
      </w:r>
      <w:r>
        <w:rPr>
          <w:rFonts w:hint="eastAsia" w:asciiTheme="minorEastAsia" w:hAnsiTheme="minorEastAsia" w:eastAsiaTheme="minorEastAsia" w:cstheme="minorEastAsia"/>
          <w:color w:val="auto"/>
          <w:sz w:val="21"/>
          <w:szCs w:val="21"/>
          <w:highlight w:val="none"/>
          <w:lang w:eastAsia="zh-CN"/>
        </w:rPr>
        <w:t>。</w:t>
      </w:r>
    </w:p>
    <w:p w14:paraId="631F88F3">
      <w:pPr>
        <w:pStyle w:val="39"/>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（四）错误修正</w:t>
      </w:r>
    </w:p>
    <w:p w14:paraId="3718214E">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投标文件报价出现前后不一致的，除招标文件另有规定外，按照下列规定修正：</w:t>
      </w:r>
    </w:p>
    <w:p w14:paraId="1095C495">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1、“政府采购云平台”上开启的投标报价与电子投标文件中开标一览表（报价表）内容不一致的，以电子投标文件中开标一览表（报价表）为准；</w:t>
      </w:r>
    </w:p>
    <w:p w14:paraId="5DF3ECE9">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2、大写金额和小写金额不一致的，以大写金额为准；</w:t>
      </w:r>
    </w:p>
    <w:p w14:paraId="77CB513C">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3、单价金额小数点或者百分比有明显错位的，以开标一览表的总价为准，并修改单价；</w:t>
      </w:r>
    </w:p>
    <w:p w14:paraId="79106CC8">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4、总价金额与按单价汇总金额不一致的，以单价金额计算结果为准。</w:t>
      </w:r>
    </w:p>
    <w:p w14:paraId="36461F0A">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同时出现两种以上不一致的，按照前款规定的顺序修正。修正后的报价经投标人确认后产生约束力，投标人不确认的，其投标无效。</w:t>
      </w:r>
    </w:p>
    <w:p w14:paraId="63D4391F">
      <w:pPr>
        <w:pStyle w:val="71"/>
        <w:shd w:val="clear"/>
        <w:spacing w:before="0" w:beforeAutospacing="0" w:after="0" w:afterAutospacing="0" w:line="360" w:lineRule="auto"/>
        <w:ind w:firstLine="316" w:firstLineChars="15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（五）</w:t>
      </w:r>
      <w:r>
        <w:rPr>
          <w:rFonts w:hint="eastAsia" w:asciiTheme="minorEastAsia" w:hAnsiTheme="minorEastAsia" w:eastAsiaTheme="minorEastAsia" w:cstheme="minorEastAsia"/>
          <w:b/>
          <w:color w:val="auto"/>
          <w:sz w:val="21"/>
          <w:szCs w:val="21"/>
          <w:highlight w:val="none"/>
        </w:rPr>
        <w:t>投标人存在下列情况之一的，投标无效</w:t>
      </w:r>
    </w:p>
    <w:p w14:paraId="4F4A20F6">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投标文件在指定页面无法定代表人盖章或签字、未在指定页面盖公章、在指定页面无被授权人签字、未提供法定代表人授权委托书、未提供投标函或者投标函格式不符合招标文件要求或填写项目不齐全的。</w:t>
      </w:r>
    </w:p>
    <w:p w14:paraId="36660055">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资格证明文件</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商务与技术文件</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报价文件出现混装</w:t>
      </w:r>
      <w:r>
        <w:rPr>
          <w:rFonts w:hint="eastAsia" w:asciiTheme="minorEastAsia" w:hAnsiTheme="minorEastAsia" w:eastAsiaTheme="minorEastAsia" w:cstheme="minorEastAsia"/>
          <w:color w:val="auto"/>
          <w:kern w:val="0"/>
          <w:sz w:val="21"/>
          <w:szCs w:val="21"/>
          <w:highlight w:val="none"/>
          <w:lang w:val="en-US" w:eastAsia="zh-CN"/>
        </w:rPr>
        <w:t>的</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在资格证明文件或商务与技术文件中出现投标报价的，或者报价文件</w:t>
      </w:r>
      <w:r>
        <w:rPr>
          <w:rFonts w:hint="eastAsia" w:asciiTheme="minorEastAsia" w:hAnsiTheme="minorEastAsia" w:eastAsiaTheme="minorEastAsia" w:cstheme="minorEastAsia"/>
          <w:color w:val="auto"/>
          <w:kern w:val="0"/>
          <w:sz w:val="21"/>
          <w:szCs w:val="21"/>
          <w:highlight w:val="none"/>
          <w:lang w:val="en-US" w:eastAsia="zh-CN"/>
        </w:rPr>
        <w:t>报价</w:t>
      </w:r>
      <w:r>
        <w:rPr>
          <w:rFonts w:hint="eastAsia" w:asciiTheme="minorEastAsia" w:hAnsiTheme="minorEastAsia" w:eastAsiaTheme="minorEastAsia" w:cstheme="minorEastAsia"/>
          <w:color w:val="auto"/>
          <w:kern w:val="0"/>
          <w:sz w:val="21"/>
          <w:szCs w:val="21"/>
          <w:highlight w:val="none"/>
        </w:rPr>
        <w:t>中出现重大偏差的；</w:t>
      </w:r>
    </w:p>
    <w:p w14:paraId="0005FE15">
      <w:pPr>
        <w:pStyle w:val="71"/>
        <w:keepNext w:val="0"/>
        <w:keepLines w:val="0"/>
        <w:pageBreakBefore w:val="0"/>
        <w:shd w:val="clear"/>
        <w:tabs>
          <w:tab w:val="left" w:pos="7380"/>
        </w:tabs>
        <w:kinsoku/>
        <w:wordWrap/>
        <w:overflowPunct/>
        <w:topLinePunct w:val="0"/>
        <w:bidi w:val="0"/>
        <w:adjustRightInd w:val="0"/>
        <w:snapToGrid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、不具备招标文件中规定的资格要求的。</w:t>
      </w:r>
      <w:r>
        <w:rPr>
          <w:rFonts w:hint="eastAsia" w:asciiTheme="minorEastAsia" w:hAnsiTheme="minorEastAsia" w:eastAsiaTheme="minorEastAsia" w:cstheme="minorEastAsia"/>
          <w:color w:val="auto"/>
          <w:sz w:val="21"/>
          <w:szCs w:val="21"/>
          <w:highlight w:val="none"/>
        </w:rPr>
        <w:tab/>
      </w:r>
    </w:p>
    <w:p w14:paraId="339756B2">
      <w:pPr>
        <w:pStyle w:val="71"/>
        <w:keepNext w:val="0"/>
        <w:keepLines w:val="0"/>
        <w:pageBreakBefore w:val="0"/>
        <w:shd w:val="clear"/>
        <w:kinsoku/>
        <w:wordWrap/>
        <w:overflowPunct/>
        <w:topLinePunct w:val="0"/>
        <w:bidi w:val="0"/>
        <w:adjustRightInd w:val="0"/>
        <w:snapToGrid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、投标文件含有采购人不能接受的附加条件的。</w:t>
      </w:r>
    </w:p>
    <w:p w14:paraId="67101DEA">
      <w:pPr>
        <w:keepNext w:val="0"/>
        <w:keepLines w:val="0"/>
        <w:pageBreakBefore w:val="0"/>
        <w:shd w:val="clear"/>
        <w:kinsoku/>
        <w:wordWrap/>
        <w:overflowPunct/>
        <w:topLinePunct w:val="0"/>
        <w:bidi w:val="0"/>
        <w:adjustRightInd w:val="0"/>
        <w:snapToGrid w:val="0"/>
        <w:spacing w:line="312" w:lineRule="auto"/>
        <w:ind w:firstLine="411" w:firstLineChars="196"/>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投标人没有提供合法、有效的“授权委托书”或“法定代表人身份证明书”</w:t>
      </w:r>
      <w:r>
        <w:rPr>
          <w:rFonts w:hint="eastAsia" w:asciiTheme="minorEastAsia" w:hAnsiTheme="minorEastAsia" w:eastAsia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sz w:val="21"/>
          <w:szCs w:val="21"/>
          <w:highlight w:val="none"/>
        </w:rPr>
        <w:t>；</w:t>
      </w:r>
    </w:p>
    <w:p w14:paraId="1D7BE7BC">
      <w:pPr>
        <w:pStyle w:val="71"/>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、评标委员会认为投标人的报价明显低于其他通过符合性审查投标人的报价，有可能影响</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或者不能诚信履约的，应当要求其在评标现场合理的时间内提供书面说明</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（时间不超过30分钟）</w:t>
      </w:r>
      <w:r>
        <w:rPr>
          <w:rFonts w:hint="eastAsia" w:asciiTheme="minorEastAsia" w:hAnsiTheme="minorEastAsia" w:eastAsiaTheme="minorEastAsia" w:cstheme="minorEastAsia"/>
          <w:color w:val="auto"/>
          <w:sz w:val="21"/>
          <w:szCs w:val="21"/>
          <w:highlight w:val="none"/>
        </w:rPr>
        <w:t>，必要时提交相关证明材料；投标人不能证明其报价合理性的，评标委员会应当将其作为无效投标处理。</w:t>
      </w:r>
    </w:p>
    <w:p w14:paraId="35AF2D46">
      <w:pPr>
        <w:pStyle w:val="71"/>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、投标人的电子投标文件无法按时解密且本项目未达到启动备份文件条件的</w:t>
      </w:r>
      <w:r>
        <w:rPr>
          <w:rFonts w:hint="eastAsia" w:asciiTheme="minorEastAsia" w:hAnsiTheme="minorEastAsia" w:eastAsiaTheme="minorEastAsia" w:cstheme="minorEastAsia"/>
          <w:color w:val="auto"/>
          <w:sz w:val="21"/>
          <w:szCs w:val="21"/>
          <w:highlight w:val="none"/>
          <w:lang w:eastAsia="zh-CN"/>
        </w:rPr>
        <w:t>；</w:t>
      </w:r>
    </w:p>
    <w:p w14:paraId="135A3837">
      <w:pPr>
        <w:pStyle w:val="71"/>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、电子投标文件解密失败的，且未在规定时间内提交备份投标文件的；</w:t>
      </w:r>
    </w:p>
    <w:p w14:paraId="4FA10D0E">
      <w:pPr>
        <w:pStyle w:val="71"/>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、电子投标文件未按规定要求提供电子签章的；</w:t>
      </w:r>
    </w:p>
    <w:p w14:paraId="3603B84F">
      <w:pPr>
        <w:pStyle w:val="71"/>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投标文件提供虚假材料的。</w:t>
      </w:r>
    </w:p>
    <w:p w14:paraId="6855FAC9">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投标文件的实质性内容未使用中文表述或者使用计量单位不符合招标文件要求的</w:t>
      </w:r>
      <w:r>
        <w:rPr>
          <w:rFonts w:hint="eastAsia" w:asciiTheme="minorEastAsia" w:hAnsiTheme="minorEastAsia" w:eastAsiaTheme="minorEastAsia" w:cstheme="minorEastAsia"/>
          <w:color w:val="auto"/>
          <w:kern w:val="0"/>
          <w:sz w:val="21"/>
          <w:szCs w:val="21"/>
          <w:highlight w:val="none"/>
          <w:lang w:eastAsia="zh-CN"/>
        </w:rPr>
        <w:t>。</w:t>
      </w:r>
    </w:p>
    <w:p w14:paraId="54EA04D8">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12、服务期限</w:t>
      </w:r>
      <w:r>
        <w:rPr>
          <w:rFonts w:hint="eastAsia" w:asciiTheme="minorEastAsia" w:hAnsiTheme="minorEastAsia" w:eastAsiaTheme="minorEastAsia" w:cstheme="minorEastAsia"/>
          <w:color w:val="auto"/>
          <w:kern w:val="0"/>
          <w:sz w:val="21"/>
          <w:szCs w:val="21"/>
          <w:highlight w:val="none"/>
        </w:rPr>
        <w:t>等条款</w:t>
      </w:r>
      <w:r>
        <w:rPr>
          <w:rFonts w:hint="eastAsia" w:asciiTheme="minorEastAsia" w:hAnsiTheme="minorEastAsia" w:eastAsiaTheme="minorEastAsia" w:cstheme="minorEastAsia"/>
          <w:color w:val="auto"/>
          <w:sz w:val="21"/>
          <w:szCs w:val="21"/>
          <w:highlight w:val="none"/>
        </w:rPr>
        <w:t>不能满足招标文件要求的</w:t>
      </w:r>
      <w:r>
        <w:rPr>
          <w:rFonts w:hint="eastAsia" w:asciiTheme="minorEastAsia" w:hAnsiTheme="minorEastAsia" w:eastAsiaTheme="minorEastAsia" w:cstheme="minorEastAsia"/>
          <w:color w:val="auto"/>
          <w:sz w:val="21"/>
          <w:szCs w:val="21"/>
          <w:highlight w:val="none"/>
          <w:lang w:eastAsia="zh-CN"/>
        </w:rPr>
        <w:t>。</w:t>
      </w:r>
    </w:p>
    <w:p w14:paraId="56764359">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rPr>
        <w:t>提交两份或多份内容不同的投标文件的</w:t>
      </w:r>
      <w:r>
        <w:rPr>
          <w:rFonts w:hint="eastAsia" w:asciiTheme="minorEastAsia" w:hAnsiTheme="minorEastAsia" w:eastAsiaTheme="minorEastAsia" w:cstheme="minorEastAsia"/>
          <w:color w:val="auto"/>
          <w:sz w:val="21"/>
          <w:szCs w:val="21"/>
          <w:highlight w:val="none"/>
          <w:lang w:eastAsia="zh-CN"/>
        </w:rPr>
        <w:t>。</w:t>
      </w:r>
    </w:p>
    <w:p w14:paraId="4475E684">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14、招标文件确定规定做无效标的；</w:t>
      </w:r>
    </w:p>
    <w:p w14:paraId="4EB33162">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15、投标文件存在重大偏差，被评标委员会确定无效的；</w:t>
      </w:r>
    </w:p>
    <w:p w14:paraId="603E0761">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rPr>
        <w:t>投标文件标明的响应或偏离与事实不符或虚假投标的；</w:t>
      </w:r>
    </w:p>
    <w:p w14:paraId="584F8FDE">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rPr>
        <w:t>明显不符合招标文件要求，或者</w:t>
      </w:r>
      <w:r>
        <w:rPr>
          <w:rFonts w:hint="eastAsia" w:asciiTheme="minorEastAsia" w:hAnsiTheme="minorEastAsia" w:eastAsiaTheme="minorEastAsia" w:cstheme="minorEastAsia"/>
          <w:color w:val="auto"/>
          <w:sz w:val="21"/>
          <w:szCs w:val="21"/>
          <w:highlight w:val="none"/>
          <w:lang w:val="zh-CN"/>
        </w:rPr>
        <w:t>未响应招标文件标注“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”的实质性要求的</w:t>
      </w:r>
      <w:r>
        <w:rPr>
          <w:rFonts w:hint="eastAsia" w:asciiTheme="minorEastAsia" w:hAnsiTheme="minorEastAsia" w:eastAsiaTheme="minorEastAsia" w:cstheme="minorEastAsia"/>
          <w:color w:val="auto"/>
          <w:sz w:val="21"/>
          <w:szCs w:val="21"/>
          <w:highlight w:val="none"/>
        </w:rPr>
        <w:t>；</w:t>
      </w:r>
    </w:p>
    <w:p w14:paraId="693A12D2">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存在一个或一个以上备选（替代）</w:t>
      </w:r>
      <w:r>
        <w:rPr>
          <w:rFonts w:hint="eastAsia" w:asciiTheme="minorEastAsia" w:hAnsiTheme="minorEastAsia" w:eastAsiaTheme="minorEastAsia" w:cstheme="minorEastAsia"/>
          <w:color w:val="auto"/>
          <w:sz w:val="21"/>
          <w:szCs w:val="21"/>
          <w:highlight w:val="none"/>
          <w:lang w:val="en-US" w:eastAsia="zh-CN"/>
        </w:rPr>
        <w:t>商务与技术文件</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eastAsia="zh-CN"/>
        </w:rPr>
        <w:t>；</w:t>
      </w:r>
    </w:p>
    <w:p w14:paraId="77A67856">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b/>
          <w:bCs/>
          <w:color w:val="auto"/>
          <w:sz w:val="21"/>
          <w:szCs w:val="21"/>
          <w:highlight w:val="none"/>
        </w:rPr>
        <w:t>在报价评审时，如发现下列情形之一的，投标文件将被视为无效：</w:t>
      </w:r>
    </w:p>
    <w:p w14:paraId="29AD5E24">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（1）未采用人民币报价的；</w:t>
      </w:r>
    </w:p>
    <w:p w14:paraId="6AB4AE7B">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（2）报价</w:t>
      </w:r>
      <w:r>
        <w:rPr>
          <w:rFonts w:hint="eastAsia" w:asciiTheme="minorEastAsia" w:hAnsiTheme="minorEastAsia" w:eastAsiaTheme="minorEastAsia" w:cstheme="minorEastAsia"/>
          <w:color w:val="auto"/>
          <w:sz w:val="21"/>
          <w:szCs w:val="21"/>
          <w:highlight w:val="none"/>
          <w:lang w:val="en-US" w:eastAsia="zh-CN"/>
        </w:rPr>
        <w:t>不符合招标文件要求的</w:t>
      </w:r>
      <w:r>
        <w:rPr>
          <w:rFonts w:hint="eastAsia" w:asciiTheme="minorEastAsia" w:hAnsiTheme="minorEastAsia" w:eastAsiaTheme="minorEastAsia" w:cstheme="minorEastAsia"/>
          <w:color w:val="auto"/>
          <w:sz w:val="21"/>
          <w:szCs w:val="21"/>
          <w:highlight w:val="none"/>
        </w:rPr>
        <w:t>；</w:t>
      </w:r>
    </w:p>
    <w:p w14:paraId="175CA3FE">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（3）投标报价具有多个报价或有选择性的。</w:t>
      </w:r>
    </w:p>
    <w:p w14:paraId="23AA5202">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不符合中华人民共和国财政部令第87号《政府采购货物和服务招标投标管理办法》第三十七条情形之一的，视为投标人串通投标，其投标无效，并移送</w:t>
      </w:r>
      <w:r>
        <w:rPr>
          <w:rFonts w:hint="eastAsia" w:asciiTheme="minorEastAsia" w:hAnsiTheme="minorEastAsia" w:eastAsiaTheme="minorEastAsia" w:cstheme="minorEastAsia"/>
          <w:color w:val="auto"/>
          <w:kern w:val="0"/>
          <w:sz w:val="21"/>
          <w:szCs w:val="21"/>
          <w:highlight w:val="none"/>
          <w:lang w:val="en-US" w:eastAsia="zh-CN"/>
        </w:rPr>
        <w:t>相关</w:t>
      </w:r>
      <w:r>
        <w:rPr>
          <w:rFonts w:hint="eastAsia" w:asciiTheme="minorEastAsia" w:hAnsiTheme="minorEastAsia" w:eastAsiaTheme="minorEastAsia" w:cstheme="minorEastAsia"/>
          <w:color w:val="auto"/>
          <w:kern w:val="0"/>
          <w:sz w:val="21"/>
          <w:szCs w:val="21"/>
          <w:highlight w:val="none"/>
        </w:rPr>
        <w:t>监管部门：</w:t>
      </w:r>
    </w:p>
    <w:p w14:paraId="7D6EA5F1">
      <w:pPr>
        <w:pStyle w:val="71"/>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（1）不同投标人的投标文件由同一单位或者个人编制；</w:t>
      </w:r>
    </w:p>
    <w:p w14:paraId="5195B8E8">
      <w:pPr>
        <w:pStyle w:val="71"/>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（2）不同投标人委托同一单位或者个人办理投标事宜；</w:t>
      </w:r>
    </w:p>
    <w:p w14:paraId="3B455CD5">
      <w:pPr>
        <w:pStyle w:val="71"/>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（3）不同投标人的投标文件载明的项目管理成员或者联系人员为同一人；</w:t>
      </w:r>
    </w:p>
    <w:p w14:paraId="5922E118">
      <w:pPr>
        <w:pStyle w:val="71"/>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（4）不同投标人的投标文件异常一致或者投标报价呈规律性差异；</w:t>
      </w:r>
    </w:p>
    <w:p w14:paraId="78A9E9EB">
      <w:pPr>
        <w:pStyle w:val="71"/>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（5）不同投标人的投标文件相互混装。</w:t>
      </w:r>
    </w:p>
    <w:p w14:paraId="38C938ED">
      <w:pPr>
        <w:pStyle w:val="71"/>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21</w:t>
      </w:r>
      <w:r>
        <w:rPr>
          <w:rFonts w:hint="eastAsia" w:asciiTheme="minorEastAsia" w:hAnsiTheme="minorEastAsia" w:eastAsiaTheme="minorEastAsia" w:cstheme="minorEastAsia"/>
          <w:color w:val="auto"/>
          <w:kern w:val="0"/>
          <w:sz w:val="21"/>
          <w:szCs w:val="21"/>
          <w:highlight w:val="none"/>
        </w:rPr>
        <w:t>、不符合法律、法规和招标文件中规定的其他实质性要求的（招标文件中打“▲”内容及被拒绝的条款）。</w:t>
      </w:r>
      <w:r>
        <w:rPr>
          <w:rFonts w:hint="eastAsia" w:asciiTheme="minorEastAsia" w:hAnsiTheme="minorEastAsia" w:eastAsiaTheme="minorEastAsia" w:cstheme="minorEastAsia"/>
          <w:color w:val="auto"/>
          <w:sz w:val="21"/>
          <w:szCs w:val="21"/>
          <w:highlight w:val="none"/>
        </w:rPr>
        <w:t>实质上没有响应招标文件要求的投标将被视为无效投标。投标人不得通过修正</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澄清</w:t>
      </w:r>
      <w:r>
        <w:rPr>
          <w:rFonts w:hint="eastAsia" w:asciiTheme="minorEastAsia" w:hAnsiTheme="minorEastAsia" w:eastAsiaTheme="minorEastAsia" w:cstheme="minorEastAsia"/>
          <w:color w:val="auto"/>
          <w:sz w:val="21"/>
          <w:szCs w:val="21"/>
          <w:highlight w:val="none"/>
        </w:rPr>
        <w:t>或撤消不合要求的偏离或保留从而使其投标成为实质上响应的投标</w:t>
      </w:r>
      <w:r>
        <w:rPr>
          <w:rFonts w:hint="eastAsia" w:asciiTheme="minorEastAsia" w:hAnsiTheme="minorEastAsia" w:eastAsiaTheme="minorEastAsia" w:cstheme="minorEastAsia"/>
          <w:color w:val="auto"/>
          <w:sz w:val="21"/>
          <w:szCs w:val="21"/>
          <w:highlight w:val="none"/>
          <w:lang w:eastAsia="zh-CN"/>
        </w:rPr>
        <w:t>。</w:t>
      </w:r>
    </w:p>
    <w:p w14:paraId="6279116E">
      <w:pPr>
        <w:shd w:val="clear"/>
        <w:autoSpaceDE w:val="0"/>
        <w:autoSpaceDN w:val="0"/>
        <w:adjustRightInd w:val="0"/>
        <w:spacing w:line="360" w:lineRule="auto"/>
        <w:ind w:left="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（六）有下列情况之一的，本次招标作为废标处理</w:t>
      </w:r>
    </w:p>
    <w:p w14:paraId="0B5A67D9">
      <w:pPr>
        <w:pStyle w:val="71"/>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1、出现影响采购公正的违法、违规行为的；</w:t>
      </w:r>
    </w:p>
    <w:p w14:paraId="6AA56032">
      <w:pPr>
        <w:pStyle w:val="71"/>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2、评标委员会发现招标文件存在歧义、重大缺陷导致评标工作无法进行，或者招标文件内容违反国家有关强制性规定的； </w:t>
      </w:r>
    </w:p>
    <w:p w14:paraId="19F738C2">
      <w:pPr>
        <w:pStyle w:val="71"/>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3、因重大变故，采购任务取消的；</w:t>
      </w:r>
    </w:p>
    <w:p w14:paraId="07F2841F">
      <w:pPr>
        <w:pStyle w:val="71"/>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4、法律、法规和招标文件规定的其他导致评标结果无效的</w:t>
      </w:r>
      <w:r>
        <w:rPr>
          <w:rFonts w:hint="eastAsia" w:asciiTheme="minorEastAsia" w:hAnsiTheme="minorEastAsia" w:eastAsiaTheme="minorEastAsia" w:cstheme="minorEastAsia"/>
          <w:color w:val="auto"/>
          <w:kern w:val="0"/>
          <w:sz w:val="21"/>
          <w:szCs w:val="21"/>
          <w:highlight w:val="none"/>
          <w:lang w:eastAsia="zh-CN"/>
        </w:rPr>
        <w:t>；</w:t>
      </w:r>
    </w:p>
    <w:p w14:paraId="42A79EA5">
      <w:pPr>
        <w:pStyle w:val="71"/>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5、有效投标人少于三家的。</w:t>
      </w:r>
    </w:p>
    <w:p w14:paraId="58C10FE1">
      <w:pPr>
        <w:pStyle w:val="39"/>
        <w:shd w:val="clear"/>
        <w:tabs>
          <w:tab w:val="left" w:pos="630"/>
        </w:tabs>
        <w:snapToGrid w:val="0"/>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（七）评标原则和评标办法</w:t>
      </w:r>
    </w:p>
    <w:p w14:paraId="64DB0DE0">
      <w:pPr>
        <w:pStyle w:val="71"/>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16B7937">
      <w:pPr>
        <w:pStyle w:val="71"/>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2、评标办法。具体评标内容及评分标准等详见《评标方法及评分标准》。</w:t>
      </w:r>
    </w:p>
    <w:p w14:paraId="773CB4C5">
      <w:pPr>
        <w:pStyle w:val="39"/>
        <w:shd w:val="clear"/>
        <w:snapToGrid w:val="0"/>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（八）评标过程的监控</w:t>
      </w:r>
    </w:p>
    <w:p w14:paraId="1E6C3CB9">
      <w:pPr>
        <w:pStyle w:val="71"/>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31E1649A">
      <w:pPr>
        <w:pStyle w:val="71"/>
        <w:shd w:val="clear"/>
        <w:spacing w:before="0" w:beforeAutospacing="0" w:after="0" w:afterAutospacing="0" w:line="360" w:lineRule="auto"/>
        <w:ind w:firstLine="316" w:firstLineChars="15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七、定标</w:t>
      </w:r>
    </w:p>
    <w:p w14:paraId="0280ACE0">
      <w:pPr>
        <w:pStyle w:val="71"/>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1、确定中标供应商。评标委员会根据采购单位的</w:t>
      </w:r>
      <w:r>
        <w:rPr>
          <w:rFonts w:hint="eastAsia" w:asciiTheme="minorEastAsia" w:hAnsiTheme="minorEastAsia" w:eastAsiaTheme="minorEastAsia" w:cstheme="minorEastAsia"/>
          <w:color w:val="auto"/>
          <w:sz w:val="21"/>
          <w:szCs w:val="21"/>
          <w:highlight w:val="none"/>
          <w:lang w:eastAsia="zh-CN"/>
        </w:rPr>
        <w:t>《授权意见确认书》</w:t>
      </w:r>
      <w:r>
        <w:rPr>
          <w:rFonts w:hint="eastAsia" w:asciiTheme="minorEastAsia" w:hAnsiTheme="minorEastAsia" w:eastAsiaTheme="minorEastAsia" w:cstheme="minorEastAsia"/>
          <w:color w:val="auto"/>
          <w:sz w:val="21"/>
          <w:szCs w:val="21"/>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602888F5">
      <w:pPr>
        <w:shd w:val="clea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kern w:val="0"/>
          <w:sz w:val="21"/>
          <w:szCs w:val="21"/>
          <w:highlight w:val="none"/>
        </w:rPr>
        <w:t>发布</w:t>
      </w:r>
      <w:r>
        <w:rPr>
          <w:rFonts w:hint="eastAsia" w:asciiTheme="minorEastAsia" w:hAnsiTheme="minorEastAsia" w:eastAsiaTheme="minorEastAsia" w:cstheme="minorEastAsia"/>
          <w:color w:val="auto"/>
          <w:sz w:val="21"/>
          <w:szCs w:val="21"/>
          <w:highlight w:val="none"/>
        </w:rPr>
        <w:t>中标</w:t>
      </w:r>
      <w:r>
        <w:rPr>
          <w:rFonts w:hint="eastAsia" w:asciiTheme="minorEastAsia" w:hAnsiTheme="minorEastAsia" w:eastAsiaTheme="minorEastAsia" w:cstheme="minorEastAsia"/>
          <w:color w:val="auto"/>
          <w:kern w:val="0"/>
          <w:sz w:val="21"/>
          <w:szCs w:val="21"/>
          <w:highlight w:val="none"/>
        </w:rPr>
        <w:t>结果公告</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同时公示《中小企业声明函》</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。采购组织机构应当自中标人确定之日起2个工作日内，在省级以上财政部门指定的媒体及相关网站上公告中标结果，招标文件应当随中标结果同时公告。</w:t>
      </w:r>
    </w:p>
    <w:p w14:paraId="15D6E5FB">
      <w:pPr>
        <w:pStyle w:val="71"/>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3、发出中标通知书。采购组织机构在发布中标结果的同时，向中标人发出中标通知书。</w:t>
      </w:r>
    </w:p>
    <w:p w14:paraId="09C44FDC">
      <w:pPr>
        <w:shd w:val="clear"/>
        <w:spacing w:line="360" w:lineRule="auto"/>
        <w:ind w:firstLine="422"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八、</w:t>
      </w:r>
      <w:r>
        <w:rPr>
          <w:rFonts w:hint="eastAsia" w:asciiTheme="minorEastAsia" w:hAnsiTheme="minorEastAsia" w:eastAsiaTheme="minorEastAsia" w:cstheme="minorEastAsia"/>
          <w:b/>
          <w:color w:val="auto"/>
          <w:kern w:val="0"/>
          <w:sz w:val="21"/>
          <w:szCs w:val="21"/>
          <w:highlight w:val="none"/>
        </w:rPr>
        <w:t>合同签订及</w:t>
      </w:r>
      <w:r>
        <w:rPr>
          <w:rFonts w:hint="eastAsia" w:asciiTheme="minorEastAsia" w:hAnsiTheme="minorEastAsia" w:eastAsiaTheme="minorEastAsia" w:cstheme="minorEastAsia"/>
          <w:b/>
          <w:color w:val="auto"/>
          <w:kern w:val="0"/>
          <w:sz w:val="21"/>
          <w:szCs w:val="21"/>
          <w:highlight w:val="none"/>
          <w:lang w:val="en-US" w:eastAsia="zh-CN"/>
        </w:rPr>
        <w:t>中标</w:t>
      </w:r>
      <w:r>
        <w:rPr>
          <w:rFonts w:hint="eastAsia" w:asciiTheme="minorEastAsia" w:hAnsiTheme="minorEastAsia" w:eastAsiaTheme="minorEastAsia" w:cstheme="minorEastAsia"/>
          <w:b/>
          <w:color w:val="auto"/>
          <w:kern w:val="0"/>
          <w:sz w:val="21"/>
          <w:szCs w:val="21"/>
          <w:highlight w:val="none"/>
        </w:rPr>
        <w:t>公告</w:t>
      </w:r>
    </w:p>
    <w:p w14:paraId="05A24E8B">
      <w:pPr>
        <w:shd w:val="clear"/>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（一）签订合同</w:t>
      </w:r>
    </w:p>
    <w:p w14:paraId="38B9B7D5">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1、采购人应当自中标通知书发出之日起</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日内，按照招标文件和中标人投标文件的规定，与中标人签订书面合同。所签订的合同不得对招标文件确定的事项和中标人投标文件作实质性修改。</w:t>
      </w:r>
    </w:p>
    <w:p w14:paraId="15015D0C">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2、采购人不得向中标人提出任何不合理的要求作为签订合同的条件。</w:t>
      </w:r>
    </w:p>
    <w:p w14:paraId="7C55BF72">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3、中标供应商无故拖延、拒签合同的,取消中标资格。</w:t>
      </w:r>
    </w:p>
    <w:p w14:paraId="60D643F3">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4DD513A">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17424544">
      <w:pPr>
        <w:shd w:val="clea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（二）合同公告及备案</w:t>
      </w:r>
    </w:p>
    <w:p w14:paraId="7D3FAE25">
      <w:pPr>
        <w:pStyle w:val="71"/>
        <w:shd w:val="clear"/>
        <w:spacing w:before="0" w:beforeAutospacing="0" w:after="0" w:afterAutospacing="0" w:line="360" w:lineRule="auto"/>
        <w:ind w:firstLine="525" w:firstLineChars="25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1、采购人应当自政府采购合同签订之日起2个工作日内，在省级以上财政部门指定的政府采购信息发布媒体及相关网站上公告。</w:t>
      </w:r>
    </w:p>
    <w:p w14:paraId="1E6B770C">
      <w:pPr>
        <w:pStyle w:val="71"/>
        <w:shd w:val="clear"/>
        <w:spacing w:before="0" w:beforeAutospacing="0" w:after="0" w:afterAutospacing="0" w:line="360" w:lineRule="auto"/>
        <w:ind w:firstLine="525" w:firstLineChars="25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2、采购人应当自政府采购合同签订之日起7个工作日内，将政府采购合同副本报同级人民政府财政部门备案以及采购组织机构存档。</w:t>
      </w:r>
    </w:p>
    <w:p w14:paraId="166D2CC8">
      <w:pPr>
        <w:pStyle w:val="39"/>
        <w:shd w:val="clear"/>
        <w:snapToGrid w:val="0"/>
        <w:ind w:firstLine="411" w:firstLineChars="196"/>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lang w:val="en-US" w:eastAsia="zh-CN"/>
        </w:rPr>
        <w:t>三</w:t>
      </w:r>
      <w:r>
        <w:rPr>
          <w:rFonts w:hint="eastAsia" w:asciiTheme="minorEastAsia" w:hAnsiTheme="minorEastAsia" w:eastAsiaTheme="minorEastAsia" w:cstheme="minorEastAsia"/>
          <w:b w:val="0"/>
          <w:bCs/>
          <w:color w:val="auto"/>
          <w:sz w:val="21"/>
          <w:szCs w:val="21"/>
          <w:highlight w:val="none"/>
        </w:rPr>
        <w:t>）履约保证金</w:t>
      </w:r>
    </w:p>
    <w:p w14:paraId="4F68F224">
      <w:pPr>
        <w:shd w:val="clear"/>
        <w:snapToGrid w:val="0"/>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中标人应按招标文件确定的履约保证金和代理服务费的金额，交纳履约保证金和代理服务费。</w:t>
      </w:r>
    </w:p>
    <w:p w14:paraId="6C86CEA6">
      <w:pPr>
        <w:shd w:val="clear"/>
        <w:snapToGrid w:val="0"/>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签订合同后，如中标人不按双方合同约定履约</w:t>
      </w:r>
      <w:r>
        <w:rPr>
          <w:rFonts w:hint="eastAsia" w:asciiTheme="minorEastAsia" w:hAnsiTheme="minorEastAsia" w:eastAsiaTheme="minorEastAsia" w:cstheme="minorEastAsia"/>
          <w:b w:val="0"/>
          <w:bCs/>
          <w:color w:val="auto"/>
          <w:sz w:val="21"/>
          <w:szCs w:val="21"/>
          <w:highlight w:val="none"/>
          <w:lang w:val="en-US" w:eastAsia="zh-CN"/>
        </w:rPr>
        <w:t>或未按规定缴纳</w:t>
      </w:r>
      <w:r>
        <w:rPr>
          <w:rFonts w:hint="eastAsia" w:asciiTheme="minorEastAsia" w:hAnsiTheme="minorEastAsia" w:eastAsiaTheme="minorEastAsia" w:cstheme="minorEastAsia"/>
          <w:b w:val="0"/>
          <w:bCs/>
          <w:color w:val="auto"/>
          <w:sz w:val="21"/>
          <w:szCs w:val="21"/>
          <w:highlight w:val="none"/>
        </w:rPr>
        <w:t>履约保证金和代理服务费，则没收其全部履约保证金，履约保证金不足以赔偿损失的，按实际损失赔偿。</w:t>
      </w:r>
    </w:p>
    <w:p w14:paraId="474EA986">
      <w:pPr>
        <w:shd w:val="clear"/>
        <w:snapToGrid w:val="0"/>
        <w:ind w:firstLine="42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1"/>
          <w:szCs w:val="21"/>
          <w:highlight w:val="none"/>
        </w:rPr>
        <w:t>3</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履约保证金在中标人按合同约定</w:t>
      </w:r>
      <w:r>
        <w:rPr>
          <w:rFonts w:hint="eastAsia" w:asciiTheme="minorEastAsia" w:hAnsiTheme="minorEastAsia" w:eastAsiaTheme="minorEastAsia" w:cstheme="minorEastAsia"/>
          <w:b w:val="0"/>
          <w:bCs/>
          <w:color w:val="auto"/>
          <w:sz w:val="21"/>
          <w:szCs w:val="21"/>
          <w:highlight w:val="none"/>
          <w:lang w:eastAsia="zh-CN"/>
        </w:rPr>
        <w:t>完成所有工作经采购人认可</w:t>
      </w:r>
      <w:r>
        <w:rPr>
          <w:rFonts w:hint="eastAsia" w:asciiTheme="minorEastAsia" w:hAnsiTheme="minorEastAsia" w:eastAsiaTheme="minorEastAsia" w:cstheme="minorEastAsia"/>
          <w:b w:val="0"/>
          <w:bCs/>
          <w:color w:val="auto"/>
          <w:sz w:val="21"/>
          <w:szCs w:val="21"/>
          <w:highlight w:val="none"/>
        </w:rPr>
        <w:t>后无息退还</w:t>
      </w:r>
      <w:r>
        <w:rPr>
          <w:rFonts w:hint="eastAsia" w:asciiTheme="minorEastAsia" w:hAnsiTheme="minorEastAsia" w:eastAsiaTheme="minorEastAsia" w:cstheme="minorEastAsia"/>
          <w:b w:val="0"/>
          <w:bCs/>
          <w:sz w:val="21"/>
          <w:szCs w:val="21"/>
          <w:highlight w:val="none"/>
        </w:rPr>
        <w:t>。</w:t>
      </w:r>
    </w:p>
    <w:bookmarkEnd w:id="11"/>
    <w:bookmarkEnd w:id="12"/>
    <w:bookmarkEnd w:id="13"/>
    <w:bookmarkEnd w:id="14"/>
    <w:p w14:paraId="0BFD074E">
      <w:pPr>
        <w:shd w:val="clear"/>
        <w:rPr>
          <w:rFonts w:hint="eastAsia" w:asciiTheme="minorEastAsia" w:hAnsiTheme="minorEastAsia" w:eastAsiaTheme="minorEastAsia" w:cstheme="minorEastAsia"/>
          <w:color w:val="auto"/>
          <w:sz w:val="36"/>
          <w:szCs w:val="36"/>
          <w:highlight w:val="none"/>
        </w:rPr>
      </w:pPr>
      <w:bookmarkStart w:id="15" w:name="_Toc331502481"/>
      <w:r>
        <w:rPr>
          <w:rFonts w:hint="eastAsia" w:asciiTheme="minorEastAsia" w:hAnsiTheme="minorEastAsia" w:eastAsiaTheme="minorEastAsia" w:cstheme="minorEastAsia"/>
          <w:color w:val="auto"/>
          <w:sz w:val="36"/>
          <w:szCs w:val="36"/>
          <w:highlight w:val="none"/>
        </w:rPr>
        <w:br w:type="page"/>
      </w:r>
    </w:p>
    <w:p w14:paraId="26BA3656">
      <w:pPr>
        <w:pStyle w:val="3"/>
        <w:numPr>
          <w:ilvl w:val="0"/>
          <w:numId w:val="0"/>
        </w:numPr>
        <w:shd w:val="clear"/>
        <w:tabs>
          <w:tab w:val="clear" w:pos="432"/>
        </w:tabs>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第四部分  投标文件有关格式和</w:t>
      </w:r>
      <w:bookmarkEnd w:id="15"/>
      <w:r>
        <w:rPr>
          <w:rFonts w:hint="eastAsia" w:asciiTheme="minorEastAsia" w:hAnsiTheme="minorEastAsia" w:eastAsiaTheme="minorEastAsia" w:cstheme="minorEastAsia"/>
          <w:color w:val="auto"/>
          <w:sz w:val="36"/>
          <w:szCs w:val="36"/>
          <w:highlight w:val="none"/>
        </w:rPr>
        <w:t>样式</w:t>
      </w:r>
    </w:p>
    <w:p w14:paraId="4C0D7473">
      <w:pPr>
        <w:shd w:val="clear"/>
        <w:jc w:val="center"/>
        <w:rPr>
          <w:rFonts w:hint="eastAsia" w:asciiTheme="minorEastAsia" w:hAnsiTheme="minorEastAsia" w:eastAsiaTheme="minorEastAsia" w:cstheme="minorEastAsia"/>
          <w:color w:val="auto"/>
          <w:sz w:val="24"/>
          <w:highlight w:val="none"/>
        </w:rPr>
      </w:pPr>
      <w:bookmarkStart w:id="16" w:name="_关_于_资"/>
      <w:bookmarkEnd w:id="16"/>
      <w:bookmarkStart w:id="17" w:name="_Toc331502482"/>
    </w:p>
    <w:p w14:paraId="35F66515">
      <w:pPr>
        <w:shd w:val="clear"/>
        <w:jc w:val="center"/>
        <w:rPr>
          <w:rFonts w:hint="eastAsia" w:asciiTheme="minorEastAsia" w:hAnsiTheme="minorEastAsia" w:eastAsiaTheme="minorEastAsia" w:cstheme="minorEastAsia"/>
          <w:color w:val="auto"/>
          <w:sz w:val="24"/>
          <w:highlight w:val="none"/>
        </w:rPr>
      </w:pPr>
    </w:p>
    <w:p w14:paraId="19AC1308">
      <w:pPr>
        <w:shd w:val="clear"/>
        <w:jc w:val="center"/>
        <w:rPr>
          <w:rFonts w:hint="eastAsia" w:asciiTheme="minorEastAsia" w:hAnsiTheme="minorEastAsia" w:eastAsiaTheme="minorEastAsia" w:cstheme="minorEastAsia"/>
          <w:color w:val="auto"/>
          <w:sz w:val="24"/>
          <w:highlight w:val="none"/>
        </w:rPr>
      </w:pPr>
    </w:p>
    <w:p w14:paraId="10CE3DBA">
      <w:pPr>
        <w:shd w:val="clear"/>
        <w:jc w:val="center"/>
        <w:rPr>
          <w:rFonts w:hint="eastAsia" w:asciiTheme="minorEastAsia" w:hAnsiTheme="minorEastAsia" w:eastAsiaTheme="minorEastAsia" w:cstheme="minorEastAsia"/>
          <w:color w:val="auto"/>
          <w:sz w:val="24"/>
          <w:highlight w:val="none"/>
        </w:rPr>
      </w:pPr>
    </w:p>
    <w:p w14:paraId="3A10AA9F">
      <w:pPr>
        <w:shd w:val="clear"/>
        <w:jc w:val="center"/>
        <w:rPr>
          <w:rFonts w:hint="eastAsia" w:asciiTheme="minorEastAsia" w:hAnsiTheme="minorEastAsia" w:eastAsiaTheme="minorEastAsia" w:cstheme="minorEastAsia"/>
          <w:color w:val="auto"/>
          <w:sz w:val="24"/>
          <w:highlight w:val="none"/>
        </w:rPr>
      </w:pPr>
    </w:p>
    <w:p w14:paraId="148BA457">
      <w:pPr>
        <w:shd w:val="clear"/>
        <w:jc w:val="center"/>
        <w:rPr>
          <w:rFonts w:hint="eastAsia" w:asciiTheme="minorEastAsia" w:hAnsiTheme="minorEastAsia" w:eastAsiaTheme="minorEastAsia" w:cstheme="minorEastAsia"/>
          <w:color w:val="auto"/>
          <w:sz w:val="24"/>
          <w:highlight w:val="none"/>
        </w:rPr>
      </w:pPr>
    </w:p>
    <w:p w14:paraId="457A1EAB">
      <w:pPr>
        <w:shd w:val="clear"/>
        <w:jc w:val="center"/>
        <w:rPr>
          <w:rFonts w:hint="eastAsia" w:asciiTheme="minorEastAsia" w:hAnsiTheme="minorEastAsia" w:eastAsiaTheme="minorEastAsia" w:cstheme="minorEastAsia"/>
          <w:color w:val="auto"/>
          <w:sz w:val="24"/>
          <w:highlight w:val="none"/>
        </w:rPr>
      </w:pPr>
    </w:p>
    <w:p w14:paraId="170ABEA4">
      <w:pPr>
        <w:shd w:val="clear"/>
        <w:jc w:val="center"/>
        <w:rPr>
          <w:rFonts w:hint="eastAsia" w:asciiTheme="minorEastAsia" w:hAnsiTheme="minorEastAsia" w:eastAsiaTheme="minorEastAsia" w:cstheme="minorEastAsia"/>
          <w:color w:val="auto"/>
          <w:sz w:val="24"/>
          <w:highlight w:val="none"/>
        </w:rPr>
      </w:pPr>
    </w:p>
    <w:p w14:paraId="383B4380">
      <w:pPr>
        <w:shd w:val="clear"/>
        <w:jc w:val="center"/>
        <w:rPr>
          <w:rFonts w:hint="eastAsia" w:asciiTheme="minorEastAsia" w:hAnsiTheme="minorEastAsia" w:eastAsiaTheme="minorEastAsia" w:cstheme="minorEastAsia"/>
          <w:color w:val="auto"/>
          <w:sz w:val="24"/>
          <w:highlight w:val="none"/>
        </w:rPr>
      </w:pPr>
    </w:p>
    <w:p w14:paraId="2570CAD2">
      <w:pPr>
        <w:pStyle w:val="27"/>
        <w:shd w:val="clear"/>
        <w:rPr>
          <w:rFonts w:hint="eastAsia" w:asciiTheme="minorEastAsia" w:hAnsiTheme="minorEastAsia" w:eastAsiaTheme="minorEastAsia" w:cstheme="minorEastAsia"/>
          <w:color w:val="auto"/>
          <w:sz w:val="24"/>
          <w:highlight w:val="none"/>
        </w:rPr>
      </w:pPr>
    </w:p>
    <w:p w14:paraId="1EAC2FCC">
      <w:pPr>
        <w:pStyle w:val="75"/>
        <w:shd w:val="clear"/>
        <w:rPr>
          <w:rFonts w:hint="eastAsia" w:asciiTheme="minorEastAsia" w:hAnsiTheme="minorEastAsia" w:eastAsiaTheme="minorEastAsia" w:cstheme="minorEastAsia"/>
          <w:color w:val="auto"/>
          <w:sz w:val="24"/>
          <w:highlight w:val="none"/>
        </w:rPr>
      </w:pPr>
    </w:p>
    <w:p w14:paraId="238DB3FE">
      <w:pPr>
        <w:shd w:val="clear"/>
        <w:rPr>
          <w:rFonts w:hint="eastAsia" w:asciiTheme="minorEastAsia" w:hAnsiTheme="minorEastAsia" w:eastAsiaTheme="minorEastAsia" w:cstheme="minorEastAsia"/>
          <w:color w:val="auto"/>
          <w:sz w:val="24"/>
          <w:highlight w:val="none"/>
        </w:rPr>
      </w:pPr>
    </w:p>
    <w:p w14:paraId="08C14749">
      <w:pPr>
        <w:pStyle w:val="27"/>
        <w:shd w:val="clear"/>
        <w:rPr>
          <w:rFonts w:hint="eastAsia" w:asciiTheme="minorEastAsia" w:hAnsiTheme="minorEastAsia" w:eastAsiaTheme="minorEastAsia" w:cstheme="minorEastAsia"/>
          <w:color w:val="auto"/>
          <w:sz w:val="24"/>
          <w:highlight w:val="none"/>
        </w:rPr>
      </w:pPr>
    </w:p>
    <w:p w14:paraId="170097D7">
      <w:pPr>
        <w:pStyle w:val="75"/>
        <w:shd w:val="clear"/>
        <w:rPr>
          <w:rFonts w:hint="eastAsia" w:asciiTheme="minorEastAsia" w:hAnsiTheme="minorEastAsia" w:eastAsiaTheme="minorEastAsia" w:cstheme="minorEastAsia"/>
          <w:color w:val="auto"/>
          <w:sz w:val="24"/>
          <w:highlight w:val="none"/>
        </w:rPr>
      </w:pPr>
    </w:p>
    <w:p w14:paraId="03736FB7">
      <w:pPr>
        <w:shd w:val="clear"/>
        <w:rPr>
          <w:rFonts w:hint="eastAsia" w:asciiTheme="minorEastAsia" w:hAnsiTheme="minorEastAsia" w:eastAsiaTheme="minorEastAsia" w:cstheme="minorEastAsia"/>
          <w:color w:val="auto"/>
          <w:sz w:val="24"/>
          <w:highlight w:val="none"/>
        </w:rPr>
      </w:pPr>
    </w:p>
    <w:p w14:paraId="6469D135">
      <w:pPr>
        <w:pStyle w:val="27"/>
        <w:shd w:val="clear"/>
        <w:rPr>
          <w:rFonts w:hint="eastAsia" w:asciiTheme="minorEastAsia" w:hAnsiTheme="minorEastAsia" w:eastAsiaTheme="minorEastAsia" w:cstheme="minorEastAsia"/>
          <w:color w:val="auto"/>
          <w:sz w:val="24"/>
          <w:highlight w:val="none"/>
        </w:rPr>
      </w:pPr>
    </w:p>
    <w:p w14:paraId="6D840EF9">
      <w:pPr>
        <w:pStyle w:val="75"/>
        <w:shd w:val="clear"/>
        <w:rPr>
          <w:rFonts w:hint="eastAsia" w:asciiTheme="minorEastAsia" w:hAnsiTheme="minorEastAsia" w:eastAsiaTheme="minorEastAsia" w:cstheme="minorEastAsia"/>
          <w:color w:val="auto"/>
          <w:sz w:val="24"/>
          <w:highlight w:val="none"/>
        </w:rPr>
      </w:pPr>
    </w:p>
    <w:p w14:paraId="0F685B81">
      <w:pPr>
        <w:shd w:val="clear"/>
        <w:rPr>
          <w:rFonts w:hint="eastAsia" w:asciiTheme="minorEastAsia" w:hAnsiTheme="minorEastAsia" w:eastAsiaTheme="minorEastAsia" w:cstheme="minorEastAsia"/>
          <w:color w:val="auto"/>
          <w:sz w:val="24"/>
          <w:highlight w:val="none"/>
        </w:rPr>
      </w:pPr>
    </w:p>
    <w:p w14:paraId="6BAC36CB">
      <w:pPr>
        <w:pStyle w:val="27"/>
        <w:shd w:val="clear"/>
        <w:rPr>
          <w:rFonts w:hint="eastAsia" w:asciiTheme="minorEastAsia" w:hAnsiTheme="minorEastAsia" w:eastAsiaTheme="minorEastAsia" w:cstheme="minorEastAsia"/>
          <w:color w:val="auto"/>
          <w:sz w:val="24"/>
          <w:highlight w:val="none"/>
        </w:rPr>
      </w:pPr>
    </w:p>
    <w:p w14:paraId="380B6967">
      <w:pPr>
        <w:pStyle w:val="75"/>
        <w:shd w:val="clear"/>
        <w:rPr>
          <w:rFonts w:hint="eastAsia" w:asciiTheme="minorEastAsia" w:hAnsiTheme="minorEastAsia" w:eastAsiaTheme="minorEastAsia" w:cstheme="minorEastAsia"/>
          <w:color w:val="auto"/>
          <w:sz w:val="24"/>
          <w:highlight w:val="none"/>
        </w:rPr>
      </w:pPr>
    </w:p>
    <w:p w14:paraId="2233C18E">
      <w:pPr>
        <w:shd w:val="clear"/>
        <w:rPr>
          <w:rFonts w:hint="eastAsia" w:asciiTheme="minorEastAsia" w:hAnsiTheme="minorEastAsia" w:eastAsiaTheme="minorEastAsia" w:cstheme="minorEastAsia"/>
          <w:color w:val="auto"/>
          <w:sz w:val="24"/>
          <w:highlight w:val="none"/>
        </w:rPr>
      </w:pPr>
    </w:p>
    <w:p w14:paraId="5FC22B6F">
      <w:pPr>
        <w:pStyle w:val="27"/>
        <w:shd w:val="clear"/>
        <w:rPr>
          <w:rFonts w:hint="eastAsia" w:asciiTheme="minorEastAsia" w:hAnsiTheme="minorEastAsia" w:eastAsiaTheme="minorEastAsia" w:cstheme="minorEastAsia"/>
          <w:color w:val="auto"/>
          <w:sz w:val="24"/>
          <w:highlight w:val="none"/>
        </w:rPr>
      </w:pPr>
    </w:p>
    <w:p w14:paraId="315C09C7">
      <w:pPr>
        <w:pStyle w:val="75"/>
        <w:shd w:val="clear"/>
        <w:rPr>
          <w:rFonts w:hint="eastAsia" w:asciiTheme="minorEastAsia" w:hAnsiTheme="minorEastAsia" w:eastAsiaTheme="minorEastAsia" w:cstheme="minorEastAsia"/>
          <w:color w:val="auto"/>
          <w:sz w:val="24"/>
          <w:highlight w:val="none"/>
        </w:rPr>
      </w:pPr>
    </w:p>
    <w:p w14:paraId="71022374">
      <w:pPr>
        <w:shd w:val="clear"/>
        <w:rPr>
          <w:rFonts w:hint="eastAsia" w:asciiTheme="minorEastAsia" w:hAnsiTheme="minorEastAsia" w:eastAsiaTheme="minorEastAsia" w:cstheme="minorEastAsia"/>
          <w:color w:val="auto"/>
          <w:sz w:val="24"/>
          <w:highlight w:val="none"/>
        </w:rPr>
      </w:pPr>
    </w:p>
    <w:p w14:paraId="4FE6AC0A">
      <w:pPr>
        <w:pStyle w:val="27"/>
        <w:shd w:val="clear"/>
        <w:rPr>
          <w:rFonts w:hint="eastAsia" w:asciiTheme="minorEastAsia" w:hAnsiTheme="minorEastAsia" w:eastAsiaTheme="minorEastAsia" w:cstheme="minorEastAsia"/>
          <w:highlight w:val="none"/>
        </w:rPr>
      </w:pPr>
    </w:p>
    <w:p w14:paraId="7265450D">
      <w:pPr>
        <w:pStyle w:val="95"/>
        <w:shd w:val="clear"/>
        <w:rPr>
          <w:rFonts w:hint="eastAsia" w:asciiTheme="minorEastAsia" w:hAnsiTheme="minorEastAsia" w:eastAsiaTheme="minorEastAsia" w:cstheme="minorEastAsia"/>
          <w:color w:val="auto"/>
          <w:sz w:val="24"/>
          <w:highlight w:val="none"/>
        </w:rPr>
      </w:pPr>
    </w:p>
    <w:p w14:paraId="25117AF1">
      <w:pPr>
        <w:shd w:val="clear"/>
        <w:rPr>
          <w:rFonts w:hint="eastAsia" w:asciiTheme="minorEastAsia" w:hAnsiTheme="minorEastAsia" w:eastAsiaTheme="minorEastAsia" w:cstheme="minorEastAsia"/>
          <w:color w:val="auto"/>
          <w:sz w:val="24"/>
          <w:highlight w:val="none"/>
        </w:rPr>
      </w:pPr>
    </w:p>
    <w:bookmarkEnd w:id="17"/>
    <w:p w14:paraId="407BE4A6">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w:t>
      </w:r>
    </w:p>
    <w:p w14:paraId="1D8005E7">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投标函</w:t>
      </w:r>
    </w:p>
    <w:p w14:paraId="333815C1">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lang w:eastAsia="zh-CN"/>
        </w:rPr>
        <w:t>台州市路桥区人民政府峰江街道办事处</w:t>
      </w:r>
      <w:r>
        <w:rPr>
          <w:rFonts w:hint="eastAsia" w:asciiTheme="minorEastAsia" w:hAnsiTheme="minorEastAsia" w:eastAsiaTheme="minorEastAsia" w:cstheme="minorEastAsia"/>
          <w:sz w:val="21"/>
          <w:szCs w:val="21"/>
          <w:highlight w:val="none"/>
        </w:rPr>
        <w:t>：</w:t>
      </w:r>
    </w:p>
    <w:p w14:paraId="3F65D0BB">
      <w:pPr>
        <w:shd w:val="clear"/>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根据贵方为</w:t>
      </w:r>
      <w:r>
        <w:rPr>
          <w:rFonts w:hint="eastAsia" w:asciiTheme="minorEastAsia" w:hAnsiTheme="minorEastAsia" w:eastAsiaTheme="minorEastAsia" w:cstheme="minorEastAsia"/>
          <w:sz w:val="21"/>
          <w:szCs w:val="21"/>
          <w:highlight w:val="none"/>
          <w:u w:val="single"/>
          <w:lang w:eastAsia="zh-CN"/>
        </w:rPr>
        <w:t>2025年度峰江街道居家养老服务（照料）中心</w:t>
      </w:r>
      <w:r>
        <w:rPr>
          <w:rFonts w:hint="eastAsia" w:asciiTheme="minorEastAsia" w:hAnsiTheme="minorEastAsia" w:eastAsiaTheme="minorEastAsia" w:cstheme="minorEastAsia"/>
          <w:sz w:val="21"/>
          <w:szCs w:val="21"/>
          <w:highlight w:val="none"/>
          <w:lang w:val="zh-CN"/>
        </w:rPr>
        <w:t>的招标文件（项目编号：</w:t>
      </w:r>
      <w:r>
        <w:rPr>
          <w:rFonts w:hint="eastAsia" w:asciiTheme="minorEastAsia" w:hAnsiTheme="minorEastAsia" w:eastAsiaTheme="minorEastAsia" w:cstheme="minorEastAsia"/>
          <w:sz w:val="21"/>
          <w:szCs w:val="21"/>
          <w:highlight w:val="none"/>
          <w:u w:val="single"/>
          <w:lang w:eastAsia="zh-CN"/>
        </w:rPr>
        <w:t>JJLQ2024-019</w:t>
      </w:r>
      <w:r>
        <w:rPr>
          <w:rFonts w:hint="eastAsia" w:asciiTheme="minorEastAsia" w:hAnsiTheme="minorEastAsia" w:eastAsiaTheme="minorEastAsia" w:cstheme="minorEastAsia"/>
          <w:sz w:val="21"/>
          <w:szCs w:val="21"/>
          <w:highlight w:val="none"/>
          <w:lang w:val="zh-CN"/>
        </w:rPr>
        <w:t>），签字代表</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lang w:val="zh-CN"/>
        </w:rPr>
        <w:t>（全名）经正式授权并代表投标人</w:t>
      </w:r>
      <w:r>
        <w:rPr>
          <w:rFonts w:hint="eastAsia" w:asciiTheme="minorEastAsia" w:hAnsiTheme="minorEastAsia" w:eastAsiaTheme="minorEastAsia" w:cstheme="minorEastAsia"/>
          <w:sz w:val="21"/>
          <w:szCs w:val="21"/>
          <w:highlight w:val="none"/>
          <w:u w:val="single"/>
          <w:lang w:val="zh-CN"/>
        </w:rPr>
        <w:t xml:space="preserve">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lang w:val="zh-CN"/>
        </w:rPr>
        <w:t>（投标人名称）处理有关本投标的一切事宜。</w:t>
      </w:r>
    </w:p>
    <w:p w14:paraId="1D5B7B4B">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在此提交的投标文件中，包括如下内容，并已分别单独密封装袋：</w:t>
      </w:r>
    </w:p>
    <w:p w14:paraId="7F1A807F">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lang w:val="zh-CN"/>
        </w:rPr>
        <w:t>（—）按</w:t>
      </w:r>
      <w:r>
        <w:rPr>
          <w:rFonts w:hint="eastAsia" w:asciiTheme="minorEastAsia" w:hAnsiTheme="minorEastAsia" w:eastAsiaTheme="minorEastAsia" w:cstheme="minorEastAsia"/>
          <w:color w:val="auto"/>
          <w:sz w:val="21"/>
          <w:szCs w:val="21"/>
          <w:highlight w:val="none"/>
          <w:lang w:val="en-US" w:eastAsia="zh-CN"/>
        </w:rPr>
        <w:t>招标文件</w:t>
      </w:r>
      <w:r>
        <w:rPr>
          <w:rFonts w:hint="eastAsia" w:asciiTheme="minorEastAsia" w:hAnsiTheme="minorEastAsia" w:eastAsiaTheme="minorEastAsia" w:cstheme="minorEastAsia"/>
          <w:color w:val="auto"/>
          <w:sz w:val="21"/>
          <w:szCs w:val="21"/>
          <w:highlight w:val="none"/>
          <w:lang w:val="zh-CN"/>
        </w:rPr>
        <w:t>要求编制的资格证明文件</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zh-CN"/>
        </w:rPr>
        <w:t>商务与技术文件</w:t>
      </w:r>
      <w:r>
        <w:rPr>
          <w:rFonts w:hint="eastAsia" w:asciiTheme="minorEastAsia" w:hAnsiTheme="minorEastAsia" w:eastAsiaTheme="minorEastAsia" w:cstheme="minorEastAsia"/>
          <w:color w:val="auto"/>
          <w:sz w:val="21"/>
          <w:szCs w:val="21"/>
          <w:highlight w:val="none"/>
          <w:lang w:val="zh-CN" w:eastAsia="zh-CN"/>
        </w:rPr>
        <w:t>和</w:t>
      </w:r>
      <w:r>
        <w:rPr>
          <w:rFonts w:hint="eastAsia" w:asciiTheme="minorEastAsia" w:hAnsiTheme="minorEastAsia" w:eastAsiaTheme="minorEastAsia" w:cstheme="minorEastAsia"/>
          <w:color w:val="auto"/>
          <w:sz w:val="21"/>
          <w:szCs w:val="21"/>
          <w:highlight w:val="none"/>
          <w:lang w:val="zh-CN"/>
        </w:rPr>
        <w:t>报价文件</w:t>
      </w:r>
      <w:r>
        <w:rPr>
          <w:rFonts w:hint="eastAsia" w:asciiTheme="minorEastAsia" w:hAnsiTheme="minorEastAsia" w:eastAsiaTheme="minorEastAsia" w:cstheme="minorEastAsia"/>
          <w:color w:val="auto"/>
          <w:sz w:val="21"/>
          <w:szCs w:val="21"/>
          <w:highlight w:val="none"/>
          <w:lang w:val="zh-CN" w:eastAsia="zh-CN"/>
        </w:rPr>
        <w:t>。</w:t>
      </w:r>
    </w:p>
    <w:p w14:paraId="32B0A85F">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w:t>
      </w:r>
      <w:r>
        <w:rPr>
          <w:rFonts w:hint="eastAsia" w:asciiTheme="minorEastAsia" w:hAnsiTheme="minorEastAsia" w:eastAsiaTheme="minorEastAsia" w:cstheme="minorEastAsia"/>
          <w:sz w:val="21"/>
          <w:szCs w:val="21"/>
          <w:highlight w:val="none"/>
          <w:lang w:val="en-US" w:eastAsia="zh-CN"/>
        </w:rPr>
        <w:t>已</w:t>
      </w:r>
      <w:r>
        <w:rPr>
          <w:rFonts w:hint="eastAsia" w:asciiTheme="minorEastAsia" w:hAnsiTheme="minorEastAsia" w:eastAsiaTheme="minorEastAsia" w:cstheme="minorEastAsia"/>
          <w:sz w:val="21"/>
          <w:szCs w:val="21"/>
          <w:highlight w:val="none"/>
        </w:rPr>
        <w:t>完全明白招标文件的所有条款要求，并重申以下几点：</w:t>
      </w:r>
    </w:p>
    <w:p w14:paraId="042AF64D">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（一）本投标文件的有效期自投标截止日起</w:t>
      </w:r>
      <w:r>
        <w:rPr>
          <w:rFonts w:hint="eastAsia" w:asciiTheme="minorEastAsia" w:hAnsiTheme="minorEastAsia" w:eastAsiaTheme="minorEastAsia" w:cstheme="minorEastAsia"/>
          <w:b/>
          <w:sz w:val="21"/>
          <w:szCs w:val="21"/>
          <w:highlight w:val="none"/>
        </w:rPr>
        <w:t>90天内</w:t>
      </w:r>
      <w:r>
        <w:rPr>
          <w:rFonts w:hint="eastAsia" w:asciiTheme="minorEastAsia" w:hAnsiTheme="minorEastAsia" w:eastAsiaTheme="minorEastAsia" w:cstheme="minorEastAsia"/>
          <w:sz w:val="21"/>
          <w:szCs w:val="21"/>
          <w:highlight w:val="none"/>
        </w:rPr>
        <w:t>有效，如中标，有效期将延至合同终止日为止；</w:t>
      </w:r>
    </w:p>
    <w:p w14:paraId="2A0DBC52">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（二）我方已详细研究了招标文件的所有内容包括修改书（如有）和所有已提供的参考资料以及有关附件，我方完全理解并同意放弃在此方面提出含糊意见或误解的一切权力；</w:t>
      </w:r>
    </w:p>
    <w:p w14:paraId="755B234D">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（三）我方明白并愿意在规定的开标时间之后，</w:t>
      </w:r>
      <w:r>
        <w:rPr>
          <w:rFonts w:hint="eastAsia" w:asciiTheme="minorEastAsia" w:hAnsiTheme="minorEastAsia" w:eastAsiaTheme="minorEastAsia" w:cstheme="minorEastAsia"/>
          <w:sz w:val="21"/>
          <w:szCs w:val="21"/>
          <w:highlight w:val="none"/>
          <w:lang w:val="en-US" w:eastAsia="zh-CN"/>
        </w:rPr>
        <w:t>不撤回投标文件</w:t>
      </w:r>
      <w:r>
        <w:rPr>
          <w:rFonts w:hint="eastAsia" w:asciiTheme="minorEastAsia" w:hAnsiTheme="minorEastAsia" w:eastAsiaTheme="minorEastAsia" w:cstheme="minorEastAsia"/>
          <w:sz w:val="21"/>
          <w:szCs w:val="21"/>
          <w:highlight w:val="none"/>
        </w:rPr>
        <w:t>；</w:t>
      </w:r>
    </w:p>
    <w:p w14:paraId="258EF8FE">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（四）我方同意提供按照贵方可能要求的与投标有关的一切数据或资料；</w:t>
      </w:r>
    </w:p>
    <w:p w14:paraId="7BB39568">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（五）我方理解贵方不一定接受最低报价。</w:t>
      </w:r>
    </w:p>
    <w:p w14:paraId="79108E42">
      <w:pPr>
        <w:shd w:val="clear"/>
        <w:spacing w:line="460" w:lineRule="exact"/>
        <w:ind w:firstLine="514" w:firstLineChars="245"/>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（六）我方如果中标，将保证履行招标文件以及招标文件修改书（如有）中的全部责任和义务，按质、按量、按期完成《合同书》中的全部任务。</w:t>
      </w:r>
    </w:p>
    <w:p w14:paraId="37A18B5D">
      <w:pPr>
        <w:shd w:val="clear"/>
        <w:tabs>
          <w:tab w:val="left" w:pos="5580"/>
        </w:tabs>
        <w:spacing w:line="500" w:lineRule="exact"/>
        <w:rPr>
          <w:rFonts w:hint="eastAsia" w:asciiTheme="minorEastAsia" w:hAnsiTheme="minorEastAsia" w:eastAsiaTheme="minorEastAsia" w:cstheme="minorEastAsia"/>
          <w:sz w:val="21"/>
          <w:szCs w:val="21"/>
          <w:highlight w:val="none"/>
          <w:lang w:val="zh-CN"/>
        </w:rPr>
      </w:pPr>
    </w:p>
    <w:p w14:paraId="5606B77F">
      <w:pPr>
        <w:shd w:val="clear"/>
        <w:tabs>
          <w:tab w:val="left" w:pos="5580"/>
        </w:tabs>
        <w:spacing w:line="500" w:lineRule="exact"/>
        <w:rPr>
          <w:rFonts w:hint="eastAsia" w:asciiTheme="minorEastAsia" w:hAnsiTheme="minorEastAsia" w:eastAsiaTheme="minorEastAsia" w:cstheme="minorEastAsia"/>
          <w:sz w:val="21"/>
          <w:szCs w:val="21"/>
          <w:highlight w:val="none"/>
          <w:lang w:val="zh-CN"/>
        </w:rPr>
      </w:pPr>
    </w:p>
    <w:p w14:paraId="49B01CD7">
      <w:pPr>
        <w:shd w:val="clear"/>
        <w:tabs>
          <w:tab w:val="left" w:pos="5580"/>
        </w:tabs>
        <w:spacing w:line="500" w:lineRule="exact"/>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法定代表人或其授权委托代理人（签字</w:t>
      </w:r>
      <w:r>
        <w:rPr>
          <w:rFonts w:hint="eastAsia" w:asciiTheme="minorEastAsia" w:hAnsiTheme="minorEastAsia" w:eastAsiaTheme="minorEastAsia" w:cstheme="minorEastAsia"/>
          <w:sz w:val="21"/>
          <w:szCs w:val="21"/>
          <w:highlight w:val="none"/>
          <w:lang w:val="en-US" w:eastAsia="zh-CN"/>
        </w:rPr>
        <w:t>或盖章</w:t>
      </w:r>
      <w:r>
        <w:rPr>
          <w:rFonts w:hint="eastAsia" w:asciiTheme="minorEastAsia" w:hAnsiTheme="minorEastAsia" w:eastAsiaTheme="minorEastAsia" w:cstheme="minorEastAsia"/>
          <w:sz w:val="21"/>
          <w:szCs w:val="21"/>
          <w:highlight w:val="none"/>
          <w:lang w:val="zh-CN"/>
        </w:rPr>
        <w:t xml:space="preserve">）：___________                     </w:t>
      </w:r>
    </w:p>
    <w:p w14:paraId="2A01BAF8">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val="zh-CN"/>
        </w:rPr>
        <w:t>日期：</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lang w:val="zh-CN"/>
        </w:rPr>
        <w:t>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lang w:val="zh-CN"/>
        </w:rPr>
        <w:t>月</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lang w:val="zh-CN"/>
        </w:rPr>
        <w:t>日</w:t>
      </w:r>
    </w:p>
    <w:p w14:paraId="40B641B9">
      <w:pPr>
        <w:shd w:val="clear"/>
        <w:rPr>
          <w:rFonts w:hint="eastAsia" w:asciiTheme="minorEastAsia" w:hAnsiTheme="minorEastAsia" w:eastAsiaTheme="minorEastAsia" w:cstheme="minorEastAsia"/>
          <w:sz w:val="21"/>
          <w:szCs w:val="21"/>
          <w:highlight w:val="none"/>
        </w:rPr>
      </w:pPr>
    </w:p>
    <w:p w14:paraId="52E907C9">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br w:type="page"/>
      </w:r>
    </w:p>
    <w:p w14:paraId="033BB760">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w:t>
      </w:r>
    </w:p>
    <w:p w14:paraId="4DDC10E2">
      <w:pPr>
        <w:shd w:val="clear"/>
        <w:spacing w:line="360" w:lineRule="auto"/>
        <w:ind w:left="-2" w:hanging="2"/>
        <w:jc w:val="center"/>
        <w:rPr>
          <w:rFonts w:hint="eastAsia" w:asciiTheme="minorEastAsia" w:hAnsiTheme="minorEastAsia" w:eastAsiaTheme="minorEastAsia" w:cstheme="minorEastAsia"/>
          <w:b/>
          <w:color w:val="auto"/>
          <w:sz w:val="32"/>
          <w:szCs w:val="32"/>
          <w:highlight w:val="none"/>
          <w:lang w:eastAsia="zh-CN"/>
        </w:rPr>
      </w:pPr>
      <w:r>
        <w:rPr>
          <w:rFonts w:hint="eastAsia" w:asciiTheme="minorEastAsia" w:hAnsiTheme="minorEastAsia" w:eastAsiaTheme="minorEastAsia" w:cstheme="minorEastAsia"/>
          <w:b/>
          <w:color w:val="auto"/>
          <w:sz w:val="32"/>
          <w:szCs w:val="32"/>
          <w:highlight w:val="none"/>
          <w:lang w:val="en-US" w:eastAsia="zh-CN"/>
        </w:rPr>
        <w:t>投标报价</w:t>
      </w:r>
      <w:r>
        <w:rPr>
          <w:rFonts w:hint="eastAsia" w:asciiTheme="minorEastAsia" w:hAnsiTheme="minorEastAsia" w:eastAsiaTheme="minorEastAsia" w:cstheme="minorEastAsia"/>
          <w:b/>
          <w:color w:val="auto"/>
          <w:sz w:val="32"/>
          <w:szCs w:val="32"/>
          <w:highlight w:val="none"/>
        </w:rPr>
        <w:t xml:space="preserve">一览表 </w:t>
      </w:r>
      <w:r>
        <w:rPr>
          <w:rFonts w:hint="eastAsia" w:asciiTheme="minorEastAsia" w:hAnsiTheme="minorEastAsia" w:eastAsiaTheme="minorEastAsia" w:cstheme="minorEastAsia"/>
          <w:b/>
          <w:color w:val="auto"/>
          <w:sz w:val="32"/>
          <w:szCs w:val="32"/>
          <w:highlight w:val="none"/>
          <w:lang w:val="en-US" w:eastAsia="zh-CN"/>
        </w:rPr>
        <w:t xml:space="preserve"> </w:t>
      </w:r>
    </w:p>
    <w:p w14:paraId="6F9BE789">
      <w:pPr>
        <w:shd w:val="clear"/>
        <w:spacing w:line="360" w:lineRule="auto"/>
        <w:jc w:val="left"/>
        <w:rPr>
          <w:rFonts w:hint="eastAsia" w:asciiTheme="minorEastAsia" w:hAnsiTheme="minorEastAsia" w:eastAsiaTheme="minorEastAsia" w:cstheme="minorEastAsia"/>
          <w:color w:val="auto"/>
          <w:sz w:val="21"/>
          <w:szCs w:val="21"/>
          <w:highlight w:val="none"/>
        </w:rPr>
      </w:pPr>
    </w:p>
    <w:p w14:paraId="3ED4F4E7">
      <w:pPr>
        <w:shd w:val="clear"/>
        <w:spacing w:line="360" w:lineRule="auto"/>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项目编号：</w:t>
      </w:r>
    </w:p>
    <w:p w14:paraId="0F28B691">
      <w:pPr>
        <w:shd w:val="clear"/>
        <w:spacing w:line="360" w:lineRule="auto"/>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项目名称：</w:t>
      </w:r>
      <w:r>
        <w:rPr>
          <w:rFonts w:hint="eastAsia" w:asciiTheme="minorEastAsia" w:hAnsiTheme="minorEastAsia" w:eastAsiaTheme="minorEastAsia" w:cstheme="minorEastAsia"/>
          <w:color w:val="auto"/>
          <w:sz w:val="21"/>
          <w:szCs w:val="21"/>
          <w:highlight w:val="none"/>
        </w:rPr>
        <w:t xml:space="preserve">                                      [货币单位：人民币/元]</w:t>
      </w:r>
    </w:p>
    <w:tbl>
      <w:tblPr>
        <w:tblStyle w:val="77"/>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4323"/>
        <w:gridCol w:w="2255"/>
      </w:tblGrid>
      <w:tr w14:paraId="0A3C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trPr>
        <w:tc>
          <w:tcPr>
            <w:tcW w:w="2371" w:type="dxa"/>
            <w:vAlign w:val="center"/>
          </w:tcPr>
          <w:p w14:paraId="03F30EDB">
            <w:pPr>
              <w:shd w:val="clear"/>
              <w:spacing w:line="360" w:lineRule="auto"/>
              <w:ind w:firstLine="420" w:firstLineChars="20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w:t>
            </w:r>
          </w:p>
        </w:tc>
        <w:tc>
          <w:tcPr>
            <w:tcW w:w="4323" w:type="dxa"/>
            <w:vAlign w:val="center"/>
          </w:tcPr>
          <w:p w14:paraId="3908D407">
            <w:pPr>
              <w:shd w:val="clear"/>
              <w:spacing w:line="360" w:lineRule="auto"/>
              <w:ind w:firstLine="420" w:firstLineChars="20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投标报价</w:t>
            </w:r>
          </w:p>
        </w:tc>
        <w:tc>
          <w:tcPr>
            <w:tcW w:w="2255" w:type="dxa"/>
            <w:vAlign w:val="center"/>
          </w:tcPr>
          <w:p w14:paraId="71E763C7">
            <w:pPr>
              <w:shd w:val="clear"/>
              <w:spacing w:line="36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投标报价要求</w:t>
            </w:r>
          </w:p>
        </w:tc>
      </w:tr>
      <w:tr w14:paraId="1656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trPr>
        <w:tc>
          <w:tcPr>
            <w:tcW w:w="2371" w:type="dxa"/>
            <w:vMerge w:val="restart"/>
            <w:vAlign w:val="center"/>
          </w:tcPr>
          <w:p w14:paraId="661B4FF8">
            <w:pPr>
              <w:shd w:val="clea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2025年度峰江街道居家养老服务（照料）中心</w:t>
            </w:r>
          </w:p>
        </w:tc>
        <w:tc>
          <w:tcPr>
            <w:tcW w:w="4323" w:type="dxa"/>
            <w:vAlign w:val="center"/>
          </w:tcPr>
          <w:p w14:paraId="02747C7A">
            <w:pPr>
              <w:shd w:val="clea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p>
        </w:tc>
        <w:tc>
          <w:tcPr>
            <w:tcW w:w="2255" w:type="dxa"/>
            <w:vMerge w:val="restart"/>
            <w:vAlign w:val="center"/>
          </w:tcPr>
          <w:p w14:paraId="6C13AE56">
            <w:pPr>
              <w:shd w:val="clear"/>
              <w:spacing w:line="36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投标报价≤</w:t>
            </w:r>
            <w:r>
              <w:rPr>
                <w:rFonts w:hint="eastAsia" w:asciiTheme="minorEastAsia" w:hAnsiTheme="minorEastAsia" w:eastAsiaTheme="minorEastAsia" w:cstheme="minorEastAsia"/>
                <w:color w:val="auto"/>
                <w:sz w:val="21"/>
                <w:szCs w:val="21"/>
                <w:highlight w:val="none"/>
                <w:lang w:val="en-US" w:eastAsia="zh-CN"/>
              </w:rPr>
              <w:t>275000元/年。</w:t>
            </w:r>
            <w:r>
              <w:rPr>
                <w:rFonts w:hint="eastAsia" w:asciiTheme="minorEastAsia" w:hAnsiTheme="minorEastAsia" w:eastAsiaTheme="minorEastAsia" w:cstheme="minorEastAsia"/>
                <w:color w:val="auto"/>
                <w:sz w:val="21"/>
                <w:szCs w:val="21"/>
                <w:highlight w:val="none"/>
                <w:lang w:eastAsia="zh-CN"/>
              </w:rPr>
              <w:t>高于</w:t>
            </w:r>
            <w:r>
              <w:rPr>
                <w:rFonts w:hint="eastAsia" w:asciiTheme="minorEastAsia" w:hAnsiTheme="minorEastAsia" w:eastAsiaTheme="minorEastAsia" w:cstheme="minorEastAsia"/>
                <w:color w:val="auto"/>
                <w:sz w:val="21"/>
                <w:szCs w:val="21"/>
                <w:highlight w:val="none"/>
              </w:rPr>
              <w:t>最</w:t>
            </w:r>
            <w:r>
              <w:rPr>
                <w:rFonts w:hint="eastAsia" w:asciiTheme="minorEastAsia" w:hAnsiTheme="minorEastAsia" w:eastAsiaTheme="minorEastAsia" w:cstheme="minorEastAsia"/>
                <w:color w:val="auto"/>
                <w:sz w:val="21"/>
                <w:szCs w:val="21"/>
                <w:highlight w:val="none"/>
                <w:lang w:eastAsia="zh-CN"/>
              </w:rPr>
              <w:t>高</w:t>
            </w:r>
            <w:r>
              <w:rPr>
                <w:rFonts w:hint="eastAsia" w:asciiTheme="minorEastAsia" w:hAnsiTheme="minorEastAsia" w:eastAsiaTheme="minorEastAsia" w:cstheme="minorEastAsia"/>
                <w:color w:val="auto"/>
                <w:sz w:val="21"/>
                <w:szCs w:val="21"/>
                <w:highlight w:val="none"/>
              </w:rPr>
              <w:t>限价的，按无效标处理</w:t>
            </w:r>
            <w:r>
              <w:rPr>
                <w:rFonts w:hint="eastAsia" w:asciiTheme="minorEastAsia" w:hAnsiTheme="minorEastAsia" w:eastAsiaTheme="minorEastAsia" w:cstheme="minorEastAsia"/>
                <w:color w:val="auto"/>
                <w:sz w:val="21"/>
                <w:szCs w:val="21"/>
                <w:highlight w:val="none"/>
                <w:lang w:eastAsia="zh-CN"/>
              </w:rPr>
              <w:t>。</w:t>
            </w:r>
          </w:p>
        </w:tc>
      </w:tr>
      <w:tr w14:paraId="7680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2371" w:type="dxa"/>
            <w:vMerge w:val="continue"/>
            <w:vAlign w:val="center"/>
          </w:tcPr>
          <w:p w14:paraId="3790709A">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tc>
        <w:tc>
          <w:tcPr>
            <w:tcW w:w="4323" w:type="dxa"/>
            <w:vAlign w:val="center"/>
          </w:tcPr>
          <w:p w14:paraId="2DB3D8B6">
            <w:pPr>
              <w:shd w:val="clear"/>
              <w:spacing w:line="360" w:lineRule="auto"/>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1"/>
                <w:szCs w:val="21"/>
                <w:highlight w:val="none"/>
              </w:rPr>
              <w:t>小写：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p>
        </w:tc>
        <w:tc>
          <w:tcPr>
            <w:tcW w:w="2255" w:type="dxa"/>
            <w:vMerge w:val="continue"/>
            <w:vAlign w:val="center"/>
          </w:tcPr>
          <w:p w14:paraId="394A423A">
            <w:pPr>
              <w:shd w:val="clear"/>
              <w:spacing w:line="360" w:lineRule="auto"/>
              <w:jc w:val="center"/>
              <w:rPr>
                <w:rFonts w:hint="eastAsia" w:asciiTheme="minorEastAsia" w:hAnsiTheme="minorEastAsia" w:eastAsiaTheme="minorEastAsia" w:cstheme="minorEastAsia"/>
                <w:color w:val="auto"/>
                <w:sz w:val="24"/>
                <w:highlight w:val="none"/>
              </w:rPr>
            </w:pPr>
          </w:p>
        </w:tc>
      </w:tr>
    </w:tbl>
    <w:p w14:paraId="1C6E000B">
      <w:pPr>
        <w:shd w:val="clear"/>
        <w:spacing w:line="360" w:lineRule="auto"/>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填报要求：</w:t>
      </w:r>
    </w:p>
    <w:p w14:paraId="4C9D45AA">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1.投标总报价是包括</w:t>
      </w:r>
      <w:r>
        <w:rPr>
          <w:rFonts w:hint="eastAsia" w:asciiTheme="minorEastAsia" w:hAnsiTheme="minorEastAsia" w:eastAsiaTheme="minorEastAsia" w:cstheme="minorEastAsia"/>
          <w:color w:val="auto"/>
          <w:sz w:val="21"/>
          <w:szCs w:val="21"/>
          <w:highlight w:val="none"/>
          <w:lang w:val="en-US" w:eastAsia="zh-CN"/>
        </w:rPr>
        <w:t>但不限于</w:t>
      </w:r>
      <w:r>
        <w:rPr>
          <w:rFonts w:hint="eastAsia" w:asciiTheme="minorEastAsia" w:hAnsiTheme="minorEastAsia" w:eastAsiaTheme="minorEastAsia" w:cstheme="minorEastAsia"/>
          <w:color w:val="auto"/>
          <w:sz w:val="21"/>
          <w:szCs w:val="21"/>
          <w:highlight w:val="none"/>
        </w:rPr>
        <w:t>提供服务所需</w:t>
      </w:r>
      <w:r>
        <w:rPr>
          <w:rFonts w:hint="eastAsia" w:asciiTheme="minorEastAsia" w:hAnsiTheme="minorEastAsia" w:eastAsiaTheme="minorEastAsia" w:cstheme="minorEastAsia"/>
          <w:color w:val="auto"/>
          <w:sz w:val="21"/>
          <w:szCs w:val="21"/>
          <w:highlight w:val="none"/>
          <w:lang w:val="en-US" w:eastAsia="zh-CN"/>
        </w:rPr>
        <w:t>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办公、通信、劳保、利润、税金、培训、奖罚措施、保险（包括医疗、工伤、养老等社会保险、人身意外保险及公众责任险）、政策性收费及合同包含的所有风险、责任、不可预见等各项所有费用，投标人应列入而未列入其中的费用，均视为已包含在内，风险由投标人承担。</w:t>
      </w:r>
    </w:p>
    <w:p w14:paraId="05A46E15">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2.报价一经涂改，应在涂改处加盖单位公章，或者由法定代表人或全权代表签字或盖章，否则其投标作无效标处理。</w:t>
      </w:r>
    </w:p>
    <w:p w14:paraId="26284858">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p w14:paraId="617A8772">
      <w:pPr>
        <w:shd w:val="clear"/>
        <w:spacing w:line="48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投标人名称（盖章）：</w:t>
      </w:r>
      <w:r>
        <w:rPr>
          <w:rFonts w:hint="eastAsia" w:asciiTheme="minorEastAsia" w:hAnsiTheme="minorEastAsia" w:eastAsiaTheme="minorEastAsia" w:cstheme="minorEastAsia"/>
          <w:color w:val="auto"/>
          <w:sz w:val="21"/>
          <w:szCs w:val="21"/>
          <w:highlight w:val="none"/>
          <w:u w:val="single"/>
        </w:rPr>
        <w:t xml:space="preserve">                         </w:t>
      </w:r>
    </w:p>
    <w:p w14:paraId="3AD53476">
      <w:pPr>
        <w:shd w:val="clear"/>
        <w:spacing w:line="48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授权委托代理人签字或盖章：</w:t>
      </w:r>
      <w:r>
        <w:rPr>
          <w:rFonts w:hint="eastAsia" w:asciiTheme="minorEastAsia" w:hAnsiTheme="minorEastAsia" w:eastAsiaTheme="minorEastAsia" w:cstheme="minorEastAsia"/>
          <w:color w:val="auto"/>
          <w:sz w:val="21"/>
          <w:szCs w:val="21"/>
          <w:highlight w:val="none"/>
          <w:u w:val="single"/>
        </w:rPr>
        <w:t xml:space="preserve">                   </w:t>
      </w:r>
    </w:p>
    <w:p w14:paraId="5AAA1F7E">
      <w:pPr>
        <w:shd w:val="clear"/>
        <w:spacing w:line="48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1"/>
          <w:szCs w:val="21"/>
          <w:highlight w:val="none"/>
        </w:rPr>
        <w:t>日期：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4"/>
          <w:highlight w:val="none"/>
          <w:u w:val="single"/>
        </w:rPr>
        <w:t xml:space="preserve">                    </w:t>
      </w:r>
    </w:p>
    <w:p w14:paraId="7C491F27">
      <w:pPr>
        <w:shd w:val="clear"/>
        <w:spacing w:line="360" w:lineRule="auto"/>
        <w:ind w:firstLine="480" w:firstLineChars="200"/>
        <w:jc w:val="left"/>
        <w:rPr>
          <w:rFonts w:hint="eastAsia" w:asciiTheme="minorEastAsia" w:hAnsiTheme="minorEastAsia" w:eastAsiaTheme="minorEastAsia" w:cstheme="minorEastAsia"/>
          <w:color w:val="auto"/>
          <w:sz w:val="24"/>
          <w:szCs w:val="32"/>
          <w:highlight w:val="none"/>
        </w:rPr>
      </w:pPr>
    </w:p>
    <w:p w14:paraId="7376E096">
      <w:pPr>
        <w:shd w:val="clea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br w:type="page"/>
      </w:r>
    </w:p>
    <w:p w14:paraId="6166C9BE">
      <w:pPr>
        <w:shd w:val="clear"/>
        <w:tabs>
          <w:tab w:val="left" w:pos="2460"/>
        </w:tabs>
        <w:spacing w:line="360" w:lineRule="auto"/>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附件</w:t>
      </w:r>
      <w:r>
        <w:rPr>
          <w:rFonts w:hint="eastAsia" w:asciiTheme="minorEastAsia" w:hAnsiTheme="minorEastAsia" w:eastAsiaTheme="minorEastAsia" w:cstheme="minorEastAsia"/>
          <w:b/>
          <w:color w:val="auto"/>
          <w:sz w:val="21"/>
          <w:szCs w:val="21"/>
          <w:highlight w:val="none"/>
          <w:lang w:val="en-US" w:eastAsia="zh-CN"/>
        </w:rPr>
        <w:t>3</w:t>
      </w:r>
    </w:p>
    <w:p w14:paraId="264D6F34">
      <w:pPr>
        <w:shd w:val="clear"/>
        <w:spacing w:line="360" w:lineRule="auto"/>
        <w:ind w:left="-2" w:hanging="2"/>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报价明细表 </w:t>
      </w:r>
    </w:p>
    <w:p w14:paraId="1D6D1DE3">
      <w:pPr>
        <w:shd w:val="clea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项目编号：                                       [货币单位：人民币/元]</w:t>
      </w:r>
    </w:p>
    <w:tbl>
      <w:tblPr>
        <w:tblStyle w:val="77"/>
        <w:tblW w:w="10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502"/>
        <w:gridCol w:w="1595"/>
        <w:gridCol w:w="989"/>
        <w:gridCol w:w="754"/>
        <w:gridCol w:w="1162"/>
        <w:gridCol w:w="2413"/>
        <w:gridCol w:w="1519"/>
        <w:gridCol w:w="383"/>
      </w:tblGrid>
      <w:tr w14:paraId="37E4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601" w:type="dxa"/>
            <w:noWrap w:val="0"/>
            <w:vAlign w:val="center"/>
          </w:tcPr>
          <w:p w14:paraId="10443BFE">
            <w:pPr>
              <w:shd w:val="clea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502" w:type="dxa"/>
            <w:noWrap w:val="0"/>
            <w:vAlign w:val="center"/>
          </w:tcPr>
          <w:p w14:paraId="48CEDA3C">
            <w:pPr>
              <w:shd w:val="clear"/>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服务内容</w:t>
            </w:r>
          </w:p>
        </w:tc>
        <w:tc>
          <w:tcPr>
            <w:tcW w:w="1595" w:type="dxa"/>
            <w:noWrap w:val="0"/>
            <w:vAlign w:val="center"/>
          </w:tcPr>
          <w:p w14:paraId="5870340E">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投标上限单价（元/年/家）</w:t>
            </w:r>
            <w:r>
              <w:rPr>
                <w:rFonts w:hint="eastAsia" w:asciiTheme="minorEastAsia" w:hAnsiTheme="minorEastAsia" w:eastAsiaTheme="minorEastAsia" w:cstheme="minorEastAsia"/>
                <w:b w:val="0"/>
                <w:color w:val="auto"/>
                <w:sz w:val="24"/>
                <w:szCs w:val="24"/>
                <w:highlight w:val="none"/>
                <w:lang w:val="en-US" w:eastAsia="zh-CN"/>
              </w:rPr>
              <w:t>①</w:t>
            </w:r>
          </w:p>
        </w:tc>
        <w:tc>
          <w:tcPr>
            <w:tcW w:w="989" w:type="dxa"/>
            <w:noWrap w:val="0"/>
            <w:vAlign w:val="center"/>
          </w:tcPr>
          <w:p w14:paraId="563C4B78">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数量②</w:t>
            </w:r>
          </w:p>
        </w:tc>
        <w:tc>
          <w:tcPr>
            <w:tcW w:w="754" w:type="dxa"/>
            <w:noWrap w:val="0"/>
            <w:vAlign w:val="center"/>
          </w:tcPr>
          <w:p w14:paraId="01FAC67E">
            <w:pPr>
              <w:shd w:val="clear"/>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单位</w:t>
            </w:r>
          </w:p>
        </w:tc>
        <w:tc>
          <w:tcPr>
            <w:tcW w:w="1162" w:type="dxa"/>
            <w:noWrap w:val="0"/>
            <w:vAlign w:val="center"/>
          </w:tcPr>
          <w:p w14:paraId="7A209DFA">
            <w:pPr>
              <w:shd w:val="clear"/>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下浮率③</w:t>
            </w:r>
          </w:p>
        </w:tc>
        <w:tc>
          <w:tcPr>
            <w:tcW w:w="2413" w:type="dxa"/>
            <w:noWrap w:val="0"/>
            <w:vAlign w:val="center"/>
          </w:tcPr>
          <w:p w14:paraId="7CA40577">
            <w:pPr>
              <w:shd w:val="clear"/>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投标单价（元/年/家）④</w:t>
            </w:r>
          </w:p>
          <w:p w14:paraId="66587548">
            <w:pPr>
              <w:pStyle w:val="2"/>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（④=①*③）</w:t>
            </w:r>
          </w:p>
        </w:tc>
        <w:tc>
          <w:tcPr>
            <w:tcW w:w="1519" w:type="dxa"/>
            <w:noWrap w:val="0"/>
            <w:vAlign w:val="center"/>
          </w:tcPr>
          <w:p w14:paraId="34D7EE8D">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bCs/>
                <w:color w:val="auto"/>
                <w:sz w:val="21"/>
                <w:szCs w:val="21"/>
                <w:highlight w:val="none"/>
                <w:shd w:val="clear" w:color="auto" w:fill="auto"/>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总价(元/年）⑤</w:t>
            </w:r>
          </w:p>
          <w:p w14:paraId="29891E8C">
            <w:pPr>
              <w:pStyle w:val="2"/>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（⑤=②*④）</w:t>
            </w:r>
          </w:p>
        </w:tc>
        <w:tc>
          <w:tcPr>
            <w:tcW w:w="383" w:type="dxa"/>
            <w:noWrap w:val="0"/>
            <w:vAlign w:val="center"/>
          </w:tcPr>
          <w:p w14:paraId="27A2F0C4">
            <w:pPr>
              <w:shd w:val="clea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备注</w:t>
            </w:r>
          </w:p>
        </w:tc>
      </w:tr>
      <w:tr w14:paraId="0BBE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601" w:type="dxa"/>
            <w:noWrap w:val="0"/>
            <w:vAlign w:val="center"/>
          </w:tcPr>
          <w:p w14:paraId="05124E97">
            <w:pPr>
              <w:shd w:val="clea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502" w:type="dxa"/>
            <w:noWrap w:val="0"/>
            <w:vAlign w:val="center"/>
          </w:tcPr>
          <w:p w14:paraId="0BFD67E4">
            <w:pPr>
              <w:shd w:val="clea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服务中心托管</w:t>
            </w:r>
          </w:p>
        </w:tc>
        <w:tc>
          <w:tcPr>
            <w:tcW w:w="1595" w:type="dxa"/>
            <w:noWrap w:val="0"/>
            <w:vAlign w:val="center"/>
          </w:tcPr>
          <w:p w14:paraId="4D2BB9E5">
            <w:pPr>
              <w:pStyle w:val="692"/>
              <w:keepNext w:val="0"/>
              <w:keepLines w:val="0"/>
              <w:pageBreakBefore w:val="0"/>
              <w:shd w:val="clear"/>
              <w:kinsoku/>
              <w:wordWrap/>
              <w:topLinePunct w:val="0"/>
              <w:bidi w:val="0"/>
              <w:adjustRightInd w:val="0"/>
              <w:snapToGrid w:val="0"/>
              <w:spacing w:before="1" w:line="360" w:lineRule="auto"/>
              <w:ind w:right="106"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 xml:space="preserve">80000 </w:t>
            </w:r>
          </w:p>
        </w:tc>
        <w:tc>
          <w:tcPr>
            <w:tcW w:w="989" w:type="dxa"/>
            <w:noWrap w:val="0"/>
            <w:vAlign w:val="center"/>
          </w:tcPr>
          <w:p w14:paraId="5FD8870F">
            <w:pPr>
              <w:pStyle w:val="692"/>
              <w:keepNext w:val="0"/>
              <w:keepLines w:val="0"/>
              <w:pageBreakBefore w:val="0"/>
              <w:shd w:val="clear"/>
              <w:kinsoku/>
              <w:wordWrap/>
              <w:topLinePunct w:val="0"/>
              <w:bidi w:val="0"/>
              <w:adjustRightInd w:val="0"/>
              <w:snapToGrid w:val="0"/>
              <w:spacing w:before="1" w:line="360" w:lineRule="auto"/>
              <w:ind w:right="106"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c>
          <w:tcPr>
            <w:tcW w:w="754" w:type="dxa"/>
            <w:vMerge w:val="restart"/>
            <w:noWrap w:val="0"/>
            <w:vAlign w:val="center"/>
          </w:tcPr>
          <w:p w14:paraId="70B0CA73">
            <w:pPr>
              <w:shd w:val="clea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家</w:t>
            </w:r>
          </w:p>
        </w:tc>
        <w:tc>
          <w:tcPr>
            <w:tcW w:w="1162" w:type="dxa"/>
            <w:vMerge w:val="restart"/>
            <w:noWrap w:val="0"/>
            <w:vAlign w:val="center"/>
          </w:tcPr>
          <w:p w14:paraId="2E0CC736">
            <w:pPr>
              <w:shd w:val="clea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u w:val="single"/>
                <w:lang w:val="en-US" w:eastAsia="zh-CN"/>
              </w:rPr>
              <w:t xml:space="preserve">        %   </w:t>
            </w:r>
          </w:p>
        </w:tc>
        <w:tc>
          <w:tcPr>
            <w:tcW w:w="2413" w:type="dxa"/>
            <w:noWrap w:val="0"/>
            <w:vAlign w:val="center"/>
          </w:tcPr>
          <w:p w14:paraId="10FEE4BF">
            <w:pPr>
              <w:shd w:val="clear"/>
              <w:jc w:val="center"/>
              <w:rPr>
                <w:rFonts w:hint="eastAsia" w:asciiTheme="minorEastAsia" w:hAnsiTheme="minorEastAsia" w:eastAsiaTheme="minorEastAsia" w:cstheme="minorEastAsia"/>
                <w:color w:val="auto"/>
                <w:sz w:val="21"/>
                <w:szCs w:val="21"/>
                <w:highlight w:val="none"/>
              </w:rPr>
            </w:pPr>
          </w:p>
        </w:tc>
        <w:tc>
          <w:tcPr>
            <w:tcW w:w="1519" w:type="dxa"/>
            <w:noWrap w:val="0"/>
            <w:vAlign w:val="center"/>
          </w:tcPr>
          <w:p w14:paraId="357A21C2">
            <w:pPr>
              <w:pStyle w:val="692"/>
              <w:keepNext w:val="0"/>
              <w:keepLines w:val="0"/>
              <w:pageBreakBefore w:val="0"/>
              <w:shd w:val="clear"/>
              <w:kinsoku/>
              <w:wordWrap/>
              <w:topLinePunct w:val="0"/>
              <w:bidi w:val="0"/>
              <w:adjustRightInd w:val="0"/>
              <w:snapToGrid w:val="0"/>
              <w:spacing w:before="1" w:line="360" w:lineRule="auto"/>
              <w:ind w:right="106" w:rightChars="0"/>
              <w:jc w:val="center"/>
              <w:rPr>
                <w:rFonts w:hint="eastAsia" w:asciiTheme="minorEastAsia" w:hAnsiTheme="minorEastAsia" w:eastAsiaTheme="minorEastAsia" w:cstheme="minorEastAsia"/>
                <w:color w:val="auto"/>
                <w:sz w:val="21"/>
                <w:szCs w:val="21"/>
                <w:highlight w:val="none"/>
              </w:rPr>
            </w:pPr>
          </w:p>
        </w:tc>
        <w:tc>
          <w:tcPr>
            <w:tcW w:w="383" w:type="dxa"/>
            <w:noWrap w:val="0"/>
            <w:vAlign w:val="center"/>
          </w:tcPr>
          <w:p w14:paraId="1B1ED2E2">
            <w:pPr>
              <w:shd w:val="clear"/>
              <w:jc w:val="center"/>
              <w:rPr>
                <w:rFonts w:hint="eastAsia" w:asciiTheme="minorEastAsia" w:hAnsiTheme="minorEastAsia" w:eastAsiaTheme="minorEastAsia" w:cstheme="minorEastAsia"/>
                <w:color w:val="auto"/>
                <w:sz w:val="21"/>
                <w:szCs w:val="21"/>
                <w:highlight w:val="none"/>
              </w:rPr>
            </w:pPr>
          </w:p>
        </w:tc>
      </w:tr>
      <w:tr w14:paraId="3248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601" w:type="dxa"/>
            <w:noWrap w:val="0"/>
            <w:vAlign w:val="center"/>
          </w:tcPr>
          <w:p w14:paraId="2DE77F89">
            <w:pPr>
              <w:shd w:val="clea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502" w:type="dxa"/>
            <w:noWrap w:val="0"/>
            <w:vAlign w:val="center"/>
          </w:tcPr>
          <w:p w14:paraId="5391BD06">
            <w:pPr>
              <w:shd w:val="clea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无社会化运营照料中心</w:t>
            </w:r>
          </w:p>
        </w:tc>
        <w:tc>
          <w:tcPr>
            <w:tcW w:w="1595" w:type="dxa"/>
            <w:noWrap w:val="0"/>
            <w:vAlign w:val="center"/>
          </w:tcPr>
          <w:p w14:paraId="0CCEA9A1">
            <w:pPr>
              <w:pStyle w:val="692"/>
              <w:keepNext w:val="0"/>
              <w:keepLines w:val="0"/>
              <w:pageBreakBefore w:val="0"/>
              <w:shd w:val="clear"/>
              <w:kinsoku/>
              <w:wordWrap/>
              <w:topLinePunct w:val="0"/>
              <w:bidi w:val="0"/>
              <w:adjustRightInd w:val="0"/>
              <w:snapToGrid w:val="0"/>
              <w:spacing w:before="1" w:line="360" w:lineRule="auto"/>
              <w:ind w:right="106"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5000</w:t>
            </w:r>
          </w:p>
        </w:tc>
        <w:tc>
          <w:tcPr>
            <w:tcW w:w="989" w:type="dxa"/>
            <w:noWrap w:val="0"/>
            <w:vAlign w:val="center"/>
          </w:tcPr>
          <w:p w14:paraId="69651487">
            <w:pPr>
              <w:pStyle w:val="692"/>
              <w:keepNext w:val="0"/>
              <w:keepLines w:val="0"/>
              <w:pageBreakBefore w:val="0"/>
              <w:shd w:val="clear"/>
              <w:kinsoku/>
              <w:wordWrap/>
              <w:topLinePunct w:val="0"/>
              <w:bidi w:val="0"/>
              <w:adjustRightInd w:val="0"/>
              <w:snapToGrid w:val="0"/>
              <w:spacing w:before="1" w:line="360" w:lineRule="auto"/>
              <w:ind w:right="106"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p>
        </w:tc>
        <w:tc>
          <w:tcPr>
            <w:tcW w:w="754" w:type="dxa"/>
            <w:vMerge w:val="continue"/>
            <w:noWrap w:val="0"/>
            <w:vAlign w:val="center"/>
          </w:tcPr>
          <w:p w14:paraId="299CD22E">
            <w:pPr>
              <w:shd w:val="clear"/>
              <w:jc w:val="center"/>
              <w:rPr>
                <w:rFonts w:hint="eastAsia" w:asciiTheme="minorEastAsia" w:hAnsiTheme="minorEastAsia" w:eastAsiaTheme="minorEastAsia" w:cstheme="minorEastAsia"/>
                <w:color w:val="auto"/>
                <w:sz w:val="21"/>
                <w:szCs w:val="21"/>
                <w:highlight w:val="none"/>
              </w:rPr>
            </w:pPr>
          </w:p>
        </w:tc>
        <w:tc>
          <w:tcPr>
            <w:tcW w:w="1162" w:type="dxa"/>
            <w:vMerge w:val="continue"/>
            <w:noWrap w:val="0"/>
            <w:vAlign w:val="center"/>
          </w:tcPr>
          <w:p w14:paraId="527DD21E">
            <w:pPr>
              <w:shd w:val="clear"/>
              <w:jc w:val="center"/>
              <w:rPr>
                <w:rFonts w:hint="eastAsia" w:asciiTheme="minorEastAsia" w:hAnsiTheme="minorEastAsia" w:eastAsiaTheme="minorEastAsia" w:cstheme="minorEastAsia"/>
                <w:color w:val="auto"/>
                <w:sz w:val="21"/>
                <w:szCs w:val="21"/>
                <w:highlight w:val="none"/>
              </w:rPr>
            </w:pPr>
          </w:p>
        </w:tc>
        <w:tc>
          <w:tcPr>
            <w:tcW w:w="2413" w:type="dxa"/>
            <w:noWrap w:val="0"/>
            <w:vAlign w:val="center"/>
          </w:tcPr>
          <w:p w14:paraId="3CBBFF38">
            <w:pPr>
              <w:shd w:val="clear"/>
              <w:jc w:val="center"/>
              <w:rPr>
                <w:rFonts w:hint="eastAsia" w:asciiTheme="minorEastAsia" w:hAnsiTheme="minorEastAsia" w:eastAsiaTheme="minorEastAsia" w:cstheme="minorEastAsia"/>
                <w:color w:val="auto"/>
                <w:sz w:val="21"/>
                <w:szCs w:val="21"/>
                <w:highlight w:val="none"/>
              </w:rPr>
            </w:pPr>
          </w:p>
        </w:tc>
        <w:tc>
          <w:tcPr>
            <w:tcW w:w="1519" w:type="dxa"/>
            <w:noWrap w:val="0"/>
            <w:vAlign w:val="center"/>
          </w:tcPr>
          <w:p w14:paraId="2D768E18">
            <w:pPr>
              <w:pStyle w:val="692"/>
              <w:keepNext w:val="0"/>
              <w:keepLines w:val="0"/>
              <w:pageBreakBefore w:val="0"/>
              <w:shd w:val="clear"/>
              <w:kinsoku/>
              <w:wordWrap/>
              <w:topLinePunct w:val="0"/>
              <w:bidi w:val="0"/>
              <w:adjustRightInd w:val="0"/>
              <w:snapToGrid w:val="0"/>
              <w:spacing w:before="1" w:line="360" w:lineRule="auto"/>
              <w:ind w:right="106" w:rightChars="0"/>
              <w:jc w:val="center"/>
              <w:rPr>
                <w:rFonts w:hint="eastAsia" w:asciiTheme="minorEastAsia" w:hAnsiTheme="minorEastAsia" w:eastAsiaTheme="minorEastAsia" w:cstheme="minorEastAsia"/>
                <w:color w:val="auto"/>
                <w:sz w:val="21"/>
                <w:szCs w:val="21"/>
                <w:highlight w:val="none"/>
              </w:rPr>
            </w:pPr>
          </w:p>
        </w:tc>
        <w:tc>
          <w:tcPr>
            <w:tcW w:w="383" w:type="dxa"/>
            <w:noWrap w:val="0"/>
            <w:vAlign w:val="center"/>
          </w:tcPr>
          <w:p w14:paraId="05A2238C">
            <w:pPr>
              <w:shd w:val="clear"/>
              <w:jc w:val="center"/>
              <w:rPr>
                <w:rFonts w:hint="eastAsia" w:asciiTheme="minorEastAsia" w:hAnsiTheme="minorEastAsia" w:eastAsiaTheme="minorEastAsia" w:cstheme="minorEastAsia"/>
                <w:color w:val="auto"/>
                <w:sz w:val="21"/>
                <w:szCs w:val="21"/>
                <w:highlight w:val="none"/>
              </w:rPr>
            </w:pPr>
          </w:p>
        </w:tc>
      </w:tr>
      <w:tr w14:paraId="1570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601" w:type="dxa"/>
            <w:noWrap w:val="0"/>
            <w:vAlign w:val="center"/>
          </w:tcPr>
          <w:p w14:paraId="2448FF68">
            <w:pPr>
              <w:shd w:val="clea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502" w:type="dxa"/>
            <w:noWrap w:val="0"/>
            <w:vAlign w:val="center"/>
          </w:tcPr>
          <w:p w14:paraId="29397426">
            <w:pPr>
              <w:shd w:val="clea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sz w:val="21"/>
                <w:szCs w:val="21"/>
                <w:highlight w:val="none"/>
              </w:rPr>
              <w:t>居家养老</w:t>
            </w:r>
            <w:r>
              <w:rPr>
                <w:rFonts w:hint="eastAsia" w:asciiTheme="minorEastAsia" w:hAnsiTheme="minorEastAsia" w:eastAsiaTheme="minorEastAsia" w:cstheme="minorEastAsia"/>
                <w:color w:val="000000"/>
                <w:sz w:val="21"/>
                <w:szCs w:val="21"/>
                <w:highlight w:val="none"/>
                <w:lang w:val="en-US" w:eastAsia="zh-CN"/>
              </w:rPr>
              <w:t>服务</w:t>
            </w:r>
            <w:r>
              <w:rPr>
                <w:rFonts w:hint="eastAsia" w:asciiTheme="minorEastAsia" w:hAnsiTheme="minorEastAsia" w:eastAsiaTheme="minorEastAsia" w:cstheme="minorEastAsia"/>
                <w:color w:val="000000"/>
                <w:sz w:val="21"/>
                <w:szCs w:val="21"/>
                <w:highlight w:val="none"/>
              </w:rPr>
              <w:t>照料中心托管运营</w:t>
            </w:r>
          </w:p>
        </w:tc>
        <w:tc>
          <w:tcPr>
            <w:tcW w:w="1595" w:type="dxa"/>
            <w:noWrap w:val="0"/>
            <w:vAlign w:val="center"/>
          </w:tcPr>
          <w:p w14:paraId="060B5E2B">
            <w:pPr>
              <w:pStyle w:val="692"/>
              <w:keepNext w:val="0"/>
              <w:keepLines w:val="0"/>
              <w:pageBreakBefore w:val="0"/>
              <w:shd w:val="clear"/>
              <w:kinsoku/>
              <w:wordWrap/>
              <w:topLinePunct w:val="0"/>
              <w:bidi w:val="0"/>
              <w:adjustRightInd w:val="0"/>
              <w:snapToGrid w:val="0"/>
              <w:spacing w:before="1" w:line="360" w:lineRule="auto"/>
              <w:ind w:right="106"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10000</w:t>
            </w:r>
          </w:p>
        </w:tc>
        <w:tc>
          <w:tcPr>
            <w:tcW w:w="989" w:type="dxa"/>
            <w:noWrap w:val="0"/>
            <w:vAlign w:val="center"/>
          </w:tcPr>
          <w:p w14:paraId="63581E1F">
            <w:pPr>
              <w:pStyle w:val="692"/>
              <w:keepNext w:val="0"/>
              <w:keepLines w:val="0"/>
              <w:pageBreakBefore w:val="0"/>
              <w:shd w:val="clear"/>
              <w:kinsoku/>
              <w:wordWrap/>
              <w:topLinePunct w:val="0"/>
              <w:bidi w:val="0"/>
              <w:adjustRightInd w:val="0"/>
              <w:snapToGrid w:val="0"/>
              <w:spacing w:before="1" w:line="360" w:lineRule="auto"/>
              <w:ind w:right="106"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15</w:t>
            </w:r>
          </w:p>
        </w:tc>
        <w:tc>
          <w:tcPr>
            <w:tcW w:w="754" w:type="dxa"/>
            <w:vMerge w:val="continue"/>
            <w:noWrap w:val="0"/>
            <w:vAlign w:val="center"/>
          </w:tcPr>
          <w:p w14:paraId="7628EF2B">
            <w:pPr>
              <w:shd w:val="clear"/>
              <w:jc w:val="center"/>
              <w:rPr>
                <w:rFonts w:hint="eastAsia" w:asciiTheme="minorEastAsia" w:hAnsiTheme="minorEastAsia" w:eastAsiaTheme="minorEastAsia" w:cstheme="minorEastAsia"/>
                <w:color w:val="auto"/>
                <w:sz w:val="21"/>
                <w:szCs w:val="21"/>
                <w:highlight w:val="none"/>
              </w:rPr>
            </w:pPr>
          </w:p>
        </w:tc>
        <w:tc>
          <w:tcPr>
            <w:tcW w:w="1162" w:type="dxa"/>
            <w:vMerge w:val="continue"/>
            <w:noWrap w:val="0"/>
            <w:vAlign w:val="center"/>
          </w:tcPr>
          <w:p w14:paraId="248AE1CC">
            <w:pPr>
              <w:shd w:val="clear"/>
              <w:jc w:val="center"/>
              <w:rPr>
                <w:rFonts w:hint="eastAsia" w:asciiTheme="minorEastAsia" w:hAnsiTheme="minorEastAsia" w:eastAsiaTheme="minorEastAsia" w:cstheme="minorEastAsia"/>
                <w:color w:val="auto"/>
                <w:sz w:val="21"/>
                <w:szCs w:val="21"/>
                <w:highlight w:val="none"/>
              </w:rPr>
            </w:pPr>
          </w:p>
        </w:tc>
        <w:tc>
          <w:tcPr>
            <w:tcW w:w="2413" w:type="dxa"/>
            <w:noWrap w:val="0"/>
            <w:vAlign w:val="center"/>
          </w:tcPr>
          <w:p w14:paraId="6C9D21E1">
            <w:pPr>
              <w:shd w:val="clear"/>
              <w:jc w:val="center"/>
              <w:rPr>
                <w:rFonts w:hint="eastAsia" w:asciiTheme="minorEastAsia" w:hAnsiTheme="minorEastAsia" w:eastAsiaTheme="minorEastAsia" w:cstheme="minorEastAsia"/>
                <w:color w:val="auto"/>
                <w:sz w:val="21"/>
                <w:szCs w:val="21"/>
                <w:highlight w:val="none"/>
              </w:rPr>
            </w:pPr>
          </w:p>
        </w:tc>
        <w:tc>
          <w:tcPr>
            <w:tcW w:w="1519" w:type="dxa"/>
            <w:noWrap w:val="0"/>
            <w:vAlign w:val="center"/>
          </w:tcPr>
          <w:p w14:paraId="3AF66C15">
            <w:pPr>
              <w:pStyle w:val="692"/>
              <w:keepNext w:val="0"/>
              <w:keepLines w:val="0"/>
              <w:pageBreakBefore w:val="0"/>
              <w:shd w:val="clear"/>
              <w:kinsoku/>
              <w:wordWrap/>
              <w:topLinePunct w:val="0"/>
              <w:bidi w:val="0"/>
              <w:adjustRightInd w:val="0"/>
              <w:snapToGrid w:val="0"/>
              <w:spacing w:before="1" w:line="360" w:lineRule="auto"/>
              <w:ind w:right="106" w:rightChars="0"/>
              <w:jc w:val="center"/>
              <w:rPr>
                <w:rFonts w:hint="eastAsia" w:asciiTheme="minorEastAsia" w:hAnsiTheme="minorEastAsia" w:eastAsiaTheme="minorEastAsia" w:cstheme="minorEastAsia"/>
                <w:color w:val="auto"/>
                <w:sz w:val="21"/>
                <w:szCs w:val="21"/>
                <w:highlight w:val="none"/>
              </w:rPr>
            </w:pPr>
          </w:p>
        </w:tc>
        <w:tc>
          <w:tcPr>
            <w:tcW w:w="383" w:type="dxa"/>
            <w:noWrap w:val="0"/>
            <w:vAlign w:val="center"/>
          </w:tcPr>
          <w:p w14:paraId="3BE71CA7">
            <w:pPr>
              <w:shd w:val="clear"/>
              <w:jc w:val="center"/>
              <w:rPr>
                <w:rFonts w:hint="eastAsia" w:asciiTheme="minorEastAsia" w:hAnsiTheme="minorEastAsia" w:eastAsiaTheme="minorEastAsia" w:cstheme="minorEastAsia"/>
                <w:color w:val="auto"/>
                <w:sz w:val="21"/>
                <w:szCs w:val="21"/>
                <w:highlight w:val="none"/>
              </w:rPr>
            </w:pPr>
          </w:p>
        </w:tc>
      </w:tr>
      <w:tr w14:paraId="3DBE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601" w:type="dxa"/>
            <w:noWrap w:val="0"/>
            <w:vAlign w:val="center"/>
          </w:tcPr>
          <w:p w14:paraId="3DA9C04D">
            <w:pPr>
              <w:shd w:val="clea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1502" w:type="dxa"/>
            <w:noWrap w:val="0"/>
            <w:vAlign w:val="center"/>
          </w:tcPr>
          <w:p w14:paraId="4C61F6F0">
            <w:pPr>
              <w:shd w:val="clear"/>
              <w:jc w:val="center"/>
              <w:rPr>
                <w:rFonts w:hint="eastAsia" w:asciiTheme="minorEastAsia" w:hAnsiTheme="minorEastAsia" w:eastAsiaTheme="minorEastAsia" w:cstheme="minorEastAsia"/>
                <w:color w:val="auto"/>
                <w:sz w:val="21"/>
                <w:szCs w:val="21"/>
                <w:highlight w:val="none"/>
              </w:rPr>
            </w:pPr>
          </w:p>
        </w:tc>
        <w:tc>
          <w:tcPr>
            <w:tcW w:w="1595" w:type="dxa"/>
            <w:noWrap w:val="0"/>
            <w:vAlign w:val="center"/>
          </w:tcPr>
          <w:p w14:paraId="1F371769">
            <w:pPr>
              <w:shd w:val="clear"/>
              <w:jc w:val="center"/>
              <w:rPr>
                <w:rFonts w:hint="eastAsia" w:asciiTheme="minorEastAsia" w:hAnsiTheme="minorEastAsia" w:eastAsiaTheme="minorEastAsia" w:cstheme="minorEastAsia"/>
                <w:color w:val="auto"/>
                <w:sz w:val="21"/>
                <w:szCs w:val="21"/>
                <w:highlight w:val="none"/>
              </w:rPr>
            </w:pPr>
          </w:p>
        </w:tc>
        <w:tc>
          <w:tcPr>
            <w:tcW w:w="989" w:type="dxa"/>
            <w:noWrap w:val="0"/>
            <w:vAlign w:val="center"/>
          </w:tcPr>
          <w:p w14:paraId="5B4E10D5">
            <w:pPr>
              <w:shd w:val="clear"/>
              <w:jc w:val="center"/>
              <w:rPr>
                <w:rFonts w:hint="eastAsia" w:asciiTheme="minorEastAsia" w:hAnsiTheme="minorEastAsia" w:eastAsiaTheme="minorEastAsia" w:cstheme="minorEastAsia"/>
                <w:color w:val="auto"/>
                <w:sz w:val="21"/>
                <w:szCs w:val="21"/>
                <w:highlight w:val="none"/>
              </w:rPr>
            </w:pPr>
          </w:p>
        </w:tc>
        <w:tc>
          <w:tcPr>
            <w:tcW w:w="754" w:type="dxa"/>
            <w:noWrap w:val="0"/>
            <w:vAlign w:val="center"/>
          </w:tcPr>
          <w:p w14:paraId="5FC51216">
            <w:pPr>
              <w:shd w:val="clear"/>
              <w:jc w:val="center"/>
              <w:rPr>
                <w:rFonts w:hint="eastAsia" w:asciiTheme="minorEastAsia" w:hAnsiTheme="minorEastAsia" w:eastAsiaTheme="minorEastAsia" w:cstheme="minorEastAsia"/>
                <w:color w:val="auto"/>
                <w:sz w:val="21"/>
                <w:szCs w:val="21"/>
                <w:highlight w:val="none"/>
              </w:rPr>
            </w:pPr>
          </w:p>
        </w:tc>
        <w:tc>
          <w:tcPr>
            <w:tcW w:w="1162" w:type="dxa"/>
            <w:noWrap w:val="0"/>
            <w:vAlign w:val="center"/>
          </w:tcPr>
          <w:p w14:paraId="0AEE2897">
            <w:pPr>
              <w:shd w:val="clear"/>
              <w:jc w:val="center"/>
              <w:rPr>
                <w:rFonts w:hint="eastAsia" w:asciiTheme="minorEastAsia" w:hAnsiTheme="minorEastAsia" w:eastAsiaTheme="minorEastAsia" w:cstheme="minorEastAsia"/>
                <w:color w:val="auto"/>
                <w:sz w:val="21"/>
                <w:szCs w:val="21"/>
                <w:highlight w:val="none"/>
              </w:rPr>
            </w:pPr>
          </w:p>
        </w:tc>
        <w:tc>
          <w:tcPr>
            <w:tcW w:w="2413" w:type="dxa"/>
            <w:noWrap w:val="0"/>
            <w:vAlign w:val="center"/>
          </w:tcPr>
          <w:p w14:paraId="18686CEF">
            <w:pPr>
              <w:shd w:val="clear"/>
              <w:jc w:val="center"/>
              <w:rPr>
                <w:rFonts w:hint="eastAsia" w:asciiTheme="minorEastAsia" w:hAnsiTheme="minorEastAsia" w:eastAsiaTheme="minorEastAsia" w:cstheme="minorEastAsia"/>
                <w:color w:val="auto"/>
                <w:sz w:val="21"/>
                <w:szCs w:val="21"/>
                <w:highlight w:val="none"/>
              </w:rPr>
            </w:pPr>
          </w:p>
        </w:tc>
        <w:tc>
          <w:tcPr>
            <w:tcW w:w="1519" w:type="dxa"/>
            <w:noWrap w:val="0"/>
            <w:vAlign w:val="center"/>
          </w:tcPr>
          <w:p w14:paraId="735156DB">
            <w:pPr>
              <w:shd w:val="clear"/>
              <w:jc w:val="center"/>
              <w:rPr>
                <w:rFonts w:hint="eastAsia" w:asciiTheme="minorEastAsia" w:hAnsiTheme="minorEastAsia" w:eastAsiaTheme="minorEastAsia" w:cstheme="minorEastAsia"/>
                <w:color w:val="auto"/>
                <w:sz w:val="21"/>
                <w:szCs w:val="21"/>
                <w:highlight w:val="none"/>
              </w:rPr>
            </w:pPr>
          </w:p>
        </w:tc>
        <w:tc>
          <w:tcPr>
            <w:tcW w:w="383" w:type="dxa"/>
            <w:noWrap w:val="0"/>
            <w:vAlign w:val="center"/>
          </w:tcPr>
          <w:p w14:paraId="2D88487B">
            <w:pPr>
              <w:shd w:val="clear"/>
              <w:jc w:val="center"/>
              <w:rPr>
                <w:rFonts w:hint="eastAsia" w:asciiTheme="minorEastAsia" w:hAnsiTheme="minorEastAsia" w:eastAsiaTheme="minorEastAsia" w:cstheme="minorEastAsia"/>
                <w:color w:val="auto"/>
                <w:sz w:val="21"/>
                <w:szCs w:val="21"/>
                <w:highlight w:val="none"/>
              </w:rPr>
            </w:pPr>
          </w:p>
        </w:tc>
      </w:tr>
      <w:tr w14:paraId="2576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10918" w:type="dxa"/>
            <w:gridSpan w:val="9"/>
            <w:tcBorders>
              <w:bottom w:val="single" w:color="auto" w:sz="4" w:space="0"/>
            </w:tcBorders>
            <w:noWrap w:val="0"/>
            <w:vAlign w:val="center"/>
          </w:tcPr>
          <w:p w14:paraId="282CBC07">
            <w:pPr>
              <w:pStyle w:val="2"/>
              <w:spacing w:before="0" w:after="0" w:line="240" w:lineRule="auto"/>
              <w:jc w:val="both"/>
              <w:rPr>
                <w:rFonts w:hint="eastAsia" w:asciiTheme="minorEastAsia" w:hAnsiTheme="minorEastAsia" w:eastAsiaTheme="minorEastAsia" w:cstheme="minorEastAsia"/>
                <w:color w:val="auto"/>
                <w:sz w:val="21"/>
                <w:szCs w:val="21"/>
                <w:highlight w:val="none"/>
                <w:lang w:val="en-US" w:eastAsia="zh-CN"/>
              </w:rPr>
            </w:pPr>
            <w:bookmarkStart w:id="18" w:name="_Toc20815"/>
            <w:bookmarkStart w:id="19" w:name="_Toc27510"/>
            <w:r>
              <w:rPr>
                <w:rFonts w:hint="eastAsia" w:asciiTheme="minorEastAsia" w:hAnsiTheme="minorEastAsia" w:eastAsiaTheme="minorEastAsia" w:cstheme="minorEastAsia"/>
                <w:b w:val="0"/>
                <w:color w:val="auto"/>
                <w:sz w:val="24"/>
                <w:szCs w:val="24"/>
                <w:highlight w:val="none"/>
              </w:rPr>
              <w:t>总报价合计＝</w:t>
            </w:r>
            <w:bookmarkEnd w:id="18"/>
            <w:bookmarkEnd w:id="19"/>
            <w:r>
              <w:rPr>
                <w:rFonts w:hint="eastAsia" w:asciiTheme="minorEastAsia" w:hAnsiTheme="minorEastAsia" w:eastAsiaTheme="minorEastAsia" w:cstheme="minorEastAsia"/>
                <w:b w:val="0"/>
                <w:color w:val="auto"/>
                <w:sz w:val="24"/>
                <w:szCs w:val="24"/>
                <w:highlight w:val="none"/>
                <w:lang w:val="en-US" w:eastAsia="zh-CN"/>
              </w:rPr>
              <w:t>总价1+2+3</w:t>
            </w:r>
            <w:r>
              <w:rPr>
                <w:rFonts w:hint="eastAsia" w:asciiTheme="minorEastAsia" w:hAnsiTheme="minorEastAsia" w:eastAsiaTheme="minorEastAsia" w:cstheme="minorEastAsia"/>
                <w:color w:val="auto"/>
                <w:sz w:val="21"/>
                <w:szCs w:val="21"/>
                <w:highlight w:val="none"/>
              </w:rPr>
              <w:t>：大写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小写</w:t>
            </w:r>
            <w:r>
              <w:rPr>
                <w:rFonts w:hint="eastAsia" w:asciiTheme="minorEastAsia" w:hAnsiTheme="minorEastAsia" w:eastAsiaTheme="minorEastAsia" w:cstheme="minorEastAsia"/>
                <w:color w:val="auto"/>
                <w:sz w:val="21"/>
                <w:szCs w:val="21"/>
                <w:highlight w:val="none"/>
                <w:u w:val="none"/>
                <w:lang w:val="en-US" w:eastAsia="zh-CN"/>
              </w:rPr>
              <w:t xml:space="preserve">        </w:t>
            </w:r>
          </w:p>
        </w:tc>
      </w:tr>
    </w:tbl>
    <w:p w14:paraId="5BB87B57">
      <w:pPr>
        <w:shd w:val="clea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要求：</w:t>
      </w:r>
    </w:p>
    <w:p w14:paraId="7CB3E6D3">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 本表为《开标一览表》的报价明细表，如有缺项、漏项，视为投标报价中已包含相关费用，采购人无需另外支付任何费用。</w:t>
      </w:r>
    </w:p>
    <w:p w14:paraId="4793AB6B">
      <w:pPr>
        <w:shd w:val="clea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zh-CN"/>
        </w:rPr>
        <w:t>“报价明细表”中的报价合计应与“开标一览表”中的</w:t>
      </w:r>
      <w:r>
        <w:rPr>
          <w:rFonts w:hint="eastAsia" w:asciiTheme="minorEastAsia" w:hAnsiTheme="minorEastAsia" w:eastAsiaTheme="minorEastAsia" w:cstheme="minorEastAsia"/>
          <w:color w:val="auto"/>
          <w:sz w:val="21"/>
          <w:szCs w:val="21"/>
          <w:highlight w:val="none"/>
          <w:lang w:val="zh-CN" w:eastAsia="zh-CN"/>
        </w:rPr>
        <w:t>投标报价</w:t>
      </w:r>
      <w:r>
        <w:rPr>
          <w:rFonts w:hint="eastAsia" w:asciiTheme="minorEastAsia" w:hAnsiTheme="minorEastAsia" w:eastAsiaTheme="minorEastAsia" w:cstheme="minorEastAsia"/>
          <w:color w:val="auto"/>
          <w:sz w:val="21"/>
          <w:szCs w:val="21"/>
          <w:highlight w:val="none"/>
          <w:lang w:val="zh-CN"/>
        </w:rPr>
        <w:t>相一致，不一致时，以开标一览表为准。</w:t>
      </w:r>
    </w:p>
    <w:p w14:paraId="68D7F912">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p w14:paraId="340B0396">
      <w:pPr>
        <w:shd w:val="clear"/>
        <w:spacing w:line="48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投标人名称（盖章）：</w:t>
      </w:r>
      <w:r>
        <w:rPr>
          <w:rFonts w:hint="eastAsia" w:asciiTheme="minorEastAsia" w:hAnsiTheme="minorEastAsia" w:eastAsiaTheme="minorEastAsia" w:cstheme="minorEastAsia"/>
          <w:color w:val="auto"/>
          <w:sz w:val="21"/>
          <w:szCs w:val="21"/>
          <w:highlight w:val="none"/>
          <w:u w:val="single"/>
        </w:rPr>
        <w:t xml:space="preserve">                         </w:t>
      </w:r>
    </w:p>
    <w:p w14:paraId="2365C694">
      <w:pPr>
        <w:shd w:val="clear"/>
        <w:spacing w:line="48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授权委托代理人签字或盖章：</w:t>
      </w:r>
      <w:r>
        <w:rPr>
          <w:rFonts w:hint="eastAsia" w:asciiTheme="minorEastAsia" w:hAnsiTheme="minorEastAsia" w:eastAsiaTheme="minorEastAsia" w:cstheme="minorEastAsia"/>
          <w:color w:val="auto"/>
          <w:sz w:val="21"/>
          <w:szCs w:val="21"/>
          <w:highlight w:val="none"/>
          <w:u w:val="single"/>
        </w:rPr>
        <w:t xml:space="preserve">                   </w:t>
      </w:r>
    </w:p>
    <w:p w14:paraId="1FF7731D">
      <w:pPr>
        <w:shd w:val="clear"/>
        <w:spacing w:line="48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rPr>
        <w:t>日期：</w:t>
      </w:r>
      <w:r>
        <w:rPr>
          <w:rFonts w:hint="eastAsia" w:asciiTheme="minorEastAsia" w:hAnsiTheme="minorEastAsia" w:eastAsiaTheme="minorEastAsia" w:cstheme="minorEastAsia"/>
          <w:sz w:val="21"/>
          <w:szCs w:val="21"/>
          <w:highlight w:val="none"/>
        </w:rPr>
        <w:br w:type="page"/>
      </w:r>
    </w:p>
    <w:p w14:paraId="4CE6C588">
      <w:pPr>
        <w:shd w:val="clea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p>
    <w:p w14:paraId="5DAF453E">
      <w:pPr>
        <w:shd w:val="clea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诚信承诺书</w:t>
      </w:r>
    </w:p>
    <w:p w14:paraId="7D9CEA99">
      <w:pPr>
        <w:shd w:val="clear"/>
        <w:jc w:val="center"/>
        <w:rPr>
          <w:rFonts w:hint="eastAsia" w:asciiTheme="minorEastAsia" w:hAnsiTheme="minorEastAsia" w:eastAsiaTheme="minorEastAsia" w:cstheme="minorEastAsia"/>
          <w:sz w:val="21"/>
          <w:szCs w:val="21"/>
          <w:highlight w:val="none"/>
        </w:rPr>
      </w:pPr>
    </w:p>
    <w:p w14:paraId="6D7061EA">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lang w:eastAsia="zh-CN"/>
        </w:rPr>
        <w:t>台州市路桥区人民政府峰江街道办事处</w:t>
      </w:r>
      <w:r>
        <w:rPr>
          <w:rFonts w:hint="eastAsia" w:asciiTheme="minorEastAsia" w:hAnsiTheme="minorEastAsia" w:eastAsiaTheme="minorEastAsia" w:cstheme="minorEastAsia"/>
          <w:sz w:val="21"/>
          <w:szCs w:val="21"/>
          <w:highlight w:val="none"/>
        </w:rPr>
        <w:t>：</w:t>
      </w:r>
    </w:p>
    <w:p w14:paraId="2C481F41">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我方在参加贵单位的</w:t>
      </w:r>
      <w:r>
        <w:rPr>
          <w:rFonts w:hint="eastAsia" w:asciiTheme="minorEastAsia" w:hAnsiTheme="minorEastAsia" w:eastAsiaTheme="minorEastAsia" w:cstheme="minorEastAsia"/>
          <w:sz w:val="21"/>
          <w:szCs w:val="21"/>
          <w:highlight w:val="none"/>
          <w:u w:val="single"/>
          <w:lang w:eastAsia="zh-CN"/>
        </w:rPr>
        <w:t>2025年度峰江街道居家养老服务（照料）中心</w:t>
      </w:r>
      <w:r>
        <w:rPr>
          <w:rFonts w:hint="eastAsia" w:asciiTheme="minorEastAsia" w:hAnsiTheme="minorEastAsia" w:eastAsiaTheme="minorEastAsia" w:cstheme="minorEastAsia"/>
          <w:sz w:val="21"/>
          <w:szCs w:val="21"/>
          <w:highlight w:val="none"/>
        </w:rPr>
        <w:t>项目的招投标活动中，郑重承诺如下：</w:t>
      </w:r>
    </w:p>
    <w:p w14:paraId="38D99F92">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1、我方申报的所有资料都是真实、准确、完整的；</w:t>
      </w:r>
    </w:p>
    <w:p w14:paraId="7E583033">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2、我方无挂靠情形，保证不参与串标、围标及抬标；</w:t>
      </w:r>
    </w:p>
    <w:p w14:paraId="1C15C4DD">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3、我方未处于被各级行政主管部门做出停止市场行为处罚的期限内；</w:t>
      </w:r>
    </w:p>
    <w:p w14:paraId="4F79B042">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4、若我方中标，将严格按照规定及时与采购人签订合同；</w:t>
      </w:r>
    </w:p>
    <w:p w14:paraId="171BE9FD">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5、若我方中标，将严格按照招标文件要求及投标文件承诺的报价、质量、工期、投标方案、项目负责人等内容组织实施；</w:t>
      </w:r>
    </w:p>
    <w:p w14:paraId="2DE511BC">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投标、不良行为记录等的处罚。对造成的损失，任何法律和经济责任完全由我方负责。</w:t>
      </w:r>
    </w:p>
    <w:p w14:paraId="2968F3E2">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特此承诺。</w:t>
      </w:r>
    </w:p>
    <w:p w14:paraId="0C77DD30">
      <w:pPr>
        <w:shd w:val="clear"/>
        <w:ind w:firstLine="420" w:firstLineChars="200"/>
        <w:rPr>
          <w:rFonts w:hint="eastAsia" w:asciiTheme="minorEastAsia" w:hAnsiTheme="minorEastAsia" w:eastAsiaTheme="minorEastAsia" w:cstheme="minorEastAsia"/>
          <w:sz w:val="21"/>
          <w:szCs w:val="21"/>
          <w:highlight w:val="none"/>
        </w:rPr>
      </w:pPr>
    </w:p>
    <w:p w14:paraId="10B43493">
      <w:pPr>
        <w:shd w:val="clear"/>
        <w:ind w:firstLine="420" w:firstLineChars="200"/>
        <w:rPr>
          <w:rFonts w:hint="eastAsia" w:asciiTheme="minorEastAsia" w:hAnsiTheme="minorEastAsia" w:eastAsiaTheme="minorEastAsia" w:cstheme="minorEastAsia"/>
          <w:sz w:val="21"/>
          <w:szCs w:val="21"/>
          <w:highlight w:val="none"/>
        </w:rPr>
      </w:pPr>
    </w:p>
    <w:p w14:paraId="208C08F6">
      <w:pPr>
        <w:shd w:val="clear"/>
        <w:ind w:firstLine="420" w:firstLineChars="200"/>
        <w:rPr>
          <w:rFonts w:hint="eastAsia" w:asciiTheme="minorEastAsia" w:hAnsiTheme="minorEastAsia" w:eastAsiaTheme="minorEastAsia" w:cstheme="minorEastAsia"/>
          <w:sz w:val="21"/>
          <w:szCs w:val="21"/>
          <w:highlight w:val="none"/>
        </w:rPr>
      </w:pPr>
    </w:p>
    <w:p w14:paraId="184D301A">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w:t>
      </w:r>
      <w:r>
        <w:rPr>
          <w:rFonts w:hint="eastAsia" w:asciiTheme="minorEastAsia" w:hAnsiTheme="minorEastAsia" w:eastAsiaTheme="minorEastAsia" w:cstheme="minorEastAsia"/>
          <w:sz w:val="21"/>
          <w:szCs w:val="21"/>
          <w:highlight w:val="none"/>
          <w:lang w:val="en-US" w:eastAsia="zh-CN"/>
        </w:rPr>
        <w:t>盖章</w:t>
      </w:r>
      <w:r>
        <w:rPr>
          <w:rFonts w:hint="eastAsia" w:asciiTheme="minorEastAsia" w:hAnsiTheme="minorEastAsia" w:eastAsiaTheme="minorEastAsia" w:cstheme="minorEastAsia"/>
          <w:sz w:val="21"/>
          <w:szCs w:val="21"/>
          <w:highlight w:val="none"/>
        </w:rPr>
        <w:t xml:space="preserve">）：        </w:t>
      </w:r>
    </w:p>
    <w:p w14:paraId="21BC24D2">
      <w:pPr>
        <w:shd w:val="clear"/>
        <w:ind w:firstLine="420" w:firstLineChars="200"/>
        <w:rPr>
          <w:rFonts w:hint="eastAsia" w:asciiTheme="minorEastAsia" w:hAnsiTheme="minorEastAsia" w:eastAsiaTheme="minorEastAsia" w:cstheme="minorEastAsia"/>
          <w:sz w:val="21"/>
          <w:szCs w:val="21"/>
          <w:highlight w:val="none"/>
        </w:rPr>
      </w:pPr>
    </w:p>
    <w:p w14:paraId="251AFEA0">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法定代表人或其授权委托代理人</w:t>
      </w:r>
      <w:r>
        <w:rPr>
          <w:rFonts w:hint="eastAsia" w:asciiTheme="minorEastAsia" w:hAnsiTheme="minorEastAsia" w:eastAsiaTheme="minorEastAsia" w:cstheme="minorEastAsia"/>
          <w:sz w:val="21"/>
          <w:szCs w:val="21"/>
          <w:highlight w:val="none"/>
        </w:rPr>
        <w:t xml:space="preserve">（签字或盖章）：     </w:t>
      </w:r>
    </w:p>
    <w:p w14:paraId="787D3397">
      <w:pPr>
        <w:shd w:val="clear"/>
        <w:ind w:firstLine="420" w:firstLineChars="200"/>
        <w:rPr>
          <w:rFonts w:hint="eastAsia" w:asciiTheme="minorEastAsia" w:hAnsiTheme="minorEastAsia" w:eastAsiaTheme="minorEastAsia" w:cstheme="minorEastAsia"/>
          <w:sz w:val="21"/>
          <w:szCs w:val="21"/>
          <w:highlight w:val="none"/>
        </w:rPr>
      </w:pPr>
    </w:p>
    <w:p w14:paraId="5FD52368">
      <w:pPr>
        <w:shd w:val="clear"/>
        <w:ind w:firstLine="3570" w:firstLineChars="1700"/>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1"/>
          <w:szCs w:val="21"/>
          <w:highlight w:val="none"/>
        </w:rPr>
        <w:t>日    期：        年    月    日</w:t>
      </w:r>
    </w:p>
    <w:p w14:paraId="41B3A58C">
      <w:pPr>
        <w:shd w:val="clear"/>
        <w:jc w:val="center"/>
        <w:rPr>
          <w:rFonts w:hint="eastAsia" w:asciiTheme="minorEastAsia" w:hAnsiTheme="minorEastAsia" w:eastAsiaTheme="minorEastAsia" w:cstheme="minorEastAsia"/>
          <w:sz w:val="24"/>
          <w:highlight w:val="none"/>
        </w:rPr>
      </w:pPr>
    </w:p>
    <w:p w14:paraId="342131C6">
      <w:pPr>
        <w:shd w:val="clear"/>
        <w:jc w:val="center"/>
        <w:rPr>
          <w:rFonts w:hint="eastAsia" w:asciiTheme="minorEastAsia" w:hAnsiTheme="minorEastAsia" w:eastAsiaTheme="minorEastAsia" w:cstheme="minorEastAsia"/>
          <w:sz w:val="24"/>
          <w:highlight w:val="none"/>
        </w:rPr>
      </w:pPr>
    </w:p>
    <w:p w14:paraId="4EDD867A">
      <w:pPr>
        <w:shd w:val="clea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br w:type="page"/>
      </w:r>
      <w:r>
        <w:rPr>
          <w:rFonts w:hint="eastAsia" w:asciiTheme="minorEastAsia" w:hAnsiTheme="minorEastAsia" w:eastAsiaTheme="minorEastAsia" w:cstheme="minorEastAsia"/>
          <w:sz w:val="24"/>
          <w:highlight w:val="none"/>
        </w:rPr>
        <w:t>附件</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w:t>
      </w:r>
    </w:p>
    <w:p w14:paraId="310B7A10">
      <w:pPr>
        <w:shd w:val="clear"/>
        <w:snapToGrid w:val="0"/>
        <w:spacing w:before="156" w:beforeLines="50" w:after="50"/>
        <w:jc w:val="center"/>
        <w:rPr>
          <w:rFonts w:hint="eastAsia" w:asciiTheme="minorEastAsia" w:hAnsiTheme="minorEastAsia" w:eastAsiaTheme="minorEastAsia" w:cstheme="minorEastAsia"/>
          <w:sz w:val="24"/>
          <w:szCs w:val="20"/>
          <w:highlight w:val="none"/>
        </w:rPr>
      </w:pPr>
      <w:r>
        <w:rPr>
          <w:rFonts w:hint="eastAsia" w:asciiTheme="minorEastAsia" w:hAnsiTheme="minorEastAsia" w:eastAsiaTheme="minorEastAsia" w:cstheme="minorEastAsia"/>
          <w:sz w:val="30"/>
          <w:highlight w:val="none"/>
        </w:rPr>
        <w:t>投标声明书</w:t>
      </w:r>
    </w:p>
    <w:p w14:paraId="1733036B">
      <w:pPr>
        <w:shd w:val="clear"/>
        <w:snapToGrid w:val="0"/>
        <w:spacing w:before="156" w:beforeLines="50" w:after="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（招标采购单位名称）：</w:t>
      </w:r>
    </w:p>
    <w:p w14:paraId="60A0B493">
      <w:pPr>
        <w:shd w:val="clear"/>
        <w:snapToGrid w:val="0"/>
        <w:spacing w:before="156" w:beforeLines="50" w:after="50"/>
        <w:ind w:firstLine="630" w:firstLineChars="3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（投标人名称）系中华人民共和国合法企业，经营地址</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w:t>
      </w:r>
    </w:p>
    <w:p w14:paraId="4F961923">
      <w:pPr>
        <w:shd w:val="clear"/>
        <w:snapToGrid w:val="0"/>
        <w:spacing w:before="156" w:beforeLines="50" w:after="50"/>
        <w:ind w:firstLine="6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（姓名）系</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（投标人名称）的法定代表人，我方愿意参加贵方组织的</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项目的投标，为便于贵方公正、择优地确定中标人及其投标产品和服务，我方就本次投标有关事项郑重声明如下：</w:t>
      </w:r>
    </w:p>
    <w:p w14:paraId="6356A66A">
      <w:pPr>
        <w:shd w:val="clea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3E0BEF02">
      <w:pPr>
        <w:shd w:val="clea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7FCBE809">
      <w:pPr>
        <w:shd w:val="clea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3、我</w:t>
      </w:r>
      <w:r>
        <w:rPr>
          <w:rFonts w:hint="eastAsia" w:asciiTheme="minorEastAsia" w:hAnsiTheme="minorEastAsia" w:eastAsiaTheme="minorEastAsia" w:cstheme="minorEastAsia"/>
          <w:sz w:val="21"/>
          <w:szCs w:val="21"/>
          <w:highlight w:val="none"/>
          <w:lang w:val="zh-CN"/>
        </w:rPr>
        <w:t>公司</w:t>
      </w:r>
      <w:r>
        <w:rPr>
          <w:rFonts w:hint="eastAsia" w:asciiTheme="minorEastAsia" w:hAnsiTheme="minorEastAsia" w:eastAsiaTheme="minorEastAsia" w:cstheme="minorEastAsia"/>
          <w:sz w:val="21"/>
          <w:szCs w:val="21"/>
          <w:highlight w:val="none"/>
        </w:rPr>
        <w:t>不是采购人的附属机构；在获知本项目采购信息后，与采购人聘请的为此项目提供咨询服务的公司及其附属机构没有任何联系。</w:t>
      </w:r>
    </w:p>
    <w:p w14:paraId="350265C2">
      <w:pPr>
        <w:shd w:val="clear"/>
        <w:spacing w:line="360" w:lineRule="auto"/>
        <w:ind w:firstLine="420" w:firstLineChars="200"/>
        <w:rPr>
          <w:rFonts w:hint="eastAsia" w:asciiTheme="minorEastAsia" w:hAnsiTheme="minorEastAsia" w:eastAsiaTheme="minorEastAsia" w:cstheme="minorEastAsia"/>
          <w:sz w:val="21"/>
          <w:szCs w:val="21"/>
          <w:highlight w:val="none"/>
          <w:lang w:val="af-ZA"/>
        </w:rPr>
      </w:pPr>
      <w:r>
        <w:rPr>
          <w:rFonts w:hint="eastAsia" w:asciiTheme="minorEastAsia" w:hAnsiTheme="minorEastAsia" w:eastAsiaTheme="minorEastAsia" w:cstheme="minorEastAsia"/>
          <w:sz w:val="21"/>
          <w:szCs w:val="21"/>
          <w:highlight w:val="none"/>
        </w:rPr>
        <w:t>4、我</w:t>
      </w:r>
      <w:r>
        <w:rPr>
          <w:rFonts w:hint="eastAsia" w:asciiTheme="minorEastAsia" w:hAnsiTheme="minorEastAsia" w:eastAsiaTheme="minorEastAsia" w:cstheme="minorEastAsia"/>
          <w:sz w:val="21"/>
          <w:szCs w:val="21"/>
          <w:highlight w:val="none"/>
          <w:lang w:val="zh-CN"/>
        </w:rPr>
        <w:t>公司</w:t>
      </w:r>
      <w:r>
        <w:rPr>
          <w:rFonts w:hint="eastAsia" w:asciiTheme="minorEastAsia" w:hAnsiTheme="minorEastAsia" w:eastAsiaTheme="minorEastAsia" w:cstheme="minorEastAsia"/>
          <w:sz w:val="21"/>
          <w:szCs w:val="21"/>
          <w:highlight w:val="none"/>
        </w:rPr>
        <w:t>保证，</w:t>
      </w:r>
      <w:r>
        <w:rPr>
          <w:rFonts w:hint="eastAsia" w:asciiTheme="minorEastAsia" w:hAnsiTheme="minorEastAsia" w:eastAsiaTheme="minorEastAsia" w:cstheme="minorEastAsia"/>
          <w:sz w:val="21"/>
          <w:szCs w:val="21"/>
          <w:highlight w:val="none"/>
          <w:lang w:val="af-ZA"/>
        </w:rPr>
        <w:t>采购人在中华人民共和国境内使用</w:t>
      </w:r>
      <w:r>
        <w:rPr>
          <w:rFonts w:hint="eastAsia" w:asciiTheme="minorEastAsia" w:hAnsiTheme="minorEastAsia" w:eastAsiaTheme="minorEastAsia" w:cstheme="minorEastAsia"/>
          <w:sz w:val="21"/>
          <w:szCs w:val="21"/>
          <w:highlight w:val="none"/>
        </w:rPr>
        <w:t>我</w:t>
      </w:r>
      <w:r>
        <w:rPr>
          <w:rFonts w:hint="eastAsia" w:asciiTheme="minorEastAsia" w:hAnsiTheme="minorEastAsia" w:eastAsiaTheme="minorEastAsia" w:cstheme="minorEastAsia"/>
          <w:sz w:val="21"/>
          <w:szCs w:val="21"/>
          <w:highlight w:val="none"/>
          <w:lang w:val="zh-CN"/>
        </w:rPr>
        <w:t>公司</w:t>
      </w:r>
      <w:r>
        <w:rPr>
          <w:rFonts w:hint="eastAsia" w:asciiTheme="minorEastAsia" w:hAnsiTheme="minorEastAsia" w:eastAsiaTheme="minorEastAsia" w:cstheme="minorEastAsia"/>
          <w:sz w:val="21"/>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18C71084">
      <w:pPr>
        <w:shd w:val="clea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af-ZA"/>
        </w:rPr>
        <w:t>5、我</w:t>
      </w:r>
      <w:r>
        <w:rPr>
          <w:rFonts w:hint="eastAsia" w:asciiTheme="minorEastAsia" w:hAnsiTheme="minorEastAsia" w:eastAsiaTheme="minorEastAsia" w:cstheme="minorEastAsia"/>
          <w:sz w:val="21"/>
          <w:szCs w:val="21"/>
          <w:highlight w:val="none"/>
          <w:lang w:val="zh-CN"/>
        </w:rPr>
        <w:t>公司</w:t>
      </w:r>
      <w:r>
        <w:rPr>
          <w:rFonts w:hint="eastAsia" w:asciiTheme="minorEastAsia" w:hAnsiTheme="minorEastAsia" w:eastAsiaTheme="minorEastAsia" w:cstheme="minorEastAsia"/>
          <w:sz w:val="21"/>
          <w:szCs w:val="21"/>
          <w:highlight w:val="none"/>
          <w:lang w:val="af-ZA"/>
        </w:rPr>
        <w:t>严格履行政府采购合同，不降低合同约定的产品质量和服务，不擅自变更、中止、终止合同，或拒绝履行合同义务；</w:t>
      </w:r>
    </w:p>
    <w:p w14:paraId="6D0494BB">
      <w:pPr>
        <w:shd w:val="clea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6、以上事项如有虚假或隐瞒，我</w:t>
      </w:r>
      <w:r>
        <w:rPr>
          <w:rFonts w:hint="eastAsia" w:asciiTheme="minorEastAsia" w:hAnsiTheme="minorEastAsia" w:eastAsiaTheme="minorEastAsia" w:cstheme="minorEastAsia"/>
          <w:sz w:val="21"/>
          <w:szCs w:val="21"/>
          <w:highlight w:val="none"/>
          <w:lang w:val="zh-CN"/>
        </w:rPr>
        <w:t>公司</w:t>
      </w:r>
      <w:r>
        <w:rPr>
          <w:rFonts w:hint="eastAsia" w:asciiTheme="minorEastAsia" w:hAnsiTheme="minorEastAsia" w:eastAsiaTheme="minorEastAsia" w:cstheme="minorEastAsia"/>
          <w:sz w:val="21"/>
          <w:szCs w:val="21"/>
          <w:highlight w:val="none"/>
        </w:rPr>
        <w:t>愿意承担一切后果，并不再寻求任何旨在减轻或免除法律责任的辩解。</w:t>
      </w:r>
    </w:p>
    <w:p w14:paraId="0DFCE644">
      <w:pPr>
        <w:shd w:val="clear"/>
        <w:spacing w:line="360" w:lineRule="auto"/>
        <w:ind w:firstLine="420" w:firstLineChars="200"/>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本单位若违反以上承诺，将无条件接受项目主管部门和有关监督管理部门的调查，并愿意承担取消中标资格、没收履约保证金及限制在本地区参与投标等一切法律责任。</w:t>
      </w:r>
      <w:r>
        <w:rPr>
          <w:rFonts w:hint="eastAsia" w:asciiTheme="minorEastAsia" w:hAnsiTheme="minorEastAsia" w:eastAsiaTheme="minorEastAsia" w:cstheme="minorEastAsia"/>
          <w:sz w:val="21"/>
          <w:szCs w:val="21"/>
          <w:highlight w:val="none"/>
          <w:u w:val="single"/>
        </w:rPr>
        <w:t xml:space="preserve">          </w:t>
      </w:r>
    </w:p>
    <w:p w14:paraId="08610805">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w:t>
      </w:r>
      <w:r>
        <w:rPr>
          <w:rFonts w:hint="eastAsia" w:asciiTheme="minorEastAsia" w:hAnsiTheme="minorEastAsia" w:eastAsiaTheme="minorEastAsia" w:cstheme="minorEastAsia"/>
          <w:sz w:val="21"/>
          <w:szCs w:val="21"/>
          <w:highlight w:val="none"/>
          <w:lang w:val="en-US" w:eastAsia="zh-CN"/>
        </w:rPr>
        <w:t>盖章</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w:t>
      </w:r>
    </w:p>
    <w:p w14:paraId="02CCB75D">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法定代表人</w:t>
      </w:r>
      <w:r>
        <w:rPr>
          <w:rFonts w:hint="eastAsia" w:asciiTheme="minorEastAsia" w:hAnsiTheme="minorEastAsia" w:eastAsiaTheme="minorEastAsia" w:cstheme="minorEastAsia"/>
          <w:sz w:val="21"/>
          <w:szCs w:val="21"/>
          <w:highlight w:val="none"/>
        </w:rPr>
        <w:t xml:space="preserve">（签字或盖章）： </w:t>
      </w:r>
    </w:p>
    <w:p w14:paraId="705B7D81">
      <w:pPr>
        <w:shd w:val="clear"/>
        <w:ind w:firstLine="420" w:firstLineChars="200"/>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年    月    日</w:t>
      </w:r>
    </w:p>
    <w:p w14:paraId="5608D8E1">
      <w:pPr>
        <w:shd w:val="clear"/>
        <w:ind w:firstLine="480" w:firstLineChars="200"/>
        <w:rPr>
          <w:rFonts w:hint="eastAsia" w:asciiTheme="minorEastAsia" w:hAnsiTheme="minorEastAsia" w:eastAsiaTheme="minorEastAsia" w:cstheme="minorEastAsia"/>
          <w:sz w:val="24"/>
          <w:highlight w:val="none"/>
        </w:rPr>
      </w:pPr>
    </w:p>
    <w:p w14:paraId="4E784541">
      <w:pPr>
        <w:shd w:val="clea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附件</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w:t>
      </w:r>
    </w:p>
    <w:p w14:paraId="762FD681">
      <w:pPr>
        <w:shd w:val="clear"/>
        <w:snapToGrid w:val="0"/>
        <w:spacing w:before="156" w:beforeLines="50" w:after="50"/>
        <w:jc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法定代表人授权委托书</w:t>
      </w:r>
    </w:p>
    <w:p w14:paraId="33CAAE1B">
      <w:pPr>
        <w:shd w:val="clear"/>
        <w:snapToGrid w:val="0"/>
        <w:spacing w:before="156" w:beforeLines="50" w:after="5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Cs/>
          <w:sz w:val="21"/>
          <w:szCs w:val="21"/>
          <w:highlight w:val="none"/>
        </w:rPr>
        <w:t>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（招标采购单位名称）</w:t>
      </w:r>
      <w:r>
        <w:rPr>
          <w:rFonts w:hint="eastAsia" w:asciiTheme="minorEastAsia" w:hAnsiTheme="minorEastAsia" w:eastAsiaTheme="minorEastAsia" w:cstheme="minorEastAsia"/>
          <w:b/>
          <w:bCs/>
          <w:sz w:val="21"/>
          <w:szCs w:val="21"/>
          <w:highlight w:val="none"/>
        </w:rPr>
        <w:t xml:space="preserve"> </w:t>
      </w:r>
      <w:r>
        <w:rPr>
          <w:rFonts w:hint="eastAsia" w:asciiTheme="minorEastAsia" w:hAnsiTheme="minorEastAsia" w:eastAsiaTheme="minorEastAsia" w:cstheme="minorEastAsia"/>
          <w:sz w:val="21"/>
          <w:szCs w:val="21"/>
          <w:highlight w:val="none"/>
        </w:rPr>
        <w:t>：</w:t>
      </w:r>
    </w:p>
    <w:p w14:paraId="7FFA9ADF">
      <w:pPr>
        <w:shd w:val="clear"/>
        <w:snapToGrid w:val="0"/>
        <w:spacing w:before="156" w:beforeLines="50" w:after="50"/>
        <w:ind w:firstLine="630" w:firstLineChars="3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（姓名）系</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（投标人名称）的法定代表人，现授权委托本单位在职职工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（姓名）以我方的名义参加</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项目的投标活动，并代表我方全权办理针对上述项目的投标、开标、评标、签约等具体事务和签署相关文件。</w:t>
      </w:r>
    </w:p>
    <w:p w14:paraId="51E69D3E">
      <w:pPr>
        <w:shd w:val="clear"/>
        <w:snapToGrid w:val="0"/>
        <w:spacing w:before="156" w:beforeLines="50" w:after="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我方对被授权人的签名事项负全部责任。</w:t>
      </w:r>
    </w:p>
    <w:p w14:paraId="3A1ABC1E">
      <w:pPr>
        <w:shd w:val="clear"/>
        <w:snapToGrid w:val="0"/>
        <w:spacing w:before="156" w:beforeLines="50" w:after="50"/>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rPr>
        <w:t>在撤销授权的书面通知以前，本授权书一直有效。</w:t>
      </w:r>
      <w:r>
        <w:rPr>
          <w:rFonts w:hint="eastAsia" w:asciiTheme="minorEastAsia" w:hAnsiTheme="minorEastAsia" w:eastAsiaTheme="minorEastAsia" w:cstheme="minorEastAsia"/>
          <w:sz w:val="21"/>
          <w:szCs w:val="21"/>
          <w:highlight w:val="none"/>
        </w:rPr>
        <w:t>被授权人在授权书有效期内签署的所有文件不因授权的撤销而失效。</w:t>
      </w:r>
    </w:p>
    <w:p w14:paraId="088A2ABE">
      <w:pPr>
        <w:shd w:val="clear"/>
        <w:snapToGrid w:val="0"/>
        <w:spacing w:before="156" w:beforeLines="50" w:after="50"/>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被授权人无转委托权，特此委托。</w:t>
      </w:r>
    </w:p>
    <w:p w14:paraId="296D2894">
      <w:pPr>
        <w:shd w:val="clear"/>
        <w:snapToGrid w:val="0"/>
        <w:spacing w:before="156" w:beforeLines="50" w:after="50"/>
        <w:rPr>
          <w:rFonts w:hint="eastAsia" w:asciiTheme="minorEastAsia" w:hAnsiTheme="minorEastAsia" w:eastAsiaTheme="minorEastAsia" w:cstheme="minorEastAsia"/>
          <w:sz w:val="21"/>
          <w:szCs w:val="21"/>
          <w:highlight w:val="none"/>
        </w:rPr>
      </w:pPr>
    </w:p>
    <w:p w14:paraId="5B9D7AAD">
      <w:pPr>
        <w:shd w:val="clear"/>
        <w:snapToGrid w:val="0"/>
        <w:spacing w:before="156" w:beforeLines="50" w:after="50"/>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被授权人</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签字或盖章</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法定代表人</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签字或盖章</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u w:val="single"/>
        </w:rPr>
        <w:t xml:space="preserve">          </w:t>
      </w:r>
    </w:p>
    <w:p w14:paraId="6091D5DB">
      <w:pPr>
        <w:shd w:val="clear"/>
        <w:snapToGrid w:val="0"/>
        <w:spacing w:before="156" w:beforeLines="50" w:after="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职务：</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职务：</w:t>
      </w:r>
      <w:r>
        <w:rPr>
          <w:rFonts w:hint="eastAsia" w:asciiTheme="minorEastAsia" w:hAnsiTheme="minorEastAsia" w:eastAsiaTheme="minorEastAsia" w:cstheme="minorEastAsia"/>
          <w:sz w:val="21"/>
          <w:szCs w:val="21"/>
          <w:highlight w:val="none"/>
          <w:u w:val="single"/>
        </w:rPr>
        <w:t xml:space="preserve">           </w:t>
      </w:r>
    </w:p>
    <w:p w14:paraId="678ED697">
      <w:pPr>
        <w:shd w:val="clear"/>
        <w:snapToGrid w:val="0"/>
        <w:spacing w:before="156" w:beforeLines="50" w:after="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被授权人身份证号码：</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w:t>
      </w:r>
    </w:p>
    <w:p w14:paraId="59EFCCC3">
      <w:pPr>
        <w:shd w:val="clear"/>
        <w:snapToGrid w:val="0"/>
        <w:spacing w:before="156" w:beforeLines="50" w:after="50"/>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p>
    <w:p w14:paraId="31C0BADA">
      <w:pPr>
        <w:shd w:val="clear"/>
        <w:snapToGrid w:val="0"/>
        <w:spacing w:before="156" w:beforeLines="50" w:after="50"/>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lang w:val="zh-CN"/>
        </w:rPr>
        <w:t>投标人</w:t>
      </w:r>
      <w:r>
        <w:rPr>
          <w:rFonts w:hint="eastAsia" w:asciiTheme="minorEastAsia" w:hAnsiTheme="minorEastAsia" w:eastAsiaTheme="minorEastAsia" w:cstheme="minorEastAsia"/>
          <w:sz w:val="21"/>
          <w:szCs w:val="21"/>
          <w:highlight w:val="none"/>
        </w:rPr>
        <w:t>名称（盖章）：</w:t>
      </w:r>
    </w:p>
    <w:p w14:paraId="4A34A913">
      <w:pPr>
        <w:shd w:val="clear"/>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年    月    日</w:t>
      </w:r>
    </w:p>
    <w:p w14:paraId="69999AD3">
      <w:pPr>
        <w:shd w:val="clear"/>
        <w:jc w:val="center"/>
        <w:rPr>
          <w:rFonts w:hint="eastAsia" w:asciiTheme="minorEastAsia" w:hAnsiTheme="minorEastAsia" w:eastAsiaTheme="minorEastAsia" w:cstheme="minorEastAsia"/>
          <w:sz w:val="21"/>
          <w:szCs w:val="21"/>
          <w:highlight w:val="none"/>
        </w:rPr>
      </w:pPr>
    </w:p>
    <w:p w14:paraId="6AAE49CC">
      <w:pPr>
        <w:shd w:val="clear"/>
        <w:jc w:val="center"/>
        <w:rPr>
          <w:rFonts w:hint="eastAsia" w:asciiTheme="minorEastAsia" w:hAnsiTheme="minorEastAsia" w:eastAsiaTheme="minorEastAsia" w:cstheme="minorEastAsia"/>
          <w:sz w:val="21"/>
          <w:szCs w:val="21"/>
          <w:highlight w:val="none"/>
        </w:rPr>
      </w:pPr>
    </w:p>
    <w:p w14:paraId="765D42C9">
      <w:pPr>
        <w:shd w:val="clear"/>
        <w:jc w:val="center"/>
        <w:rPr>
          <w:rFonts w:hint="eastAsia" w:asciiTheme="minorEastAsia" w:hAnsiTheme="minorEastAsia" w:eastAsiaTheme="minorEastAsia" w:cstheme="minorEastAsia"/>
          <w:sz w:val="21"/>
          <w:szCs w:val="21"/>
          <w:highlight w:val="none"/>
        </w:rPr>
      </w:pPr>
    </w:p>
    <w:p w14:paraId="0DE0DFA0">
      <w:pPr>
        <w:shd w:val="clear"/>
        <w:jc w:val="center"/>
        <w:rPr>
          <w:rFonts w:hint="eastAsia" w:asciiTheme="minorEastAsia" w:hAnsiTheme="minorEastAsia" w:eastAsiaTheme="minorEastAsia" w:cstheme="minorEastAsia"/>
          <w:sz w:val="21"/>
          <w:szCs w:val="21"/>
          <w:highlight w:val="none"/>
        </w:rPr>
      </w:pPr>
    </w:p>
    <w:p w14:paraId="4AD9F686">
      <w:pPr>
        <w:shd w:val="clear"/>
        <w:jc w:val="center"/>
        <w:rPr>
          <w:rFonts w:hint="eastAsia" w:asciiTheme="minorEastAsia" w:hAnsiTheme="minorEastAsia" w:eastAsiaTheme="minorEastAsia" w:cstheme="minorEastAsia"/>
          <w:sz w:val="21"/>
          <w:szCs w:val="21"/>
          <w:highlight w:val="none"/>
        </w:rPr>
      </w:pPr>
    </w:p>
    <w:p w14:paraId="2E26F1D8">
      <w:pPr>
        <w:shd w:val="clear"/>
        <w:jc w:val="center"/>
        <w:rPr>
          <w:rFonts w:hint="eastAsia" w:asciiTheme="minorEastAsia" w:hAnsiTheme="minorEastAsia" w:eastAsiaTheme="minorEastAsia" w:cstheme="minorEastAsia"/>
          <w:sz w:val="21"/>
          <w:szCs w:val="21"/>
          <w:highlight w:val="none"/>
        </w:rPr>
      </w:pPr>
    </w:p>
    <w:p w14:paraId="76837474">
      <w:pPr>
        <w:shd w:val="clear"/>
        <w:jc w:val="center"/>
        <w:rPr>
          <w:rFonts w:hint="eastAsia" w:asciiTheme="minorEastAsia" w:hAnsiTheme="minorEastAsia" w:eastAsiaTheme="minorEastAsia" w:cstheme="minorEastAsia"/>
          <w:sz w:val="21"/>
          <w:szCs w:val="21"/>
          <w:highlight w:val="none"/>
        </w:rPr>
      </w:pPr>
    </w:p>
    <w:p w14:paraId="42641F30">
      <w:pPr>
        <w:shd w:val="clear"/>
        <w:jc w:val="center"/>
        <w:rPr>
          <w:rFonts w:hint="eastAsia" w:asciiTheme="minorEastAsia" w:hAnsiTheme="minorEastAsia" w:eastAsiaTheme="minorEastAsia" w:cstheme="minorEastAsia"/>
          <w:sz w:val="21"/>
          <w:szCs w:val="21"/>
          <w:highlight w:val="none"/>
        </w:rPr>
      </w:pPr>
    </w:p>
    <w:p w14:paraId="7371F88A">
      <w:pPr>
        <w:pStyle w:val="27"/>
        <w:shd w:val="clear"/>
        <w:rPr>
          <w:rFonts w:hint="eastAsia" w:asciiTheme="minorEastAsia" w:hAnsiTheme="minorEastAsia" w:eastAsiaTheme="minorEastAsia" w:cstheme="minorEastAsia"/>
          <w:sz w:val="21"/>
          <w:szCs w:val="21"/>
          <w:highlight w:val="none"/>
        </w:rPr>
      </w:pPr>
    </w:p>
    <w:p w14:paraId="321503A2">
      <w:pPr>
        <w:shd w:val="clea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w:t>
      </w: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w:t>
      </w:r>
    </w:p>
    <w:p w14:paraId="17421238">
      <w:pPr>
        <w:shd w:val="clea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sz w:val="28"/>
          <w:szCs w:val="28"/>
          <w:highlight w:val="none"/>
        </w:rPr>
        <w:t>法定代表人身份证明书</w:t>
      </w:r>
    </w:p>
    <w:p w14:paraId="358EB4B9">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单位名称：</w:t>
      </w:r>
      <w:r>
        <w:rPr>
          <w:rFonts w:hint="eastAsia" w:asciiTheme="minorEastAsia" w:hAnsiTheme="minorEastAsia" w:eastAsiaTheme="minorEastAsia" w:cstheme="minorEastAsia"/>
          <w:sz w:val="21"/>
          <w:szCs w:val="21"/>
          <w:highlight w:val="none"/>
          <w:u w:val="single"/>
        </w:rPr>
        <w:t>　　　　　　　　　　　　　　　　　　　　　　　</w:t>
      </w:r>
    </w:p>
    <w:p w14:paraId="65398CD5">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单位性质：</w:t>
      </w:r>
      <w:r>
        <w:rPr>
          <w:rFonts w:hint="eastAsia" w:asciiTheme="minorEastAsia" w:hAnsiTheme="minorEastAsia" w:eastAsiaTheme="minorEastAsia" w:cstheme="minorEastAsia"/>
          <w:sz w:val="21"/>
          <w:szCs w:val="21"/>
          <w:highlight w:val="none"/>
          <w:u w:val="single"/>
        </w:rPr>
        <w:t>　　　　　　　　　　　　　　　　　　　　　　　</w:t>
      </w:r>
    </w:p>
    <w:p w14:paraId="625F7D51">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地　　址：</w:t>
      </w:r>
      <w:r>
        <w:rPr>
          <w:rFonts w:hint="eastAsia" w:asciiTheme="minorEastAsia" w:hAnsiTheme="minorEastAsia" w:eastAsiaTheme="minorEastAsia" w:cstheme="minorEastAsia"/>
          <w:sz w:val="21"/>
          <w:szCs w:val="21"/>
          <w:highlight w:val="none"/>
          <w:u w:val="single"/>
        </w:rPr>
        <w:t>　　　　　　　　　　　　　　　　　　　　　　　</w:t>
      </w:r>
    </w:p>
    <w:p w14:paraId="2D297897">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电话号码：</w:t>
      </w:r>
      <w:r>
        <w:rPr>
          <w:rFonts w:hint="eastAsia" w:asciiTheme="minorEastAsia" w:hAnsiTheme="minorEastAsia" w:eastAsiaTheme="minorEastAsia" w:cstheme="minorEastAsia"/>
          <w:sz w:val="21"/>
          <w:szCs w:val="21"/>
          <w:highlight w:val="none"/>
          <w:u w:val="single"/>
        </w:rPr>
        <w:t>　　　　　　　　　　　　　　　　　　　　　　　</w:t>
      </w:r>
    </w:p>
    <w:p w14:paraId="2047076B">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成立时间：</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日</w:t>
      </w:r>
    </w:p>
    <w:p w14:paraId="57B2053B">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经营期限：</w:t>
      </w:r>
      <w:r>
        <w:rPr>
          <w:rFonts w:hint="eastAsia" w:asciiTheme="minorEastAsia" w:hAnsiTheme="minorEastAsia" w:eastAsiaTheme="minorEastAsia" w:cstheme="minorEastAsia"/>
          <w:sz w:val="21"/>
          <w:szCs w:val="21"/>
          <w:highlight w:val="none"/>
          <w:u w:val="single"/>
        </w:rPr>
        <w:t>　　　　　　　　　　　　　　　　　　　　　　　</w:t>
      </w:r>
    </w:p>
    <w:p w14:paraId="412656BB">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姓　　名：</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性别：</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年龄：</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职务：</w:t>
      </w:r>
      <w:r>
        <w:rPr>
          <w:rFonts w:hint="eastAsia" w:asciiTheme="minorEastAsia" w:hAnsiTheme="minorEastAsia" w:eastAsiaTheme="minorEastAsia" w:cstheme="minorEastAsia"/>
          <w:sz w:val="21"/>
          <w:szCs w:val="21"/>
          <w:highlight w:val="none"/>
          <w:u w:val="single"/>
        </w:rPr>
        <w:t>　　　　　</w:t>
      </w:r>
    </w:p>
    <w:p w14:paraId="73A0760F">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系</w:t>
      </w:r>
      <w:r>
        <w:rPr>
          <w:rFonts w:hint="eastAsia" w:asciiTheme="minorEastAsia" w:hAnsiTheme="minorEastAsia" w:eastAsiaTheme="minorEastAsia" w:cstheme="minorEastAsia"/>
          <w:sz w:val="21"/>
          <w:szCs w:val="21"/>
          <w:highlight w:val="none"/>
          <w:u w:val="single"/>
        </w:rPr>
        <w:t>　　　　　　（投标人名称）　　　　　　　</w:t>
      </w:r>
      <w:r>
        <w:rPr>
          <w:rFonts w:hint="eastAsia" w:asciiTheme="minorEastAsia" w:hAnsiTheme="minorEastAsia" w:eastAsiaTheme="minorEastAsia" w:cstheme="minorEastAsia"/>
          <w:sz w:val="21"/>
          <w:szCs w:val="21"/>
          <w:highlight w:val="none"/>
        </w:rPr>
        <w:t>的法定代表人。</w:t>
      </w:r>
    </w:p>
    <w:p w14:paraId="52EBA61B">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特此证明。</w:t>
      </w:r>
    </w:p>
    <w:p w14:paraId="6C98DF7C">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mc:AlternateContent>
          <mc:Choice Requires="wpc">
            <w:drawing>
              <wp:anchor distT="0" distB="0" distL="114300" distR="114300" simplePos="0" relativeHeight="251659264" behindDoc="1" locked="0" layoutInCell="1" allowOverlap="1">
                <wp:simplePos x="0" y="0"/>
                <wp:positionH relativeFrom="column">
                  <wp:posOffset>17780</wp:posOffset>
                </wp:positionH>
                <wp:positionV relativeFrom="paragraph">
                  <wp:posOffset>50800</wp:posOffset>
                </wp:positionV>
                <wp:extent cx="3429000" cy="2278380"/>
                <wp:effectExtent l="0" t="0" r="0" b="0"/>
                <wp:wrapNone/>
                <wp:docPr id="2" name="画布 5"/>
                <wp:cNvGraphicFramePr/>
                <a:graphic xmlns:a="http://schemas.openxmlformats.org/drawingml/2006/main">
                  <a:graphicData uri="http://schemas.microsoft.com/office/word/2010/wordprocessingCanvas">
                    <wpc:wpc>
                      <wpc:bg>
                        <a:noFill/>
                      </wpc:bg>
                      <wpc:whole>
                        <a:ln w="9525">
                          <a:noFill/>
                        </a:ln>
                      </wpc:whole>
                    </wpc:wpc>
                  </a:graphicData>
                </a:graphic>
              </wp:anchor>
            </w:drawing>
          </mc:Choice>
          <mc:Fallback>
            <w:pict>
              <v:group id="画布 5" o:spid="_x0000_s1026" o:spt="203" style="position:absolute;left:0pt;margin-left:1.4pt;margin-top:4pt;height:179.4pt;width:270pt;z-index:-251657216;mso-width-relative:page;mso-height-relative:page;" coordsize="3429000,2278380" editas="canvas" o:gfxdata="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">
                <o:lock v:ext="edit" aspectratio="f"/>
                <v:shape id="画布 5" o:spid="_x0000_s1026" style="position:absolute;left:0;top:0;height:2278380;width:3429000;" filled="f" stroked="f" coordsize="21600,21600" o:gfxdata="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">
                  <v:fill on="f" focussize="0,0"/>
                  <v:stroke on="f"/>
                  <v:imagedata o:title=""/>
                  <o:lock v:ext="edit" aspectratio="f"/>
                </v:shape>
              </v:group>
            </w:pict>
          </mc:Fallback>
        </mc:AlternateContent>
      </w:r>
    </w:p>
    <w:p w14:paraId="3C316258">
      <w:pPr>
        <w:shd w:val="clear"/>
        <w:rPr>
          <w:rFonts w:hint="eastAsia" w:asciiTheme="minorEastAsia" w:hAnsiTheme="minorEastAsia" w:eastAsiaTheme="minorEastAsia" w:cstheme="minorEastAsia"/>
          <w:sz w:val="21"/>
          <w:szCs w:val="21"/>
          <w:highlight w:val="none"/>
        </w:rPr>
      </w:pPr>
    </w:p>
    <w:p w14:paraId="562AC105">
      <w:pPr>
        <w:shd w:val="clear"/>
        <w:rPr>
          <w:rFonts w:hint="eastAsia" w:asciiTheme="minorEastAsia" w:hAnsiTheme="minorEastAsia" w:eastAsiaTheme="minorEastAsia" w:cstheme="minorEastAsia"/>
          <w:sz w:val="21"/>
          <w:szCs w:val="21"/>
          <w:highlight w:val="none"/>
        </w:rPr>
      </w:pPr>
    </w:p>
    <w:p w14:paraId="50D656B5">
      <w:pPr>
        <w:shd w:val="clear"/>
        <w:ind w:firstLine="1260" w:firstLineChars="600"/>
        <w:rPr>
          <w:rFonts w:hint="eastAsia" w:asciiTheme="minorEastAsia" w:hAnsiTheme="minorEastAsia" w:eastAsiaTheme="minorEastAsia" w:cstheme="minorEastAsia"/>
          <w:sz w:val="21"/>
          <w:szCs w:val="21"/>
          <w:highlight w:val="none"/>
        </w:rPr>
      </w:pPr>
    </w:p>
    <w:p w14:paraId="24A34AD0">
      <w:pPr>
        <w:shd w:val="clear"/>
        <w:ind w:firstLine="1470" w:firstLineChars="7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w:t>
      </w:r>
      <w:r>
        <w:rPr>
          <w:rFonts w:hint="eastAsia" w:asciiTheme="minorEastAsia" w:hAnsiTheme="minorEastAsia" w:eastAsiaTheme="minorEastAsia" w:cstheme="minorEastAsia"/>
          <w:sz w:val="21"/>
          <w:szCs w:val="21"/>
          <w:highlight w:val="none"/>
          <w:lang w:val="en-US" w:eastAsia="zh-CN"/>
        </w:rPr>
        <w:t>正反面</w:t>
      </w:r>
      <w:r>
        <w:rPr>
          <w:rFonts w:hint="eastAsia" w:asciiTheme="minorEastAsia" w:hAnsiTheme="minorEastAsia" w:eastAsiaTheme="minorEastAsia" w:cstheme="minorEastAsia"/>
          <w:sz w:val="21"/>
          <w:szCs w:val="21"/>
          <w:highlight w:val="none"/>
        </w:rPr>
        <w:t>身份证</w:t>
      </w:r>
    </w:p>
    <w:p w14:paraId="0103E7A7">
      <w:pPr>
        <w:shd w:val="clear"/>
        <w:rPr>
          <w:rFonts w:hint="eastAsia" w:asciiTheme="minorEastAsia" w:hAnsiTheme="minorEastAsia" w:eastAsiaTheme="minorEastAsia" w:cstheme="minorEastAsia"/>
          <w:sz w:val="21"/>
          <w:szCs w:val="21"/>
          <w:highlight w:val="none"/>
        </w:rPr>
      </w:pPr>
    </w:p>
    <w:p w14:paraId="36268ACF">
      <w:pPr>
        <w:shd w:val="clear"/>
        <w:ind w:firstLine="3150" w:firstLineChars="1500"/>
        <w:rPr>
          <w:rFonts w:hint="eastAsia" w:asciiTheme="minorEastAsia" w:hAnsiTheme="minorEastAsia" w:eastAsiaTheme="minorEastAsia" w:cstheme="minorEastAsia"/>
          <w:sz w:val="21"/>
          <w:szCs w:val="21"/>
          <w:highlight w:val="none"/>
        </w:rPr>
      </w:pPr>
    </w:p>
    <w:p w14:paraId="3D752137">
      <w:pPr>
        <w:shd w:val="clear"/>
        <w:ind w:firstLine="3150" w:firstLineChars="1500"/>
        <w:rPr>
          <w:rFonts w:hint="eastAsia" w:asciiTheme="minorEastAsia" w:hAnsiTheme="minorEastAsia" w:eastAsiaTheme="minorEastAsia" w:cstheme="minorEastAsia"/>
          <w:sz w:val="21"/>
          <w:szCs w:val="21"/>
          <w:highlight w:val="none"/>
        </w:rPr>
      </w:pPr>
    </w:p>
    <w:p w14:paraId="27247B1F">
      <w:pPr>
        <w:shd w:val="clear"/>
        <w:rPr>
          <w:rFonts w:hint="eastAsia" w:asciiTheme="minorEastAsia" w:hAnsiTheme="minorEastAsia" w:eastAsiaTheme="minorEastAsia" w:cstheme="minorEastAsia"/>
          <w:sz w:val="21"/>
          <w:szCs w:val="21"/>
          <w:highlight w:val="none"/>
        </w:rPr>
      </w:pPr>
    </w:p>
    <w:p w14:paraId="61ED29B5">
      <w:pPr>
        <w:shd w:val="clear"/>
        <w:rPr>
          <w:rFonts w:hint="eastAsia" w:asciiTheme="minorEastAsia" w:hAnsiTheme="minorEastAsia" w:eastAsiaTheme="minorEastAsia" w:cstheme="minorEastAsia"/>
          <w:sz w:val="21"/>
          <w:szCs w:val="21"/>
          <w:highlight w:val="none"/>
        </w:rPr>
      </w:pPr>
    </w:p>
    <w:p w14:paraId="32425A65">
      <w:pPr>
        <w:shd w:val="clear"/>
        <w:rPr>
          <w:rFonts w:hint="eastAsia" w:asciiTheme="minorEastAsia" w:hAnsiTheme="minorEastAsia" w:eastAsiaTheme="minorEastAsia" w:cstheme="minorEastAsia"/>
          <w:sz w:val="21"/>
          <w:szCs w:val="21"/>
          <w:highlight w:val="none"/>
        </w:rPr>
      </w:pPr>
    </w:p>
    <w:p w14:paraId="5A2B07AF">
      <w:pPr>
        <w:shd w:val="clear"/>
        <w:rPr>
          <w:rFonts w:hint="eastAsia" w:asciiTheme="minorEastAsia" w:hAnsiTheme="minorEastAsia" w:eastAsiaTheme="minorEastAsia" w:cstheme="minorEastAsia"/>
          <w:sz w:val="21"/>
          <w:szCs w:val="21"/>
          <w:highlight w:val="none"/>
        </w:rPr>
      </w:pPr>
    </w:p>
    <w:p w14:paraId="1B6115C0">
      <w:pPr>
        <w:shd w:val="clear"/>
        <w:ind w:firstLine="1890" w:firstLineChars="900"/>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投  标  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盖章</w:t>
      </w:r>
    </w:p>
    <w:p w14:paraId="213429D0">
      <w:pPr>
        <w:shd w:val="clear"/>
        <w:ind w:firstLine="3150" w:firstLineChars="1500"/>
        <w:rPr>
          <w:rFonts w:hint="eastAsia" w:asciiTheme="minorEastAsia" w:hAnsiTheme="minorEastAsia" w:eastAsiaTheme="minorEastAsia" w:cstheme="minorEastAsia"/>
          <w:sz w:val="21"/>
          <w:szCs w:val="21"/>
          <w:highlight w:val="none"/>
        </w:rPr>
      </w:pPr>
    </w:p>
    <w:p w14:paraId="393BE7FB">
      <w:pPr>
        <w:shd w:val="clear"/>
        <w:jc w:val="center"/>
        <w:rPr>
          <w:rFonts w:hint="eastAsia" w:asciiTheme="minorEastAsia" w:hAnsiTheme="minorEastAsia" w:eastAsiaTheme="minorEastAsia" w:cstheme="minorEastAsia"/>
          <w:sz w:val="21"/>
          <w:szCs w:val="21"/>
          <w:highlight w:val="none"/>
        </w:rPr>
        <w:sectPr>
          <w:pgSz w:w="11906" w:h="16838"/>
          <w:pgMar w:top="1247" w:right="1417" w:bottom="1474" w:left="1417" w:header="851" w:footer="896" w:gutter="0"/>
          <w:cols w:space="0" w:num="1"/>
          <w:titlePg/>
          <w:rtlGutter w:val="0"/>
          <w:docGrid w:type="lines" w:linePitch="312" w:charSpace="0"/>
        </w:sectPr>
      </w:pPr>
      <w:r>
        <w:rPr>
          <w:rFonts w:hint="eastAsia" w:asciiTheme="minorEastAsia" w:hAnsiTheme="minorEastAsia" w:eastAsiaTheme="minorEastAsia" w:cstheme="minorEastAsia"/>
          <w:sz w:val="21"/>
          <w:szCs w:val="21"/>
          <w:highlight w:val="none"/>
        </w:rPr>
        <w:t>日　期：</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日</w:t>
      </w:r>
    </w:p>
    <w:p w14:paraId="141BE15A">
      <w:pPr>
        <w:widowControl/>
        <w:shd w:val="clear"/>
        <w:jc w:val="left"/>
        <w:rPr>
          <w:rFonts w:hint="eastAsia" w:asciiTheme="minorEastAsia" w:hAnsiTheme="minorEastAsia" w:eastAsiaTheme="minorEastAsia" w:cstheme="minorEastAsia"/>
          <w:b/>
          <w:bCs/>
          <w:sz w:val="24"/>
          <w:highlight w:val="none"/>
          <w:lang w:val="en-US" w:eastAsia="zh-CN"/>
        </w:rPr>
      </w:pPr>
      <w:r>
        <w:rPr>
          <w:rFonts w:hint="eastAsia" w:asciiTheme="minorEastAsia" w:hAnsiTheme="minorEastAsia" w:eastAsiaTheme="minorEastAsia" w:cstheme="minorEastAsia"/>
          <w:b/>
          <w:bCs/>
          <w:sz w:val="24"/>
          <w:highlight w:val="none"/>
          <w:lang w:val="zh-CN"/>
        </w:rPr>
        <w:t>附件</w:t>
      </w:r>
      <w:r>
        <w:rPr>
          <w:rFonts w:hint="eastAsia" w:asciiTheme="minorEastAsia" w:hAnsiTheme="minorEastAsia" w:eastAsiaTheme="minorEastAsia" w:cstheme="minorEastAsia"/>
          <w:b/>
          <w:bCs/>
          <w:sz w:val="24"/>
          <w:highlight w:val="none"/>
          <w:lang w:val="en-US" w:eastAsia="zh-CN"/>
        </w:rPr>
        <w:t>8、</w:t>
      </w:r>
    </w:p>
    <w:p w14:paraId="02F819EE">
      <w:pPr>
        <w:shd w:val="clear"/>
        <w:snapToGrid w:val="0"/>
        <w:spacing w:line="240" w:lineRule="auto"/>
        <w:rPr>
          <w:rFonts w:hint="eastAsia" w:asciiTheme="minorEastAsia" w:hAnsiTheme="minorEastAsia" w:eastAsiaTheme="minorEastAsia" w:cstheme="minorEastAsia"/>
          <w:sz w:val="24"/>
          <w:highlight w:val="none"/>
        </w:rPr>
      </w:pPr>
    </w:p>
    <w:p w14:paraId="7374B79E">
      <w:pPr>
        <w:shd w:val="clear"/>
        <w:spacing w:line="480" w:lineRule="auto"/>
        <w:jc w:val="center"/>
        <w:rPr>
          <w:rFonts w:hint="eastAsia" w:asciiTheme="minorEastAsia" w:hAnsiTheme="minorEastAsia" w:eastAsiaTheme="minorEastAsia" w:cstheme="minorEastAsia"/>
          <w:b/>
          <w:sz w:val="24"/>
          <w:highlight w:val="none"/>
        </w:rPr>
      </w:pPr>
      <w:bookmarkStart w:id="20" w:name="_Toc33194405"/>
      <w:bookmarkStart w:id="21" w:name="_Toc34814861"/>
      <w:bookmarkStart w:id="22" w:name="_Toc27119254"/>
      <w:bookmarkStart w:id="23" w:name="_Toc34826419"/>
      <w:r>
        <w:rPr>
          <w:rFonts w:hint="eastAsia" w:asciiTheme="minorEastAsia" w:hAnsiTheme="minorEastAsia" w:eastAsiaTheme="minorEastAsia" w:cstheme="minorEastAsia"/>
          <w:b/>
          <w:sz w:val="24"/>
          <w:highlight w:val="none"/>
        </w:rPr>
        <w:t>具有履行合同所必需的场地、设备和专业技术能力的承诺函</w:t>
      </w:r>
      <w:bookmarkEnd w:id="20"/>
      <w:bookmarkEnd w:id="21"/>
      <w:bookmarkEnd w:id="22"/>
      <w:bookmarkEnd w:id="23"/>
    </w:p>
    <w:p w14:paraId="5B8F2D2F">
      <w:pPr>
        <w:shd w:val="clear"/>
        <w:snapToGrid w:val="0"/>
        <w:spacing w:line="480" w:lineRule="auto"/>
        <w:rPr>
          <w:rFonts w:hint="eastAsia" w:asciiTheme="minorEastAsia" w:hAnsiTheme="minorEastAsia" w:eastAsiaTheme="minorEastAsia" w:cstheme="minorEastAsia"/>
          <w:sz w:val="24"/>
          <w:highlight w:val="none"/>
        </w:rPr>
      </w:pPr>
    </w:p>
    <w:p w14:paraId="4948B0AD">
      <w:pPr>
        <w:shd w:val="clear"/>
        <w:snapToGrid w:val="0"/>
        <w:spacing w:before="156" w:beforeLines="50" w:after="50" w:line="48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u w:val="single"/>
        </w:rPr>
        <w:t>建经投资咨询有限公司</w:t>
      </w:r>
      <w:r>
        <w:rPr>
          <w:rFonts w:hint="eastAsia" w:asciiTheme="minorEastAsia" w:hAnsiTheme="minorEastAsia" w:eastAsiaTheme="minorEastAsia" w:cstheme="minorEastAsia"/>
          <w:kern w:val="0"/>
          <w:sz w:val="24"/>
          <w:highlight w:val="none"/>
        </w:rPr>
        <w:t>（采购代理机构名称）：</w:t>
      </w:r>
    </w:p>
    <w:p w14:paraId="304C16E8">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我方</w:t>
      </w:r>
      <w:r>
        <w:rPr>
          <w:rFonts w:hint="eastAsia" w:asciiTheme="minorEastAsia" w:hAnsiTheme="minorEastAsia" w:eastAsiaTheme="minorEastAsia" w:cstheme="minorEastAsia"/>
          <w:kern w:val="0"/>
          <w:sz w:val="24"/>
          <w:highlight w:val="none"/>
          <w:u w:val="single"/>
        </w:rPr>
        <w:t xml:space="preserve"> （投标人名称）</w:t>
      </w:r>
      <w:r>
        <w:rPr>
          <w:rFonts w:hint="eastAsia" w:asciiTheme="minorEastAsia" w:hAnsiTheme="minorEastAsia" w:eastAsiaTheme="minorEastAsia" w:cstheme="minorEastAsia"/>
          <w:kern w:val="0"/>
          <w:sz w:val="24"/>
          <w:highlight w:val="none"/>
        </w:rPr>
        <w:t>承诺具有履行合同所必需的场地、设备和专业技术能力。如有虚假，采购人可取消我方任何资格（投标/中标/签订合同），我方对此无任何异议。</w:t>
      </w:r>
    </w:p>
    <w:p w14:paraId="41A70472">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p>
    <w:p w14:paraId="088E16F1">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特此承诺！</w:t>
      </w:r>
    </w:p>
    <w:p w14:paraId="28E782D7">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p>
    <w:p w14:paraId="42668FEE">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lang w:val="zh-CN"/>
        </w:rPr>
        <w:t>投标人</w:t>
      </w:r>
      <w:r>
        <w:rPr>
          <w:rFonts w:hint="eastAsia" w:asciiTheme="minorEastAsia" w:hAnsiTheme="minorEastAsia" w:eastAsiaTheme="minorEastAsia" w:cstheme="minorEastAsia"/>
          <w:kern w:val="0"/>
          <w:sz w:val="24"/>
          <w:highlight w:val="none"/>
        </w:rPr>
        <w:t>名称（盖章） ：</w:t>
      </w:r>
    </w:p>
    <w:p w14:paraId="03E43812">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eastAsia="zh-CN"/>
        </w:rPr>
        <w:t>法定代表人或其授权委托代理人（签字或盖章）</w:t>
      </w:r>
      <w:r>
        <w:rPr>
          <w:rFonts w:hint="eastAsia" w:asciiTheme="minorEastAsia" w:hAnsiTheme="minorEastAsia" w:eastAsiaTheme="minorEastAsia" w:cstheme="minorEastAsia"/>
          <w:kern w:val="0"/>
          <w:sz w:val="24"/>
          <w:highlight w:val="none"/>
        </w:rPr>
        <w:t>：</w:t>
      </w:r>
    </w:p>
    <w:p w14:paraId="3BEC744D">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日期：     年  月  日</w:t>
      </w:r>
    </w:p>
    <w:p w14:paraId="4BC6FB4F">
      <w:pPr>
        <w:widowControl/>
        <w:shd w:val="clear"/>
        <w:snapToGrid w:val="0"/>
        <w:spacing w:line="240" w:lineRule="auto"/>
        <w:ind w:firstLine="480" w:firstLineChars="200"/>
        <w:jc w:val="left"/>
        <w:rPr>
          <w:rFonts w:hint="eastAsia" w:asciiTheme="minorEastAsia" w:hAnsiTheme="minorEastAsia" w:eastAsiaTheme="minorEastAsia" w:cstheme="minorEastAsia"/>
          <w:kern w:val="0"/>
          <w:sz w:val="24"/>
          <w:highlight w:val="none"/>
        </w:rPr>
      </w:pPr>
    </w:p>
    <w:p w14:paraId="7CCFD410">
      <w:pPr>
        <w:shd w:val="clear"/>
        <w:spacing w:line="240" w:lineRule="auto"/>
        <w:rPr>
          <w:rFonts w:hint="eastAsia" w:asciiTheme="minorEastAsia" w:hAnsiTheme="minorEastAsia" w:eastAsiaTheme="minorEastAsia" w:cstheme="minorEastAsia"/>
          <w:sz w:val="24"/>
          <w:highlight w:val="none"/>
        </w:rPr>
      </w:pPr>
    </w:p>
    <w:p w14:paraId="75C9C26B">
      <w:pPr>
        <w:widowControl/>
        <w:shd w:val="clear"/>
        <w:spacing w:line="480" w:lineRule="auto"/>
        <w:jc w:val="left"/>
        <w:rPr>
          <w:rFonts w:hint="eastAsia" w:asciiTheme="minorEastAsia" w:hAnsiTheme="minorEastAsia" w:eastAsiaTheme="minorEastAsia" w:cstheme="minorEastAsia"/>
          <w:b/>
          <w:bCs/>
          <w:sz w:val="24"/>
          <w:highlight w:val="none"/>
          <w:lang w:val="en-US" w:eastAsia="zh-CN"/>
        </w:rPr>
      </w:pPr>
      <w:r>
        <w:rPr>
          <w:rFonts w:hint="eastAsia" w:asciiTheme="minorEastAsia" w:hAnsiTheme="minorEastAsia" w:eastAsiaTheme="minorEastAsia" w:cstheme="minorEastAsia"/>
          <w:b/>
          <w:kern w:val="36"/>
          <w:sz w:val="24"/>
          <w:highlight w:val="none"/>
        </w:rPr>
        <w:br w:type="page"/>
      </w:r>
      <w:r>
        <w:rPr>
          <w:rFonts w:hint="eastAsia" w:asciiTheme="minorEastAsia" w:hAnsiTheme="minorEastAsia" w:eastAsiaTheme="minorEastAsia" w:cstheme="minorEastAsia"/>
          <w:b/>
          <w:bCs/>
          <w:sz w:val="24"/>
          <w:highlight w:val="none"/>
          <w:lang w:val="zh-CN"/>
        </w:rPr>
        <w:t>附件</w:t>
      </w:r>
      <w:r>
        <w:rPr>
          <w:rFonts w:hint="eastAsia" w:asciiTheme="minorEastAsia" w:hAnsiTheme="minorEastAsia" w:eastAsiaTheme="minorEastAsia" w:cstheme="minorEastAsia"/>
          <w:b/>
          <w:bCs/>
          <w:sz w:val="24"/>
          <w:highlight w:val="none"/>
          <w:lang w:val="en-US" w:eastAsia="zh-CN"/>
        </w:rPr>
        <w:t>9、</w:t>
      </w:r>
    </w:p>
    <w:p w14:paraId="1E0F3320">
      <w:pPr>
        <w:shd w:val="clear"/>
        <w:spacing w:line="480" w:lineRule="auto"/>
        <w:jc w:val="center"/>
        <w:rPr>
          <w:rFonts w:hint="eastAsia" w:asciiTheme="minorEastAsia" w:hAnsiTheme="minorEastAsia" w:eastAsiaTheme="minorEastAsia" w:cstheme="minorEastAsia"/>
          <w:b/>
          <w:kern w:val="36"/>
          <w:sz w:val="24"/>
          <w:highlight w:val="none"/>
        </w:rPr>
      </w:pPr>
      <w:r>
        <w:rPr>
          <w:rFonts w:hint="eastAsia" w:asciiTheme="minorEastAsia" w:hAnsiTheme="minorEastAsia" w:eastAsiaTheme="minorEastAsia" w:cstheme="minorEastAsia"/>
          <w:b/>
          <w:kern w:val="36"/>
          <w:sz w:val="24"/>
          <w:highlight w:val="none"/>
        </w:rPr>
        <w:t>依法缴纳税收和社会保障资金的承诺函</w:t>
      </w:r>
    </w:p>
    <w:p w14:paraId="604D8729">
      <w:pPr>
        <w:shd w:val="clear"/>
        <w:spacing w:line="480" w:lineRule="auto"/>
        <w:rPr>
          <w:rFonts w:hint="eastAsia" w:asciiTheme="minorEastAsia" w:hAnsiTheme="minorEastAsia" w:eastAsiaTheme="minorEastAsia" w:cstheme="minorEastAsia"/>
          <w:b/>
          <w:kern w:val="0"/>
          <w:sz w:val="24"/>
          <w:highlight w:val="none"/>
          <w:u w:val="single"/>
        </w:rPr>
      </w:pPr>
    </w:p>
    <w:p w14:paraId="432CD454">
      <w:pPr>
        <w:shd w:val="clear"/>
        <w:snapToGrid w:val="0"/>
        <w:spacing w:before="156" w:beforeLines="50" w:after="50" w:line="48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u w:val="single"/>
        </w:rPr>
        <w:t>建经投资咨询有限公司</w:t>
      </w:r>
      <w:r>
        <w:rPr>
          <w:rFonts w:hint="eastAsia" w:asciiTheme="minorEastAsia" w:hAnsiTheme="minorEastAsia" w:eastAsiaTheme="minorEastAsia" w:cstheme="minorEastAsia"/>
          <w:kern w:val="0"/>
          <w:sz w:val="24"/>
          <w:highlight w:val="none"/>
        </w:rPr>
        <w:t>（采购代理机构名称）：</w:t>
      </w:r>
    </w:p>
    <w:p w14:paraId="0EDF8EA3">
      <w:pPr>
        <w:shd w:val="clear"/>
        <w:spacing w:line="48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我公司郑重声明，我公司严格依法缴纳税收和社会保障资金，本文件中所提供的相关材料均真实有效，不存在虚假、造假行为。如有违反，愿承担一切责任。</w:t>
      </w:r>
    </w:p>
    <w:p w14:paraId="46A0A654">
      <w:pPr>
        <w:shd w:val="clear"/>
        <w:spacing w:line="480" w:lineRule="auto"/>
        <w:ind w:firstLine="480" w:firstLineChars="200"/>
        <w:rPr>
          <w:rFonts w:hint="eastAsia" w:asciiTheme="minorEastAsia" w:hAnsiTheme="minorEastAsia" w:eastAsiaTheme="minorEastAsia" w:cstheme="minorEastAsia"/>
          <w:kern w:val="0"/>
          <w:sz w:val="24"/>
          <w:highlight w:val="none"/>
        </w:rPr>
      </w:pPr>
    </w:p>
    <w:p w14:paraId="47E9E7C8">
      <w:pPr>
        <w:shd w:val="clear"/>
        <w:spacing w:line="48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特此承诺！</w:t>
      </w:r>
    </w:p>
    <w:p w14:paraId="56FD6CD7">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p>
    <w:p w14:paraId="57A073DE">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lang w:val="zh-CN"/>
        </w:rPr>
        <w:t>投标人</w:t>
      </w:r>
      <w:r>
        <w:rPr>
          <w:rFonts w:hint="eastAsia" w:asciiTheme="minorEastAsia" w:hAnsiTheme="minorEastAsia" w:eastAsiaTheme="minorEastAsia" w:cstheme="minorEastAsia"/>
          <w:kern w:val="0"/>
          <w:sz w:val="24"/>
          <w:highlight w:val="none"/>
        </w:rPr>
        <w:t>名称（</w:t>
      </w:r>
      <w:r>
        <w:rPr>
          <w:rFonts w:hint="eastAsia" w:asciiTheme="minorEastAsia" w:hAnsiTheme="minorEastAsia" w:eastAsiaTheme="minorEastAsia" w:cstheme="minorEastAsia"/>
          <w:color w:val="auto"/>
          <w:spacing w:val="6"/>
          <w:sz w:val="24"/>
          <w:highlight w:val="none"/>
          <w:lang w:val="en-US" w:eastAsia="zh-CN"/>
        </w:rPr>
        <w:t>盖章</w:t>
      </w:r>
      <w:r>
        <w:rPr>
          <w:rFonts w:hint="eastAsia" w:asciiTheme="minorEastAsia" w:hAnsiTheme="minorEastAsia" w:eastAsiaTheme="minorEastAsia" w:cstheme="minorEastAsia"/>
          <w:kern w:val="0"/>
          <w:sz w:val="24"/>
          <w:highlight w:val="none"/>
        </w:rPr>
        <w:t>） ：</w:t>
      </w:r>
    </w:p>
    <w:p w14:paraId="1F20097C">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eastAsia="zh-CN"/>
        </w:rPr>
        <w:t>法定代表人或其授权委托代理人（签字或盖章）</w:t>
      </w:r>
      <w:r>
        <w:rPr>
          <w:rFonts w:hint="eastAsia" w:asciiTheme="minorEastAsia" w:hAnsiTheme="minorEastAsia" w:eastAsiaTheme="minorEastAsia" w:cstheme="minorEastAsia"/>
          <w:kern w:val="0"/>
          <w:sz w:val="24"/>
          <w:highlight w:val="none"/>
        </w:rPr>
        <w:t>：</w:t>
      </w:r>
    </w:p>
    <w:p w14:paraId="3F50AD43">
      <w:pPr>
        <w:widowControl/>
        <w:shd w:val="clear"/>
        <w:snapToGrid w:val="0"/>
        <w:spacing w:line="480" w:lineRule="auto"/>
        <w:ind w:firstLine="480" w:firstLineChars="200"/>
        <w:jc w:val="right"/>
        <w:rPr>
          <w:rFonts w:hint="eastAsia" w:asciiTheme="minorEastAsia" w:hAnsiTheme="minorEastAsia" w:eastAsiaTheme="minorEastAsia" w:cstheme="minorEastAsia"/>
          <w:kern w:val="0"/>
          <w:sz w:val="24"/>
          <w:highlight w:val="none"/>
        </w:rPr>
        <w:sectPr>
          <w:pgSz w:w="11906" w:h="16838"/>
          <w:pgMar w:top="1247" w:right="1417" w:bottom="1474" w:left="1417" w:header="851" w:footer="896" w:gutter="0"/>
          <w:cols w:space="0" w:num="1"/>
          <w:titlePg/>
          <w:rtlGutter w:val="0"/>
          <w:docGrid w:type="lines" w:linePitch="312" w:charSpace="0"/>
        </w:sectPr>
      </w:pPr>
      <w:r>
        <w:rPr>
          <w:rFonts w:hint="eastAsia" w:asciiTheme="minorEastAsia" w:hAnsiTheme="minorEastAsia" w:eastAsiaTheme="minorEastAsia" w:cstheme="minorEastAsia"/>
          <w:kern w:val="0"/>
          <w:sz w:val="24"/>
          <w:highlight w:val="none"/>
        </w:rPr>
        <w:t>日期：     年  月  日</w:t>
      </w:r>
    </w:p>
    <w:p w14:paraId="69ABBA7D">
      <w:pPr>
        <w:pStyle w:val="27"/>
        <w:shd w:val="clear"/>
        <w:spacing w:line="480" w:lineRule="auto"/>
        <w:rPr>
          <w:rFonts w:hint="eastAsia" w:asciiTheme="minorEastAsia" w:hAnsiTheme="minorEastAsia" w:eastAsiaTheme="minorEastAsia" w:cstheme="minorEastAsia"/>
          <w:b/>
          <w:bCs/>
          <w:szCs w:val="24"/>
          <w:highlight w:val="none"/>
          <w:lang w:eastAsia="zh-CN"/>
        </w:rPr>
      </w:pPr>
      <w:r>
        <w:rPr>
          <w:rFonts w:hint="eastAsia" w:asciiTheme="minorEastAsia" w:hAnsiTheme="minorEastAsia" w:eastAsiaTheme="minorEastAsia" w:cstheme="minorEastAsia"/>
          <w:b/>
          <w:bCs/>
          <w:sz w:val="24"/>
          <w:highlight w:val="none"/>
          <w:lang w:val="zh-CN"/>
        </w:rPr>
        <w:t>附件</w:t>
      </w:r>
      <w:r>
        <w:rPr>
          <w:rFonts w:hint="eastAsia" w:asciiTheme="minorEastAsia" w:hAnsiTheme="minorEastAsia" w:eastAsiaTheme="minorEastAsia" w:cstheme="minorEastAsia"/>
          <w:b/>
          <w:bCs/>
          <w:sz w:val="24"/>
          <w:highlight w:val="none"/>
          <w:lang w:val="en-US" w:eastAsia="zh-CN"/>
        </w:rPr>
        <w:t>10、</w:t>
      </w:r>
    </w:p>
    <w:p w14:paraId="3D387248">
      <w:pPr>
        <w:shd w:val="clear" w:color="auto"/>
        <w:snapToGrid w:val="0"/>
        <w:spacing w:line="480" w:lineRule="auto"/>
        <w:jc w:val="center"/>
        <w:rPr>
          <w:rFonts w:hint="eastAsia" w:asciiTheme="minorEastAsia" w:hAnsiTheme="minorEastAsia" w:eastAsiaTheme="minorEastAsia" w:cstheme="minorEastAsia"/>
          <w:b/>
          <w:kern w:val="36"/>
          <w:sz w:val="24"/>
          <w:highlight w:val="none"/>
        </w:rPr>
      </w:pPr>
      <w:r>
        <w:rPr>
          <w:rFonts w:hint="eastAsia" w:asciiTheme="minorEastAsia" w:hAnsiTheme="minorEastAsia" w:eastAsiaTheme="minorEastAsia" w:cstheme="minorEastAsia"/>
          <w:b/>
          <w:kern w:val="36"/>
          <w:sz w:val="24"/>
          <w:highlight w:val="none"/>
        </w:rPr>
        <w:t>投标供应商没有失信记录承诺函</w:t>
      </w:r>
    </w:p>
    <w:p w14:paraId="63C2B698">
      <w:pPr>
        <w:pStyle w:val="29"/>
        <w:shd w:val="clear"/>
        <w:spacing w:line="480" w:lineRule="auto"/>
        <w:rPr>
          <w:rFonts w:hint="eastAsia" w:asciiTheme="minorEastAsia" w:hAnsiTheme="minorEastAsia" w:eastAsiaTheme="minorEastAsia" w:cstheme="minorEastAsia"/>
          <w:highlight w:val="none"/>
        </w:rPr>
      </w:pPr>
    </w:p>
    <w:p w14:paraId="1D33A1EE">
      <w:pPr>
        <w:shd w:val="clear"/>
        <w:spacing w:line="480" w:lineRule="auto"/>
        <w:ind w:firstLine="484" w:firstLineChars="202"/>
        <w:jc w:val="left"/>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u w:val="single"/>
        </w:rPr>
        <w:t>建经投资咨询有限公司</w:t>
      </w:r>
      <w:r>
        <w:rPr>
          <w:rFonts w:hint="eastAsia" w:asciiTheme="minorEastAsia" w:hAnsiTheme="minorEastAsia" w:eastAsiaTheme="minorEastAsia" w:cstheme="minorEastAsia"/>
          <w:sz w:val="24"/>
          <w:highlight w:val="none"/>
        </w:rPr>
        <w:t>（采购代理机构名称）：</w:t>
      </w:r>
    </w:p>
    <w:p w14:paraId="5167DD77">
      <w:pPr>
        <w:shd w:val="clear"/>
        <w:spacing w:line="480" w:lineRule="auto"/>
        <w:ind w:firstLine="484" w:firstLineChars="202"/>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6EB00720">
      <w:pPr>
        <w:shd w:val="clear" w:color="auto"/>
        <w:snapToGrid w:val="0"/>
        <w:spacing w:line="480" w:lineRule="auto"/>
        <w:rPr>
          <w:rFonts w:hint="eastAsia" w:asciiTheme="minorEastAsia" w:hAnsiTheme="minorEastAsia" w:eastAsiaTheme="minorEastAsia" w:cstheme="minorEastAsia"/>
          <w:sz w:val="24"/>
          <w:highlight w:val="none"/>
        </w:rPr>
      </w:pPr>
    </w:p>
    <w:p w14:paraId="16A38BA8">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特此承诺！</w:t>
      </w:r>
    </w:p>
    <w:p w14:paraId="1060677A">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p>
    <w:p w14:paraId="6E9F976A">
      <w:pPr>
        <w:shd w:val="clear"/>
        <w:spacing w:line="360" w:lineRule="auto"/>
        <w:ind w:left="42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投标人名称</w:t>
      </w:r>
      <w:r>
        <w:rPr>
          <w:rFonts w:hint="eastAsia" w:asciiTheme="minorEastAsia" w:hAnsiTheme="minorEastAsia" w:eastAsiaTheme="minorEastAsia" w:cstheme="minorEastAsia"/>
          <w:color w:val="auto"/>
          <w:spacing w:val="6"/>
          <w:sz w:val="24"/>
          <w:highlight w:val="none"/>
        </w:rPr>
        <w:t>（</w:t>
      </w:r>
      <w:r>
        <w:rPr>
          <w:rFonts w:hint="eastAsia" w:asciiTheme="minorEastAsia" w:hAnsiTheme="minorEastAsia" w:eastAsiaTheme="minorEastAsia" w:cstheme="minorEastAsia"/>
          <w:color w:val="auto"/>
          <w:spacing w:val="6"/>
          <w:sz w:val="24"/>
          <w:highlight w:val="none"/>
          <w:lang w:val="en-US" w:eastAsia="zh-CN"/>
        </w:rPr>
        <w:t>盖章</w:t>
      </w:r>
      <w:r>
        <w:rPr>
          <w:rFonts w:hint="eastAsia" w:asciiTheme="minorEastAsia" w:hAnsiTheme="minorEastAsia" w:eastAsiaTheme="minorEastAsia" w:cstheme="minorEastAsia"/>
          <w:color w:val="auto"/>
          <w:spacing w:val="6"/>
          <w:sz w:val="24"/>
          <w:highlight w:val="none"/>
        </w:rPr>
        <w:t>）</w:t>
      </w:r>
      <w:r>
        <w:rPr>
          <w:rFonts w:hint="eastAsia" w:asciiTheme="minorEastAsia" w:hAnsiTheme="minorEastAsia" w:eastAsiaTheme="minorEastAsia" w:cstheme="minorEastAsia"/>
          <w:color w:val="auto"/>
          <w:sz w:val="24"/>
          <w:highlight w:val="none"/>
        </w:rPr>
        <w:t>：</w:t>
      </w:r>
    </w:p>
    <w:p w14:paraId="1B870FB3">
      <w:pPr>
        <w:shd w:val="clear"/>
        <w:spacing w:line="360" w:lineRule="auto"/>
        <w:ind w:left="420"/>
        <w:rPr>
          <w:rFonts w:hint="eastAsia" w:asciiTheme="minorEastAsia" w:hAnsiTheme="minorEastAsia" w:eastAsiaTheme="minorEastAsia" w:cstheme="minorEastAsia"/>
          <w:color w:val="auto"/>
          <w:sz w:val="24"/>
          <w:highlight w:val="none"/>
        </w:rPr>
      </w:pPr>
    </w:p>
    <w:p w14:paraId="71EF1696">
      <w:pPr>
        <w:shd w:val="clear"/>
        <w:spacing w:line="360" w:lineRule="auto"/>
        <w:ind w:firstLine="4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kern w:val="0"/>
          <w:sz w:val="24"/>
          <w:highlight w:val="none"/>
          <w:lang w:eastAsia="zh-CN"/>
        </w:rPr>
        <w:t>法定代表人或其授权委托代理人</w:t>
      </w:r>
      <w:r>
        <w:rPr>
          <w:rFonts w:hint="eastAsia" w:asciiTheme="minorEastAsia" w:hAnsiTheme="minorEastAsia" w:eastAsiaTheme="minorEastAsia" w:cstheme="minorEastAsia"/>
          <w:color w:val="auto"/>
          <w:sz w:val="24"/>
          <w:highlight w:val="none"/>
        </w:rPr>
        <w:t>(签字或盖章)：</w:t>
      </w:r>
    </w:p>
    <w:p w14:paraId="646140E4">
      <w:pPr>
        <w:shd w:val="clear"/>
        <w:spacing w:line="360" w:lineRule="auto"/>
        <w:ind w:firstLine="435"/>
        <w:rPr>
          <w:rFonts w:hint="eastAsia" w:asciiTheme="minorEastAsia" w:hAnsiTheme="minorEastAsia" w:eastAsiaTheme="minorEastAsia" w:cstheme="minorEastAsia"/>
          <w:color w:val="auto"/>
          <w:sz w:val="24"/>
          <w:highlight w:val="none"/>
        </w:rPr>
      </w:pPr>
    </w:p>
    <w:p w14:paraId="35664B80">
      <w:pPr>
        <w:shd w:val="clear"/>
        <w:spacing w:line="360" w:lineRule="auto"/>
        <w:ind w:firstLine="435"/>
        <w:jc w:val="center"/>
        <w:rPr>
          <w:rFonts w:hint="eastAsia" w:asciiTheme="minorEastAsia" w:hAnsiTheme="minorEastAsia" w:eastAsiaTheme="minorEastAsia" w:cstheme="minorEastAsia"/>
          <w:highlight w:val="none"/>
          <w:lang w:val="zh-CN"/>
        </w:rPr>
        <w:sectPr>
          <w:pgSz w:w="11906" w:h="16838"/>
          <w:pgMar w:top="1247" w:right="1417" w:bottom="1474" w:left="1417" w:header="851" w:footer="896" w:gutter="0"/>
          <w:pgNumType w:fmt="decimal"/>
          <w:cols w:space="0" w:num="1"/>
          <w:docGrid w:type="lines" w:linePitch="312" w:charSpace="0"/>
        </w:sectPr>
      </w:pPr>
      <w:r>
        <w:rPr>
          <w:rFonts w:hint="eastAsia" w:asciiTheme="minorEastAsia" w:hAnsiTheme="minorEastAsia" w:eastAsiaTheme="minorEastAsia" w:cstheme="minorEastAsia"/>
          <w:color w:val="auto"/>
          <w:sz w:val="24"/>
          <w:highlight w:val="none"/>
        </w:rPr>
        <w:t>日        期：</w:t>
      </w:r>
    </w:p>
    <w:p w14:paraId="193E1E09">
      <w:pPr>
        <w:shd w:val="clea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w:t>
      </w: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w:t>
      </w:r>
    </w:p>
    <w:p w14:paraId="2F01F710">
      <w:pPr>
        <w:shd w:val="clea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kern w:val="2"/>
          <w:sz w:val="32"/>
          <w:szCs w:val="32"/>
          <w:highlight w:val="none"/>
          <w:lang w:val="en-US" w:eastAsia="zh-CN" w:bidi="ar-SA"/>
        </w:rPr>
        <w:t>商务需求响应表</w:t>
      </w:r>
    </w:p>
    <w:tbl>
      <w:tblPr>
        <w:tblStyle w:val="77"/>
        <w:tblW w:w="97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1"/>
        <w:gridCol w:w="1537"/>
        <w:gridCol w:w="1536"/>
        <w:gridCol w:w="1536"/>
        <w:gridCol w:w="1536"/>
        <w:gridCol w:w="1870"/>
      </w:tblGrid>
      <w:tr w14:paraId="1B2F6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14:paraId="0EB3E76C">
            <w:pPr>
              <w:shd w:val="clear"/>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CA8B4FA">
            <w:pPr>
              <w:shd w:val="clear"/>
              <w:spacing w:line="360" w:lineRule="auto"/>
              <w:jc w:val="center"/>
              <w:rPr>
                <w:rFonts w:hint="eastAsia" w:asciiTheme="minorEastAsia" w:hAnsiTheme="minorEastAsia" w:eastAsiaTheme="minorEastAsia" w:cstheme="minorEastAsia"/>
                <w:b/>
                <w:sz w:val="21"/>
                <w:szCs w:val="21"/>
                <w:highlight w:val="none"/>
                <w:lang w:eastAsia="zh-CN"/>
              </w:rPr>
            </w:pPr>
            <w:r>
              <w:rPr>
                <w:rFonts w:hint="eastAsia" w:asciiTheme="minorEastAsia" w:hAnsiTheme="minorEastAsia" w:eastAsiaTheme="minorEastAsia" w:cstheme="minorEastAsia"/>
                <w:b/>
                <w:sz w:val="21"/>
                <w:szCs w:val="21"/>
                <w:highlight w:val="none"/>
                <w:lang w:val="en-US" w:eastAsia="zh-CN"/>
              </w:rPr>
              <w:t>内容</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3C930230">
            <w:pPr>
              <w:shd w:val="clear"/>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招标需求</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42FAF29">
            <w:pPr>
              <w:shd w:val="clear"/>
              <w:spacing w:line="360" w:lineRule="auto"/>
              <w:ind w:left="152" w:left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是否响应</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BD80DA4">
            <w:pPr>
              <w:shd w:val="clea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投标人的承诺或说明</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02E07686">
            <w:pPr>
              <w:shd w:val="clear"/>
              <w:spacing w:line="360" w:lineRule="auto"/>
              <w:ind w:left="53" w:leftChars="25" w:firstLine="211"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招标需求</w:t>
            </w:r>
          </w:p>
        </w:tc>
      </w:tr>
      <w:tr w14:paraId="62468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71E5490E">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04B7573">
            <w:pPr>
              <w:pStyle w:val="39"/>
              <w:shd w:val="clear"/>
              <w:spacing w:line="300" w:lineRule="exact"/>
              <w:ind w:firstLine="392" w:firstLineChars="196"/>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color w:val="auto"/>
                <w:szCs w:val="21"/>
                <w:highlight w:val="none"/>
                <w:lang w:val="en-US" w:eastAsia="zh-CN"/>
              </w:rPr>
              <w:t>服务期限</w:t>
            </w:r>
          </w:p>
        </w:tc>
        <w:tc>
          <w:tcPr>
            <w:tcW w:w="1536" w:type="dxa"/>
            <w:tcBorders>
              <w:top w:val="single" w:color="auto" w:sz="4" w:space="0"/>
              <w:left w:val="single" w:color="auto" w:sz="4" w:space="0"/>
              <w:bottom w:val="single" w:color="auto" w:sz="4" w:space="0"/>
              <w:right w:val="single" w:color="auto" w:sz="4" w:space="0"/>
            </w:tcBorders>
            <w:noWrap w:val="0"/>
            <w:vAlign w:val="top"/>
          </w:tcPr>
          <w:p w14:paraId="0047DEF6">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38C3CE1E">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5A72D06D">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38140694">
            <w:pPr>
              <w:shd w:val="clear"/>
              <w:jc w:val="center"/>
              <w:rPr>
                <w:rFonts w:hint="eastAsia" w:asciiTheme="minorEastAsia" w:hAnsiTheme="minorEastAsia" w:eastAsiaTheme="minorEastAsia" w:cstheme="minorEastAsia"/>
                <w:sz w:val="21"/>
                <w:szCs w:val="21"/>
                <w:highlight w:val="none"/>
              </w:rPr>
            </w:pPr>
          </w:p>
        </w:tc>
      </w:tr>
      <w:tr w14:paraId="7907D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57E8CAFA">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10B323C">
            <w:pPr>
              <w:pStyle w:val="39"/>
              <w:shd w:val="clear"/>
              <w:spacing w:line="300" w:lineRule="exact"/>
              <w:ind w:firstLine="40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Cs w:val="21"/>
                <w:highlight w:val="none"/>
              </w:rPr>
              <w:t>服务响应</w:t>
            </w:r>
          </w:p>
        </w:tc>
        <w:tc>
          <w:tcPr>
            <w:tcW w:w="1536" w:type="dxa"/>
            <w:tcBorders>
              <w:top w:val="single" w:color="auto" w:sz="4" w:space="0"/>
              <w:left w:val="single" w:color="auto" w:sz="4" w:space="0"/>
              <w:bottom w:val="single" w:color="auto" w:sz="4" w:space="0"/>
              <w:right w:val="single" w:color="auto" w:sz="4" w:space="0"/>
            </w:tcBorders>
            <w:noWrap w:val="0"/>
            <w:vAlign w:val="top"/>
          </w:tcPr>
          <w:p w14:paraId="5E6C167C">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177620FC">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759034F7">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18704D76">
            <w:pPr>
              <w:shd w:val="clear"/>
              <w:jc w:val="center"/>
              <w:rPr>
                <w:rFonts w:hint="eastAsia" w:asciiTheme="minorEastAsia" w:hAnsiTheme="minorEastAsia" w:eastAsiaTheme="minorEastAsia" w:cstheme="minorEastAsia"/>
                <w:sz w:val="21"/>
                <w:szCs w:val="21"/>
                <w:highlight w:val="none"/>
              </w:rPr>
            </w:pPr>
          </w:p>
        </w:tc>
      </w:tr>
      <w:tr w14:paraId="60DA3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11913313">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543833A">
            <w:pPr>
              <w:pStyle w:val="39"/>
              <w:shd w:val="clear"/>
              <w:spacing w:line="300" w:lineRule="exact"/>
              <w:ind w:firstLine="40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Cs w:val="21"/>
                <w:highlight w:val="none"/>
              </w:rPr>
              <w:t>付款方式</w:t>
            </w:r>
          </w:p>
        </w:tc>
        <w:tc>
          <w:tcPr>
            <w:tcW w:w="1536" w:type="dxa"/>
            <w:tcBorders>
              <w:top w:val="single" w:color="auto" w:sz="4" w:space="0"/>
              <w:left w:val="single" w:color="auto" w:sz="4" w:space="0"/>
              <w:bottom w:val="single" w:color="auto" w:sz="4" w:space="0"/>
              <w:right w:val="single" w:color="auto" w:sz="4" w:space="0"/>
            </w:tcBorders>
            <w:noWrap w:val="0"/>
            <w:vAlign w:val="top"/>
          </w:tcPr>
          <w:p w14:paraId="5D46DCDB">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23343EB3">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0F859ED8">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78858818">
            <w:pPr>
              <w:shd w:val="clear"/>
              <w:jc w:val="center"/>
              <w:rPr>
                <w:rFonts w:hint="eastAsia" w:asciiTheme="minorEastAsia" w:hAnsiTheme="minorEastAsia" w:eastAsiaTheme="minorEastAsia" w:cstheme="minorEastAsia"/>
                <w:sz w:val="21"/>
                <w:szCs w:val="21"/>
                <w:highlight w:val="none"/>
              </w:rPr>
            </w:pPr>
          </w:p>
        </w:tc>
      </w:tr>
      <w:tr w14:paraId="6CCC6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40F360ED">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14:paraId="25A27834">
            <w:pPr>
              <w:shd w:val="clear"/>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w:t>
            </w:r>
          </w:p>
        </w:tc>
        <w:tc>
          <w:tcPr>
            <w:tcW w:w="1536" w:type="dxa"/>
            <w:tcBorders>
              <w:top w:val="single" w:color="auto" w:sz="4" w:space="0"/>
              <w:left w:val="single" w:color="auto" w:sz="4" w:space="0"/>
              <w:bottom w:val="single" w:color="auto" w:sz="4" w:space="0"/>
              <w:right w:val="single" w:color="auto" w:sz="4" w:space="0"/>
            </w:tcBorders>
            <w:noWrap w:val="0"/>
            <w:vAlign w:val="top"/>
          </w:tcPr>
          <w:p w14:paraId="53293341">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21A3C67C">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30429943">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6EC18FAE">
            <w:pPr>
              <w:shd w:val="clear"/>
              <w:jc w:val="center"/>
              <w:rPr>
                <w:rFonts w:hint="eastAsia" w:asciiTheme="minorEastAsia" w:hAnsiTheme="minorEastAsia" w:eastAsiaTheme="minorEastAsia" w:cstheme="minorEastAsia"/>
                <w:sz w:val="21"/>
                <w:szCs w:val="21"/>
                <w:highlight w:val="none"/>
              </w:rPr>
            </w:pPr>
          </w:p>
        </w:tc>
      </w:tr>
      <w:tr w14:paraId="52A88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69B605C5">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14:paraId="0BB2EF3C">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7F4E554E">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15D509CC">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4A10F14E">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355922A4">
            <w:pPr>
              <w:shd w:val="clear"/>
              <w:jc w:val="center"/>
              <w:rPr>
                <w:rFonts w:hint="eastAsia" w:asciiTheme="minorEastAsia" w:hAnsiTheme="minorEastAsia" w:eastAsiaTheme="minorEastAsia" w:cstheme="minorEastAsia"/>
                <w:sz w:val="21"/>
                <w:szCs w:val="21"/>
                <w:highlight w:val="none"/>
              </w:rPr>
            </w:pPr>
          </w:p>
        </w:tc>
      </w:tr>
      <w:tr w14:paraId="3FF46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4E4DEBD4">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14:paraId="12EB3D23">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4893B77D">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4E8B133C">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14D032B9">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5FC56DDD">
            <w:pPr>
              <w:shd w:val="clear"/>
              <w:jc w:val="center"/>
              <w:rPr>
                <w:rFonts w:hint="eastAsia" w:asciiTheme="minorEastAsia" w:hAnsiTheme="minorEastAsia" w:eastAsiaTheme="minorEastAsia" w:cstheme="minorEastAsia"/>
                <w:sz w:val="21"/>
                <w:szCs w:val="21"/>
                <w:highlight w:val="none"/>
              </w:rPr>
            </w:pPr>
          </w:p>
        </w:tc>
      </w:tr>
    </w:tbl>
    <w:p w14:paraId="51B82296">
      <w:pPr>
        <w:shd w:val="clear"/>
        <w:autoSpaceDE w:val="0"/>
        <w:autoSpaceDN w:val="0"/>
        <w:adjustRightInd w:val="0"/>
        <w:ind w:firstLine="5040" w:firstLineChars="2400"/>
        <w:rPr>
          <w:rFonts w:hint="eastAsia" w:asciiTheme="minorEastAsia" w:hAnsiTheme="minorEastAsia" w:eastAsiaTheme="minorEastAsia" w:cstheme="minorEastAsia"/>
          <w:kern w:val="0"/>
          <w:sz w:val="21"/>
          <w:szCs w:val="21"/>
          <w:highlight w:val="none"/>
          <w:lang w:val="zh-CN"/>
        </w:rPr>
      </w:pPr>
    </w:p>
    <w:p w14:paraId="632EA657">
      <w:pPr>
        <w:shd w:val="clear"/>
        <w:autoSpaceDE w:val="0"/>
        <w:autoSpaceDN w:val="0"/>
        <w:adjustRightInd w:val="0"/>
        <w:jc w:val="left"/>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注：</w:t>
      </w:r>
      <w:r>
        <w:rPr>
          <w:rFonts w:hint="eastAsia" w:asciiTheme="minorEastAsia" w:hAnsiTheme="minorEastAsia" w:eastAsiaTheme="minorEastAsia" w:cstheme="minorEastAsia"/>
          <w:kern w:val="0"/>
          <w:sz w:val="21"/>
          <w:szCs w:val="21"/>
          <w:highlight w:val="none"/>
          <w:lang w:val="zh-CN" w:eastAsia="zh-CN"/>
        </w:rPr>
        <w:t>未填写的视为完全响应。</w:t>
      </w:r>
    </w:p>
    <w:p w14:paraId="4F09F0AF">
      <w:pPr>
        <w:shd w:val="clear"/>
        <w:autoSpaceDE w:val="0"/>
        <w:autoSpaceDN w:val="0"/>
        <w:adjustRightInd w:val="0"/>
        <w:ind w:firstLine="4410" w:firstLineChars="2100"/>
        <w:jc w:val="left"/>
        <w:rPr>
          <w:rFonts w:hint="eastAsia" w:asciiTheme="minorEastAsia" w:hAnsiTheme="minorEastAsia" w:eastAsiaTheme="minorEastAsia" w:cstheme="minorEastAsia"/>
          <w:kern w:val="0"/>
          <w:sz w:val="21"/>
          <w:szCs w:val="21"/>
          <w:highlight w:val="none"/>
          <w:lang w:val="zh-CN"/>
        </w:rPr>
      </w:pPr>
    </w:p>
    <w:p w14:paraId="38332243">
      <w:pPr>
        <w:shd w:val="clear"/>
        <w:autoSpaceDE w:val="0"/>
        <w:autoSpaceDN w:val="0"/>
        <w:adjustRightInd w:val="0"/>
        <w:jc w:val="left"/>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投标人名称（</w:t>
      </w:r>
      <w:r>
        <w:rPr>
          <w:rFonts w:hint="eastAsia" w:asciiTheme="minorEastAsia" w:hAnsiTheme="minorEastAsia" w:eastAsiaTheme="minorEastAsia" w:cstheme="minorEastAsia"/>
          <w:kern w:val="0"/>
          <w:sz w:val="21"/>
          <w:szCs w:val="21"/>
          <w:highlight w:val="none"/>
          <w:lang w:val="en-US" w:eastAsia="zh-CN"/>
        </w:rPr>
        <w:t>盖章</w:t>
      </w:r>
      <w:r>
        <w:rPr>
          <w:rFonts w:hint="eastAsia" w:asciiTheme="minorEastAsia" w:hAnsiTheme="minorEastAsia" w:eastAsiaTheme="minorEastAsia" w:cstheme="minorEastAsia"/>
          <w:kern w:val="0"/>
          <w:sz w:val="21"/>
          <w:szCs w:val="21"/>
          <w:highlight w:val="none"/>
          <w:lang w:val="zh-CN"/>
        </w:rPr>
        <w:t xml:space="preserve">）：     </w:t>
      </w:r>
    </w:p>
    <w:p w14:paraId="7464FC22">
      <w:pPr>
        <w:shd w:val="clear"/>
        <w:autoSpaceDE w:val="0"/>
        <w:autoSpaceDN w:val="0"/>
        <w:adjustRightInd w:val="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kern w:val="0"/>
          <w:sz w:val="21"/>
          <w:szCs w:val="21"/>
          <w:highlight w:val="none"/>
          <w:lang w:val="zh-CN"/>
        </w:rPr>
        <w:t xml:space="preserve"> </w:t>
      </w:r>
      <w:r>
        <w:rPr>
          <w:rFonts w:hint="eastAsia" w:asciiTheme="minorEastAsia" w:hAnsiTheme="minorEastAsia" w:eastAsiaTheme="minorEastAsia" w:cstheme="minorEastAsia"/>
          <w:kern w:val="0"/>
          <w:sz w:val="21"/>
          <w:szCs w:val="21"/>
          <w:highlight w:val="none"/>
          <w:lang w:eastAsia="zh-CN"/>
        </w:rPr>
        <w:t>法定代表人或其授权委托代理人</w:t>
      </w:r>
      <w:r>
        <w:rPr>
          <w:rFonts w:hint="eastAsia" w:asciiTheme="minorEastAsia" w:hAnsiTheme="minorEastAsia" w:eastAsiaTheme="minorEastAsia" w:cstheme="minorEastAsia"/>
          <w:color w:val="auto"/>
          <w:sz w:val="21"/>
          <w:szCs w:val="21"/>
          <w:highlight w:val="none"/>
        </w:rPr>
        <w:t>(签字或盖章)：</w:t>
      </w:r>
    </w:p>
    <w:p w14:paraId="0DFE7704">
      <w:pPr>
        <w:shd w:val="clear"/>
        <w:autoSpaceDE w:val="0"/>
        <w:autoSpaceDN w:val="0"/>
        <w:adjustRightInd w:val="0"/>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 xml:space="preserve"> </w:t>
      </w:r>
    </w:p>
    <w:p w14:paraId="0DE28B7A">
      <w:pPr>
        <w:shd w:val="clear"/>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kern w:val="0"/>
          <w:sz w:val="21"/>
          <w:szCs w:val="21"/>
          <w:highlight w:val="none"/>
          <w:lang w:val="zh-CN"/>
        </w:rPr>
        <w:t xml:space="preserve">                             </w:t>
      </w:r>
      <w:r>
        <w:rPr>
          <w:rFonts w:hint="eastAsia" w:asciiTheme="minorEastAsia" w:hAnsiTheme="minorEastAsia" w:eastAsiaTheme="minorEastAsia" w:cstheme="minorEastAsia"/>
          <w:kern w:val="0"/>
          <w:sz w:val="21"/>
          <w:szCs w:val="21"/>
          <w:highlight w:val="none"/>
          <w:lang w:val="en-US" w:eastAsia="zh-CN"/>
        </w:rPr>
        <w:t xml:space="preserve">    </w:t>
      </w:r>
      <w:r>
        <w:rPr>
          <w:rFonts w:hint="eastAsia" w:asciiTheme="minorEastAsia" w:hAnsiTheme="minorEastAsia" w:eastAsiaTheme="minorEastAsia" w:cstheme="minorEastAsia"/>
          <w:kern w:val="0"/>
          <w:sz w:val="21"/>
          <w:szCs w:val="21"/>
          <w:highlight w:val="none"/>
          <w:lang w:val="zh-CN"/>
        </w:rPr>
        <w:t xml:space="preserve"> 日期：</w:t>
      </w:r>
      <w:r>
        <w:rPr>
          <w:rFonts w:hint="eastAsia" w:asciiTheme="minorEastAsia" w:hAnsiTheme="minorEastAsia" w:eastAsiaTheme="minorEastAsia" w:cstheme="minorEastAsia"/>
          <w:kern w:val="0"/>
          <w:sz w:val="21"/>
          <w:szCs w:val="21"/>
          <w:highlight w:val="none"/>
          <w:lang w:val="en-US" w:eastAsia="zh-CN"/>
        </w:rPr>
        <w:t xml:space="preserve">     </w:t>
      </w:r>
      <w:r>
        <w:rPr>
          <w:rFonts w:hint="eastAsia" w:asciiTheme="minorEastAsia" w:hAnsiTheme="minorEastAsia" w:eastAsiaTheme="minorEastAsia" w:cstheme="minorEastAsia"/>
          <w:kern w:val="0"/>
          <w:sz w:val="21"/>
          <w:szCs w:val="21"/>
          <w:highlight w:val="none"/>
          <w:lang w:val="zh-CN"/>
        </w:rPr>
        <w:t xml:space="preserve">年  </w:t>
      </w:r>
      <w:r>
        <w:rPr>
          <w:rFonts w:hint="eastAsia" w:asciiTheme="minorEastAsia" w:hAnsiTheme="minorEastAsia" w:eastAsiaTheme="minorEastAsia" w:cstheme="minorEastAsia"/>
          <w:kern w:val="0"/>
          <w:sz w:val="21"/>
          <w:szCs w:val="21"/>
          <w:highlight w:val="none"/>
        </w:rPr>
        <w:t xml:space="preserve"> </w:t>
      </w:r>
      <w:r>
        <w:rPr>
          <w:rFonts w:hint="eastAsia" w:asciiTheme="minorEastAsia" w:hAnsiTheme="minorEastAsia" w:eastAsiaTheme="minorEastAsia" w:cstheme="minorEastAsia"/>
          <w:kern w:val="0"/>
          <w:sz w:val="21"/>
          <w:szCs w:val="21"/>
          <w:highlight w:val="none"/>
          <w:lang w:val="zh-CN"/>
        </w:rPr>
        <w:t>月   日</w:t>
      </w:r>
    </w:p>
    <w:p w14:paraId="50B950F1">
      <w:pPr>
        <w:shd w:val="clear"/>
        <w:ind w:firstLine="456" w:firstLineChars="200"/>
        <w:jc w:val="left"/>
        <w:rPr>
          <w:rFonts w:hint="eastAsia" w:asciiTheme="minorEastAsia" w:hAnsiTheme="minorEastAsia" w:eastAsiaTheme="minorEastAsia" w:cstheme="minorEastAsia"/>
          <w:spacing w:val="-6"/>
          <w:sz w:val="24"/>
          <w:highlight w:val="none"/>
        </w:rPr>
      </w:pPr>
    </w:p>
    <w:p w14:paraId="64E62360">
      <w:pPr>
        <w:shd w:val="clear"/>
        <w:ind w:firstLine="456" w:firstLineChars="200"/>
        <w:jc w:val="left"/>
        <w:rPr>
          <w:rFonts w:hint="eastAsia" w:asciiTheme="minorEastAsia" w:hAnsiTheme="minorEastAsia" w:eastAsiaTheme="minorEastAsia" w:cstheme="minorEastAsia"/>
          <w:spacing w:val="-6"/>
          <w:sz w:val="24"/>
          <w:highlight w:val="none"/>
        </w:rPr>
      </w:pPr>
    </w:p>
    <w:p w14:paraId="30569CEB">
      <w:pPr>
        <w:shd w:val="clear"/>
        <w:ind w:firstLine="456" w:firstLineChars="200"/>
        <w:jc w:val="left"/>
        <w:rPr>
          <w:rFonts w:hint="eastAsia" w:asciiTheme="minorEastAsia" w:hAnsiTheme="minorEastAsia" w:eastAsiaTheme="minorEastAsia" w:cstheme="minorEastAsia"/>
          <w:spacing w:val="-6"/>
          <w:sz w:val="24"/>
          <w:highlight w:val="none"/>
        </w:rPr>
      </w:pPr>
    </w:p>
    <w:p w14:paraId="2D2F69DC">
      <w:pPr>
        <w:shd w:val="clear"/>
        <w:ind w:firstLine="456" w:firstLineChars="200"/>
        <w:jc w:val="left"/>
        <w:rPr>
          <w:rFonts w:hint="eastAsia" w:asciiTheme="minorEastAsia" w:hAnsiTheme="minorEastAsia" w:eastAsiaTheme="minorEastAsia" w:cstheme="minorEastAsia"/>
          <w:spacing w:val="-6"/>
          <w:sz w:val="24"/>
          <w:highlight w:val="none"/>
        </w:rPr>
      </w:pPr>
    </w:p>
    <w:p w14:paraId="59E7203B">
      <w:pPr>
        <w:shd w:val="clear"/>
        <w:ind w:firstLine="456" w:firstLineChars="200"/>
        <w:jc w:val="left"/>
        <w:rPr>
          <w:rFonts w:hint="eastAsia" w:asciiTheme="minorEastAsia" w:hAnsiTheme="minorEastAsia" w:eastAsiaTheme="minorEastAsia" w:cstheme="minorEastAsia"/>
          <w:spacing w:val="-6"/>
          <w:sz w:val="24"/>
          <w:highlight w:val="none"/>
        </w:rPr>
      </w:pPr>
    </w:p>
    <w:p w14:paraId="10A82264">
      <w:pPr>
        <w:shd w:val="clear"/>
        <w:ind w:firstLine="456" w:firstLineChars="200"/>
        <w:jc w:val="left"/>
        <w:rPr>
          <w:rFonts w:hint="eastAsia" w:asciiTheme="minorEastAsia" w:hAnsiTheme="minorEastAsia" w:eastAsiaTheme="minorEastAsia" w:cstheme="minorEastAsia"/>
          <w:spacing w:val="-6"/>
          <w:sz w:val="24"/>
          <w:highlight w:val="none"/>
        </w:rPr>
      </w:pPr>
    </w:p>
    <w:p w14:paraId="40EA9FAB">
      <w:pPr>
        <w:pStyle w:val="27"/>
        <w:shd w:val="clear"/>
        <w:rPr>
          <w:rFonts w:hint="eastAsia" w:asciiTheme="minorEastAsia" w:hAnsiTheme="minorEastAsia" w:eastAsiaTheme="minorEastAsia" w:cstheme="minorEastAsia"/>
          <w:highlight w:val="none"/>
        </w:rPr>
      </w:pPr>
    </w:p>
    <w:p w14:paraId="42BE0B6C">
      <w:pPr>
        <w:pStyle w:val="75"/>
        <w:shd w:val="clear"/>
        <w:rPr>
          <w:rFonts w:hint="eastAsia" w:asciiTheme="minorEastAsia" w:hAnsiTheme="minorEastAsia" w:eastAsiaTheme="minorEastAsia" w:cstheme="minorEastAsia"/>
          <w:highlight w:val="none"/>
        </w:rPr>
      </w:pPr>
    </w:p>
    <w:p w14:paraId="4EA4E413">
      <w:pPr>
        <w:shd w:val="clear"/>
        <w:rPr>
          <w:rFonts w:hint="eastAsia" w:asciiTheme="minorEastAsia" w:hAnsiTheme="minorEastAsia" w:eastAsiaTheme="minorEastAsia" w:cstheme="minorEastAsia"/>
          <w:highlight w:val="none"/>
        </w:rPr>
      </w:pPr>
    </w:p>
    <w:p w14:paraId="41DFD445">
      <w:pPr>
        <w:shd w:val="clea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br w:type="page"/>
      </w:r>
    </w:p>
    <w:p w14:paraId="68D2F520">
      <w:pPr>
        <w:shd w:val="clea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附件</w:t>
      </w:r>
      <w:r>
        <w:rPr>
          <w:rFonts w:hint="eastAsia" w:asciiTheme="minorEastAsia" w:hAnsiTheme="minorEastAsia" w:eastAsiaTheme="minorEastAsia" w:cstheme="minorEastAsia"/>
          <w:sz w:val="24"/>
          <w:highlight w:val="none"/>
          <w:lang w:val="en-US" w:eastAsia="zh-CN"/>
        </w:rPr>
        <w:t>12</w:t>
      </w:r>
      <w:r>
        <w:rPr>
          <w:rFonts w:hint="eastAsia" w:asciiTheme="minorEastAsia" w:hAnsiTheme="minorEastAsia" w:eastAsiaTheme="minorEastAsia" w:cstheme="minorEastAsia"/>
          <w:sz w:val="24"/>
          <w:highlight w:val="none"/>
        </w:rPr>
        <w:t>、</w:t>
      </w:r>
    </w:p>
    <w:p w14:paraId="1933D37E">
      <w:pPr>
        <w:pStyle w:val="2"/>
        <w:shd w:val="clear"/>
        <w:jc w:val="center"/>
        <w:rPr>
          <w:rFonts w:hint="eastAsia" w:asciiTheme="minorEastAsia" w:hAnsiTheme="minorEastAsia" w:eastAsiaTheme="minorEastAsia" w:cstheme="minorEastAsia"/>
          <w:b/>
          <w:bCs/>
          <w:color w:val="auto"/>
          <w:kern w:val="2"/>
          <w:sz w:val="36"/>
          <w:szCs w:val="36"/>
          <w:highlight w:val="none"/>
          <w:lang w:val="en-US" w:eastAsia="zh-CN" w:bidi="ar-SA"/>
        </w:rPr>
      </w:pPr>
      <w:r>
        <w:rPr>
          <w:rFonts w:hint="eastAsia" w:asciiTheme="minorEastAsia" w:hAnsiTheme="minorEastAsia" w:eastAsiaTheme="minorEastAsia" w:cstheme="minorEastAsia"/>
          <w:b/>
          <w:bCs/>
          <w:color w:val="auto"/>
          <w:kern w:val="2"/>
          <w:sz w:val="36"/>
          <w:szCs w:val="36"/>
          <w:highlight w:val="none"/>
          <w:lang w:val="en-US" w:eastAsia="zh-CN" w:bidi="ar-SA"/>
        </w:rPr>
        <w:t>项目实施人员汇总表</w:t>
      </w:r>
    </w:p>
    <w:p w14:paraId="65562C07">
      <w:pPr>
        <w:shd w:val="clear"/>
        <w:spacing w:before="120" w:beforeLines="50" w:after="120" w:afterLines="50"/>
        <w:ind w:right="-10"/>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（1）项目负责人情况表</w:t>
      </w:r>
    </w:p>
    <w:p w14:paraId="234E8640">
      <w:pPr>
        <w:shd w:val="clear"/>
        <w:rPr>
          <w:rFonts w:hint="eastAsia" w:asciiTheme="minorEastAsia" w:hAnsiTheme="minorEastAsia" w:eastAsiaTheme="minorEastAsia" w:cstheme="minorEastAsia"/>
          <w:b/>
          <w:bCs/>
          <w:color w:val="auto"/>
          <w:sz w:val="32"/>
          <w:highlight w:val="none"/>
        </w:rPr>
      </w:pPr>
      <w:r>
        <w:rPr>
          <w:rFonts w:hint="eastAsia" w:asciiTheme="minorEastAsia" w:hAnsiTheme="minorEastAsia" w:eastAsiaTheme="minorEastAsia" w:cstheme="minorEastAsia"/>
          <w:color w:val="auto"/>
          <w:highlight w:val="none"/>
        </w:rPr>
        <w:t>项目</w:t>
      </w:r>
      <w:r>
        <w:rPr>
          <w:rFonts w:hint="eastAsia" w:asciiTheme="minorEastAsia" w:hAnsiTheme="minorEastAsia" w:eastAsiaTheme="minorEastAsia" w:cstheme="minorEastAsia"/>
          <w:color w:val="auto"/>
          <w:highlight w:val="none"/>
          <w:lang w:val="en-US" w:eastAsia="zh-CN"/>
        </w:rPr>
        <w:t>名称</w:t>
      </w:r>
      <w:r>
        <w:rPr>
          <w:rFonts w:hint="eastAsia" w:asciiTheme="minorEastAsia" w:hAnsiTheme="minorEastAsia" w:eastAsiaTheme="minorEastAsia" w:cstheme="minorEastAsia"/>
          <w:color w:val="auto"/>
          <w:highlight w:val="none"/>
        </w:rPr>
        <w:t>：</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740"/>
        <w:gridCol w:w="5114"/>
      </w:tblGrid>
      <w:tr w14:paraId="7D94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206" w:type="dxa"/>
            <w:noWrap w:val="0"/>
            <w:vAlign w:val="center"/>
          </w:tcPr>
          <w:p w14:paraId="0026DF0D">
            <w:pPr>
              <w:pStyle w:val="687"/>
              <w:shd w:val="clear"/>
              <w:autoSpaceDE w:val="0"/>
              <w:autoSpaceDN w:val="0"/>
              <w:spacing w:line="24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sz w:val="21"/>
                <w:highlight w:val="none"/>
                <w:lang w:val="zh-CN"/>
              </w:rPr>
              <w:t>姓名</w:t>
            </w:r>
          </w:p>
        </w:tc>
        <w:tc>
          <w:tcPr>
            <w:tcW w:w="2740" w:type="dxa"/>
            <w:noWrap w:val="0"/>
            <w:vAlign w:val="center"/>
          </w:tcPr>
          <w:p w14:paraId="1273336A">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noWrap w:val="0"/>
            <w:vAlign w:val="center"/>
          </w:tcPr>
          <w:p w14:paraId="0C621F7C">
            <w:pPr>
              <w:pStyle w:val="687"/>
              <w:shd w:val="clear"/>
              <w:autoSpaceDE w:val="0"/>
              <w:autoSpaceDN w:val="0"/>
              <w:spacing w:line="24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sz w:val="21"/>
                <w:highlight w:val="none"/>
                <w:lang w:val="zh-CN"/>
              </w:rPr>
              <w:t>近年来主要工作业绩</w:t>
            </w:r>
          </w:p>
        </w:tc>
      </w:tr>
      <w:tr w14:paraId="2FE5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75979386">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性别</w:t>
            </w:r>
          </w:p>
        </w:tc>
        <w:tc>
          <w:tcPr>
            <w:tcW w:w="2740" w:type="dxa"/>
            <w:noWrap w:val="0"/>
            <w:vAlign w:val="center"/>
          </w:tcPr>
          <w:p w14:paraId="4B7ADC5F">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restart"/>
            <w:noWrap w:val="0"/>
            <w:vAlign w:val="center"/>
          </w:tcPr>
          <w:p w14:paraId="253D2D54">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207C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020D2338">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年龄</w:t>
            </w:r>
          </w:p>
        </w:tc>
        <w:tc>
          <w:tcPr>
            <w:tcW w:w="2740" w:type="dxa"/>
            <w:noWrap w:val="0"/>
            <w:vAlign w:val="center"/>
          </w:tcPr>
          <w:p w14:paraId="1390B70E">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14:paraId="46C6A382">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66B4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7BE7AC75">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职称</w:t>
            </w:r>
          </w:p>
        </w:tc>
        <w:tc>
          <w:tcPr>
            <w:tcW w:w="2740" w:type="dxa"/>
            <w:noWrap w:val="0"/>
            <w:vAlign w:val="center"/>
          </w:tcPr>
          <w:p w14:paraId="1E436E61">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14:paraId="715E90B8">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5C51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214320DD">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资格</w:t>
            </w:r>
          </w:p>
        </w:tc>
        <w:tc>
          <w:tcPr>
            <w:tcW w:w="2740" w:type="dxa"/>
            <w:noWrap w:val="0"/>
            <w:vAlign w:val="center"/>
          </w:tcPr>
          <w:p w14:paraId="0D977FC1">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14:paraId="5C21FEE2">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5285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58D37830">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专业</w:t>
            </w:r>
          </w:p>
        </w:tc>
        <w:tc>
          <w:tcPr>
            <w:tcW w:w="2740" w:type="dxa"/>
            <w:noWrap w:val="0"/>
            <w:vAlign w:val="center"/>
          </w:tcPr>
          <w:p w14:paraId="14436EB8">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14:paraId="5490DBE5">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785A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028CBD6A">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联系电话</w:t>
            </w:r>
          </w:p>
        </w:tc>
        <w:tc>
          <w:tcPr>
            <w:tcW w:w="2740" w:type="dxa"/>
            <w:noWrap w:val="0"/>
            <w:vAlign w:val="center"/>
          </w:tcPr>
          <w:p w14:paraId="72F32D91">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14:paraId="117AB422">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247E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2206" w:type="dxa"/>
            <w:noWrap w:val="0"/>
            <w:vAlign w:val="center"/>
          </w:tcPr>
          <w:p w14:paraId="6C1DDABC">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拟在本项目中担任主要工作</w:t>
            </w:r>
          </w:p>
        </w:tc>
        <w:tc>
          <w:tcPr>
            <w:tcW w:w="7854" w:type="dxa"/>
            <w:gridSpan w:val="2"/>
            <w:noWrap w:val="0"/>
            <w:vAlign w:val="center"/>
          </w:tcPr>
          <w:p w14:paraId="5CE0FE64">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bl>
    <w:p w14:paraId="2132DD45">
      <w:pPr>
        <w:shd w:val="clear"/>
        <w:spacing w:before="120" w:beforeLines="50" w:after="120" w:afterLines="50"/>
        <w:ind w:right="-21" w:rightChars="-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szCs w:val="21"/>
          <w:highlight w:val="none"/>
        </w:rPr>
        <w:t>投标人全称（公章）：</w:t>
      </w:r>
    </w:p>
    <w:p w14:paraId="0B1C2031">
      <w:pPr>
        <w:shd w:val="clear"/>
        <w:spacing w:before="120" w:beforeLines="50" w:after="120" w:afterLines="50"/>
        <w:ind w:right="-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kern w:val="0"/>
          <w:sz w:val="21"/>
          <w:szCs w:val="21"/>
          <w:highlight w:val="none"/>
          <w:lang w:eastAsia="zh-CN"/>
        </w:rPr>
        <w:t>法定代表人或其授权委托代理人</w:t>
      </w:r>
      <w:r>
        <w:rPr>
          <w:rFonts w:hint="eastAsia" w:asciiTheme="minorEastAsia" w:hAnsiTheme="minorEastAsia" w:eastAsiaTheme="minorEastAsia" w:cstheme="minorEastAsia"/>
          <w:color w:val="auto"/>
          <w:szCs w:val="21"/>
          <w:highlight w:val="none"/>
        </w:rPr>
        <w:t>（签字或盖章）：</w:t>
      </w:r>
    </w:p>
    <w:p w14:paraId="288816F7">
      <w:pPr>
        <w:shd w:val="clear"/>
        <w:spacing w:before="120" w:beforeLines="50" w:after="120" w:afterLines="50"/>
        <w:ind w:right="-1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   年    月    日</w:t>
      </w:r>
    </w:p>
    <w:p w14:paraId="3B796F48">
      <w:pPr>
        <w:pStyle w:val="2"/>
        <w:shd w:val="clear"/>
        <w:rPr>
          <w:rFonts w:hint="eastAsia" w:asciiTheme="minorEastAsia" w:hAnsiTheme="minorEastAsia" w:eastAsiaTheme="minorEastAsia" w:cstheme="minorEastAsia"/>
          <w:color w:val="auto"/>
          <w:highlight w:val="none"/>
        </w:rPr>
      </w:pPr>
    </w:p>
    <w:p w14:paraId="50964633">
      <w:pPr>
        <w:numPr>
          <w:ilvl w:val="0"/>
          <w:numId w:val="35"/>
        </w:numPr>
        <w:shd w:val="clear"/>
        <w:spacing w:before="240" w:beforeLines="100" w:after="120" w:afterLines="50"/>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项目服务人员汇总表</w:t>
      </w:r>
    </w:p>
    <w:p w14:paraId="1240B9A3">
      <w:pPr>
        <w:pStyle w:val="2"/>
        <w:numPr>
          <w:ilvl w:val="0"/>
          <w:numId w:val="0"/>
        </w:numPr>
        <w:shd w:val="clear"/>
        <w:jc w:val="both"/>
        <w:rPr>
          <w:rFonts w:hint="eastAsia" w:asciiTheme="minorEastAsia" w:hAnsiTheme="minorEastAsia" w:eastAsiaTheme="minorEastAsia" w:cstheme="minorEastAsia"/>
          <w:b w:val="0"/>
          <w:bCs/>
          <w:highlight w:val="none"/>
        </w:rPr>
      </w:pPr>
      <w:r>
        <w:rPr>
          <w:rFonts w:hint="eastAsia" w:asciiTheme="minorEastAsia" w:hAnsiTheme="minorEastAsia" w:eastAsiaTheme="minorEastAsia" w:cstheme="minorEastAsia"/>
          <w:b w:val="0"/>
          <w:bCs/>
          <w:color w:val="auto"/>
          <w:highlight w:val="none"/>
          <w:lang w:val="en-US" w:eastAsia="zh-CN"/>
        </w:rPr>
        <w:t>项目名称</w:t>
      </w:r>
      <w:r>
        <w:rPr>
          <w:rFonts w:hint="eastAsia" w:asciiTheme="minorEastAsia" w:hAnsiTheme="minorEastAsia" w:eastAsiaTheme="minorEastAsia" w:cstheme="minorEastAsia"/>
          <w:b w:val="0"/>
          <w:bCs/>
          <w:color w:val="auto"/>
          <w:highlight w:val="none"/>
        </w:rPr>
        <w:t>：</w:t>
      </w:r>
    </w:p>
    <w:tbl>
      <w:tblPr>
        <w:tblStyle w:val="77"/>
        <w:tblpPr w:leftFromText="180" w:rightFromText="180" w:vertAnchor="text" w:horzAnchor="page" w:tblpX="1174" w:tblpY="425"/>
        <w:tblOverlap w:val="never"/>
        <w:tblW w:w="10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640"/>
        <w:gridCol w:w="1889"/>
        <w:gridCol w:w="759"/>
        <w:gridCol w:w="759"/>
        <w:gridCol w:w="759"/>
        <w:gridCol w:w="1138"/>
        <w:gridCol w:w="1537"/>
        <w:gridCol w:w="1158"/>
      </w:tblGrid>
      <w:tr w14:paraId="7FBE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83" w:type="dxa"/>
            <w:noWrap w:val="0"/>
            <w:vAlign w:val="center"/>
          </w:tcPr>
          <w:p w14:paraId="34C16613">
            <w:pPr>
              <w:shd w:val="clear"/>
              <w:jc w:val="center"/>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序号</w:t>
            </w:r>
          </w:p>
        </w:tc>
        <w:tc>
          <w:tcPr>
            <w:tcW w:w="1640" w:type="dxa"/>
            <w:noWrap w:val="0"/>
            <w:vAlign w:val="center"/>
          </w:tcPr>
          <w:p w14:paraId="4D645C7A">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姓名</w:t>
            </w:r>
          </w:p>
        </w:tc>
        <w:tc>
          <w:tcPr>
            <w:tcW w:w="1889" w:type="dxa"/>
            <w:noWrap w:val="0"/>
            <w:vAlign w:val="center"/>
          </w:tcPr>
          <w:p w14:paraId="7929BF51">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本项目主要工作</w:t>
            </w:r>
          </w:p>
        </w:tc>
        <w:tc>
          <w:tcPr>
            <w:tcW w:w="759" w:type="dxa"/>
            <w:noWrap w:val="0"/>
            <w:vAlign w:val="center"/>
          </w:tcPr>
          <w:p w14:paraId="0B876C04">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年龄</w:t>
            </w:r>
          </w:p>
        </w:tc>
        <w:tc>
          <w:tcPr>
            <w:tcW w:w="759" w:type="dxa"/>
            <w:noWrap w:val="0"/>
            <w:vAlign w:val="center"/>
          </w:tcPr>
          <w:p w14:paraId="53AAD97D">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性别</w:t>
            </w:r>
          </w:p>
        </w:tc>
        <w:tc>
          <w:tcPr>
            <w:tcW w:w="759" w:type="dxa"/>
            <w:noWrap w:val="0"/>
            <w:vAlign w:val="center"/>
          </w:tcPr>
          <w:p w14:paraId="1A42B5B1">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专业</w:t>
            </w:r>
          </w:p>
        </w:tc>
        <w:tc>
          <w:tcPr>
            <w:tcW w:w="1138" w:type="dxa"/>
            <w:noWrap w:val="0"/>
            <w:vAlign w:val="center"/>
          </w:tcPr>
          <w:p w14:paraId="48AAD3B3">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专业</w:t>
            </w:r>
          </w:p>
          <w:p w14:paraId="0AE9DD86">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年限</w:t>
            </w:r>
          </w:p>
        </w:tc>
        <w:tc>
          <w:tcPr>
            <w:tcW w:w="1537" w:type="dxa"/>
            <w:noWrap w:val="0"/>
            <w:vAlign w:val="center"/>
          </w:tcPr>
          <w:p w14:paraId="4D00CA8F">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职务</w:t>
            </w:r>
          </w:p>
          <w:p w14:paraId="6CD43C7C">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和职称/认证</w:t>
            </w:r>
          </w:p>
        </w:tc>
        <w:tc>
          <w:tcPr>
            <w:tcW w:w="1158" w:type="dxa"/>
            <w:noWrap w:val="0"/>
            <w:vAlign w:val="center"/>
          </w:tcPr>
          <w:p w14:paraId="5B04B60C">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到现场服务</w:t>
            </w:r>
          </w:p>
          <w:p w14:paraId="36AE1336">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起止时间</w:t>
            </w:r>
          </w:p>
        </w:tc>
      </w:tr>
      <w:tr w14:paraId="2162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4F8AE1A5">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w:t>
            </w:r>
          </w:p>
        </w:tc>
        <w:tc>
          <w:tcPr>
            <w:tcW w:w="1640" w:type="dxa"/>
            <w:noWrap w:val="0"/>
            <w:vAlign w:val="center"/>
          </w:tcPr>
          <w:p w14:paraId="1465D2D4">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43AED9FA">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项目负责人</w:t>
            </w:r>
          </w:p>
        </w:tc>
        <w:tc>
          <w:tcPr>
            <w:tcW w:w="759" w:type="dxa"/>
            <w:noWrap w:val="0"/>
            <w:vAlign w:val="center"/>
          </w:tcPr>
          <w:p w14:paraId="5FBAAC9C">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5F56B2FA">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26C903FB">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42FB1A10">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56EFB632">
            <w:pPr>
              <w:shd w:val="clear"/>
              <w:spacing w:line="360" w:lineRule="auto"/>
              <w:ind w:left="5250"/>
              <w:jc w:val="center"/>
              <w:rPr>
                <w:rFonts w:hint="eastAsia" w:asciiTheme="minorEastAsia" w:hAnsiTheme="minorEastAsia" w:eastAsiaTheme="minorEastAsia" w:cstheme="minorEastAsia"/>
                <w:color w:val="auto"/>
                <w:spacing w:val="12"/>
                <w:sz w:val="24"/>
                <w:szCs w:val="20"/>
                <w:highlight w:val="none"/>
              </w:rPr>
            </w:pPr>
          </w:p>
        </w:tc>
        <w:tc>
          <w:tcPr>
            <w:tcW w:w="1158" w:type="dxa"/>
            <w:noWrap w:val="0"/>
            <w:vAlign w:val="center"/>
          </w:tcPr>
          <w:p w14:paraId="73BCC3F3">
            <w:pPr>
              <w:shd w:val="clear"/>
              <w:spacing w:line="360" w:lineRule="auto"/>
              <w:jc w:val="center"/>
              <w:rPr>
                <w:rFonts w:hint="eastAsia" w:asciiTheme="minorEastAsia" w:hAnsiTheme="minorEastAsia" w:eastAsiaTheme="minorEastAsia" w:cstheme="minorEastAsia"/>
                <w:color w:val="auto"/>
                <w:sz w:val="24"/>
                <w:highlight w:val="none"/>
              </w:rPr>
            </w:pPr>
          </w:p>
        </w:tc>
      </w:tr>
      <w:tr w14:paraId="13ED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19862F62">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c>
          <w:tcPr>
            <w:tcW w:w="1640" w:type="dxa"/>
            <w:noWrap w:val="0"/>
            <w:vAlign w:val="center"/>
          </w:tcPr>
          <w:p w14:paraId="0EB06A36">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0D963A00">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759" w:type="dxa"/>
            <w:noWrap w:val="0"/>
            <w:vAlign w:val="center"/>
          </w:tcPr>
          <w:p w14:paraId="79A4E0D2">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7BC31DE0">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1C0253D0">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00508E3D">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753FE56A">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6C45BDC3">
            <w:pPr>
              <w:shd w:val="clear"/>
              <w:spacing w:line="360" w:lineRule="auto"/>
              <w:ind w:left="5250"/>
              <w:jc w:val="center"/>
              <w:rPr>
                <w:rFonts w:hint="eastAsia" w:asciiTheme="minorEastAsia" w:hAnsiTheme="minorEastAsia" w:eastAsiaTheme="minorEastAsia" w:cstheme="minorEastAsia"/>
                <w:color w:val="auto"/>
                <w:spacing w:val="12"/>
                <w:sz w:val="24"/>
                <w:szCs w:val="20"/>
                <w:highlight w:val="none"/>
              </w:rPr>
            </w:pPr>
          </w:p>
        </w:tc>
      </w:tr>
      <w:tr w14:paraId="177B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1B3C1078">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p>
        </w:tc>
        <w:tc>
          <w:tcPr>
            <w:tcW w:w="1640" w:type="dxa"/>
            <w:noWrap w:val="0"/>
            <w:vAlign w:val="center"/>
          </w:tcPr>
          <w:p w14:paraId="53C41D77">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77DA03B4">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440C5B5F">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6D0C3237">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51D0A6C5">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767E960C">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641C74FF">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1AC63C5E">
            <w:pPr>
              <w:shd w:val="clear"/>
              <w:spacing w:line="360" w:lineRule="auto"/>
              <w:jc w:val="center"/>
              <w:rPr>
                <w:rFonts w:hint="eastAsia" w:asciiTheme="minorEastAsia" w:hAnsiTheme="minorEastAsia" w:eastAsiaTheme="minorEastAsia" w:cstheme="minorEastAsia"/>
                <w:color w:val="auto"/>
                <w:sz w:val="24"/>
                <w:highlight w:val="none"/>
              </w:rPr>
            </w:pPr>
          </w:p>
        </w:tc>
      </w:tr>
      <w:tr w14:paraId="7563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1D8601CA">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p>
        </w:tc>
        <w:tc>
          <w:tcPr>
            <w:tcW w:w="1640" w:type="dxa"/>
            <w:noWrap w:val="0"/>
            <w:vAlign w:val="center"/>
          </w:tcPr>
          <w:p w14:paraId="1BEE95A0">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09C5FEE6">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38451E52">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2A427F6D">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4067C173">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1A878B32">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76D23CBD">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5959F190">
            <w:pPr>
              <w:shd w:val="clear"/>
              <w:spacing w:line="360" w:lineRule="auto"/>
              <w:jc w:val="center"/>
              <w:rPr>
                <w:rFonts w:hint="eastAsia" w:asciiTheme="minorEastAsia" w:hAnsiTheme="minorEastAsia" w:eastAsiaTheme="minorEastAsia" w:cstheme="minorEastAsia"/>
                <w:color w:val="auto"/>
                <w:sz w:val="24"/>
                <w:highlight w:val="none"/>
              </w:rPr>
            </w:pPr>
          </w:p>
        </w:tc>
      </w:tr>
      <w:tr w14:paraId="528E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7A53430C">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c>
          <w:tcPr>
            <w:tcW w:w="1640" w:type="dxa"/>
            <w:noWrap w:val="0"/>
            <w:vAlign w:val="center"/>
          </w:tcPr>
          <w:p w14:paraId="242571A3">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1DE1EADC">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4EA3B89C">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2C52FFB5">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1F943D17">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2AFA010A">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049BE4F3">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0E7D13BE">
            <w:pPr>
              <w:shd w:val="clear"/>
              <w:spacing w:line="360" w:lineRule="auto"/>
              <w:jc w:val="center"/>
              <w:rPr>
                <w:rFonts w:hint="eastAsia" w:asciiTheme="minorEastAsia" w:hAnsiTheme="minorEastAsia" w:eastAsiaTheme="minorEastAsia" w:cstheme="minorEastAsia"/>
                <w:color w:val="auto"/>
                <w:sz w:val="24"/>
                <w:highlight w:val="none"/>
              </w:rPr>
            </w:pPr>
          </w:p>
        </w:tc>
      </w:tr>
      <w:tr w14:paraId="01DA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265ED26E">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w:t>
            </w:r>
          </w:p>
        </w:tc>
        <w:tc>
          <w:tcPr>
            <w:tcW w:w="1640" w:type="dxa"/>
            <w:noWrap w:val="0"/>
            <w:vAlign w:val="center"/>
          </w:tcPr>
          <w:p w14:paraId="76A8B808">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5278B2F9">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226BFAE5">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6295FF0E">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07EAF7E9">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24B05162">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0F63C512">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18215190">
            <w:pPr>
              <w:shd w:val="clear"/>
              <w:spacing w:line="360" w:lineRule="auto"/>
              <w:jc w:val="center"/>
              <w:rPr>
                <w:rFonts w:hint="eastAsia" w:asciiTheme="minorEastAsia" w:hAnsiTheme="minorEastAsia" w:eastAsiaTheme="minorEastAsia" w:cstheme="minorEastAsia"/>
                <w:color w:val="auto"/>
                <w:sz w:val="24"/>
                <w:highlight w:val="none"/>
              </w:rPr>
            </w:pPr>
          </w:p>
        </w:tc>
      </w:tr>
      <w:tr w14:paraId="4B0B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775E4277">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5C44919A">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3B050F85">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5B31ABD1">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22FD20CF">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649C8ABA">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178B6C47">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0AE78EDD">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1BA2B0D1">
            <w:pPr>
              <w:shd w:val="clear"/>
              <w:spacing w:line="360" w:lineRule="auto"/>
              <w:jc w:val="center"/>
              <w:rPr>
                <w:rFonts w:hint="eastAsia" w:asciiTheme="minorEastAsia" w:hAnsiTheme="minorEastAsia" w:eastAsiaTheme="minorEastAsia" w:cstheme="minorEastAsia"/>
                <w:color w:val="auto"/>
                <w:sz w:val="24"/>
                <w:highlight w:val="none"/>
              </w:rPr>
            </w:pPr>
          </w:p>
        </w:tc>
      </w:tr>
      <w:tr w14:paraId="224C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291E29D2">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41DF1C81">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422E79E5">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04E57E19">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33954215">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491B33A4">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01B9021A">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7BCCEFB4">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43FA7E09">
            <w:pPr>
              <w:shd w:val="clear"/>
              <w:spacing w:line="360" w:lineRule="auto"/>
              <w:jc w:val="center"/>
              <w:rPr>
                <w:rFonts w:hint="eastAsia" w:asciiTheme="minorEastAsia" w:hAnsiTheme="minorEastAsia" w:eastAsiaTheme="minorEastAsia" w:cstheme="minorEastAsia"/>
                <w:color w:val="auto"/>
                <w:sz w:val="24"/>
                <w:highlight w:val="none"/>
              </w:rPr>
            </w:pPr>
          </w:p>
        </w:tc>
      </w:tr>
      <w:tr w14:paraId="0DF5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5497A8C3">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61C3B595">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4B380A9F">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58B65A2B">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5DFEE36D">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1439E030">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3F88C736">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37A77697">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10B366A1">
            <w:pPr>
              <w:shd w:val="clear"/>
              <w:spacing w:line="360" w:lineRule="auto"/>
              <w:jc w:val="center"/>
              <w:rPr>
                <w:rFonts w:hint="eastAsia" w:asciiTheme="minorEastAsia" w:hAnsiTheme="minorEastAsia" w:eastAsiaTheme="minorEastAsia" w:cstheme="minorEastAsia"/>
                <w:color w:val="auto"/>
                <w:sz w:val="24"/>
                <w:highlight w:val="none"/>
              </w:rPr>
            </w:pPr>
          </w:p>
        </w:tc>
      </w:tr>
      <w:tr w14:paraId="177A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703043A0">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2BD12DE7">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49B71D03">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4E45B1E9">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18B44C46">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16B152F8">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5B1E8694">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25C49E22">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1F09591E">
            <w:pPr>
              <w:shd w:val="clear"/>
              <w:spacing w:line="360" w:lineRule="auto"/>
              <w:jc w:val="center"/>
              <w:rPr>
                <w:rFonts w:hint="eastAsia" w:asciiTheme="minorEastAsia" w:hAnsiTheme="minorEastAsia" w:eastAsiaTheme="minorEastAsia" w:cstheme="minorEastAsia"/>
                <w:color w:val="auto"/>
                <w:sz w:val="24"/>
                <w:highlight w:val="none"/>
              </w:rPr>
            </w:pPr>
          </w:p>
        </w:tc>
      </w:tr>
      <w:tr w14:paraId="65C2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30F49B27">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17B195A4">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19E1FE09">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6BB76A59">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37A6AFE9">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1D6AF4B6">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1AAAB3EA">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49FDE2D4">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4125795E">
            <w:pPr>
              <w:shd w:val="clear"/>
              <w:spacing w:line="360" w:lineRule="auto"/>
              <w:jc w:val="center"/>
              <w:rPr>
                <w:rFonts w:hint="eastAsia" w:asciiTheme="minorEastAsia" w:hAnsiTheme="minorEastAsia" w:eastAsiaTheme="minorEastAsia" w:cstheme="minorEastAsia"/>
                <w:color w:val="auto"/>
                <w:sz w:val="24"/>
                <w:highlight w:val="none"/>
              </w:rPr>
            </w:pPr>
          </w:p>
        </w:tc>
      </w:tr>
      <w:tr w14:paraId="7611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33C019E8">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0E04CDD5">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0249BA65">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1E5E9D0A">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3CE5F6C3">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00406122">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443BDCD4">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448AA339">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0A3C6CB2">
            <w:pPr>
              <w:shd w:val="clear"/>
              <w:spacing w:line="360" w:lineRule="auto"/>
              <w:jc w:val="center"/>
              <w:rPr>
                <w:rFonts w:hint="eastAsia" w:asciiTheme="minorEastAsia" w:hAnsiTheme="minorEastAsia" w:eastAsiaTheme="minorEastAsia" w:cstheme="minorEastAsia"/>
                <w:color w:val="auto"/>
                <w:sz w:val="24"/>
                <w:highlight w:val="none"/>
              </w:rPr>
            </w:pPr>
          </w:p>
        </w:tc>
      </w:tr>
      <w:tr w14:paraId="276A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79F1DE7E">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5DCB5B1A">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5CA49E9F">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34A6385E">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53121250">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4734B81D">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02E8068F">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0B854A0C">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48A3D5B0">
            <w:pPr>
              <w:shd w:val="clear"/>
              <w:spacing w:line="360" w:lineRule="auto"/>
              <w:jc w:val="center"/>
              <w:rPr>
                <w:rFonts w:hint="eastAsia" w:asciiTheme="minorEastAsia" w:hAnsiTheme="minorEastAsia" w:eastAsiaTheme="minorEastAsia" w:cstheme="minorEastAsia"/>
                <w:color w:val="auto"/>
                <w:sz w:val="24"/>
                <w:highlight w:val="none"/>
              </w:rPr>
            </w:pPr>
          </w:p>
        </w:tc>
      </w:tr>
      <w:tr w14:paraId="30AC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3" w:type="dxa"/>
            <w:noWrap w:val="0"/>
            <w:vAlign w:val="center"/>
          </w:tcPr>
          <w:p w14:paraId="2173D4E7">
            <w:pPr>
              <w:shd w:val="clea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w:t>
            </w:r>
          </w:p>
        </w:tc>
        <w:tc>
          <w:tcPr>
            <w:tcW w:w="1640" w:type="dxa"/>
            <w:noWrap w:val="0"/>
            <w:vAlign w:val="center"/>
          </w:tcPr>
          <w:p w14:paraId="234A955C">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14:paraId="0D77F75B">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27CB0052">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198DC82C">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14:paraId="0B5872C0">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14:paraId="74E49BEE">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14:paraId="311C191C">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14:paraId="11760653">
            <w:pPr>
              <w:shd w:val="clear"/>
              <w:spacing w:line="360" w:lineRule="auto"/>
              <w:jc w:val="center"/>
              <w:rPr>
                <w:rFonts w:hint="eastAsia" w:asciiTheme="minorEastAsia" w:hAnsiTheme="minorEastAsia" w:eastAsiaTheme="minorEastAsia" w:cstheme="minorEastAsia"/>
                <w:color w:val="auto"/>
                <w:sz w:val="24"/>
                <w:highlight w:val="none"/>
              </w:rPr>
            </w:pPr>
          </w:p>
        </w:tc>
      </w:tr>
    </w:tbl>
    <w:p w14:paraId="33C873A8">
      <w:pPr>
        <w:shd w:val="clear"/>
        <w:spacing w:line="360" w:lineRule="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 xml:space="preserve">                                                                  </w:t>
      </w:r>
    </w:p>
    <w:p w14:paraId="7EC4AE66">
      <w:pPr>
        <w:shd w:val="clear"/>
        <w:spacing w:line="360" w:lineRule="exact"/>
        <w:ind w:firstLine="63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附注：列入本表人员如要更换，需经采购人同意，擅自更换或不到位属违约行为；</w:t>
      </w:r>
    </w:p>
    <w:p w14:paraId="75EFC96A">
      <w:pPr>
        <w:shd w:val="clear"/>
        <w:spacing w:before="120" w:beforeLines="50" w:after="120" w:afterLines="50"/>
        <w:ind w:right="-21" w:rightChars="-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szCs w:val="21"/>
          <w:highlight w:val="none"/>
        </w:rPr>
        <w:t>投标人全称（公章）：</w:t>
      </w:r>
    </w:p>
    <w:p w14:paraId="1571B9F7">
      <w:pPr>
        <w:shd w:val="clear"/>
        <w:spacing w:before="120" w:beforeLines="50" w:after="120" w:afterLines="50"/>
        <w:ind w:right="-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kern w:val="0"/>
          <w:sz w:val="21"/>
          <w:szCs w:val="21"/>
          <w:highlight w:val="none"/>
          <w:lang w:eastAsia="zh-CN"/>
        </w:rPr>
        <w:t>法定代表人或其授权委托代理人</w:t>
      </w:r>
      <w:r>
        <w:rPr>
          <w:rFonts w:hint="eastAsia" w:asciiTheme="minorEastAsia" w:hAnsiTheme="minorEastAsia" w:eastAsiaTheme="minorEastAsia" w:cstheme="minorEastAsia"/>
          <w:color w:val="auto"/>
          <w:szCs w:val="21"/>
          <w:highlight w:val="none"/>
        </w:rPr>
        <w:t>（签字或盖章）：</w:t>
      </w:r>
    </w:p>
    <w:p w14:paraId="2F327F72">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年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月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日</w:t>
      </w:r>
    </w:p>
    <w:p w14:paraId="73CD0D6E">
      <w:pPr>
        <w:shd w:val="clear"/>
        <w:snapToGrid w:val="0"/>
        <w:spacing w:before="50" w:after="50" w:line="360" w:lineRule="auto"/>
        <w:rPr>
          <w:rFonts w:hint="eastAsia" w:asciiTheme="minorEastAsia" w:hAnsiTheme="minorEastAsia" w:eastAsiaTheme="minorEastAsia" w:cstheme="minorEastAsia"/>
          <w:b w:val="0"/>
          <w:bCs/>
          <w:sz w:val="28"/>
          <w:highlight w:val="none"/>
        </w:rPr>
      </w:pPr>
    </w:p>
    <w:p w14:paraId="7F7E4075">
      <w:pPr>
        <w:shd w:val="clear"/>
        <w:snapToGrid w:val="0"/>
        <w:spacing w:before="50" w:after="50" w:line="360" w:lineRule="auto"/>
        <w:rPr>
          <w:rFonts w:hint="eastAsia" w:asciiTheme="minorEastAsia" w:hAnsiTheme="minorEastAsia" w:eastAsiaTheme="minorEastAsia" w:cstheme="minorEastAsia"/>
          <w:b w:val="0"/>
          <w:bCs/>
          <w:sz w:val="28"/>
          <w:highlight w:val="none"/>
          <w:lang w:val="en-US" w:eastAsia="zh-CN"/>
        </w:rPr>
      </w:pPr>
      <w:r>
        <w:rPr>
          <w:rFonts w:hint="eastAsia" w:asciiTheme="minorEastAsia" w:hAnsiTheme="minorEastAsia" w:eastAsiaTheme="minorEastAsia" w:cstheme="minorEastAsia"/>
          <w:b w:val="0"/>
          <w:bCs/>
          <w:sz w:val="28"/>
          <w:highlight w:val="none"/>
        </w:rPr>
        <w:t>附件</w:t>
      </w:r>
      <w:r>
        <w:rPr>
          <w:rFonts w:hint="eastAsia" w:asciiTheme="minorEastAsia" w:hAnsiTheme="minorEastAsia" w:eastAsiaTheme="minorEastAsia" w:cstheme="minorEastAsia"/>
          <w:b w:val="0"/>
          <w:bCs/>
          <w:sz w:val="28"/>
          <w:highlight w:val="none"/>
          <w:lang w:val="en-US" w:eastAsia="zh-CN"/>
        </w:rPr>
        <w:t>13、</w:t>
      </w:r>
    </w:p>
    <w:p w14:paraId="126BF2FA">
      <w:pPr>
        <w:pStyle w:val="4"/>
        <w:shd w:val="clear"/>
        <w:ind w:left="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技术条款</w:t>
      </w:r>
      <w:r>
        <w:rPr>
          <w:rFonts w:hint="eastAsia" w:asciiTheme="minorEastAsia" w:hAnsiTheme="minorEastAsia" w:eastAsiaTheme="minorEastAsia" w:cstheme="minorEastAsia"/>
          <w:highlight w:val="none"/>
        </w:rPr>
        <w:t>偏离表</w:t>
      </w:r>
    </w:p>
    <w:tbl>
      <w:tblPr>
        <w:tblStyle w:val="77"/>
        <w:tblW w:w="901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3230"/>
        <w:gridCol w:w="3248"/>
        <w:gridCol w:w="1594"/>
      </w:tblGrid>
      <w:tr w14:paraId="01209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946" w:type="dxa"/>
            <w:noWrap w:val="0"/>
            <w:vAlign w:val="center"/>
          </w:tcPr>
          <w:p w14:paraId="3DC5436A">
            <w:pPr>
              <w:pStyle w:val="692"/>
              <w:shd w:val="clear"/>
              <w:spacing w:before="1" w:line="440" w:lineRule="exact"/>
              <w:ind w:right="111"/>
              <w:jc w:val="center"/>
              <w:rPr>
                <w:rFonts w:hint="eastAsia" w:asciiTheme="minorEastAsia" w:hAnsiTheme="minorEastAsia" w:eastAsiaTheme="minorEastAsia" w:cstheme="minorEastAsia"/>
                <w:b/>
                <w:sz w:val="21"/>
                <w:highlight w:val="none"/>
              </w:rPr>
            </w:pPr>
            <w:r>
              <w:rPr>
                <w:rFonts w:hint="eastAsia" w:asciiTheme="minorEastAsia" w:hAnsiTheme="minorEastAsia" w:eastAsiaTheme="minorEastAsia" w:cstheme="minorEastAsia"/>
                <w:b/>
                <w:sz w:val="21"/>
                <w:highlight w:val="none"/>
              </w:rPr>
              <w:t>序号</w:t>
            </w:r>
          </w:p>
        </w:tc>
        <w:tc>
          <w:tcPr>
            <w:tcW w:w="3230" w:type="dxa"/>
            <w:noWrap w:val="0"/>
            <w:vAlign w:val="center"/>
          </w:tcPr>
          <w:p w14:paraId="3FA0FD9E">
            <w:pPr>
              <w:pStyle w:val="692"/>
              <w:shd w:val="clear"/>
              <w:ind w:left="82"/>
              <w:jc w:val="center"/>
              <w:rPr>
                <w:rFonts w:hint="eastAsia" w:asciiTheme="minorEastAsia" w:hAnsiTheme="minorEastAsia" w:eastAsiaTheme="minorEastAsia" w:cstheme="minorEastAsia"/>
                <w:b/>
                <w:sz w:val="21"/>
                <w:highlight w:val="none"/>
              </w:rPr>
            </w:pPr>
            <w:r>
              <w:rPr>
                <w:rFonts w:hint="eastAsia" w:asciiTheme="minorEastAsia" w:hAnsiTheme="minorEastAsia" w:eastAsiaTheme="minorEastAsia" w:cstheme="minorEastAsia"/>
                <w:b/>
                <w:sz w:val="21"/>
                <w:highlight w:val="none"/>
              </w:rPr>
              <w:t>招标的要求</w:t>
            </w:r>
          </w:p>
        </w:tc>
        <w:tc>
          <w:tcPr>
            <w:tcW w:w="3248" w:type="dxa"/>
            <w:noWrap w:val="0"/>
            <w:vAlign w:val="center"/>
          </w:tcPr>
          <w:p w14:paraId="0A385136">
            <w:pPr>
              <w:pStyle w:val="692"/>
              <w:shd w:val="clear"/>
              <w:ind w:left="81"/>
              <w:jc w:val="center"/>
              <w:rPr>
                <w:rFonts w:hint="eastAsia" w:asciiTheme="minorEastAsia" w:hAnsiTheme="minorEastAsia" w:eastAsiaTheme="minorEastAsia" w:cstheme="minorEastAsia"/>
                <w:b/>
                <w:sz w:val="21"/>
                <w:highlight w:val="none"/>
                <w:lang w:val="en-US" w:eastAsia="zh-CN"/>
              </w:rPr>
            </w:pPr>
            <w:r>
              <w:rPr>
                <w:rFonts w:hint="eastAsia" w:asciiTheme="minorEastAsia" w:hAnsiTheme="minorEastAsia" w:eastAsiaTheme="minorEastAsia" w:cstheme="minorEastAsia"/>
                <w:b/>
                <w:sz w:val="21"/>
                <w:highlight w:val="none"/>
              </w:rPr>
              <w:t>投标</w:t>
            </w:r>
            <w:r>
              <w:rPr>
                <w:rFonts w:hint="eastAsia" w:asciiTheme="minorEastAsia" w:hAnsiTheme="minorEastAsia" w:eastAsiaTheme="minorEastAsia" w:cstheme="minorEastAsia"/>
                <w:b/>
                <w:sz w:val="21"/>
                <w:highlight w:val="none"/>
                <w:lang w:val="en-US" w:eastAsia="zh-CN"/>
              </w:rPr>
              <w:t>承诺</w:t>
            </w:r>
          </w:p>
        </w:tc>
        <w:tc>
          <w:tcPr>
            <w:tcW w:w="1594" w:type="dxa"/>
            <w:noWrap w:val="0"/>
            <w:vAlign w:val="center"/>
          </w:tcPr>
          <w:p w14:paraId="3A107EFD">
            <w:pPr>
              <w:pStyle w:val="692"/>
              <w:shd w:val="clear"/>
              <w:ind w:left="82"/>
              <w:jc w:val="center"/>
              <w:rPr>
                <w:rFonts w:hint="eastAsia" w:asciiTheme="minorEastAsia" w:hAnsiTheme="minorEastAsia" w:eastAsiaTheme="minorEastAsia" w:cstheme="minorEastAsia"/>
                <w:b/>
                <w:sz w:val="21"/>
                <w:highlight w:val="none"/>
              </w:rPr>
            </w:pPr>
            <w:r>
              <w:rPr>
                <w:rFonts w:hint="eastAsia" w:asciiTheme="minorEastAsia" w:hAnsiTheme="minorEastAsia" w:eastAsiaTheme="minorEastAsia" w:cstheme="minorEastAsia"/>
                <w:b/>
                <w:sz w:val="21"/>
                <w:highlight w:val="none"/>
              </w:rPr>
              <w:t>偏离情况</w:t>
            </w:r>
          </w:p>
        </w:tc>
      </w:tr>
      <w:tr w14:paraId="47E2A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46" w:type="dxa"/>
            <w:noWrap w:val="0"/>
            <w:vAlign w:val="center"/>
          </w:tcPr>
          <w:p w14:paraId="0B968362">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14:paraId="58B9CEDF">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14:paraId="0175E85F">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14:paraId="28E8BA30">
            <w:pPr>
              <w:pStyle w:val="692"/>
              <w:shd w:val="clear"/>
              <w:jc w:val="both"/>
              <w:rPr>
                <w:rFonts w:hint="eastAsia" w:asciiTheme="minorEastAsia" w:hAnsiTheme="minorEastAsia" w:eastAsiaTheme="minorEastAsia" w:cstheme="minorEastAsia"/>
                <w:sz w:val="20"/>
                <w:highlight w:val="none"/>
              </w:rPr>
            </w:pPr>
          </w:p>
        </w:tc>
      </w:tr>
      <w:tr w14:paraId="5A869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3170711F">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14:paraId="7A00C281">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14:paraId="47AE0484">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14:paraId="45F3C95D">
            <w:pPr>
              <w:pStyle w:val="692"/>
              <w:shd w:val="clear"/>
              <w:jc w:val="both"/>
              <w:rPr>
                <w:rFonts w:hint="eastAsia" w:asciiTheme="minorEastAsia" w:hAnsiTheme="minorEastAsia" w:eastAsiaTheme="minorEastAsia" w:cstheme="minorEastAsia"/>
                <w:sz w:val="20"/>
                <w:highlight w:val="none"/>
              </w:rPr>
            </w:pPr>
          </w:p>
        </w:tc>
      </w:tr>
      <w:tr w14:paraId="72021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3F5D5B6F">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14:paraId="489BEF6D">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14:paraId="2EC4ABD6">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14:paraId="4EB943FD">
            <w:pPr>
              <w:pStyle w:val="692"/>
              <w:shd w:val="clear"/>
              <w:jc w:val="both"/>
              <w:rPr>
                <w:rFonts w:hint="eastAsia" w:asciiTheme="minorEastAsia" w:hAnsiTheme="minorEastAsia" w:eastAsiaTheme="minorEastAsia" w:cstheme="minorEastAsia"/>
                <w:sz w:val="20"/>
                <w:highlight w:val="none"/>
              </w:rPr>
            </w:pPr>
          </w:p>
        </w:tc>
      </w:tr>
      <w:tr w14:paraId="10DF9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46" w:type="dxa"/>
            <w:noWrap w:val="0"/>
            <w:vAlign w:val="center"/>
          </w:tcPr>
          <w:p w14:paraId="1A65FF74">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14:paraId="676E8C07">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14:paraId="58FDF551">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14:paraId="58346BFC">
            <w:pPr>
              <w:pStyle w:val="692"/>
              <w:shd w:val="clear"/>
              <w:jc w:val="both"/>
              <w:rPr>
                <w:rFonts w:hint="eastAsia" w:asciiTheme="minorEastAsia" w:hAnsiTheme="minorEastAsia" w:eastAsiaTheme="minorEastAsia" w:cstheme="minorEastAsia"/>
                <w:sz w:val="20"/>
                <w:highlight w:val="none"/>
              </w:rPr>
            </w:pPr>
          </w:p>
        </w:tc>
      </w:tr>
      <w:tr w14:paraId="5E09C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2081B640">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14:paraId="75C4F4C9">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14:paraId="0423519F">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14:paraId="088E3E5B">
            <w:pPr>
              <w:pStyle w:val="692"/>
              <w:shd w:val="clear"/>
              <w:jc w:val="both"/>
              <w:rPr>
                <w:rFonts w:hint="eastAsia" w:asciiTheme="minorEastAsia" w:hAnsiTheme="minorEastAsia" w:eastAsiaTheme="minorEastAsia" w:cstheme="minorEastAsia"/>
                <w:sz w:val="20"/>
                <w:highlight w:val="none"/>
              </w:rPr>
            </w:pPr>
          </w:p>
        </w:tc>
      </w:tr>
      <w:tr w14:paraId="16648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0247DFAD">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14:paraId="773BA9CE">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14:paraId="1CE6ECA6">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14:paraId="2FB5069B">
            <w:pPr>
              <w:pStyle w:val="692"/>
              <w:shd w:val="clear"/>
              <w:jc w:val="both"/>
              <w:rPr>
                <w:rFonts w:hint="eastAsia" w:asciiTheme="minorEastAsia" w:hAnsiTheme="minorEastAsia" w:eastAsiaTheme="minorEastAsia" w:cstheme="minorEastAsia"/>
                <w:sz w:val="20"/>
                <w:highlight w:val="none"/>
              </w:rPr>
            </w:pPr>
          </w:p>
        </w:tc>
      </w:tr>
      <w:tr w14:paraId="33414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522579C8">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14:paraId="5EE2628C">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14:paraId="6AA693CD">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14:paraId="7D7041B9">
            <w:pPr>
              <w:pStyle w:val="692"/>
              <w:shd w:val="clear"/>
              <w:jc w:val="both"/>
              <w:rPr>
                <w:rFonts w:hint="eastAsia" w:asciiTheme="minorEastAsia" w:hAnsiTheme="minorEastAsia" w:eastAsiaTheme="minorEastAsia" w:cstheme="minorEastAsia"/>
                <w:sz w:val="20"/>
                <w:highlight w:val="none"/>
              </w:rPr>
            </w:pPr>
          </w:p>
        </w:tc>
      </w:tr>
      <w:tr w14:paraId="46517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5B912CEF">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14:paraId="78ACDD85">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14:paraId="4987320A">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14:paraId="4AEAD3E8">
            <w:pPr>
              <w:pStyle w:val="692"/>
              <w:shd w:val="clear"/>
              <w:jc w:val="both"/>
              <w:rPr>
                <w:rFonts w:hint="eastAsia" w:asciiTheme="minorEastAsia" w:hAnsiTheme="minorEastAsia" w:eastAsiaTheme="minorEastAsia" w:cstheme="minorEastAsia"/>
                <w:sz w:val="20"/>
                <w:highlight w:val="none"/>
              </w:rPr>
            </w:pPr>
          </w:p>
        </w:tc>
      </w:tr>
      <w:tr w14:paraId="7F3A2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4DCBB5B5">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14:paraId="4002C2F1">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14:paraId="65E81CEA">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14:paraId="4C0E72E4">
            <w:pPr>
              <w:pStyle w:val="692"/>
              <w:shd w:val="clear"/>
              <w:jc w:val="both"/>
              <w:rPr>
                <w:rFonts w:hint="eastAsia" w:asciiTheme="minorEastAsia" w:hAnsiTheme="minorEastAsia" w:eastAsiaTheme="minorEastAsia" w:cstheme="minorEastAsia"/>
                <w:sz w:val="20"/>
                <w:highlight w:val="none"/>
              </w:rPr>
            </w:pPr>
          </w:p>
        </w:tc>
      </w:tr>
      <w:tr w14:paraId="50D4C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946" w:type="dxa"/>
            <w:noWrap w:val="0"/>
            <w:vAlign w:val="center"/>
          </w:tcPr>
          <w:p w14:paraId="4B3B9ED1">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14:paraId="2113FA20">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14:paraId="684314F4">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14:paraId="0AE3E179">
            <w:pPr>
              <w:pStyle w:val="692"/>
              <w:shd w:val="clear"/>
              <w:jc w:val="both"/>
              <w:rPr>
                <w:rFonts w:hint="eastAsia" w:asciiTheme="minorEastAsia" w:hAnsiTheme="minorEastAsia" w:eastAsiaTheme="minorEastAsia" w:cstheme="minorEastAsia"/>
                <w:sz w:val="20"/>
                <w:highlight w:val="none"/>
              </w:rPr>
            </w:pPr>
          </w:p>
        </w:tc>
      </w:tr>
    </w:tbl>
    <w:p w14:paraId="02C319D3">
      <w:pPr>
        <w:shd w:val="clear"/>
        <w:snapToGrid w:val="0"/>
        <w:spacing w:before="156" w:beforeLines="50" w:after="5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注：1、招标文件要求详见“</w:t>
      </w:r>
      <w:r>
        <w:rPr>
          <w:rFonts w:hint="eastAsia" w:asciiTheme="minorEastAsia" w:hAnsiTheme="minorEastAsia" w:eastAsiaTheme="minorEastAsia" w:cstheme="minorEastAsia"/>
          <w:sz w:val="24"/>
          <w:highlight w:val="none"/>
          <w:lang w:eastAsia="zh-CN"/>
        </w:rPr>
        <w:t>采购需求</w:t>
      </w:r>
      <w:r>
        <w:rPr>
          <w:rFonts w:hint="eastAsia" w:asciiTheme="minorEastAsia" w:hAnsiTheme="minorEastAsia" w:eastAsiaTheme="minorEastAsia" w:cstheme="minorEastAsia"/>
          <w:sz w:val="24"/>
          <w:highlight w:val="none"/>
        </w:rPr>
        <w:t>”中的各条款内容，以此类推完整填写“技术条款偏离表”；2、偏离情况应在本表空白处醒目地注明“正偏离或无偏离或负偏离”等字样。</w:t>
      </w:r>
      <w:r>
        <w:rPr>
          <w:rFonts w:hint="eastAsia" w:asciiTheme="minorEastAsia" w:hAnsiTheme="minorEastAsia" w:eastAsiaTheme="minorEastAsia" w:cstheme="minorEastAsia"/>
          <w:sz w:val="24"/>
          <w:highlight w:val="none"/>
          <w:lang w:val="en-US" w:eastAsia="zh-CN"/>
        </w:rPr>
        <w:t>3、表格可扩展。4、未填写的视为完全响应。</w:t>
      </w:r>
    </w:p>
    <w:p w14:paraId="31D4489F">
      <w:pPr>
        <w:shd w:val="clear"/>
        <w:snapToGrid w:val="0"/>
        <w:spacing w:before="156" w:beforeLines="50" w:after="50"/>
        <w:rPr>
          <w:rFonts w:hint="eastAsia" w:asciiTheme="minorEastAsia" w:hAnsiTheme="minorEastAsia" w:eastAsiaTheme="minorEastAsia" w:cstheme="minorEastAsia"/>
          <w:sz w:val="24"/>
          <w:highlight w:val="none"/>
        </w:rPr>
      </w:pPr>
    </w:p>
    <w:p w14:paraId="1902F37B">
      <w:pPr>
        <w:shd w:val="clear"/>
        <w:snapToGrid w:val="0"/>
        <w:spacing w:before="156" w:beforeLines="50" w:after="50"/>
        <w:rPr>
          <w:rFonts w:hint="eastAsia" w:asciiTheme="minorEastAsia" w:hAnsiTheme="minorEastAsia" w:eastAsiaTheme="minorEastAsia" w:cstheme="minorEastAsia"/>
          <w:sz w:val="24"/>
          <w:highlight w:val="none"/>
        </w:rPr>
      </w:pPr>
    </w:p>
    <w:p w14:paraId="7D096365">
      <w:pPr>
        <w:shd w:val="clear"/>
        <w:snapToGrid w:val="0"/>
        <w:spacing w:before="156" w:beforeLines="50" w:after="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投标人全称（加盖公章）： </w:t>
      </w:r>
    </w:p>
    <w:p w14:paraId="65FD6251">
      <w:pPr>
        <w:shd w:val="clear"/>
        <w:snapToGrid w:val="0"/>
        <w:spacing w:before="156" w:beforeLines="50" w:after="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法定代表人或其委托代理人（签字或盖章）：</w:t>
      </w:r>
    </w:p>
    <w:p w14:paraId="63656D5B">
      <w:pPr>
        <w:pStyle w:val="75"/>
        <w:shd w:val="clear"/>
        <w:jc w:val="right"/>
        <w:rPr>
          <w:rFonts w:hint="eastAsia" w:asciiTheme="minorEastAsia" w:hAnsiTheme="minorEastAsia" w:eastAsiaTheme="minorEastAsia" w:cstheme="minorEastAsia"/>
          <w:sz w:val="24"/>
          <w:highlight w:val="none"/>
          <w:lang w:val="en-US" w:eastAsia="zh-CN"/>
        </w:rPr>
        <w:sectPr>
          <w:pgSz w:w="11906" w:h="16838"/>
          <w:pgMar w:top="1247" w:right="1417" w:bottom="1474" w:left="1417" w:header="851" w:footer="896" w:gutter="0"/>
          <w:pgNumType w:fmt="decimal"/>
          <w:cols w:space="0" w:num="1"/>
          <w:docGrid w:type="lines" w:linePitch="312" w:charSpace="0"/>
        </w:sectPr>
      </w:pP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lang w:val="en-US" w:eastAsia="zh-CN"/>
        </w:rPr>
        <w:t>日</w:t>
      </w:r>
    </w:p>
    <w:p w14:paraId="057080D1">
      <w:pPr>
        <w:shd w:val="clea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附件</w:t>
      </w:r>
      <w:r>
        <w:rPr>
          <w:rFonts w:hint="eastAsia" w:asciiTheme="minorEastAsia" w:hAnsiTheme="minorEastAsia" w:eastAsiaTheme="minorEastAsia" w:cstheme="minorEastAsia"/>
          <w:sz w:val="24"/>
          <w:szCs w:val="24"/>
          <w:highlight w:val="none"/>
          <w:lang w:val="en-US" w:eastAsia="zh-CN"/>
        </w:rPr>
        <w:t>14</w:t>
      </w:r>
      <w:r>
        <w:rPr>
          <w:rFonts w:hint="eastAsia" w:asciiTheme="minorEastAsia" w:hAnsiTheme="minorEastAsia" w:eastAsiaTheme="minorEastAsia" w:cstheme="minorEastAsia"/>
          <w:sz w:val="24"/>
          <w:szCs w:val="24"/>
          <w:highlight w:val="none"/>
        </w:rPr>
        <w:t>、</w:t>
      </w:r>
    </w:p>
    <w:p w14:paraId="3D1F4D52">
      <w:pPr>
        <w:shd w:val="clea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中小企业声明函</w:t>
      </w:r>
    </w:p>
    <w:p w14:paraId="647F02A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本公司郑重声明，根据《政府采购促进中小企业发展管理办法》（财库﹝2020﹞46 号）的规定，本公司参加</w:t>
      </w:r>
      <w:r>
        <w:rPr>
          <w:rFonts w:hint="eastAsia" w:asciiTheme="minorEastAsia" w:hAnsiTheme="minorEastAsia" w:eastAsiaTheme="minorEastAsia" w:cstheme="minorEastAsia"/>
          <w:color w:val="auto"/>
          <w:sz w:val="24"/>
          <w:szCs w:val="24"/>
          <w:highlight w:val="none"/>
          <w:u w:val="single"/>
        </w:rPr>
        <w:t>（单位名称）的（项目名称）</w:t>
      </w:r>
      <w:r>
        <w:rPr>
          <w:rFonts w:hint="eastAsia" w:asciiTheme="minorEastAsia" w:hAnsiTheme="minorEastAsia" w:eastAsiaTheme="minorEastAsia" w:cstheme="minorEastAsia"/>
          <w:color w:val="auto"/>
          <w:sz w:val="24"/>
          <w:szCs w:val="24"/>
          <w:highlight w:val="none"/>
        </w:rPr>
        <w:t>采购活动，服务全部由符合政策要求的中小企业承接。相关企业的具体情况如下：</w:t>
      </w:r>
    </w:p>
    <w:p w14:paraId="3227FB24">
      <w:pPr>
        <w:keepNext w:val="0"/>
        <w:keepLines w:val="0"/>
        <w:pageBreakBefore w:val="0"/>
        <w:widowControl w:val="0"/>
        <w:numPr>
          <w:ilvl w:val="0"/>
          <w:numId w:val="36"/>
        </w:numPr>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Cs/>
          <w:sz w:val="24"/>
          <w:highlight w:val="none"/>
          <w:u w:val="single"/>
        </w:rPr>
        <w:t>（标的名称）</w:t>
      </w:r>
      <w:r>
        <w:rPr>
          <w:rFonts w:hint="eastAsia" w:asciiTheme="minorEastAsia" w:hAnsiTheme="minorEastAsia" w:eastAsiaTheme="minorEastAsia" w:cstheme="minorEastAsia"/>
          <w:color w:val="auto"/>
          <w:sz w:val="24"/>
          <w:szCs w:val="24"/>
          <w:highlight w:val="none"/>
          <w:u w:val="single"/>
        </w:rPr>
        <w:t>属于（</w:t>
      </w:r>
      <w:r>
        <w:rPr>
          <w:rFonts w:hint="eastAsia" w:asciiTheme="minorEastAsia" w:hAnsiTheme="minorEastAsia" w:eastAsiaTheme="minorEastAsia" w:cstheme="minorEastAsia"/>
          <w:color w:val="auto"/>
          <w:sz w:val="24"/>
          <w:szCs w:val="24"/>
          <w:highlight w:val="none"/>
          <w:u w:val="single"/>
          <w:lang w:eastAsia="zh-CN"/>
        </w:rPr>
        <w:t>其他未列明行业</w:t>
      </w:r>
      <w:r>
        <w:rPr>
          <w:rFonts w:hint="eastAsia" w:asciiTheme="minorEastAsia" w:hAnsiTheme="minorEastAsia" w:eastAsiaTheme="minorEastAsia" w:cstheme="minorEastAsia"/>
          <w:color w:val="auto"/>
          <w:sz w:val="24"/>
          <w:szCs w:val="24"/>
          <w:highlight w:val="none"/>
          <w:u w:val="single"/>
        </w:rPr>
        <w:t xml:space="preserve">）；承建（承接）企业为（企业名称），从业人员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人，营业收入为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万元，资产总额为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万元</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rPr>
        <w:t>属于</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（中型企业、小型企业、微型企业）；</w:t>
      </w:r>
    </w:p>
    <w:p w14:paraId="2DCC11D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p w14:paraId="3FAA770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以上企业，不属于大企业的分支机构，不存在控股股东为大企业的情形，也不存在与大企业的负责人为同一人的情形。</w:t>
      </w:r>
    </w:p>
    <w:p w14:paraId="21C9DD8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本企业对上述声明内容的真实性负责。如有虚假，将依法承担相应责任。</w:t>
      </w:r>
    </w:p>
    <w:p w14:paraId="2FB3E40C">
      <w:pPr>
        <w:pStyle w:val="17"/>
        <w:shd w:val="clear"/>
        <w:rPr>
          <w:rFonts w:hint="eastAsia" w:asciiTheme="minorEastAsia" w:hAnsiTheme="minorEastAsia" w:eastAsiaTheme="minorEastAsia" w:cstheme="minorEastAsia"/>
          <w:color w:val="auto"/>
          <w:sz w:val="21"/>
          <w:szCs w:val="21"/>
          <w:highlight w:val="none"/>
        </w:rPr>
      </w:pPr>
    </w:p>
    <w:p w14:paraId="4CE5B22A">
      <w:pPr>
        <w:widowControl/>
        <w:shd w:val="clea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p>
    <w:p w14:paraId="6F323676">
      <w:pPr>
        <w:widowControl/>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公章</w:t>
      </w:r>
      <w:r>
        <w:rPr>
          <w:rFonts w:hint="eastAsia" w:asciiTheme="minorEastAsia" w:hAnsiTheme="minorEastAsia" w:eastAsiaTheme="minorEastAsia" w:cstheme="minorEastAsia"/>
          <w:color w:val="auto"/>
          <w:kern w:val="0"/>
          <w:sz w:val="21"/>
          <w:szCs w:val="21"/>
          <w:highlight w:val="none"/>
        </w:rPr>
        <w:t xml:space="preserve">）： </w:t>
      </w:r>
    </w:p>
    <w:p w14:paraId="029A476A">
      <w:pPr>
        <w:widowControl/>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日 期：</w:t>
      </w:r>
    </w:p>
    <w:p w14:paraId="63AD4A16">
      <w:pPr>
        <w:widowControl/>
        <w:shd w:val="clear"/>
        <w:jc w:val="left"/>
        <w:rPr>
          <w:rFonts w:hint="eastAsia" w:asciiTheme="minorEastAsia" w:hAnsiTheme="minorEastAsia" w:eastAsiaTheme="minorEastAsia" w:cstheme="minorEastAsia"/>
          <w:b/>
          <w:color w:val="auto"/>
          <w:sz w:val="24"/>
          <w:szCs w:val="24"/>
          <w:highlight w:val="none"/>
          <w:lang w:val="en-GB"/>
        </w:rPr>
      </w:pPr>
    </w:p>
    <w:p w14:paraId="502273B8">
      <w:pPr>
        <w:pStyle w:val="39"/>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14:paraId="6703E840">
      <w:pPr>
        <w:pStyle w:val="39"/>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14:paraId="607FDA32">
      <w:pPr>
        <w:pStyle w:val="39"/>
        <w:shd w:val="clear"/>
        <w:snapToGrid w:val="0"/>
        <w:rPr>
          <w:rFonts w:hint="eastAsia" w:asciiTheme="minorEastAsia" w:hAnsiTheme="minorEastAsia" w:eastAsiaTheme="minorEastAsia" w:cstheme="minorEastAsia"/>
          <w:highlight w:val="none"/>
          <w:u w:val="single"/>
        </w:rPr>
      </w:pPr>
      <w:bookmarkStart w:id="24" w:name="_Hlk77602961"/>
      <w:r>
        <w:rPr>
          <w:rFonts w:hint="eastAsia" w:asciiTheme="minorEastAsia" w:hAnsiTheme="minorEastAsia" w:eastAsiaTheme="minorEastAsia" w:cstheme="minorEastAsia"/>
          <w:highlight w:val="none"/>
          <w:u w:val="single"/>
        </w:rPr>
        <w:t>填表说明：</w:t>
      </w:r>
    </w:p>
    <w:p w14:paraId="0F02B7B4">
      <w:pPr>
        <w:pStyle w:val="39"/>
        <w:shd w:val="clear"/>
        <w:snapToGrid w:val="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u w:val="single"/>
          <w:lang w:val="en-US" w:eastAsia="zh-CN"/>
        </w:rPr>
        <w:t>1</w:t>
      </w:r>
      <w:r>
        <w:rPr>
          <w:rFonts w:hint="eastAsia" w:asciiTheme="minorEastAsia" w:hAnsiTheme="minorEastAsia" w:eastAsiaTheme="minorEastAsia" w:cstheme="minorEastAsia"/>
          <w:highlight w:val="none"/>
          <w:u w:val="single"/>
        </w:rPr>
        <w:t>、从业人员、营业收入、资产总额填报上一年度数据，无上一年度数据的新成立企业可不填报。</w:t>
      </w:r>
    </w:p>
    <w:p w14:paraId="5BA00D5F">
      <w:pPr>
        <w:pStyle w:val="39"/>
        <w:shd w:val="clear"/>
        <w:snapToGrid w:val="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u w:val="single"/>
          <w:lang w:val="en-US" w:eastAsia="zh-CN"/>
        </w:rPr>
        <w:t>2</w:t>
      </w:r>
      <w:r>
        <w:rPr>
          <w:rFonts w:hint="eastAsia" w:asciiTheme="minorEastAsia" w:hAnsiTheme="minorEastAsia" w:eastAsiaTheme="minorEastAsia" w:cstheme="minorEastAsia"/>
          <w:highlight w:val="none"/>
          <w:u w:val="single"/>
        </w:rPr>
        <w:t>、为了更加准确判定制造商是否为小微企业，请供应商根据工业和信息化部官方网站---中小企业规模类型自测小程序来辨别制造商企业规模类型，中小企业规模类型自测小程序链接网址为</w:t>
      </w:r>
    </w:p>
    <w:p w14:paraId="08E5909D">
      <w:pPr>
        <w:pStyle w:val="39"/>
        <w:shd w:val="clear"/>
        <w:snapToGrid w:val="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u w:val="single"/>
        </w:rPr>
        <w:t>http://202.106.1</w:t>
      </w:r>
      <w:r>
        <w:rPr>
          <w:rFonts w:hint="eastAsia" w:asciiTheme="minorEastAsia" w:hAnsiTheme="minorEastAsia" w:eastAsiaTheme="minorEastAsia" w:cstheme="minorEastAsia"/>
          <w:highlight w:val="none"/>
          <w:u w:val="single"/>
          <w:lang w:val="en-US" w:eastAsia="zh-CN"/>
        </w:rPr>
        <w:t>2</w:t>
      </w:r>
      <w:r>
        <w:rPr>
          <w:rFonts w:hint="eastAsia" w:asciiTheme="minorEastAsia" w:hAnsiTheme="minorEastAsia" w:eastAsiaTheme="minorEastAsia" w:cstheme="minorEastAsia"/>
          <w:highlight w:val="none"/>
          <w:u w:val="single"/>
        </w:rPr>
        <w:t>0.146/baosong/appweb/orgScale.html</w:t>
      </w:r>
    </w:p>
    <w:p w14:paraId="0067FD84">
      <w:pPr>
        <w:pStyle w:val="39"/>
        <w:shd w:val="clear"/>
        <w:snapToGrid w:val="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u w:val="single"/>
          <w:lang w:val="en-US" w:eastAsia="zh-CN"/>
        </w:rPr>
        <w:t>3</w:t>
      </w:r>
      <w:r>
        <w:rPr>
          <w:rFonts w:hint="eastAsia" w:asciiTheme="minorEastAsia" w:hAnsiTheme="minorEastAsia" w:eastAsiaTheme="minorEastAsia" w:cstheme="minorEastAsia"/>
          <w:highlight w:val="none"/>
          <w:u w:val="single"/>
        </w:rPr>
        <w:t>、如国家对中小企业划型标准有新的规定的，从其规定。</w:t>
      </w:r>
    </w:p>
    <w:bookmarkEnd w:id="24"/>
    <w:p w14:paraId="388DB06F">
      <w:pPr>
        <w:shd w:val="clear"/>
        <w:rPr>
          <w:rFonts w:hint="eastAsia" w:asciiTheme="minorEastAsia" w:hAnsiTheme="minorEastAsia" w:eastAsiaTheme="minorEastAsia" w:cstheme="minorEastAsia"/>
          <w:highlight w:val="none"/>
          <w:lang w:eastAsia="zh-CN"/>
        </w:rPr>
        <w:sectPr>
          <w:footerReference r:id="rId14" w:type="first"/>
          <w:headerReference r:id="rId12" w:type="default"/>
          <w:footerReference r:id="rId13" w:type="default"/>
          <w:pgSz w:w="11906" w:h="16838"/>
          <w:pgMar w:top="1247" w:right="1417" w:bottom="1474" w:left="1417" w:header="851" w:footer="896" w:gutter="0"/>
          <w:pgNumType w:fmt="decimal"/>
          <w:cols w:space="0" w:num="1"/>
          <w:titlePg/>
          <w:rtlGutter w:val="0"/>
          <w:docGrid w:type="lines" w:linePitch="312" w:charSpace="0"/>
        </w:sectPr>
      </w:pPr>
    </w:p>
    <w:p w14:paraId="5AC87D39">
      <w:pPr>
        <w:pStyle w:val="39"/>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14:paraId="72652F0B">
      <w:pPr>
        <w:pStyle w:val="39"/>
        <w:shd w:val="clear"/>
        <w:spacing w:line="360" w:lineRule="auto"/>
        <w:jc w:val="center"/>
        <w:rPr>
          <w:rFonts w:hint="eastAsia" w:asciiTheme="minorEastAsia" w:hAnsiTheme="minorEastAsia" w:eastAsiaTheme="minorEastAsia" w:cstheme="minorEastAsia"/>
          <w:b/>
          <w:color w:val="auto"/>
          <w:sz w:val="24"/>
          <w:szCs w:val="24"/>
          <w:highlight w:val="none"/>
          <w:lang w:val="en-GB"/>
        </w:rPr>
      </w:pPr>
      <w:r>
        <w:rPr>
          <w:rFonts w:hint="eastAsia" w:asciiTheme="minorEastAsia" w:hAnsiTheme="minorEastAsia" w:eastAsiaTheme="minorEastAsia" w:cstheme="minorEastAsia"/>
          <w:b/>
          <w:color w:val="auto"/>
          <w:sz w:val="24"/>
          <w:szCs w:val="24"/>
          <w:highlight w:val="none"/>
          <w:lang w:val="en-GB"/>
        </w:rPr>
        <w:t>残疾人福利性单位声明函</w:t>
      </w:r>
    </w:p>
    <w:p w14:paraId="5948F262">
      <w:pPr>
        <w:shd w:val="clear"/>
        <w:spacing w:line="588" w:lineRule="exact"/>
        <w:ind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26B37B9">
      <w:pPr>
        <w:shd w:val="clear"/>
        <w:spacing w:line="588" w:lineRule="exact"/>
        <w:ind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本单位对上述声明的真实性负责。如有虚假，将依法承担相应责任。</w:t>
      </w:r>
    </w:p>
    <w:p w14:paraId="03CC0D47">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spacing w:val="6"/>
          <w:sz w:val="21"/>
          <w:szCs w:val="21"/>
          <w:highlight w:val="none"/>
        </w:rPr>
      </w:pPr>
    </w:p>
    <w:p w14:paraId="7251BB1D">
      <w:pPr>
        <w:shd w:val="clear"/>
        <w:tabs>
          <w:tab w:val="left" w:pos="4860"/>
        </w:tabs>
        <w:spacing w:line="588" w:lineRule="exact"/>
        <w:ind w:right="1560" w:firstLine="444" w:firstLineChars="200"/>
        <w:jc w:val="left"/>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spacing w:val="6"/>
          <w:sz w:val="21"/>
          <w:szCs w:val="21"/>
          <w:highlight w:val="none"/>
        </w:rPr>
        <w:t>（公章）：</w:t>
      </w:r>
    </w:p>
    <w:p w14:paraId="0D8C392D">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pacing w:val="6"/>
          <w:sz w:val="21"/>
          <w:szCs w:val="21"/>
          <w:highlight w:val="none"/>
        </w:rPr>
        <w:t>日  期：</w:t>
      </w:r>
    </w:p>
    <w:p w14:paraId="1B298215">
      <w:pPr>
        <w:pStyle w:val="3"/>
        <w:numPr>
          <w:ilvl w:val="0"/>
          <w:numId w:val="0"/>
        </w:numPr>
        <w:shd w:val="clear"/>
        <w:ind w:leftChars="0"/>
        <w:rPr>
          <w:rFonts w:hint="eastAsia" w:asciiTheme="minorEastAsia" w:hAnsiTheme="minorEastAsia" w:eastAsiaTheme="minorEastAsia" w:cstheme="minorEastAsia"/>
          <w:color w:val="auto"/>
          <w:spacing w:val="6"/>
          <w:sz w:val="21"/>
          <w:szCs w:val="21"/>
          <w:highlight w:val="none"/>
        </w:rPr>
      </w:pPr>
    </w:p>
    <w:p w14:paraId="0AD44E1F">
      <w:pPr>
        <w:shd w:val="clear"/>
        <w:rPr>
          <w:rFonts w:hint="eastAsia" w:asciiTheme="minorEastAsia" w:hAnsiTheme="minorEastAsia" w:eastAsiaTheme="minorEastAsia" w:cstheme="minorEastAsia"/>
          <w:color w:val="auto"/>
          <w:spacing w:val="6"/>
          <w:sz w:val="21"/>
          <w:szCs w:val="21"/>
          <w:highlight w:val="none"/>
        </w:rPr>
      </w:pPr>
    </w:p>
    <w:p w14:paraId="2EC84232">
      <w:pPr>
        <w:widowControl/>
        <w:numPr>
          <w:ilvl w:val="0"/>
          <w:numId w:val="0"/>
        </w:numPr>
        <w:shd w:val="clear"/>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监狱企业的证明文件（如有）</w:t>
      </w:r>
    </w:p>
    <w:p w14:paraId="49405DEF">
      <w:pPr>
        <w:pStyle w:val="27"/>
        <w:numPr>
          <w:ilvl w:val="0"/>
          <w:numId w:val="0"/>
        </w:numPr>
        <w:shd w:val="clear"/>
        <w:rPr>
          <w:rFonts w:hint="eastAsia" w:asciiTheme="minorEastAsia" w:hAnsiTheme="minorEastAsia" w:eastAsiaTheme="minorEastAsia" w:cstheme="minorEastAsia"/>
          <w:highlight w:val="none"/>
        </w:rPr>
      </w:pPr>
    </w:p>
    <w:p w14:paraId="5B90CD92">
      <w:pPr>
        <w:pStyle w:val="17"/>
        <w:shd w:val="clear"/>
        <w:spacing w:line="360" w:lineRule="auto"/>
        <w:ind w:firstLine="44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auto"/>
          <w:sz w:val="24"/>
          <w:szCs w:val="24"/>
          <w:highlight w:val="none"/>
        </w:rPr>
        <w:t>依据《财政部 司法部关于政府采购支持监狱企业发展有关问题的通知》（财库[2014]68号）文件，提供由省级以上监狱管理局、戒毒管理局（含新疆生产建设兵团）出具的属于监狱企业证明文件。</w:t>
      </w:r>
    </w:p>
    <w:p w14:paraId="63732DA3">
      <w:pPr>
        <w:shd w:val="clear"/>
        <w:rPr>
          <w:rFonts w:hint="eastAsia" w:asciiTheme="minorEastAsia" w:hAnsiTheme="minorEastAsia" w:eastAsiaTheme="minorEastAsia" w:cstheme="minorEastAsia"/>
          <w:highlight w:val="none"/>
        </w:rPr>
      </w:pPr>
    </w:p>
    <w:p w14:paraId="3DDD445E">
      <w:pPr>
        <w:shd w:val="clear"/>
        <w:tabs>
          <w:tab w:val="left" w:pos="4860"/>
        </w:tabs>
        <w:spacing w:line="588" w:lineRule="exact"/>
        <w:ind w:right="1560" w:firstLine="420" w:firstLineChars="200"/>
        <w:jc w:val="left"/>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spacing w:val="6"/>
          <w:sz w:val="21"/>
          <w:szCs w:val="21"/>
          <w:highlight w:val="none"/>
        </w:rPr>
        <w:t>（公章）：</w:t>
      </w:r>
    </w:p>
    <w:p w14:paraId="503051CE">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pacing w:val="6"/>
          <w:sz w:val="21"/>
          <w:szCs w:val="21"/>
          <w:highlight w:val="none"/>
        </w:rPr>
        <w:t>日  期：</w:t>
      </w:r>
    </w:p>
    <w:p w14:paraId="778C6AD3">
      <w:pPr>
        <w:pStyle w:val="3"/>
        <w:shd w:val="clear"/>
        <w:rPr>
          <w:rFonts w:hint="eastAsia" w:asciiTheme="minorEastAsia" w:hAnsiTheme="minorEastAsia" w:eastAsiaTheme="minorEastAsia" w:cstheme="minorEastAsia"/>
          <w:highlight w:val="none"/>
        </w:rPr>
        <w:sectPr>
          <w:pgSz w:w="11906" w:h="16838"/>
          <w:pgMar w:top="1247" w:right="1417" w:bottom="1474" w:left="1417" w:header="851" w:footer="896" w:gutter="0"/>
          <w:cols w:space="0" w:num="1"/>
          <w:titlePg/>
          <w:rtlGutter w:val="0"/>
          <w:docGrid w:type="lines" w:linePitch="312" w:charSpace="0"/>
        </w:sectPr>
      </w:pPr>
    </w:p>
    <w:p w14:paraId="5D3BD0B3">
      <w:pPr>
        <w:pStyle w:val="693"/>
        <w:shd w:val="clear"/>
        <w:snapToGrid w:val="0"/>
        <w:spacing w:line="36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 xml:space="preserve">附件 </w:t>
      </w:r>
    </w:p>
    <w:p w14:paraId="1942BE89">
      <w:pPr>
        <w:pStyle w:val="289"/>
        <w:shd w:val="clear"/>
        <w:snapToGrid w:val="0"/>
        <w:spacing w:after="156" w:line="480" w:lineRule="exact"/>
        <w:ind w:firstLine="482" w:firstLineChars="200"/>
        <w:rPr>
          <w:rFonts w:hint="eastAsia" w:asciiTheme="minorEastAsia" w:hAnsiTheme="minorEastAsia" w:eastAsiaTheme="minorEastAsia" w:cstheme="minorEastAsia"/>
          <w:b/>
          <w:sz w:val="24"/>
          <w:szCs w:val="24"/>
          <w:highlight w:val="none"/>
          <w:lang w:val="en-GB"/>
        </w:rPr>
      </w:pPr>
      <w:r>
        <w:rPr>
          <w:rFonts w:hint="eastAsia" w:asciiTheme="minorEastAsia" w:hAnsiTheme="minorEastAsia" w:eastAsiaTheme="minorEastAsia" w:cstheme="minorEastAsia"/>
          <w:b/>
          <w:sz w:val="24"/>
          <w:szCs w:val="24"/>
          <w:highlight w:val="none"/>
        </w:rPr>
        <w:t>(参加本项目采购活动的供应商须填写“政府采购活动现场确认声明书”，并在开标后30分钟内将扫描件发送至代理机构邮箱</w:t>
      </w:r>
      <w:r>
        <w:rPr>
          <w:rFonts w:hint="eastAsia" w:asciiTheme="minorEastAsia" w:hAnsiTheme="minorEastAsia" w:eastAsiaTheme="minorEastAsia" w:cstheme="minorEastAsia"/>
          <w:b/>
          <w:sz w:val="24"/>
          <w:szCs w:val="24"/>
          <w:highlight w:val="none"/>
          <w:lang w:val="en-US" w:eastAsia="zh-CN"/>
        </w:rPr>
        <w:t>1391370120</w:t>
      </w:r>
      <w:r>
        <w:rPr>
          <w:rFonts w:hint="eastAsia" w:asciiTheme="minorEastAsia" w:hAnsiTheme="minorEastAsia" w:eastAsiaTheme="minorEastAsia" w:cstheme="minorEastAsia"/>
          <w:b/>
          <w:sz w:val="24"/>
          <w:szCs w:val="24"/>
          <w:highlight w:val="none"/>
        </w:rPr>
        <w:t>@qq.com)</w:t>
      </w:r>
    </w:p>
    <w:p w14:paraId="45DB7F28">
      <w:pPr>
        <w:shd w:val="clear"/>
        <w:snapToGrid w:val="0"/>
        <w:spacing w:before="156" w:beforeLines="50" w:after="50"/>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政府采购活动现场确认声明书</w:t>
      </w:r>
    </w:p>
    <w:p w14:paraId="6344E6EE">
      <w:pPr>
        <w:pStyle w:val="289"/>
        <w:shd w:val="clear"/>
        <w:tabs>
          <w:tab w:val="left" w:pos="8231"/>
        </w:tabs>
        <w:snapToGrid w:val="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u w:val="single"/>
        </w:rPr>
        <w:t xml:space="preserve"> 建经投资咨询有限公司 </w:t>
      </w:r>
      <w:r>
        <w:rPr>
          <w:rFonts w:hint="eastAsia" w:asciiTheme="minorEastAsia" w:hAnsiTheme="minorEastAsia" w:eastAsiaTheme="minorEastAsia" w:cstheme="minorEastAsia"/>
          <w:sz w:val="24"/>
          <w:szCs w:val="24"/>
          <w:highlight w:val="none"/>
        </w:rPr>
        <w:t>（采购组织机构名称）：</w:t>
      </w:r>
      <w:r>
        <w:rPr>
          <w:rFonts w:hint="eastAsia" w:asciiTheme="minorEastAsia" w:hAnsiTheme="minorEastAsia" w:eastAsiaTheme="minorEastAsia" w:cstheme="minorEastAsia"/>
          <w:sz w:val="24"/>
          <w:szCs w:val="24"/>
          <w:highlight w:val="none"/>
        </w:rPr>
        <w:tab/>
      </w:r>
    </w:p>
    <w:p w14:paraId="7D0035F4">
      <w:pPr>
        <w:pStyle w:val="289"/>
        <w:shd w:val="clear"/>
        <w:snapToGrid w:val="0"/>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本人经由</w:t>
      </w:r>
      <w:r>
        <w:rPr>
          <w:rFonts w:hint="eastAsia" w:asciiTheme="minorEastAsia" w:hAnsiTheme="minorEastAsia" w:eastAsiaTheme="minorEastAsia" w:cstheme="minorEastAsia"/>
          <w:spacing w:val="6"/>
          <w:sz w:val="24"/>
          <w:szCs w:val="24"/>
          <w:highlight w:val="none"/>
          <w:u w:val="single"/>
        </w:rPr>
        <w:t xml:space="preserve">                  （单位）</w:t>
      </w:r>
      <w:r>
        <w:rPr>
          <w:rFonts w:hint="eastAsia" w:asciiTheme="minorEastAsia" w:hAnsiTheme="minorEastAsia" w:eastAsiaTheme="minorEastAsia" w:cstheme="minorEastAsia"/>
          <w:spacing w:val="6"/>
          <w:sz w:val="24"/>
          <w:szCs w:val="24"/>
          <w:highlight w:val="none"/>
        </w:rPr>
        <w:t>负责人</w:t>
      </w:r>
      <w:r>
        <w:rPr>
          <w:rFonts w:hint="eastAsia" w:asciiTheme="minorEastAsia" w:hAnsiTheme="minorEastAsia" w:eastAsiaTheme="minorEastAsia" w:cstheme="minorEastAsia"/>
          <w:spacing w:val="6"/>
          <w:sz w:val="24"/>
          <w:szCs w:val="24"/>
          <w:highlight w:val="none"/>
          <w:u w:val="single"/>
        </w:rPr>
        <w:t xml:space="preserve">        （姓名）</w:t>
      </w:r>
      <w:r>
        <w:rPr>
          <w:rFonts w:hint="eastAsia" w:asciiTheme="minorEastAsia" w:hAnsiTheme="minorEastAsia" w:eastAsiaTheme="minorEastAsia" w:cstheme="minorEastAsia"/>
          <w:spacing w:val="6"/>
          <w:sz w:val="24"/>
          <w:szCs w:val="24"/>
          <w:highlight w:val="none"/>
        </w:rPr>
        <w:t>合法授权参加</w:t>
      </w:r>
      <w:r>
        <w:rPr>
          <w:rFonts w:hint="eastAsia" w:asciiTheme="minorEastAsia" w:hAnsiTheme="minorEastAsia" w:eastAsiaTheme="minorEastAsia" w:cstheme="minorEastAsia"/>
          <w:bCs/>
          <w:spacing w:val="6"/>
          <w:sz w:val="24"/>
          <w:szCs w:val="24"/>
          <w:highlight w:val="none"/>
          <w:u w:val="single"/>
        </w:rPr>
        <w:t xml:space="preserve">           </w:t>
      </w:r>
      <w:r>
        <w:rPr>
          <w:rFonts w:hint="eastAsia" w:asciiTheme="minorEastAsia" w:hAnsiTheme="minorEastAsia" w:eastAsiaTheme="minorEastAsia" w:cstheme="minorEastAsia"/>
          <w:spacing w:val="6"/>
          <w:sz w:val="24"/>
          <w:szCs w:val="24"/>
          <w:highlight w:val="none"/>
        </w:rPr>
        <w:t>（编号：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6"/>
          <w:sz w:val="24"/>
          <w:szCs w:val="24"/>
          <w:highlight w:val="none"/>
        </w:rPr>
        <w:t xml:space="preserve">）政府采购活动，经与本单位法人代表（负责人）联系确认，现就有关公平竞争事项郑重声明如下： </w:t>
      </w:r>
    </w:p>
    <w:p w14:paraId="62C8A4EB">
      <w:pPr>
        <w:pStyle w:val="232"/>
        <w:numPr>
          <w:ilvl w:val="0"/>
          <w:numId w:val="37"/>
        </w:numPr>
        <w:shd w:val="clear"/>
        <w:snapToGrid w:val="0"/>
        <w:ind w:firstLine="453" w:firstLineChars="18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本单位与采购人之间 □不存在利害关系 □存在下列利害关系</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14:paraId="031BDF38">
      <w:pPr>
        <w:pStyle w:val="232"/>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A.投资关系    B.行政隶属关系    C.业务指导关系</w:t>
      </w:r>
    </w:p>
    <w:p w14:paraId="1937B4A9">
      <w:pPr>
        <w:pStyle w:val="232"/>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D.其他可能影响采购公正的利害关系</w:t>
      </w:r>
      <w:r>
        <w:rPr>
          <w:rFonts w:hint="eastAsia" w:asciiTheme="minorEastAsia" w:hAnsiTheme="minorEastAsia" w:eastAsiaTheme="minorEastAsia" w:cstheme="minorEastAsia"/>
          <w:sz w:val="24"/>
          <w:szCs w:val="24"/>
          <w:highlight w:val="none"/>
          <w:u w:val="single"/>
        </w:rPr>
        <w:t xml:space="preserve">（如有，请如实说明）                 </w:t>
      </w:r>
      <w:r>
        <w:rPr>
          <w:rFonts w:hint="eastAsia" w:asciiTheme="minorEastAsia" w:hAnsiTheme="minorEastAsia" w:eastAsiaTheme="minorEastAsia" w:cstheme="minorEastAsia"/>
          <w:sz w:val="24"/>
          <w:szCs w:val="24"/>
          <w:highlight w:val="none"/>
        </w:rPr>
        <w:t>。</w:t>
      </w:r>
    </w:p>
    <w:p w14:paraId="5CDEAB8F">
      <w:pPr>
        <w:pStyle w:val="232"/>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 xml:space="preserve">  二、</w:t>
      </w:r>
      <w:r>
        <w:rPr>
          <w:rFonts w:hint="eastAsia" w:asciiTheme="minorEastAsia" w:hAnsiTheme="minorEastAsia" w:eastAsiaTheme="minorEastAsia" w:cstheme="minorEastAsia"/>
          <w:sz w:val="24"/>
          <w:szCs w:val="24"/>
          <w:highlight w:val="none"/>
        </w:rPr>
        <w:t>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sz w:val="24"/>
          <w:szCs w:val="24"/>
          <w:highlight w:val="none"/>
          <w:u w:val="single"/>
        </w:rPr>
        <w:t xml:space="preserve">           （供应商名称）</w:t>
      </w:r>
      <w:r>
        <w:rPr>
          <w:rFonts w:hint="eastAsia" w:asciiTheme="minorEastAsia" w:hAnsiTheme="minorEastAsia" w:eastAsiaTheme="minorEastAsia" w:cstheme="minorEastAsia"/>
          <w:sz w:val="24"/>
          <w:szCs w:val="24"/>
          <w:highlight w:val="none"/>
        </w:rPr>
        <w:t>之间存在下列利害关系</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14:paraId="6BAEE0FF">
      <w:pPr>
        <w:pStyle w:val="289"/>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A.法定代表人或负责人或实际控制人是同一人</w:t>
      </w:r>
    </w:p>
    <w:p w14:paraId="613AD096">
      <w:pPr>
        <w:pStyle w:val="289"/>
        <w:shd w:val="clear"/>
        <w:snapToGrid w:val="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z w:val="24"/>
          <w:szCs w:val="24"/>
          <w:highlight w:val="none"/>
        </w:rPr>
        <w:t xml:space="preserve">  B.法定代表人或负责人或实际控制人是夫妻关系</w:t>
      </w:r>
    </w:p>
    <w:p w14:paraId="7CD550BC">
      <w:pPr>
        <w:pStyle w:val="289"/>
        <w:shd w:val="clear"/>
        <w:snapToGrid w:val="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z w:val="24"/>
          <w:szCs w:val="24"/>
          <w:highlight w:val="none"/>
        </w:rPr>
        <w:t xml:space="preserve">  C.法定代表人或负责人或实际控制人是直系血亲关系</w:t>
      </w:r>
    </w:p>
    <w:p w14:paraId="32B5DEF5">
      <w:pPr>
        <w:pStyle w:val="289"/>
        <w:shd w:val="clear"/>
        <w:snapToGrid w:val="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z w:val="24"/>
          <w:szCs w:val="24"/>
          <w:highlight w:val="none"/>
        </w:rPr>
        <w:t xml:space="preserve">  D.法定代表人或负责人或实际控制人存在三代以内旁系血亲关系</w:t>
      </w:r>
    </w:p>
    <w:p w14:paraId="1B3AD1D0">
      <w:pPr>
        <w:pStyle w:val="289"/>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E.法定代表人或负责人或实际控制人存在近姻亲关系</w:t>
      </w:r>
    </w:p>
    <w:p w14:paraId="58DA72CD">
      <w:pPr>
        <w:pStyle w:val="289"/>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F.法定代表人或负责人或实际控制人存在股份控制或实际控制关系</w:t>
      </w:r>
    </w:p>
    <w:p w14:paraId="11B46216">
      <w:pPr>
        <w:pStyle w:val="289"/>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G.存在共同直接或间接投资设立子公司、联营企业和合营企业情况</w:t>
      </w:r>
    </w:p>
    <w:p w14:paraId="71761AC7">
      <w:pPr>
        <w:pStyle w:val="289"/>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H.存在分级代理或代销关系、同一生产制造商关系、管理关系、重要业务（占主营业务收入50%以上）或重要财务往来关系（如融资）等其他实质性控制关系</w:t>
      </w:r>
    </w:p>
    <w:p w14:paraId="7B035891">
      <w:pPr>
        <w:pStyle w:val="289"/>
        <w:shd w:val="clear"/>
        <w:snapToGrid w:val="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z w:val="24"/>
          <w:szCs w:val="24"/>
          <w:highlight w:val="none"/>
        </w:rPr>
        <w:t xml:space="preserve">    I.其他利害关系情况</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14:paraId="3C6B908D">
      <w:pPr>
        <w:pStyle w:val="232"/>
        <w:numPr>
          <w:ilvl w:val="0"/>
          <w:numId w:val="38"/>
        </w:numPr>
        <w:shd w:val="clear"/>
        <w:snapToGrid w:val="0"/>
        <w:ind w:firstLine="453" w:firstLineChars="18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现已清楚知道并严格遵守政府采购法律法规和现场纪律。</w:t>
      </w:r>
    </w:p>
    <w:p w14:paraId="43109533">
      <w:pPr>
        <w:pStyle w:val="232"/>
        <w:numPr>
          <w:ilvl w:val="0"/>
          <w:numId w:val="38"/>
        </w:numPr>
        <w:shd w:val="clear"/>
        <w:snapToGrid w:val="0"/>
        <w:ind w:firstLine="453" w:firstLineChars="18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我发现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供应商之间存在或可能存在上述第二条第</w:t>
      </w:r>
    </w:p>
    <w:p w14:paraId="5AC13FF3">
      <w:pPr>
        <w:pStyle w:val="232"/>
        <w:numPr>
          <w:ilvl w:val="0"/>
          <w:numId w:val="0"/>
        </w:numPr>
        <w:shd w:val="clear"/>
        <w:snapToGrid w:val="0"/>
        <w:ind w:leftChars="18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项利害关系             （供应商代表签名）                         </w:t>
      </w:r>
    </w:p>
    <w:p w14:paraId="6A98DDDC">
      <w:pPr>
        <w:pStyle w:val="289"/>
        <w:shd w:val="clear"/>
        <w:snapToGrid w:val="0"/>
        <w:ind w:firstLine="480" w:firstLineChars="20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年   月   日</w:t>
      </w:r>
    </w:p>
    <w:p w14:paraId="5C2A0D15">
      <w:pPr>
        <w:pStyle w:val="27"/>
        <w:shd w:val="clear"/>
        <w:rPr>
          <w:rFonts w:hint="eastAsia" w:asciiTheme="minorEastAsia" w:hAnsiTheme="minorEastAsia" w:eastAsiaTheme="minorEastAsia" w:cstheme="minorEastAsia"/>
          <w:highlight w:val="none"/>
        </w:rPr>
        <w:sectPr>
          <w:pgSz w:w="11906" w:h="16838"/>
          <w:pgMar w:top="1247" w:right="1417" w:bottom="1474" w:left="1417" w:header="851" w:footer="896" w:gutter="0"/>
          <w:cols w:space="0" w:num="1"/>
          <w:titlePg/>
          <w:rtlGutter w:val="0"/>
          <w:docGrid w:type="lines" w:linePitch="312" w:charSpace="0"/>
        </w:sectPr>
      </w:pPr>
    </w:p>
    <w:p w14:paraId="1627A519">
      <w:pPr>
        <w:shd w:val="clear"/>
        <w:jc w:val="center"/>
        <w:rPr>
          <w:rFonts w:hint="eastAsia" w:asciiTheme="minorEastAsia" w:hAnsiTheme="minorEastAsia" w:eastAsiaTheme="minorEastAsia" w:cstheme="minorEastAsia"/>
          <w:sz w:val="30"/>
          <w:szCs w:val="30"/>
          <w:highlight w:val="none"/>
          <w:lang w:val="zh-CN"/>
        </w:rPr>
      </w:pPr>
      <w:r>
        <w:rPr>
          <w:rFonts w:hint="eastAsia" w:asciiTheme="minorEastAsia" w:hAnsiTheme="minorEastAsia" w:eastAsiaTheme="minorEastAsia" w:cstheme="minorEastAsia"/>
          <w:sz w:val="36"/>
          <w:szCs w:val="36"/>
          <w:highlight w:val="none"/>
        </w:rPr>
        <w:t>采购合同</w:t>
      </w:r>
    </w:p>
    <w:p w14:paraId="1DC2297A">
      <w:pPr>
        <w:pStyle w:val="39"/>
        <w:shd w:val="clear"/>
        <w:snapToGrid w:val="0"/>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（此稿为合同样本，最终定稿待双方协商后定）</w:t>
      </w:r>
    </w:p>
    <w:p w14:paraId="2D7E349D">
      <w:pPr>
        <w:widowControl/>
        <w:shd w:val="clear" w:color="auto"/>
        <w:spacing w:after="150"/>
        <w:ind w:firstLine="48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以下为成交后签</w:t>
      </w:r>
      <w:r>
        <w:rPr>
          <w:rFonts w:hint="eastAsia" w:asciiTheme="minorEastAsia" w:hAnsiTheme="minorEastAsia" w:eastAsiaTheme="minorEastAsia" w:cstheme="minorEastAsia"/>
          <w:sz w:val="21"/>
          <w:szCs w:val="21"/>
          <w:highlight w:val="none"/>
          <w:lang w:val="en-US" w:eastAsia="zh-CN"/>
        </w:rPr>
        <w:t>订</w:t>
      </w:r>
      <w:r>
        <w:rPr>
          <w:rFonts w:hint="eastAsia" w:asciiTheme="minorEastAsia" w:hAnsiTheme="minorEastAsia" w:eastAsiaTheme="minorEastAsia" w:cstheme="minorEastAsia"/>
          <w:sz w:val="21"/>
          <w:szCs w:val="21"/>
          <w:highlight w:val="none"/>
        </w:rPr>
        <w:t>本项目合同的通用条款，成交供应商不得提出实质性的修改，关于专用条款将由采购人与成交供应商结合本项目具体情况协商后签订。</w:t>
      </w:r>
    </w:p>
    <w:p w14:paraId="3617B8FB">
      <w:pPr>
        <w:pStyle w:val="39"/>
        <w:shd w:val="clear"/>
        <w:snapToGrid w:val="0"/>
        <w:spacing w:before="120" w:after="120"/>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项目名称：                              项目编号：</w:t>
      </w:r>
    </w:p>
    <w:p w14:paraId="0F4B89A5">
      <w:pPr>
        <w:pStyle w:val="39"/>
        <w:shd w:val="clear"/>
        <w:snapToGrid w:val="0"/>
        <w:spacing w:before="120" w:after="120"/>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甲方：（采购单位）                      所在地：</w:t>
      </w:r>
    </w:p>
    <w:p w14:paraId="0DF5848B">
      <w:pPr>
        <w:pStyle w:val="39"/>
        <w:shd w:val="clear"/>
        <w:snapToGrid w:val="0"/>
        <w:spacing w:before="120" w:after="120"/>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乙方：（中标供应商）                    所在地：</w:t>
      </w:r>
    </w:p>
    <w:p w14:paraId="02EF6DD8">
      <w:pPr>
        <w:shd w:val="clear"/>
        <w:spacing w:line="360" w:lineRule="auto"/>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为了明确甲、乙双方的权利和义务，履行各自的职责，高效优质地完成本项目。按照《中华人民共和国民法典》的有关规定，经甲乙双方在平等、自愿的基础上协商一致，现签订合同如下。</w:t>
      </w:r>
    </w:p>
    <w:p w14:paraId="09A2A51B">
      <w:pPr>
        <w:widowControl/>
        <w:shd w:val="clear"/>
        <w:snapToGrid w:val="0"/>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一、服务内容及标准</w:t>
      </w:r>
    </w:p>
    <w:p w14:paraId="67E7D1D3">
      <w:pPr>
        <w:shd w:val="clear"/>
        <w:spacing w:line="360" w:lineRule="auto"/>
        <w:ind w:firstLine="48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（按采购需求及投标文件的内容填写）</w:t>
      </w:r>
    </w:p>
    <w:p w14:paraId="22B0D7DA">
      <w:pPr>
        <w:widowControl/>
        <w:shd w:val="clear"/>
        <w:snapToGrid w:val="0"/>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二、合同价款及考核和评价办法：</w:t>
      </w:r>
    </w:p>
    <w:p w14:paraId="6FEA1B61">
      <w:pPr>
        <w:widowControl/>
        <w:shd w:val="clear"/>
        <w:snapToGrid w:val="0"/>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1、合同金额：</w:t>
      </w:r>
    </w:p>
    <w:p w14:paraId="2C5BDF6A">
      <w:pPr>
        <w:shd w:val="clea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合同金额为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人民币元整（¥：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w:t>
      </w:r>
      <w:r>
        <w:rPr>
          <w:rFonts w:hint="eastAsia" w:asciiTheme="minorEastAsia" w:hAnsiTheme="minorEastAsia" w:eastAsiaTheme="minorEastAsia" w:cstheme="minorEastAsia"/>
          <w:sz w:val="21"/>
          <w:szCs w:val="21"/>
          <w:highlight w:val="none"/>
          <w:lang w:val="en-US" w:eastAsia="zh-CN"/>
        </w:rPr>
        <w:t>/年</w:t>
      </w:r>
      <w:r>
        <w:rPr>
          <w:rFonts w:hint="eastAsia" w:asciiTheme="minorEastAsia" w:hAnsiTheme="minorEastAsia" w:eastAsiaTheme="minorEastAsia" w:cstheme="minorEastAsia"/>
          <w:sz w:val="21"/>
          <w:szCs w:val="21"/>
          <w:highlight w:val="none"/>
        </w:rPr>
        <w:t>）</w:t>
      </w:r>
    </w:p>
    <w:tbl>
      <w:tblPr>
        <w:tblStyle w:val="77"/>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298"/>
        <w:gridCol w:w="1243"/>
        <w:gridCol w:w="3022"/>
      </w:tblGrid>
      <w:tr w14:paraId="6A36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754" w:type="dxa"/>
            <w:noWrap w:val="0"/>
            <w:vAlign w:val="center"/>
          </w:tcPr>
          <w:p w14:paraId="79C8052C">
            <w:pPr>
              <w:shd w:val="clea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3298" w:type="dxa"/>
            <w:noWrap w:val="0"/>
            <w:vAlign w:val="center"/>
          </w:tcPr>
          <w:p w14:paraId="742104FC">
            <w:pPr>
              <w:shd w:val="clear"/>
              <w:spacing w:line="36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服务内容</w:t>
            </w:r>
          </w:p>
        </w:tc>
        <w:tc>
          <w:tcPr>
            <w:tcW w:w="1243" w:type="dxa"/>
            <w:noWrap w:val="0"/>
            <w:vAlign w:val="center"/>
          </w:tcPr>
          <w:p w14:paraId="32284BF1">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数量 </w:t>
            </w:r>
          </w:p>
        </w:tc>
        <w:tc>
          <w:tcPr>
            <w:tcW w:w="3022" w:type="dxa"/>
            <w:noWrap w:val="0"/>
            <w:vAlign w:val="center"/>
          </w:tcPr>
          <w:p w14:paraId="2BA2CC7F">
            <w:pPr>
              <w:pStyle w:val="2"/>
              <w:spacing w:line="360" w:lineRule="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单价（元/年/家）</w:t>
            </w:r>
          </w:p>
        </w:tc>
      </w:tr>
      <w:tr w14:paraId="5705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754" w:type="dxa"/>
            <w:noWrap w:val="0"/>
            <w:vAlign w:val="center"/>
          </w:tcPr>
          <w:p w14:paraId="55B8976D">
            <w:p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3298" w:type="dxa"/>
            <w:noWrap w:val="0"/>
            <w:vAlign w:val="center"/>
          </w:tcPr>
          <w:p w14:paraId="1F3EAD75">
            <w:pPr>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服务中心托管</w:t>
            </w:r>
          </w:p>
        </w:tc>
        <w:tc>
          <w:tcPr>
            <w:tcW w:w="1243" w:type="dxa"/>
            <w:noWrap w:val="0"/>
            <w:vAlign w:val="center"/>
          </w:tcPr>
          <w:p w14:paraId="5FB7306E">
            <w:pPr>
              <w:pStyle w:val="692"/>
              <w:keepNext w:val="0"/>
              <w:keepLines w:val="0"/>
              <w:pageBreakBefore w:val="0"/>
              <w:shd w:val="clear"/>
              <w:kinsoku/>
              <w:wordWrap/>
              <w:topLinePunct w:val="0"/>
              <w:bidi w:val="0"/>
              <w:adjustRightInd w:val="0"/>
              <w:snapToGrid w:val="0"/>
              <w:spacing w:before="1" w:line="360" w:lineRule="auto"/>
              <w:ind w:right="106"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p>
        </w:tc>
        <w:tc>
          <w:tcPr>
            <w:tcW w:w="3022" w:type="dxa"/>
            <w:noWrap w:val="0"/>
            <w:vAlign w:val="center"/>
          </w:tcPr>
          <w:p w14:paraId="1D782B83">
            <w:pPr>
              <w:shd w:val="clear"/>
              <w:spacing w:line="360" w:lineRule="auto"/>
              <w:jc w:val="center"/>
              <w:rPr>
                <w:rFonts w:hint="eastAsia" w:asciiTheme="minorEastAsia" w:hAnsiTheme="minorEastAsia" w:eastAsiaTheme="minorEastAsia" w:cstheme="minorEastAsia"/>
                <w:color w:val="auto"/>
                <w:sz w:val="21"/>
                <w:szCs w:val="21"/>
                <w:highlight w:val="none"/>
              </w:rPr>
            </w:pPr>
          </w:p>
        </w:tc>
      </w:tr>
      <w:tr w14:paraId="7379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754" w:type="dxa"/>
            <w:noWrap w:val="0"/>
            <w:vAlign w:val="center"/>
          </w:tcPr>
          <w:p w14:paraId="6343B7B6">
            <w:p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3298" w:type="dxa"/>
            <w:noWrap w:val="0"/>
            <w:vAlign w:val="center"/>
          </w:tcPr>
          <w:p w14:paraId="0873B7BA">
            <w:pPr>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无社会化运营照料中心</w:t>
            </w:r>
          </w:p>
        </w:tc>
        <w:tc>
          <w:tcPr>
            <w:tcW w:w="1243" w:type="dxa"/>
            <w:noWrap w:val="0"/>
            <w:vAlign w:val="center"/>
          </w:tcPr>
          <w:p w14:paraId="0401E98A">
            <w:pPr>
              <w:pStyle w:val="692"/>
              <w:keepNext w:val="0"/>
              <w:keepLines w:val="0"/>
              <w:pageBreakBefore w:val="0"/>
              <w:shd w:val="clear"/>
              <w:kinsoku/>
              <w:wordWrap/>
              <w:topLinePunct w:val="0"/>
              <w:bidi w:val="0"/>
              <w:adjustRightInd w:val="0"/>
              <w:snapToGrid w:val="0"/>
              <w:spacing w:before="1" w:line="360" w:lineRule="auto"/>
              <w:ind w:right="106"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p>
        </w:tc>
        <w:tc>
          <w:tcPr>
            <w:tcW w:w="3022" w:type="dxa"/>
            <w:noWrap w:val="0"/>
            <w:vAlign w:val="center"/>
          </w:tcPr>
          <w:p w14:paraId="2C7D7A97">
            <w:pPr>
              <w:shd w:val="clear"/>
              <w:spacing w:line="360" w:lineRule="auto"/>
              <w:jc w:val="center"/>
              <w:rPr>
                <w:rFonts w:hint="eastAsia" w:asciiTheme="minorEastAsia" w:hAnsiTheme="minorEastAsia" w:eastAsiaTheme="minorEastAsia" w:cstheme="minorEastAsia"/>
                <w:color w:val="auto"/>
                <w:sz w:val="21"/>
                <w:szCs w:val="21"/>
                <w:highlight w:val="none"/>
              </w:rPr>
            </w:pPr>
          </w:p>
        </w:tc>
      </w:tr>
      <w:tr w14:paraId="1B13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754" w:type="dxa"/>
            <w:noWrap w:val="0"/>
            <w:vAlign w:val="center"/>
          </w:tcPr>
          <w:p w14:paraId="592EC00B">
            <w:p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3298" w:type="dxa"/>
            <w:noWrap w:val="0"/>
            <w:vAlign w:val="center"/>
          </w:tcPr>
          <w:p w14:paraId="0F6DF2CE">
            <w:pPr>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sz w:val="21"/>
                <w:szCs w:val="21"/>
                <w:highlight w:val="none"/>
              </w:rPr>
              <w:t>居家养老</w:t>
            </w:r>
            <w:r>
              <w:rPr>
                <w:rFonts w:hint="eastAsia" w:asciiTheme="minorEastAsia" w:hAnsiTheme="minorEastAsia" w:eastAsiaTheme="minorEastAsia" w:cstheme="minorEastAsia"/>
                <w:color w:val="000000"/>
                <w:sz w:val="21"/>
                <w:szCs w:val="21"/>
                <w:highlight w:val="none"/>
                <w:lang w:val="en-US" w:eastAsia="zh-CN"/>
              </w:rPr>
              <w:t>服务</w:t>
            </w:r>
            <w:r>
              <w:rPr>
                <w:rFonts w:hint="eastAsia" w:asciiTheme="minorEastAsia" w:hAnsiTheme="minorEastAsia" w:eastAsiaTheme="minorEastAsia" w:cstheme="minorEastAsia"/>
                <w:color w:val="000000"/>
                <w:sz w:val="21"/>
                <w:szCs w:val="21"/>
                <w:highlight w:val="none"/>
              </w:rPr>
              <w:t>照料中心托管运营</w:t>
            </w:r>
          </w:p>
        </w:tc>
        <w:tc>
          <w:tcPr>
            <w:tcW w:w="1243" w:type="dxa"/>
            <w:noWrap w:val="0"/>
            <w:vAlign w:val="center"/>
          </w:tcPr>
          <w:p w14:paraId="5C89BA76">
            <w:pPr>
              <w:pStyle w:val="692"/>
              <w:keepNext w:val="0"/>
              <w:keepLines w:val="0"/>
              <w:pageBreakBefore w:val="0"/>
              <w:shd w:val="clear"/>
              <w:kinsoku/>
              <w:wordWrap/>
              <w:topLinePunct w:val="0"/>
              <w:bidi w:val="0"/>
              <w:adjustRightInd w:val="0"/>
              <w:snapToGrid w:val="0"/>
              <w:spacing w:before="1" w:line="360" w:lineRule="auto"/>
              <w:ind w:right="106"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15</w:t>
            </w:r>
            <w:bookmarkStart w:id="25" w:name="_GoBack"/>
            <w:bookmarkEnd w:id="25"/>
          </w:p>
        </w:tc>
        <w:tc>
          <w:tcPr>
            <w:tcW w:w="3022" w:type="dxa"/>
            <w:noWrap w:val="0"/>
            <w:vAlign w:val="center"/>
          </w:tcPr>
          <w:p w14:paraId="0550EECB">
            <w:pPr>
              <w:shd w:val="clear"/>
              <w:spacing w:line="360" w:lineRule="auto"/>
              <w:jc w:val="center"/>
              <w:rPr>
                <w:rFonts w:hint="eastAsia" w:asciiTheme="minorEastAsia" w:hAnsiTheme="minorEastAsia" w:eastAsiaTheme="minorEastAsia" w:cstheme="minorEastAsia"/>
                <w:color w:val="auto"/>
                <w:sz w:val="21"/>
                <w:szCs w:val="21"/>
                <w:highlight w:val="none"/>
              </w:rPr>
            </w:pPr>
          </w:p>
        </w:tc>
      </w:tr>
    </w:tbl>
    <w:p w14:paraId="12A9F86A">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highlight w:val="none"/>
          <w:lang w:val="en-US" w:eastAsia="zh-CN"/>
        </w:rPr>
        <w:t>合同费</w:t>
      </w:r>
      <w:r>
        <w:rPr>
          <w:rFonts w:hint="eastAsia" w:asciiTheme="minorEastAsia" w:hAnsiTheme="minorEastAsia" w:eastAsiaTheme="minorEastAsia" w:cstheme="minorEastAsia"/>
          <w:sz w:val="21"/>
          <w:szCs w:val="21"/>
          <w:highlight w:val="none"/>
        </w:rPr>
        <w:t>包括</w:t>
      </w:r>
      <w:r>
        <w:rPr>
          <w:rFonts w:hint="eastAsia" w:asciiTheme="minorEastAsia" w:hAnsiTheme="minorEastAsia" w:eastAsiaTheme="minorEastAsia" w:cstheme="minorEastAsia"/>
          <w:sz w:val="21"/>
          <w:szCs w:val="21"/>
          <w:highlight w:val="none"/>
          <w:lang w:val="en-US" w:eastAsia="zh-CN"/>
        </w:rPr>
        <w:t>但不限于</w:t>
      </w:r>
      <w:r>
        <w:rPr>
          <w:rFonts w:hint="eastAsia" w:asciiTheme="minorEastAsia" w:hAnsiTheme="minorEastAsia" w:eastAsiaTheme="minorEastAsia" w:cstheme="minorEastAsia"/>
          <w:color w:val="auto"/>
          <w:sz w:val="21"/>
          <w:szCs w:val="21"/>
          <w:highlight w:val="none"/>
        </w:rPr>
        <w:t>提供服务所需</w:t>
      </w:r>
      <w:r>
        <w:rPr>
          <w:rFonts w:hint="eastAsia" w:asciiTheme="minorEastAsia" w:hAnsiTheme="minorEastAsia" w:eastAsiaTheme="minorEastAsia" w:cstheme="minorEastAsia"/>
          <w:color w:val="auto"/>
          <w:sz w:val="21"/>
          <w:szCs w:val="21"/>
          <w:highlight w:val="none"/>
          <w:lang w:val="en-US" w:eastAsia="zh-CN"/>
        </w:rPr>
        <w:t>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办公、通信、劳保、利润、税金、培训、奖罚措施、保险（包括医疗、工伤、养老等社会保险、人身意外保险及公众责任险）、政策性收费及合同包含的所有风险、责任、不可预见等政策性文件规定及合同包含的所有风险、责任等所有费用，投标人应列入而未列入其中的费用，均视为已包含在内，风险由投标人承担。</w:t>
      </w:r>
    </w:p>
    <w:p w14:paraId="4A753584">
      <w:pPr>
        <w:widowControl/>
        <w:shd w:val="clear"/>
        <w:snapToGrid w:val="0"/>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2、考核及评价办法 ：</w:t>
      </w:r>
    </w:p>
    <w:p w14:paraId="49A38CBB">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本项目专职管理人员须固定，名单须上报甲方；如中途确需更换人员的，须及时上报甲方。项目实施三个月后，由甲方核查其劳动合同及工资流水或其他专职证明材料，如与其他居家养老服务中心专职管理人员兼任的，罚款 2000元，在应付款项中扣除。 </w:t>
      </w:r>
    </w:p>
    <w:p w14:paraId="33AC5805">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（2）在托管运营过程中，由甲方对乙方进行不定期的抽查，如发现不符合服务要求的，每发现一次罚款 500 元，如未及时整改的，则再每次罚款 500 元；以上罚款在应付款项中扣除。 </w:t>
      </w:r>
    </w:p>
    <w:p w14:paraId="70387B36">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（3）在委托运营过程中，甲方有权适时对乙方的服务质量进行满意度综合评测（详见附件路桥区镇(街道)托管运营服务检查表（第 x季度），甲方有权根据项目实际实施情况调整检查表，乙方不得拒绝）。如满意度低于 60%的，视为服务不合格，甲方有权终止合同，并没收履约保证金，乙方须返还预付款（如有结余）至甲方指定账户，不视为甲方违约。 </w:t>
      </w:r>
    </w:p>
    <w:p w14:paraId="7995541A">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（4）在运营期满时，由甲方对乙方的服务质量进行满意度综合评测（详见附件路桥区镇(街道)托管运营服务检查表（第 x季度），甲方有权根据项目实际实施情况调整检查表，乙方不得拒绝），并以此作为付款依据之一。 </w:t>
      </w:r>
    </w:p>
    <w:p w14:paraId="0CDB336E">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（5）甲方对乙方进行年底满意度综合评测（详见附件路桥区镇(街道)托管运营服务检查表（第 x季度），甲方有权根据项目实际实施情况调整检查表，乙方不得拒绝）： </w:t>
      </w:r>
    </w:p>
    <w:p w14:paraId="41688388">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满意度在 90%及以上的为满意，支付剩余结算款项的 100%。 </w:t>
      </w:r>
    </w:p>
    <w:p w14:paraId="376FE65A">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满意度在 80%及以上 90%以下的为合格，支付剩余结算款项的 90%。 </w:t>
      </w:r>
    </w:p>
    <w:p w14:paraId="19AA2C19">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满意度在 60%及以上 80%以下的为基本合格，支付剩余结算款项的 70%。 </w:t>
      </w:r>
    </w:p>
    <w:p w14:paraId="7608DE71">
      <w:pPr>
        <w:keepNext w:val="0"/>
        <w:keepLines w:val="0"/>
        <w:widowControl/>
        <w:suppressLineNumbers w:val="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bidi="ar"/>
        </w:rPr>
        <w:t xml:space="preserve">满意度低于 60%的为不合格，支付剩余结算款项的 50%。 </w:t>
      </w:r>
    </w:p>
    <w:p w14:paraId="4F7DA297">
      <w:pPr>
        <w:shd w:val="clear"/>
        <w:spacing w:line="360" w:lineRule="auto"/>
        <w:rPr>
          <w:rFonts w:hint="eastAsia" w:asciiTheme="minorEastAsia" w:hAnsiTheme="minorEastAsia" w:eastAsiaTheme="minorEastAsia" w:cstheme="minorEastAsia"/>
          <w:b/>
          <w:bCs/>
          <w:kern w:val="21"/>
          <w:sz w:val="21"/>
          <w:szCs w:val="21"/>
          <w:highlight w:val="none"/>
        </w:rPr>
      </w:pPr>
      <w:r>
        <w:rPr>
          <w:rFonts w:hint="eastAsia" w:asciiTheme="minorEastAsia" w:hAnsiTheme="minorEastAsia" w:eastAsiaTheme="minorEastAsia" w:cstheme="minorEastAsia"/>
          <w:b/>
          <w:bCs/>
          <w:kern w:val="21"/>
          <w:sz w:val="21"/>
          <w:szCs w:val="21"/>
          <w:highlight w:val="none"/>
          <w:lang w:val="en-US" w:eastAsia="zh-CN"/>
        </w:rPr>
        <w:t>三</w:t>
      </w:r>
      <w:r>
        <w:rPr>
          <w:rFonts w:hint="eastAsia" w:asciiTheme="minorEastAsia" w:hAnsiTheme="minorEastAsia" w:eastAsiaTheme="minorEastAsia" w:cstheme="minorEastAsia"/>
          <w:b/>
          <w:bCs/>
          <w:kern w:val="21"/>
          <w:sz w:val="21"/>
          <w:szCs w:val="21"/>
          <w:highlight w:val="none"/>
        </w:rPr>
        <w:t>、付款方式：</w:t>
      </w:r>
    </w:p>
    <w:p w14:paraId="5108480B">
      <w:pPr>
        <w:shd w:val="clear"/>
        <w:adjustRightInd w:val="0"/>
        <w:spacing w:line="360" w:lineRule="auto"/>
        <w:ind w:firstLine="420" w:firstLineChars="200"/>
        <w:rPr>
          <w:rFonts w:hint="eastAsia" w:asciiTheme="minorEastAsia" w:hAnsiTheme="minorEastAsia" w:eastAsiaTheme="minorEastAsia" w:cstheme="minorEastAsia"/>
          <w:b/>
          <w:bCs/>
          <w:kern w:val="21"/>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按实际运营的家数和实际运营的月份数结算。在合同生效以及具备实施条件后 7 个工作日内支付合同金额的 40%作为预付款，支付预付款前，乙方需提供等额的预付款保函，预付款担保的主要形式为金融机构独立保函、保险公司保单、担保公司保函；预付款担保期限自预付款支付给中标方起生效，至项目服务期结束为止。托管运营6个月后支付合同金额的10%；剩余部分，在年底根据日常检查结果和年底满意度测评结果支付。</w:t>
      </w:r>
    </w:p>
    <w:p w14:paraId="3D47CD62">
      <w:pPr>
        <w:shd w:val="clear"/>
        <w:spacing w:line="360" w:lineRule="auto"/>
        <w:rPr>
          <w:rFonts w:hint="eastAsia" w:asciiTheme="minorEastAsia" w:hAnsiTheme="minorEastAsia" w:eastAsiaTheme="minorEastAsia" w:cstheme="minorEastAsia"/>
          <w:b/>
          <w:bCs/>
          <w:kern w:val="21"/>
          <w:sz w:val="21"/>
          <w:szCs w:val="21"/>
          <w:highlight w:val="none"/>
          <w:lang w:val="zh-CN" w:eastAsia="zh-CN"/>
        </w:rPr>
      </w:pPr>
      <w:r>
        <w:rPr>
          <w:rFonts w:hint="eastAsia" w:asciiTheme="minorEastAsia" w:hAnsiTheme="minorEastAsia" w:eastAsiaTheme="minorEastAsia" w:cstheme="minorEastAsia"/>
          <w:b/>
          <w:bCs/>
          <w:kern w:val="21"/>
          <w:sz w:val="21"/>
          <w:szCs w:val="21"/>
          <w:highlight w:val="none"/>
          <w:lang w:val="en-US" w:eastAsia="zh-CN"/>
        </w:rPr>
        <w:t>四、</w:t>
      </w:r>
      <w:r>
        <w:rPr>
          <w:rFonts w:hint="eastAsia" w:asciiTheme="minorEastAsia" w:hAnsiTheme="minorEastAsia" w:eastAsiaTheme="minorEastAsia" w:cstheme="minorEastAsia"/>
          <w:b/>
          <w:bCs/>
          <w:kern w:val="21"/>
          <w:sz w:val="21"/>
          <w:szCs w:val="21"/>
          <w:highlight w:val="none"/>
          <w:lang w:val="zh-CN" w:eastAsia="zh-CN"/>
        </w:rPr>
        <w:t>税费</w:t>
      </w:r>
    </w:p>
    <w:p w14:paraId="5C2E0610">
      <w:pPr>
        <w:shd w:val="clear"/>
        <w:adjustRightInd w:val="0"/>
        <w:spacing w:line="360" w:lineRule="auto"/>
        <w:ind w:firstLine="420" w:firstLineChars="200"/>
        <w:rPr>
          <w:rFonts w:hint="eastAsia" w:asciiTheme="minorEastAsia" w:hAnsiTheme="minorEastAsia" w:eastAsiaTheme="minorEastAsia" w:cstheme="minorEastAsia"/>
          <w:bCs/>
          <w:sz w:val="21"/>
          <w:szCs w:val="21"/>
          <w:highlight w:val="none"/>
          <w:lang w:val="zh-CN"/>
        </w:rPr>
      </w:pPr>
      <w:r>
        <w:rPr>
          <w:rFonts w:hint="eastAsia" w:asciiTheme="minorEastAsia" w:hAnsiTheme="minorEastAsia" w:eastAsiaTheme="minorEastAsia" w:cstheme="minorEastAsia"/>
          <w:bCs/>
          <w:sz w:val="21"/>
          <w:szCs w:val="21"/>
          <w:highlight w:val="none"/>
          <w:lang w:val="zh-CN"/>
        </w:rPr>
        <w:t>本合同执行中相关的一切税费均由乙方负担。</w:t>
      </w:r>
    </w:p>
    <w:p w14:paraId="7255BAAF">
      <w:pPr>
        <w:shd w:val="clear"/>
        <w:tabs>
          <w:tab w:val="left" w:pos="567"/>
        </w:tabs>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五</w:t>
      </w:r>
      <w:r>
        <w:rPr>
          <w:rFonts w:hint="eastAsia" w:asciiTheme="minorEastAsia" w:hAnsiTheme="minorEastAsia" w:eastAsiaTheme="minorEastAsia" w:cstheme="minorEastAsia"/>
          <w:b/>
          <w:sz w:val="21"/>
          <w:szCs w:val="21"/>
          <w:highlight w:val="none"/>
        </w:rPr>
        <w:t>、履约保证金：</w:t>
      </w:r>
    </w:p>
    <w:p w14:paraId="37EC1E77">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金额：签约合同价的1%。</w:t>
      </w:r>
    </w:p>
    <w:p w14:paraId="108A9F62">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收取方式：网银、汇票、电汇、转账支付等非现金方式或银行、保险公司出具的保函形式；</w:t>
      </w:r>
    </w:p>
    <w:p w14:paraId="5CFD2680">
      <w:pPr>
        <w:shd w:val="clear"/>
        <w:tabs>
          <w:tab w:val="left" w:pos="426"/>
        </w:tabs>
        <w:spacing w:line="360" w:lineRule="auto"/>
        <w:ind w:firstLine="420" w:firstLineChars="200"/>
        <w:rPr>
          <w:rFonts w:hint="eastAsia" w:asciiTheme="minorEastAsia" w:hAnsiTheme="minorEastAsia" w:eastAsiaTheme="minorEastAsia" w:cstheme="minorEastAsia"/>
          <w:color w:val="0D0D0D"/>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履约保证金的退还</w:t>
      </w:r>
      <w:r>
        <w:rPr>
          <w:rFonts w:hint="eastAsia" w:asciiTheme="minorEastAsia" w:hAnsiTheme="minorEastAsia" w:eastAsiaTheme="minorEastAsia" w:cstheme="minorEastAsia"/>
          <w:color w:val="0D0D0D"/>
          <w:sz w:val="21"/>
          <w:szCs w:val="21"/>
          <w:highlight w:val="none"/>
        </w:rPr>
        <w:t>：在合同履约到期且无异议情况下30日内无息退还。</w:t>
      </w:r>
    </w:p>
    <w:p w14:paraId="58469DD5">
      <w:pPr>
        <w:shd w:val="clear"/>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六</w:t>
      </w:r>
      <w:r>
        <w:rPr>
          <w:rFonts w:hint="eastAsia" w:asciiTheme="minorEastAsia" w:hAnsiTheme="minorEastAsia" w:eastAsiaTheme="minorEastAsia" w:cstheme="minorEastAsia"/>
          <w:b/>
          <w:sz w:val="21"/>
          <w:szCs w:val="21"/>
          <w:highlight w:val="none"/>
        </w:rPr>
        <w:t>、技术资料：</w:t>
      </w:r>
    </w:p>
    <w:p w14:paraId="1BE4EB3C">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乙方应按招标文件规定的时间向甲方提供有关技术资料。</w:t>
      </w:r>
    </w:p>
    <w:p w14:paraId="00CAF2F5">
      <w:pPr>
        <w:shd w:val="clear"/>
        <w:tabs>
          <w:tab w:val="left" w:pos="426"/>
        </w:tabs>
        <w:spacing w:line="360" w:lineRule="auto"/>
        <w:ind w:firstLine="420"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没有甲方事先书面同意，乙方不得将由甲方提供的有关合同或任何合同条文、规格、计划或资料提供</w:t>
      </w:r>
      <w:r>
        <w:rPr>
          <w:rFonts w:hint="eastAsia" w:asciiTheme="minorEastAsia" w:hAnsiTheme="minorEastAsia" w:eastAsiaTheme="minorEastAsia" w:cstheme="minorEastAsia"/>
          <w:sz w:val="21"/>
          <w:szCs w:val="21"/>
          <w:highlight w:val="none"/>
          <w:lang w:eastAsia="zh-CN"/>
        </w:rPr>
        <w:t>给予</w:t>
      </w:r>
      <w:r>
        <w:rPr>
          <w:rFonts w:hint="eastAsia" w:asciiTheme="minorEastAsia" w:hAnsiTheme="minorEastAsia" w:eastAsiaTheme="minorEastAsia" w:cstheme="minorEastAsia"/>
          <w:sz w:val="21"/>
          <w:szCs w:val="21"/>
          <w:highlight w:val="none"/>
        </w:rPr>
        <w:t>履行本合同无关的任何其他人。即使向履行本合同有关的人员提供，也应注意保密并限于履行合同的必需范围。</w:t>
      </w:r>
    </w:p>
    <w:p w14:paraId="3C2CAAC0">
      <w:pPr>
        <w:pStyle w:val="39"/>
        <w:shd w:val="clear"/>
        <w:snapToGrid w:val="0"/>
        <w:spacing w:before="120" w:after="12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七</w:t>
      </w:r>
      <w:r>
        <w:rPr>
          <w:rFonts w:hint="eastAsia" w:asciiTheme="minorEastAsia" w:hAnsiTheme="minorEastAsia" w:eastAsiaTheme="minorEastAsia" w:cstheme="minorEastAsia"/>
          <w:b/>
          <w:sz w:val="21"/>
          <w:szCs w:val="21"/>
          <w:highlight w:val="none"/>
        </w:rPr>
        <w:t>、</w:t>
      </w:r>
      <w:r>
        <w:rPr>
          <w:rFonts w:hint="eastAsia" w:asciiTheme="minorEastAsia" w:hAnsiTheme="minorEastAsia" w:eastAsiaTheme="minorEastAsia" w:cstheme="minorEastAsia"/>
          <w:b/>
          <w:bCs/>
          <w:sz w:val="21"/>
          <w:szCs w:val="21"/>
          <w:highlight w:val="none"/>
        </w:rPr>
        <w:t>资料的保密和知识产权</w:t>
      </w:r>
    </w:p>
    <w:p w14:paraId="753872B4">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lang w:val="zh-CN"/>
        </w:rPr>
        <w:t>乙方应按采购文件规定的时间向甲方提供有关技术资料。</w:t>
      </w:r>
    </w:p>
    <w:p w14:paraId="17E43F3A">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lang w:val="zh-CN"/>
        </w:rPr>
        <w:t>没有甲方事先书面同意，乙方不得将由甲方提供的有关合同或任何合同条文、规格、计划、图纸、样品或资料提供给</w:t>
      </w:r>
      <w:r>
        <w:rPr>
          <w:rFonts w:hint="eastAsia" w:asciiTheme="minorEastAsia" w:hAnsiTheme="minorEastAsia" w:eastAsiaTheme="minorEastAsia" w:cstheme="minorEastAsia"/>
          <w:sz w:val="21"/>
          <w:szCs w:val="21"/>
          <w:highlight w:val="none"/>
          <w:lang w:val="en-US" w:eastAsia="zh-CN"/>
        </w:rPr>
        <w:t>予</w:t>
      </w:r>
      <w:r>
        <w:rPr>
          <w:rFonts w:hint="eastAsia" w:asciiTheme="minorEastAsia" w:hAnsiTheme="minorEastAsia" w:eastAsiaTheme="minorEastAsia" w:cstheme="minorEastAsia"/>
          <w:sz w:val="21"/>
          <w:szCs w:val="21"/>
          <w:highlight w:val="none"/>
          <w:lang w:val="zh-CN"/>
        </w:rPr>
        <w:t>履行本合同无关的任何其他人。即使向履行本合同有关的人员提供，也应注意保密并限于履行合同的必需范围。</w:t>
      </w:r>
    </w:p>
    <w:p w14:paraId="4C0CB8F0">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color w:val="000000"/>
          <w:kern w:val="0"/>
          <w:sz w:val="21"/>
          <w:szCs w:val="21"/>
          <w:highlight w:val="none"/>
          <w:lang w:val="en-US" w:eastAsia="zh-CN" w:bidi="ar"/>
        </w:rPr>
        <w:t xml:space="preserve">八、其他要求 </w:t>
      </w:r>
    </w:p>
    <w:p w14:paraId="08FD3C1F">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en-US" w:eastAsia="zh-CN"/>
        </w:rPr>
        <w:t xml:space="preserve">1、若遇突击检查等特殊情况，乙方须无条件配合甲方完成相应工作。 </w:t>
      </w:r>
    </w:p>
    <w:p w14:paraId="12AC819C">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en-US" w:eastAsia="zh-CN"/>
        </w:rPr>
        <w:t xml:space="preserve">2、责任界定 </w:t>
      </w:r>
    </w:p>
    <w:p w14:paraId="6CAE7C67">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en-US" w:eastAsia="zh-CN"/>
        </w:rPr>
        <w:t>（1）乙方须按国家有关规定为工作人员购买工伤保险、社会保险及人身意外伤害保险等与居家养老服务（照料）中心托管运营有关的一切保险。要求工伤保险应保尽保，人身意外伤害险全覆盖，纳入考核。因未办理作业人员保险引起的纠纷投诉等，由投标人自行承担，与甲方无关。</w:t>
      </w:r>
    </w:p>
    <w:p w14:paraId="59460429">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en-US" w:eastAsia="zh-CN"/>
        </w:rPr>
        <w:t xml:space="preserve">（2）乙方须按有关规定采取严格的工作安全措施，承担由于自身安全措施不力造成的事故责任和因此发生的费用及后果。运维管理过程产生的所有安全事故（含意外风险事故）以及因事故引发的一切法律和经济责任均由乙方承担，与甲方无关，甲方有权没收其履约保证金并无条件终止合同，并要求依法补偿造成的经济损失。 </w:t>
      </w:r>
    </w:p>
    <w:p w14:paraId="70F410D1">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en-US" w:eastAsia="zh-CN"/>
        </w:rPr>
        <w:t xml:space="preserve">（3）乙方应严格执行各项国家地方有关法律法规规定，实施严格的各类作业安全防护保证措施，做好安全工作。乙方因经营管理失职造成人身损害事故及其他安全事故，一切法律和经济责任均由乙方承担，与甲方无关，甲方有权没收其履约保证金并无条件终止合同，并要求依法补偿造成的经济损失。 </w:t>
      </w:r>
    </w:p>
    <w:p w14:paraId="4623C0B8">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en-US" w:eastAsia="zh-CN"/>
        </w:rPr>
        <w:t xml:space="preserve">（4）因乙方的劳动用工、提供服务或其服务领域发生因人身财产损害等所引发的一切纠纷和法律责任均由乙方承担，与甲方无关，保证不对甲方造成任何负面影响。 </w:t>
      </w:r>
    </w:p>
    <w:p w14:paraId="46C41219">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en-US" w:eastAsia="zh-CN"/>
        </w:rPr>
        <w:t xml:space="preserve">（5）服务期内，乙方应保证服务责任区域内的设施、设备良好的运营状况和环境状况，并接受甲方或其授权人员的检查，对由乙方养护不当、操作失误等引起或造成设施、设备的损坏，由乙方全额赔偿。 </w:t>
      </w:r>
    </w:p>
    <w:p w14:paraId="7E9B2313">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en-US" w:eastAsia="zh-CN"/>
        </w:rPr>
        <w:t xml:space="preserve">（6）服务期内，如乙方因管理不善或其他原因无法提供居家养老服务（照料）中心托管运营服务，必须提前 1 个月向甲方提交书面情况说明，征得甲方同意后方可解除合同，否则甲方有权没收其履约保证金并无条件终止合同，并要求依法补偿造成的经济损失。 </w:t>
      </w:r>
    </w:p>
    <w:p w14:paraId="6EA96738">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en-US" w:eastAsia="zh-CN"/>
        </w:rPr>
        <w:t xml:space="preserve">3、乙方服务达不到采购文件要求或投标时各项服务承诺，甲方有权要求其整改，拒不整改的，甲方有权没收其履约保证金并无条件终止合同，并要求依法补偿造成的经济损失。 </w:t>
      </w:r>
    </w:p>
    <w:p w14:paraId="37F3C15D">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en-US" w:eastAsia="zh-CN"/>
        </w:rPr>
        <w:t xml:space="preserve">4、合同结束后，乙方须按甲方要求交还原有设备。由乙方养护不当、操作失误等引起或造成设施、设备的损坏，由乙方全额赔偿。 </w:t>
      </w:r>
    </w:p>
    <w:p w14:paraId="0585695D">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en-US" w:eastAsia="zh-CN"/>
        </w:rPr>
        <w:t>5、服务期内，如乙方所派人员不能满足实际正常运行需要的，乙方须根据实际需要增派人员，相关费用在投标报价时综合考虑，甲方不再另行支付</w:t>
      </w:r>
    </w:p>
    <w:p w14:paraId="67F66DB2">
      <w:pPr>
        <w:shd w:val="clear"/>
        <w:spacing w:line="360" w:lineRule="auto"/>
        <w:rPr>
          <w:rFonts w:hint="eastAsia" w:asciiTheme="minorEastAsia" w:hAnsiTheme="minorEastAsia" w:eastAsiaTheme="minorEastAsia" w:cstheme="minorEastAsia"/>
          <w:color w:val="0D0D0D"/>
          <w:sz w:val="21"/>
          <w:szCs w:val="21"/>
          <w:highlight w:val="none"/>
          <w:lang w:val="zh-CN"/>
        </w:rPr>
      </w:pPr>
      <w:r>
        <w:rPr>
          <w:rFonts w:hint="eastAsia" w:asciiTheme="minorEastAsia" w:hAnsiTheme="minorEastAsia" w:eastAsiaTheme="minorEastAsia" w:cstheme="minorEastAsia"/>
          <w:b/>
          <w:bCs/>
          <w:sz w:val="21"/>
          <w:szCs w:val="21"/>
          <w:highlight w:val="none"/>
          <w:lang w:val="en-US" w:eastAsia="zh-CN"/>
        </w:rPr>
        <w:t>九</w:t>
      </w:r>
      <w:r>
        <w:rPr>
          <w:rFonts w:hint="eastAsia" w:asciiTheme="minorEastAsia" w:hAnsiTheme="minorEastAsia" w:eastAsiaTheme="minorEastAsia" w:cstheme="minorEastAsia"/>
          <w:b/>
          <w:bCs/>
          <w:sz w:val="21"/>
          <w:szCs w:val="21"/>
          <w:highlight w:val="none"/>
        </w:rPr>
        <w:t>、违约责任：</w:t>
      </w:r>
    </w:p>
    <w:p w14:paraId="43FCCEC0">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zh-CN"/>
        </w:rPr>
        <w:t>本合同范围的服务，应由乙方直接供应，不得转让他人供应，否则，甲方有权解除合同，并追究乙方的违约责任。</w:t>
      </w:r>
    </w:p>
    <w:p w14:paraId="229B6D7A">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zh-CN"/>
        </w:rPr>
        <w:t>乙方提供的服务成果质量没有达到甲方要求的，乙方应负责免费提供后续服务。对达不到要求者，根据实际情况，甲方有权按以下办法处理：</w:t>
      </w:r>
    </w:p>
    <w:p w14:paraId="304B8FCE">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[1]重做：由乙方承担所发生的全部费用；</w:t>
      </w:r>
    </w:p>
    <w:p w14:paraId="1D5EAEFE">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[2]解除合同；</w:t>
      </w:r>
    </w:p>
    <w:p w14:paraId="5765DB13">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[3]协商解决。</w:t>
      </w:r>
    </w:p>
    <w:p w14:paraId="46D0C086">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zh-CN"/>
        </w:rPr>
        <w:t>乙方连续三次没有达到服务质量要求，甲方有权终止服务合同。</w:t>
      </w:r>
    </w:p>
    <w:p w14:paraId="63AC0B6D">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zh-CN"/>
        </w:rPr>
        <w:t>合同生效后，乙方要求终止或解除合同，乙方应双倍返还甲方已支付的定金。</w:t>
      </w:r>
    </w:p>
    <w:p w14:paraId="4AEECCDA">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zh-CN"/>
        </w:rPr>
        <w:t xml:space="preserve"> 甲乙双方在履行本合同过程中，如一方书面通知另一方要求履行本合同，另一方未按通知要求履行，视为违约。</w:t>
      </w:r>
    </w:p>
    <w:p w14:paraId="2CF32DA0">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lang w:val="zh-CN"/>
        </w:rPr>
        <w:t xml:space="preserve"> 乙方未能如期提供相关数据资料的，每日扣除伍仟元作为违约金（从当期合同款中扣除）；乙方超过约定日期10个工作日仍不能提供的，甲方有权单方解除本合同。乙方因未能如期提供或因其他违约行为导致甲方解除合同的，如造成甲方损失超过违约金的，超出部分由乙方继续承担赔偿责任。</w:t>
      </w:r>
    </w:p>
    <w:p w14:paraId="1192E077">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lang w:val="zh-CN"/>
        </w:rPr>
        <w:t>乙方擅自更换项目负责人的违约责任：项目负责人因生病住院、终止劳动合同关系（提供相关部门或单位证明材料）、被责令停止执业、羁押或判刑情形，无法继续担任项目负责人，乙方向甲方提出申请，甲方应同意更换，更换到位的项目负责人资质不低于原项目负责人；除上述情形外项目负责人不允许更换。如承包人擅自更换，按每更换一人次扣除伍仟元作为违约金（从当期合同款中扣除）；未更换回原项目负责人，按每日伍佰元支付违约金；擅自更换二人次以上，甲方有权单方解除合同，并按乙方违约导致解除合同处理。</w:t>
      </w:r>
    </w:p>
    <w:p w14:paraId="0EA4CB58">
      <w:pPr>
        <w:shd w:val="clear"/>
        <w:spacing w:line="360" w:lineRule="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sz w:val="21"/>
          <w:szCs w:val="21"/>
          <w:highlight w:val="none"/>
        </w:rPr>
        <w:t>十、</w:t>
      </w:r>
      <w:r>
        <w:rPr>
          <w:rFonts w:hint="eastAsia" w:asciiTheme="minorEastAsia" w:hAnsiTheme="minorEastAsia" w:eastAsiaTheme="minorEastAsia" w:cstheme="minorEastAsia"/>
          <w:b/>
          <w:bCs/>
          <w:sz w:val="21"/>
          <w:szCs w:val="21"/>
          <w:highlight w:val="none"/>
        </w:rPr>
        <w:t>转让和分包：</w:t>
      </w:r>
    </w:p>
    <w:p w14:paraId="39993ECD">
      <w:pPr>
        <w:shd w:val="clea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本项目允许分包，经</w:t>
      </w:r>
      <w:r>
        <w:rPr>
          <w:rFonts w:hint="eastAsia" w:asciiTheme="minorEastAsia" w:hAnsiTheme="minorEastAsia" w:eastAsiaTheme="minorEastAsia" w:cstheme="minorEastAsia"/>
          <w:sz w:val="21"/>
          <w:szCs w:val="21"/>
          <w:highlight w:val="none"/>
        </w:rPr>
        <w:t>甲方事先书面同意。</w:t>
      </w:r>
    </w:p>
    <w:p w14:paraId="16567C94">
      <w:pPr>
        <w:shd w:val="clear"/>
        <w:spacing w:line="360" w:lineRule="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w:t>
      </w:r>
      <w:r>
        <w:rPr>
          <w:rFonts w:hint="eastAsia" w:asciiTheme="minorEastAsia" w:hAnsiTheme="minorEastAsia" w:eastAsiaTheme="minorEastAsia" w:cstheme="minorEastAsia"/>
          <w:b/>
          <w:bCs/>
          <w:sz w:val="21"/>
          <w:szCs w:val="21"/>
          <w:highlight w:val="none"/>
          <w:lang w:val="en-US" w:eastAsia="zh-CN"/>
        </w:rPr>
        <w:t>一</w:t>
      </w:r>
      <w:r>
        <w:rPr>
          <w:rFonts w:hint="eastAsia" w:asciiTheme="minorEastAsia" w:hAnsiTheme="minorEastAsia" w:eastAsiaTheme="minorEastAsia" w:cstheme="minorEastAsia"/>
          <w:b/>
          <w:bCs/>
          <w:sz w:val="21"/>
          <w:szCs w:val="21"/>
          <w:highlight w:val="none"/>
        </w:rPr>
        <w:t>、不可抗力事件处理：</w:t>
      </w:r>
    </w:p>
    <w:p w14:paraId="7488AFE0">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在合同有效期内，任何一方因不可抗力事件导致不能履行合同，则合同履行期可延长，其延长期与不可抗力影响期相同。</w:t>
      </w:r>
    </w:p>
    <w:p w14:paraId="4C5EFFB1">
      <w:pPr>
        <w:shd w:val="clear"/>
        <w:tabs>
          <w:tab w:val="left" w:pos="426"/>
        </w:tabs>
        <w:spacing w:line="360" w:lineRule="auto"/>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不可抗力事件发生后，应立即通知对方</w:t>
      </w:r>
      <w:r>
        <w:rPr>
          <w:rFonts w:hint="eastAsia" w:asciiTheme="minorEastAsia" w:hAnsiTheme="minorEastAsia" w:eastAsiaTheme="minorEastAsia" w:cstheme="minorEastAsia"/>
          <w:bCs/>
          <w:sz w:val="21"/>
          <w:szCs w:val="21"/>
          <w:highlight w:val="none"/>
        </w:rPr>
        <w:t>，并寄送有关权威机构出具的证明。</w:t>
      </w:r>
    </w:p>
    <w:p w14:paraId="0374E2AE">
      <w:pPr>
        <w:shd w:val="clear"/>
        <w:spacing w:line="360" w:lineRule="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w:t>
      </w:r>
      <w:r>
        <w:rPr>
          <w:rFonts w:hint="eastAsia" w:asciiTheme="minorEastAsia" w:hAnsiTheme="minorEastAsia" w:eastAsiaTheme="minorEastAsia" w:cstheme="minorEastAsia"/>
          <w:b/>
          <w:bCs/>
          <w:sz w:val="21"/>
          <w:szCs w:val="21"/>
          <w:highlight w:val="none"/>
          <w:lang w:val="en-US" w:eastAsia="zh-CN"/>
        </w:rPr>
        <w:t>二</w:t>
      </w:r>
      <w:r>
        <w:rPr>
          <w:rFonts w:hint="eastAsia" w:asciiTheme="minorEastAsia" w:hAnsiTheme="minorEastAsia" w:eastAsiaTheme="minorEastAsia" w:cstheme="minorEastAsia"/>
          <w:b/>
          <w:bCs/>
          <w:sz w:val="21"/>
          <w:szCs w:val="21"/>
          <w:highlight w:val="none"/>
        </w:rPr>
        <w:t>、争议解决：</w:t>
      </w:r>
    </w:p>
    <w:p w14:paraId="2B541F9A">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双方因履行本合同而发生的争议，应协商、调解解决。协商、调解不成的，提交台州仲裁委员会仲裁。</w:t>
      </w:r>
    </w:p>
    <w:p w14:paraId="20F7D257">
      <w:pPr>
        <w:shd w:val="clear"/>
        <w:spacing w:line="360" w:lineRule="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w:t>
      </w:r>
      <w:r>
        <w:rPr>
          <w:rFonts w:hint="eastAsia" w:asciiTheme="minorEastAsia" w:hAnsiTheme="minorEastAsia" w:eastAsiaTheme="minorEastAsia" w:cstheme="minorEastAsia"/>
          <w:b/>
          <w:bCs/>
          <w:sz w:val="21"/>
          <w:szCs w:val="21"/>
          <w:highlight w:val="none"/>
          <w:lang w:val="en-US" w:eastAsia="zh-CN"/>
        </w:rPr>
        <w:t>三</w:t>
      </w:r>
      <w:r>
        <w:rPr>
          <w:rFonts w:hint="eastAsia" w:asciiTheme="minorEastAsia" w:hAnsiTheme="minorEastAsia" w:eastAsiaTheme="minorEastAsia" w:cstheme="minorEastAsia"/>
          <w:b/>
          <w:bCs/>
          <w:sz w:val="21"/>
          <w:szCs w:val="21"/>
          <w:highlight w:val="none"/>
        </w:rPr>
        <w:t>、合同的签订和生效：</w:t>
      </w:r>
    </w:p>
    <w:p w14:paraId="2E297BF5">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合同经甲、乙双方法定代表人或委托代理人签字并加盖单位公章后生效。</w:t>
      </w:r>
    </w:p>
    <w:p w14:paraId="1848497B">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本合同未尽事宜，遵照《民法典》有关条文执行。</w:t>
      </w:r>
    </w:p>
    <w:p w14:paraId="66B83031">
      <w:pPr>
        <w:shd w:val="clea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本合同一式</w:t>
      </w:r>
      <w:r>
        <w:rPr>
          <w:rFonts w:hint="eastAsia" w:asciiTheme="minorEastAsia" w:hAnsiTheme="minorEastAsia" w:eastAsiaTheme="minorEastAsia" w:cstheme="minorEastAsia"/>
          <w:sz w:val="21"/>
          <w:szCs w:val="21"/>
          <w:highlight w:val="none"/>
          <w:lang w:val="en-US" w:eastAsia="zh-CN"/>
        </w:rPr>
        <w:t>九</w:t>
      </w:r>
      <w:r>
        <w:rPr>
          <w:rFonts w:hint="eastAsia" w:asciiTheme="minorEastAsia" w:hAnsiTheme="minorEastAsia" w:eastAsiaTheme="minorEastAsia" w:cstheme="minorEastAsia"/>
          <w:sz w:val="21"/>
          <w:szCs w:val="21"/>
          <w:highlight w:val="none"/>
        </w:rPr>
        <w:t>份，甲、乙双方各执</w:t>
      </w:r>
      <w:r>
        <w:rPr>
          <w:rFonts w:hint="eastAsia" w:asciiTheme="minorEastAsia" w:hAnsiTheme="minorEastAsia" w:eastAsiaTheme="minorEastAsia" w:cstheme="minorEastAsia"/>
          <w:sz w:val="21"/>
          <w:szCs w:val="21"/>
          <w:highlight w:val="none"/>
          <w:lang w:val="en-US" w:eastAsia="zh-CN"/>
        </w:rPr>
        <w:t>四</w:t>
      </w:r>
      <w:r>
        <w:rPr>
          <w:rFonts w:hint="eastAsia" w:asciiTheme="minorEastAsia" w:hAnsiTheme="minorEastAsia" w:eastAsiaTheme="minorEastAsia" w:cstheme="minorEastAsia"/>
          <w:sz w:val="21"/>
          <w:szCs w:val="21"/>
          <w:highlight w:val="none"/>
        </w:rPr>
        <w:t>份，代理公司</w:t>
      </w:r>
      <w:r>
        <w:rPr>
          <w:rFonts w:hint="eastAsia" w:asciiTheme="minorEastAsia" w:hAnsiTheme="minorEastAsia" w:eastAsiaTheme="minorEastAsia" w:cstheme="minorEastAsia"/>
          <w:sz w:val="21"/>
          <w:szCs w:val="21"/>
          <w:highlight w:val="none"/>
          <w:lang w:val="en-US" w:eastAsia="zh-CN"/>
        </w:rPr>
        <w:t>一</w:t>
      </w:r>
      <w:r>
        <w:rPr>
          <w:rFonts w:hint="eastAsia" w:asciiTheme="minorEastAsia" w:hAnsiTheme="minorEastAsia" w:eastAsiaTheme="minorEastAsia" w:cstheme="minorEastAsia"/>
          <w:sz w:val="21"/>
          <w:szCs w:val="21"/>
          <w:highlight w:val="none"/>
        </w:rPr>
        <w:t>份。本项目未尽事宜以投标文件、招标文件及澄清文件等为准。</w:t>
      </w:r>
    </w:p>
    <w:p w14:paraId="6472C554">
      <w:pPr>
        <w:shd w:val="clear"/>
        <w:spacing w:line="312"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p>
    <w:p w14:paraId="06BAF0FA">
      <w:pPr>
        <w:shd w:val="clear"/>
        <w:spacing w:line="440" w:lineRule="exact"/>
        <w:ind w:right="-42" w:rightChars="-2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zh-CN"/>
        </w:rPr>
        <w:t>甲方</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zh-CN"/>
        </w:rPr>
        <w:t>公章</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zh-CN"/>
        </w:rPr>
        <w:t>　　　　　　　　　　　　乙方</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zh-CN"/>
        </w:rPr>
        <w:t>公章</w:t>
      </w:r>
      <w:r>
        <w:rPr>
          <w:rFonts w:hint="eastAsia" w:asciiTheme="minorEastAsia" w:hAnsiTheme="minorEastAsia" w:eastAsiaTheme="minorEastAsia" w:cstheme="minorEastAsia"/>
          <w:color w:val="000000"/>
          <w:sz w:val="21"/>
          <w:szCs w:val="21"/>
          <w:highlight w:val="none"/>
        </w:rPr>
        <w:t>）</w:t>
      </w:r>
    </w:p>
    <w:p w14:paraId="17FDF550">
      <w:pPr>
        <w:shd w:val="clear"/>
        <w:spacing w:line="440" w:lineRule="exact"/>
        <w:ind w:right="-42" w:rightChars="-20"/>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法人或委托代理人签名：　　　　　　　法人或委托代理人签名：</w:t>
      </w:r>
    </w:p>
    <w:p w14:paraId="334A3566">
      <w:pPr>
        <w:shd w:val="clear"/>
        <w:spacing w:line="440" w:lineRule="exact"/>
        <w:ind w:right="-42" w:rightChars="-20"/>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联系人：　　　　　　　　　　　　　　联系人：</w:t>
      </w:r>
    </w:p>
    <w:p w14:paraId="6C4C1F59">
      <w:pPr>
        <w:shd w:val="clear"/>
        <w:spacing w:line="440" w:lineRule="exact"/>
        <w:ind w:right="-42" w:rightChars="-20"/>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联系电话：　　　　　　　　　　　　　联系电话：</w:t>
      </w:r>
    </w:p>
    <w:p w14:paraId="6A0678B9">
      <w:pPr>
        <w:shd w:val="clear"/>
        <w:spacing w:line="440" w:lineRule="exact"/>
        <w:ind w:right="-42" w:rightChars="-20"/>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开户账号：　　　　　　　　　　　　　开户账号：</w:t>
      </w:r>
    </w:p>
    <w:p w14:paraId="25963C87">
      <w:pPr>
        <w:shd w:val="clear"/>
        <w:spacing w:line="440" w:lineRule="exact"/>
        <w:ind w:right="-42" w:rightChars="-20"/>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签订时间：     年    月    日</w:t>
      </w:r>
    </w:p>
    <w:p w14:paraId="4A57146D">
      <w:pPr>
        <w:shd w:val="clear"/>
        <w:adjustRightInd w:val="0"/>
        <w:rPr>
          <w:rFonts w:hint="eastAsia" w:asciiTheme="minorEastAsia" w:hAnsiTheme="minorEastAsia" w:eastAsiaTheme="minorEastAsia" w:cstheme="minorEastAsia"/>
          <w:bCs/>
          <w:sz w:val="21"/>
          <w:szCs w:val="21"/>
          <w:highlight w:val="none"/>
        </w:rPr>
      </w:pPr>
    </w:p>
    <w:p w14:paraId="397BFC97">
      <w:pPr>
        <w:shd w:val="clear"/>
        <w:adjustRightInd w:val="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见证方：</w:t>
      </w:r>
    </w:p>
    <w:p w14:paraId="7CD26AFC">
      <w:pPr>
        <w:shd w:val="clear"/>
        <w:adjustRightInd w:val="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见证日期：</w:t>
      </w:r>
    </w:p>
    <w:p w14:paraId="33CC749C">
      <w:pPr>
        <w:jc w:val="center"/>
        <w:rPr>
          <w:rFonts w:hint="eastAsia"/>
          <w:b w:val="0"/>
          <w:bCs w:val="0"/>
          <w:sz w:val="36"/>
          <w:szCs w:val="24"/>
          <w:highlight w:val="none"/>
        </w:rPr>
      </w:pPr>
      <w:r>
        <w:rPr>
          <w:rFonts w:hint="eastAsia"/>
        </w:rPr>
        <w:br w:type="page"/>
      </w:r>
      <w:r>
        <w:rPr>
          <w:rFonts w:hint="eastAsia"/>
          <w:b w:val="0"/>
          <w:bCs w:val="0"/>
          <w:sz w:val="36"/>
          <w:szCs w:val="24"/>
          <w:highlight w:val="none"/>
        </w:rPr>
        <w:t>廉政合同</w:t>
      </w:r>
    </w:p>
    <w:p w14:paraId="00EE9B0C">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lang w:val="en-US" w:eastAsia="zh-CN"/>
        </w:rPr>
        <w:t>甲方（采购人）：</w:t>
      </w:r>
      <w:r>
        <w:rPr>
          <w:rFonts w:hint="eastAsia" w:ascii="宋体" w:hAnsi="宋体" w:eastAsia="宋体" w:cs="宋体"/>
          <w:sz w:val="21"/>
          <w:szCs w:val="21"/>
          <w:highlight w:val="none"/>
          <w:u w:val="single"/>
          <w:lang w:val="en-US" w:eastAsia="zh-CN"/>
        </w:rPr>
        <w:t xml:space="preserve">                        </w:t>
      </w:r>
    </w:p>
    <w:p w14:paraId="2419CB6C">
      <w:pPr>
        <w:keepNext w:val="0"/>
        <w:keepLines w:val="0"/>
        <w:pageBreakBefore w:val="0"/>
        <w:numPr>
          <w:ilvl w:val="0"/>
          <w:numId w:val="0"/>
        </w:numPr>
        <w:wordWrap/>
        <w:topLinePunct w:val="0"/>
        <w:bidi w:val="0"/>
        <w:spacing w:line="400" w:lineRule="exact"/>
        <w:ind w:firstLine="420" w:firstLineChars="20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乙方（供应商）：</w:t>
      </w:r>
      <w:r>
        <w:rPr>
          <w:rFonts w:hint="eastAsia" w:ascii="宋体" w:hAnsi="宋体" w:eastAsia="宋体" w:cs="宋体"/>
          <w:sz w:val="21"/>
          <w:szCs w:val="21"/>
          <w:highlight w:val="none"/>
          <w:u w:val="single"/>
          <w:lang w:val="en-US" w:eastAsia="zh-CN"/>
        </w:rPr>
        <w:t xml:space="preserve">                             </w:t>
      </w:r>
    </w:p>
    <w:p w14:paraId="3D858CCF">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为促进甲乙双方廉洁高效合作，促使甲乙双方工作人员廉洁从业，不断推动党风廉政建设工作，按照国家有关法律法规、廉政规定，经甲乙双方协商一致，签订以下廉政合同。 </w:t>
      </w:r>
    </w:p>
    <w:p w14:paraId="6CCB77F1">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第一条 甲乙双方的权利和义务 </w:t>
      </w:r>
    </w:p>
    <w:p w14:paraId="79A61CCE">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（一）严格遵守党和国家有关法律法规及党风廉政建设各项规定。</w:t>
      </w:r>
    </w:p>
    <w:p w14:paraId="675BE0EB">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（二）严格履行各项约定，杜绝违约行为的发生。 </w:t>
      </w:r>
    </w:p>
    <w:p w14:paraId="10511F34">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（三）加强反腐倡廉建设，对本方工作人员开展廉政教育，加大监督检查力度。  </w:t>
      </w:r>
    </w:p>
    <w:p w14:paraId="7F880ED9">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（四）发现对方在业务活动中有违反廉政规定和本合同约定的行为时，有及时提醒和督促对方纠正的权利和义务。  </w:t>
      </w:r>
    </w:p>
    <w:p w14:paraId="1BE1D5D6">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（五）发现对方在业务活动中有严重违法违纪和违反本合同约定的行为时，有权向对方主管部门、纪检监察、检察机关反映和举报、建议给予处理并要求告知处理结果的权利。</w:t>
      </w:r>
    </w:p>
    <w:p w14:paraId="01FAC298">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（六）经济合同变更时廉政合同内容也应做相应调整，并履行有关手续。  </w:t>
      </w:r>
    </w:p>
    <w:p w14:paraId="097134C1">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第二条 甲方在廉政建设方面义务 </w:t>
      </w:r>
    </w:p>
    <w:p w14:paraId="03F1546C">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甲方的领导和从事该项目的工作人员，在项目实施的事前、事中、事后应遵守以下规定：</w:t>
      </w:r>
    </w:p>
    <w:p w14:paraId="7149524E">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（一）不准向乙方和相关单位索要或接受回扣、礼金、有价证券、贵重物品和好处费、感谢费等。 </w:t>
      </w:r>
    </w:p>
    <w:p w14:paraId="310E6F22">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（二）不准在乙方和相关单位报销任何应由甲方或个人支付的费用。 </w:t>
      </w:r>
    </w:p>
    <w:p w14:paraId="19259109">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（三）不准要求、暗示和接受乙方和相关单位为个人装修住房、婚丧嫁娶、配偶子女的工作安排以及出国（境）、旅游等提供方便。</w:t>
      </w:r>
    </w:p>
    <w:p w14:paraId="7043469D">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（四）不准参加有可能影响公正执行公务的乙方和相关单位的宴请和健身、娱乐等活动。</w:t>
      </w:r>
    </w:p>
    <w:p w14:paraId="50993D75">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（五）不准向乙方介绍或为配偶、子女、亲属参与同甲方采购项目有关的材料、设备供应、工程分包、劳务等经济业务。</w:t>
      </w:r>
    </w:p>
    <w:p w14:paraId="6AA44960">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第三条  乙方在廉政建设方面的义务 </w:t>
      </w:r>
    </w:p>
    <w:p w14:paraId="094E5814">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乙方应与甲方保持正常的业务交往，按照有关法律法规和程序开展业务工作，严格执行有关方针、政策，并遵守以下规定：</w:t>
      </w:r>
    </w:p>
    <w:p w14:paraId="656D06BF">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（一）不准以任何理由向甲方、相关单位及其工作人员索要、接受或赠送礼金、有价证券、贵重物品和回扣、感谢费等。</w:t>
      </w:r>
    </w:p>
    <w:p w14:paraId="3CA6612F">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（二）不准以任何理由为甲方和相关单位报销应由对方或个人支付的费用。</w:t>
      </w:r>
    </w:p>
    <w:p w14:paraId="4586DE41">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（三）不准接受或暗示为甲方、相关单位或个人装修住房、婚丧嫁娶、配偶子女的工作安排以及出国（境）、旅游等提供方便。</w:t>
      </w:r>
    </w:p>
    <w:p w14:paraId="0DF6251B">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（四）不准以任何理由为甲方、相关单位或个人组织有可能影响公正执行公务的宴请、健身、娱乐等活动。</w:t>
      </w:r>
    </w:p>
    <w:p w14:paraId="36824035">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第四条 违约责任 </w:t>
      </w:r>
    </w:p>
    <w:p w14:paraId="59FDE2A3">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甲方工作人员有违反本《廉政合同》第一、二条规定的行为，按照管理权限，依据有关法律法规和规定给予党纪、政纪处分或组织处理；涉嫌犯罪的，移交司法机关追究刑事责任；给乙方单位造成经济损失的，应予以赔偿。</w:t>
      </w:r>
    </w:p>
    <w:p w14:paraId="456E4AB0">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乙方工作人员有违反本《廉政合同》第一、三条规定的行为，按照管理权限，依据有关法律法规和规定给予党纪、政纪处分或组织处理；涉嫌犯罪的，移交司法机关追究刑事责任；给甲方单位造成经济损失的，应予以赔偿。</w:t>
      </w:r>
    </w:p>
    <w:p w14:paraId="1C3A9F70">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第五条 本合同有效期同经济合同期限。   </w:t>
      </w:r>
    </w:p>
    <w:p w14:paraId="0FF00DBD">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第六条 本合同为经济合同附件，与主合同具有同等法律效力，甲乙双方签署后生效。</w:t>
      </w:r>
    </w:p>
    <w:p w14:paraId="3A450331">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第七条 本合同与合同协议书份数一致。</w:t>
      </w:r>
    </w:p>
    <w:p w14:paraId="4F2DC9C3">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p>
    <w:p w14:paraId="0FFA8288">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甲方单位：（盖章）                         乙方单位：（盖章）</w:t>
      </w:r>
    </w:p>
    <w:p w14:paraId="78E0FF4C">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法定代表人（签字或盖章）：                法定代表人（签字或盖章）：</w:t>
      </w:r>
    </w:p>
    <w:p w14:paraId="3D708ECF">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或授权代表（签字或盖章）：                或授权代表（签字或盖章）：</w:t>
      </w:r>
    </w:p>
    <w:p w14:paraId="6E4EAEE7">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联系电话：                               联系电话：</w:t>
      </w:r>
    </w:p>
    <w:p w14:paraId="2E0D52D6">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年   月   日                        年   月   日</w:t>
      </w:r>
    </w:p>
    <w:p w14:paraId="00178564">
      <w:pPr>
        <w:keepNext w:val="0"/>
        <w:keepLines w:val="0"/>
        <w:pageBreakBefore w:val="0"/>
        <w:numPr>
          <w:ilvl w:val="0"/>
          <w:numId w:val="0"/>
        </w:numPr>
        <w:wordWrap/>
        <w:topLinePunct w:val="0"/>
        <w:bidi w:val="0"/>
        <w:spacing w:line="400" w:lineRule="exact"/>
        <w:ind w:firstLine="420" w:firstLineChars="200"/>
        <w:jc w:val="left"/>
        <w:rPr>
          <w:rFonts w:hint="eastAsia" w:ascii="宋体" w:hAnsi="宋体" w:eastAsia="宋体" w:cs="宋体"/>
          <w:sz w:val="21"/>
          <w:szCs w:val="21"/>
          <w:highlight w:val="none"/>
          <w:lang w:val="en-US" w:eastAsia="zh-CN"/>
        </w:rPr>
      </w:pPr>
    </w:p>
    <w:p w14:paraId="77CF826C">
      <w:pPr>
        <w:rPr>
          <w:rFonts w:hint="eastAsia"/>
        </w:rPr>
        <w:sectPr>
          <w:pgSz w:w="11906" w:h="16838"/>
          <w:pgMar w:top="1247" w:right="1417" w:bottom="1474" w:left="1417" w:header="851" w:footer="896" w:gutter="0"/>
          <w:cols w:space="0" w:num="1"/>
          <w:titlePg/>
          <w:rtlGutter w:val="0"/>
          <w:docGrid w:type="lines" w:linePitch="312" w:charSpace="0"/>
        </w:sectPr>
      </w:pPr>
    </w:p>
    <w:p w14:paraId="3D833CF1">
      <w:pPr>
        <w:pStyle w:val="17"/>
        <w:ind w:left="0" w:leftChars="0" w:firstLine="0" w:firstLineChars="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附件：</w:t>
      </w:r>
    </w:p>
    <w:p w14:paraId="53DA1A58">
      <w:pPr>
        <w:pStyle w:val="17"/>
        <w:ind w:left="0" w:leftChars="0" w:firstLine="720" w:firstLineChars="200"/>
        <w:jc w:val="both"/>
        <w:rPr>
          <w:rFonts w:hint="eastAsia" w:asciiTheme="minorEastAsia" w:hAnsiTheme="minorEastAsia" w:eastAsiaTheme="minorEastAsia" w:cstheme="minorEastAsia"/>
          <w:color w:val="000000"/>
          <w:kern w:val="2"/>
          <w:sz w:val="36"/>
          <w:szCs w:val="36"/>
          <w:highlight w:val="none"/>
          <w:lang w:eastAsia="zh-CN" w:bidi="ar-SA"/>
        </w:rPr>
      </w:pPr>
      <w:r>
        <w:rPr>
          <w:rFonts w:hint="eastAsia" w:asciiTheme="minorEastAsia" w:hAnsiTheme="minorEastAsia" w:eastAsiaTheme="minorEastAsia" w:cstheme="minorEastAsia"/>
          <w:color w:val="000000"/>
          <w:kern w:val="2"/>
          <w:sz w:val="36"/>
          <w:szCs w:val="36"/>
          <w:highlight w:val="none"/>
          <w:lang w:val="en-US" w:eastAsia="zh-CN" w:bidi="ar-SA"/>
        </w:rPr>
        <w:t>路桥区镇(街道)托管运营服务检查表</w:t>
      </w:r>
      <w:r>
        <w:rPr>
          <w:rFonts w:hint="eastAsia" w:asciiTheme="minorEastAsia" w:hAnsiTheme="minorEastAsia" w:eastAsiaTheme="minorEastAsia" w:cstheme="minorEastAsia"/>
          <w:color w:val="000000"/>
          <w:kern w:val="2"/>
          <w:sz w:val="36"/>
          <w:szCs w:val="36"/>
          <w:highlight w:val="none"/>
          <w:lang w:eastAsia="zh-CN" w:bidi="ar-SA"/>
        </w:rPr>
        <w:t>（</w:t>
      </w:r>
      <w:r>
        <w:rPr>
          <w:rFonts w:hint="eastAsia" w:asciiTheme="minorEastAsia" w:hAnsiTheme="minorEastAsia" w:eastAsiaTheme="minorEastAsia" w:cstheme="minorEastAsia"/>
          <w:color w:val="000000"/>
          <w:kern w:val="2"/>
          <w:sz w:val="36"/>
          <w:szCs w:val="36"/>
          <w:highlight w:val="none"/>
          <w:lang w:val="en-US" w:eastAsia="zh-CN" w:bidi="ar-SA"/>
        </w:rPr>
        <w:t>第</w:t>
      </w:r>
      <w:r>
        <w:rPr>
          <w:rFonts w:hint="eastAsia" w:asciiTheme="minorEastAsia" w:hAnsiTheme="minorEastAsia" w:eastAsiaTheme="minorEastAsia" w:cstheme="minorEastAsia"/>
          <w:color w:val="000000"/>
          <w:kern w:val="2"/>
          <w:sz w:val="36"/>
          <w:szCs w:val="36"/>
          <w:highlight w:val="none"/>
          <w:lang w:eastAsia="zh-CN" w:bidi="ar-SA"/>
        </w:rPr>
        <w:t xml:space="preserve"> x</w:t>
      </w:r>
      <w:r>
        <w:rPr>
          <w:rFonts w:hint="eastAsia" w:asciiTheme="minorEastAsia" w:hAnsiTheme="minorEastAsia" w:eastAsiaTheme="minorEastAsia" w:cstheme="minorEastAsia"/>
          <w:color w:val="000000"/>
          <w:kern w:val="2"/>
          <w:sz w:val="36"/>
          <w:szCs w:val="36"/>
          <w:highlight w:val="none"/>
          <w:lang w:val="en-US" w:eastAsia="zh-CN" w:bidi="ar-SA"/>
        </w:rPr>
        <w:t>季度</w:t>
      </w:r>
      <w:r>
        <w:rPr>
          <w:rFonts w:hint="eastAsia" w:asciiTheme="minorEastAsia" w:hAnsiTheme="minorEastAsia" w:eastAsiaTheme="minorEastAsia" w:cstheme="minorEastAsia"/>
          <w:color w:val="000000"/>
          <w:kern w:val="2"/>
          <w:sz w:val="36"/>
          <w:szCs w:val="36"/>
          <w:highlight w:val="none"/>
          <w:lang w:eastAsia="zh-CN" w:bidi="ar-SA"/>
        </w:rPr>
        <w:t>）</w:t>
      </w:r>
    </w:p>
    <w:p w14:paraId="339EDC30">
      <w:pPr>
        <w:pStyle w:val="17"/>
        <w:rPr>
          <w:rFonts w:hint="eastAsia" w:asciiTheme="minorEastAsia" w:hAnsiTheme="minorEastAsia" w:eastAsiaTheme="minorEastAsia" w:cstheme="minorEastAsia"/>
          <w:color w:val="000000"/>
          <w:kern w:val="2"/>
          <w:sz w:val="36"/>
          <w:szCs w:val="36"/>
          <w:highlight w:val="none"/>
          <w:lang w:val="en-US" w:eastAsia="zh-CN" w:bidi="ar-SA"/>
        </w:rPr>
      </w:pPr>
    </w:p>
    <w:p w14:paraId="0DC9263E">
      <w:pPr>
        <w:pStyle w:val="17"/>
        <w:ind w:left="0" w:leftChars="0" w:firstLine="0" w:firstLineChars="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运营</w:t>
      </w:r>
      <w:r>
        <w:rPr>
          <w:rFonts w:hint="eastAsia" w:asciiTheme="minorEastAsia" w:hAnsiTheme="minorEastAsia" w:eastAsiaTheme="minorEastAsia" w:cstheme="minorEastAsia"/>
          <w:b w:val="0"/>
          <w:bCs w:val="0"/>
          <w:sz w:val="24"/>
          <w:szCs w:val="24"/>
          <w:highlight w:val="none"/>
          <w:lang w:eastAsia="zh-CN"/>
        </w:rPr>
        <w:t>机构（组织）</w:t>
      </w:r>
      <w:r>
        <w:rPr>
          <w:rFonts w:hint="eastAsia" w:asciiTheme="minorEastAsia" w:hAnsiTheme="minorEastAsia" w:eastAsiaTheme="minorEastAsia" w:cstheme="minorEastAsia"/>
          <w:b w:val="0"/>
          <w:bCs w:val="0"/>
          <w:sz w:val="24"/>
          <w:szCs w:val="24"/>
          <w:highlight w:val="none"/>
          <w:lang w:val="en-US" w:eastAsia="zh-CN"/>
        </w:rPr>
        <w:t>名称</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lang w:val="en-US" w:eastAsia="zh-CN"/>
        </w:rPr>
        <w:t xml:space="preserve">                        </w:t>
      </w:r>
    </w:p>
    <w:p w14:paraId="755ABC8A">
      <w:pPr>
        <w:pStyle w:val="17"/>
        <w:ind w:left="0" w:leftChars="0" w:firstLine="0" w:firstLineChars="0"/>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检查人员</w:t>
      </w:r>
      <w:r>
        <w:rPr>
          <w:rFonts w:hint="eastAsia" w:asciiTheme="minorEastAsia" w:hAnsiTheme="minorEastAsia" w:eastAsiaTheme="minorEastAsia" w:cstheme="minorEastAsia"/>
          <w:b w:val="0"/>
          <w:bCs w:val="0"/>
          <w:sz w:val="24"/>
          <w:szCs w:val="24"/>
          <w:highlight w:val="none"/>
          <w:lang w:eastAsia="zh-CN"/>
        </w:rPr>
        <w:t xml:space="preserve">：                          </w:t>
      </w:r>
      <w:r>
        <w:rPr>
          <w:rFonts w:hint="eastAsia" w:asciiTheme="minorEastAsia" w:hAnsiTheme="minorEastAsia" w:eastAsiaTheme="minorEastAsia" w:cstheme="minorEastAsia"/>
          <w:b w:val="0"/>
          <w:bCs w:val="0"/>
          <w:sz w:val="24"/>
          <w:szCs w:val="24"/>
          <w:highlight w:val="none"/>
          <w:lang w:val="en-US" w:eastAsia="zh-CN"/>
        </w:rPr>
        <w:t xml:space="preserve">       </w:t>
      </w:r>
      <w:r>
        <w:rPr>
          <w:rFonts w:hint="eastAsia" w:asciiTheme="minorEastAsia" w:hAnsiTheme="minorEastAsia" w:eastAsiaTheme="minorEastAsia" w:cstheme="minorEastAsia"/>
          <w:b w:val="0"/>
          <w:bCs w:val="0"/>
          <w:sz w:val="24"/>
          <w:szCs w:val="24"/>
          <w:highlight w:val="none"/>
          <w:lang w:eastAsia="zh-CN"/>
        </w:rPr>
        <w:t xml:space="preserve">   检查时间：</w:t>
      </w:r>
    </w:p>
    <w:tbl>
      <w:tblPr>
        <w:tblStyle w:val="77"/>
        <w:tblW w:w="86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0"/>
        <w:gridCol w:w="5588"/>
        <w:gridCol w:w="1050"/>
        <w:gridCol w:w="1466"/>
      </w:tblGrid>
      <w:tr w14:paraId="2B5A0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C05BD">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项目</w:t>
            </w:r>
          </w:p>
        </w:tc>
        <w:tc>
          <w:tcPr>
            <w:tcW w:w="5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24C3C">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考核标准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932F">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分数</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53A6A">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得分</w:t>
            </w:r>
          </w:p>
        </w:tc>
      </w:tr>
      <w:tr w14:paraId="371BC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1B71D">
            <w:pPr>
              <w:spacing w:line="240" w:lineRule="atLeast"/>
              <w:jc w:val="center"/>
              <w:rPr>
                <w:rFonts w:hint="eastAsia" w:asciiTheme="minorEastAsia" w:hAnsiTheme="minorEastAsia" w:eastAsiaTheme="minorEastAsia" w:cstheme="minorEastAsia"/>
                <w:sz w:val="21"/>
                <w:szCs w:val="21"/>
                <w:highlight w:val="none"/>
                <w:lang w:val="en-US" w:eastAsia="zh-CN"/>
              </w:rPr>
            </w:pPr>
          </w:p>
        </w:tc>
        <w:tc>
          <w:tcPr>
            <w:tcW w:w="5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72A70">
            <w:pPr>
              <w:spacing w:line="240" w:lineRule="atLeast"/>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人员配备：服务中心配备一名负责人和专职人员，居家服务照料中心配置不少于1名及以上兼职助老员。工作人员信息和照片上墙（少一人扣10分）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8675">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8F5BE">
            <w:pPr>
              <w:spacing w:line="240" w:lineRule="atLeast"/>
              <w:jc w:val="center"/>
              <w:rPr>
                <w:rFonts w:hint="eastAsia" w:asciiTheme="minorEastAsia" w:hAnsiTheme="minorEastAsia" w:eastAsiaTheme="minorEastAsia" w:cstheme="minorEastAsia"/>
                <w:sz w:val="21"/>
                <w:szCs w:val="21"/>
                <w:highlight w:val="none"/>
                <w:lang w:val="en-US" w:eastAsia="zh-CN"/>
              </w:rPr>
            </w:pPr>
          </w:p>
        </w:tc>
      </w:tr>
      <w:tr w14:paraId="0CB03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FE785">
            <w:pPr>
              <w:spacing w:line="240" w:lineRule="atLeast"/>
              <w:jc w:val="center"/>
              <w:rPr>
                <w:rFonts w:hint="eastAsia" w:asciiTheme="minorEastAsia" w:hAnsiTheme="minorEastAsia" w:eastAsiaTheme="minorEastAsia" w:cstheme="minorEastAsia"/>
                <w:sz w:val="21"/>
                <w:szCs w:val="21"/>
                <w:highlight w:val="none"/>
                <w:lang w:val="en-US" w:eastAsia="zh-CN"/>
              </w:rPr>
            </w:pPr>
          </w:p>
        </w:tc>
        <w:tc>
          <w:tcPr>
            <w:tcW w:w="5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8445B">
            <w:pPr>
              <w:spacing w:line="240" w:lineRule="atLeast"/>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服务内容、服务项目、服务流程、收费标准、 有专用求助电话等，并公示上墙（少一项扣2分）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60D67">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C40E4">
            <w:pPr>
              <w:spacing w:line="240" w:lineRule="atLeast"/>
              <w:jc w:val="center"/>
              <w:rPr>
                <w:rFonts w:hint="eastAsia" w:asciiTheme="minorEastAsia" w:hAnsiTheme="minorEastAsia" w:eastAsiaTheme="minorEastAsia" w:cstheme="minorEastAsia"/>
                <w:sz w:val="21"/>
                <w:szCs w:val="21"/>
                <w:highlight w:val="none"/>
                <w:lang w:val="en-US" w:eastAsia="zh-CN"/>
              </w:rPr>
            </w:pPr>
          </w:p>
        </w:tc>
      </w:tr>
      <w:tr w14:paraId="19A08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37DC">
            <w:pPr>
              <w:spacing w:line="240" w:lineRule="atLeast"/>
              <w:jc w:val="center"/>
              <w:rPr>
                <w:rFonts w:hint="eastAsia" w:asciiTheme="minorEastAsia" w:hAnsiTheme="minorEastAsia" w:eastAsiaTheme="minorEastAsia" w:cstheme="minorEastAsia"/>
                <w:sz w:val="21"/>
                <w:szCs w:val="21"/>
                <w:highlight w:val="none"/>
                <w:lang w:val="en-US" w:eastAsia="zh-CN"/>
              </w:rPr>
            </w:pPr>
          </w:p>
        </w:tc>
        <w:tc>
          <w:tcPr>
            <w:tcW w:w="5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07340">
            <w:pPr>
              <w:spacing w:line="240" w:lineRule="atLeast"/>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是否开展上门服务，每月25人次以上并有记录得10分，无记录不得分。有服务记录，包括服务对象花名册服务对象接受服(2分)务情况统计 (3分)，派工情况 (2分)，服务情况反馈 (2分)。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85795">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1DD4B">
            <w:pPr>
              <w:spacing w:line="240" w:lineRule="atLeast"/>
              <w:jc w:val="center"/>
              <w:rPr>
                <w:rFonts w:hint="eastAsia" w:asciiTheme="minorEastAsia" w:hAnsiTheme="minorEastAsia" w:eastAsiaTheme="minorEastAsia" w:cstheme="minorEastAsia"/>
                <w:sz w:val="21"/>
                <w:szCs w:val="21"/>
                <w:highlight w:val="none"/>
                <w:lang w:val="en-US" w:eastAsia="zh-CN"/>
              </w:rPr>
            </w:pPr>
          </w:p>
        </w:tc>
      </w:tr>
      <w:tr w14:paraId="011F5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DA6D5">
            <w:pPr>
              <w:spacing w:line="240" w:lineRule="atLeast"/>
              <w:jc w:val="center"/>
              <w:rPr>
                <w:rFonts w:hint="eastAsia" w:asciiTheme="minorEastAsia" w:hAnsiTheme="minorEastAsia" w:eastAsiaTheme="minorEastAsia" w:cstheme="minorEastAsia"/>
                <w:sz w:val="21"/>
                <w:szCs w:val="21"/>
                <w:highlight w:val="none"/>
                <w:lang w:val="en-US" w:eastAsia="zh-CN"/>
              </w:rPr>
            </w:pPr>
          </w:p>
        </w:tc>
        <w:tc>
          <w:tcPr>
            <w:tcW w:w="5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7E60C">
            <w:pPr>
              <w:spacing w:line="240" w:lineRule="atLeast"/>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提供助餐(2分)、助洁 (2分)、助医 (2分)、助浴(2分)、助行 (2分)、助急 (2分) 、日间照料 (2分) 、心里疏导(1分) 等服务。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F40D">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262FD">
            <w:pPr>
              <w:spacing w:line="240" w:lineRule="atLeast"/>
              <w:jc w:val="center"/>
              <w:rPr>
                <w:rFonts w:hint="eastAsia" w:asciiTheme="minorEastAsia" w:hAnsiTheme="minorEastAsia" w:eastAsiaTheme="minorEastAsia" w:cstheme="minorEastAsia"/>
                <w:sz w:val="21"/>
                <w:szCs w:val="21"/>
                <w:highlight w:val="none"/>
                <w:lang w:val="en-US" w:eastAsia="zh-CN"/>
              </w:rPr>
            </w:pPr>
          </w:p>
        </w:tc>
      </w:tr>
      <w:tr w14:paraId="06F0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7621A">
            <w:pPr>
              <w:spacing w:line="240" w:lineRule="atLeast"/>
              <w:jc w:val="center"/>
              <w:rPr>
                <w:rFonts w:hint="eastAsia" w:asciiTheme="minorEastAsia" w:hAnsiTheme="minorEastAsia" w:eastAsiaTheme="minorEastAsia" w:cstheme="minorEastAsia"/>
                <w:sz w:val="21"/>
                <w:szCs w:val="21"/>
                <w:highlight w:val="none"/>
                <w:lang w:val="en-US" w:eastAsia="zh-CN"/>
              </w:rPr>
            </w:pPr>
          </w:p>
        </w:tc>
        <w:tc>
          <w:tcPr>
            <w:tcW w:w="5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6D582">
            <w:pPr>
              <w:spacing w:line="240" w:lineRule="atLeast"/>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开展专题讲座，节庆活动每次活动文字记录和图片资料完善。</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C1D1E">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E22B6">
            <w:pPr>
              <w:spacing w:line="240" w:lineRule="atLeast"/>
              <w:jc w:val="center"/>
              <w:rPr>
                <w:rFonts w:hint="eastAsia" w:asciiTheme="minorEastAsia" w:hAnsiTheme="minorEastAsia" w:eastAsiaTheme="minorEastAsia" w:cstheme="minorEastAsia"/>
                <w:sz w:val="21"/>
                <w:szCs w:val="21"/>
                <w:highlight w:val="none"/>
                <w:lang w:val="en-US" w:eastAsia="zh-CN"/>
              </w:rPr>
            </w:pPr>
          </w:p>
        </w:tc>
      </w:tr>
      <w:tr w14:paraId="3B80E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AE5A8">
            <w:pPr>
              <w:spacing w:line="240" w:lineRule="atLeast"/>
              <w:jc w:val="center"/>
              <w:rPr>
                <w:rFonts w:hint="eastAsia" w:asciiTheme="minorEastAsia" w:hAnsiTheme="minorEastAsia" w:eastAsiaTheme="minorEastAsia" w:cstheme="minorEastAsia"/>
                <w:sz w:val="21"/>
                <w:szCs w:val="21"/>
                <w:highlight w:val="none"/>
                <w:lang w:val="en-US" w:eastAsia="zh-CN"/>
              </w:rPr>
            </w:pPr>
          </w:p>
        </w:tc>
        <w:tc>
          <w:tcPr>
            <w:tcW w:w="5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C60C2">
            <w:pPr>
              <w:spacing w:line="240" w:lineRule="atLeast"/>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是否开展每月免费理发、剪指甲、量血压等日常生活服务，每月老年人文体活动（未开展不得分）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7148">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B0482">
            <w:pPr>
              <w:spacing w:line="240" w:lineRule="atLeast"/>
              <w:jc w:val="center"/>
              <w:rPr>
                <w:rFonts w:hint="eastAsia" w:asciiTheme="minorEastAsia" w:hAnsiTheme="minorEastAsia" w:eastAsiaTheme="minorEastAsia" w:cstheme="minorEastAsia"/>
                <w:sz w:val="21"/>
                <w:szCs w:val="21"/>
                <w:highlight w:val="none"/>
                <w:lang w:val="en-US" w:eastAsia="zh-CN"/>
              </w:rPr>
            </w:pPr>
          </w:p>
        </w:tc>
      </w:tr>
      <w:tr w14:paraId="1C3C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08AFA">
            <w:pPr>
              <w:spacing w:line="240" w:lineRule="atLeast"/>
              <w:jc w:val="center"/>
              <w:rPr>
                <w:rFonts w:hint="eastAsia" w:asciiTheme="minorEastAsia" w:hAnsiTheme="minorEastAsia" w:eastAsiaTheme="minorEastAsia" w:cstheme="minorEastAsia"/>
                <w:sz w:val="21"/>
                <w:szCs w:val="21"/>
                <w:highlight w:val="none"/>
                <w:lang w:val="en-US" w:eastAsia="zh-CN"/>
              </w:rPr>
            </w:pPr>
          </w:p>
        </w:tc>
        <w:tc>
          <w:tcPr>
            <w:tcW w:w="5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0DFA3">
            <w:pPr>
              <w:spacing w:line="240" w:lineRule="atLeast"/>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老人服务满意度（不满意一人扣一分）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BB6C2">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49798">
            <w:pPr>
              <w:spacing w:line="240" w:lineRule="atLeast"/>
              <w:jc w:val="center"/>
              <w:rPr>
                <w:rFonts w:hint="eastAsia" w:asciiTheme="minorEastAsia" w:hAnsiTheme="minorEastAsia" w:eastAsiaTheme="minorEastAsia" w:cstheme="minorEastAsia"/>
                <w:sz w:val="21"/>
                <w:szCs w:val="21"/>
                <w:highlight w:val="none"/>
                <w:lang w:val="en-US" w:eastAsia="zh-CN"/>
              </w:rPr>
            </w:pPr>
          </w:p>
        </w:tc>
      </w:tr>
      <w:tr w14:paraId="4CDE6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68ED6">
            <w:pPr>
              <w:spacing w:line="240" w:lineRule="atLeast"/>
              <w:jc w:val="center"/>
              <w:rPr>
                <w:rFonts w:hint="eastAsia" w:asciiTheme="minorEastAsia" w:hAnsiTheme="minorEastAsia" w:eastAsiaTheme="minorEastAsia" w:cstheme="minorEastAsia"/>
                <w:sz w:val="21"/>
                <w:szCs w:val="21"/>
                <w:highlight w:val="none"/>
                <w:lang w:val="en-US" w:eastAsia="zh-CN"/>
              </w:rPr>
            </w:pPr>
          </w:p>
        </w:tc>
        <w:tc>
          <w:tcPr>
            <w:tcW w:w="5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7D872">
            <w:pPr>
              <w:spacing w:line="240" w:lineRule="atLeast"/>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建立服务台账，按时完成相关工作</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F2FCE">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211E5">
            <w:pPr>
              <w:spacing w:line="240" w:lineRule="atLeast"/>
              <w:jc w:val="center"/>
              <w:rPr>
                <w:rFonts w:hint="eastAsia" w:asciiTheme="minorEastAsia" w:hAnsiTheme="minorEastAsia" w:eastAsiaTheme="minorEastAsia" w:cstheme="minorEastAsia"/>
                <w:sz w:val="21"/>
                <w:szCs w:val="21"/>
                <w:highlight w:val="none"/>
                <w:lang w:val="en-US" w:eastAsia="zh-CN"/>
              </w:rPr>
            </w:pPr>
          </w:p>
        </w:tc>
      </w:tr>
      <w:tr w14:paraId="24FD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723E1">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否定项</w:t>
            </w:r>
          </w:p>
        </w:tc>
        <w:tc>
          <w:tcPr>
            <w:tcW w:w="5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57441">
            <w:pPr>
              <w:spacing w:line="240" w:lineRule="atLeast"/>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 不接受民政部门监督管理或弄虚作假。</w:t>
            </w:r>
          </w:p>
          <w:p w14:paraId="53917927">
            <w:pPr>
              <w:spacing w:line="240" w:lineRule="atLeast"/>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 发生安全事故。</w:t>
            </w:r>
          </w:p>
          <w:p w14:paraId="0D3ECF83">
            <w:pPr>
              <w:spacing w:line="240" w:lineRule="atLeast"/>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 抽查有三次以上 (含三次) 未对外开放。</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A4B9E">
            <w:pPr>
              <w:spacing w:line="240" w:lineRule="atLeast"/>
              <w:jc w:val="center"/>
              <w:rPr>
                <w:rFonts w:hint="eastAsia" w:asciiTheme="minorEastAsia" w:hAnsiTheme="minorEastAsia" w:eastAsiaTheme="minorEastAsia" w:cstheme="minorEastAsia"/>
                <w:sz w:val="21"/>
                <w:szCs w:val="21"/>
                <w:highlight w:val="none"/>
                <w:lang w:val="en-US" w:eastAsia="zh-CN"/>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880E">
            <w:pPr>
              <w:spacing w:line="240" w:lineRule="atLeast"/>
              <w:jc w:val="center"/>
              <w:rPr>
                <w:rFonts w:hint="eastAsia" w:asciiTheme="minorEastAsia" w:hAnsiTheme="minorEastAsia" w:eastAsiaTheme="minorEastAsia" w:cstheme="minorEastAsia"/>
                <w:sz w:val="21"/>
                <w:szCs w:val="21"/>
                <w:highlight w:val="none"/>
                <w:lang w:val="en-US" w:eastAsia="zh-CN"/>
              </w:rPr>
            </w:pPr>
          </w:p>
        </w:tc>
      </w:tr>
      <w:tr w14:paraId="0FBD9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EF6DA">
            <w:pPr>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总分</w:t>
            </w:r>
          </w:p>
        </w:tc>
        <w:tc>
          <w:tcPr>
            <w:tcW w:w="5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E1BF9">
            <w:pPr>
              <w:spacing w:line="240" w:lineRule="atLeast"/>
              <w:jc w:val="center"/>
              <w:rPr>
                <w:rFonts w:hint="eastAsia" w:asciiTheme="minorEastAsia" w:hAnsiTheme="minorEastAsia" w:eastAsiaTheme="minorEastAsia" w:cstheme="minorEastAsia"/>
                <w:sz w:val="21"/>
                <w:szCs w:val="21"/>
                <w:highlight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71D0">
            <w:pPr>
              <w:spacing w:line="240" w:lineRule="atLeast"/>
              <w:jc w:val="center"/>
              <w:rPr>
                <w:rFonts w:hint="eastAsia" w:asciiTheme="minorEastAsia" w:hAnsiTheme="minorEastAsia" w:eastAsiaTheme="minorEastAsia" w:cstheme="minorEastAsia"/>
                <w:sz w:val="21"/>
                <w:szCs w:val="21"/>
                <w:highlight w:val="none"/>
                <w:lang w:val="en-US" w:eastAsia="zh-CN"/>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27569">
            <w:pPr>
              <w:spacing w:line="240" w:lineRule="atLeast"/>
              <w:jc w:val="center"/>
              <w:rPr>
                <w:rFonts w:hint="eastAsia" w:asciiTheme="minorEastAsia" w:hAnsiTheme="minorEastAsia" w:eastAsiaTheme="minorEastAsia" w:cstheme="minorEastAsia"/>
                <w:sz w:val="21"/>
                <w:szCs w:val="21"/>
                <w:highlight w:val="none"/>
                <w:lang w:val="en-US" w:eastAsia="zh-CN"/>
              </w:rPr>
            </w:pPr>
          </w:p>
        </w:tc>
      </w:tr>
    </w:tbl>
    <w:p w14:paraId="089F9840">
      <w:pPr>
        <w:rPr>
          <w:rFonts w:hint="eastAsia" w:asciiTheme="minorEastAsia" w:hAnsiTheme="minorEastAsia" w:eastAsiaTheme="minorEastAsia" w:cstheme="minorEastAsia"/>
          <w:sz w:val="32"/>
          <w:highlight w:val="none"/>
        </w:rPr>
      </w:pPr>
      <w:r>
        <w:rPr>
          <w:rFonts w:hint="eastAsia" w:asciiTheme="minorEastAsia" w:hAnsiTheme="minorEastAsia" w:eastAsiaTheme="minorEastAsia" w:cstheme="minorEastAsia"/>
          <w:sz w:val="24"/>
          <w:highlight w:val="none"/>
          <w:lang w:val="en-US" w:eastAsia="zh-CN"/>
        </w:rPr>
        <w:t>注：甲方有权根据项目实际实施情况调整检查表，乙方不得拒绝。</w:t>
      </w:r>
      <w:r>
        <w:rPr>
          <w:rFonts w:hint="eastAsia" w:asciiTheme="minorEastAsia" w:hAnsiTheme="minorEastAsia" w:eastAsiaTheme="minorEastAsia" w:cstheme="minorEastAsia"/>
          <w:sz w:val="32"/>
          <w:highlight w:val="none"/>
        </w:rPr>
        <w:br w:type="page"/>
      </w:r>
    </w:p>
    <w:p w14:paraId="1E0E87E0">
      <w:pPr>
        <w:pStyle w:val="3"/>
        <w:numPr>
          <w:ilvl w:val="0"/>
          <w:numId w:val="0"/>
        </w:numPr>
        <w:shd w:val="clear"/>
        <w:spacing w:after="120"/>
        <w:jc w:val="center"/>
        <w:rPr>
          <w:rFonts w:hint="eastAsia" w:asciiTheme="minorEastAsia" w:hAnsiTheme="minorEastAsia" w:eastAsiaTheme="minorEastAsia" w:cstheme="minorEastAsia"/>
          <w:b w:val="0"/>
          <w:sz w:val="32"/>
          <w:highlight w:val="none"/>
        </w:rPr>
      </w:pPr>
      <w:r>
        <w:rPr>
          <w:rFonts w:hint="eastAsia" w:asciiTheme="minorEastAsia" w:hAnsiTheme="minorEastAsia" w:eastAsiaTheme="minorEastAsia" w:cstheme="minorEastAsia"/>
          <w:sz w:val="32"/>
          <w:highlight w:val="none"/>
        </w:rPr>
        <w:t>第六部分、评标办法</w:t>
      </w:r>
    </w:p>
    <w:p w14:paraId="67C6E0E6">
      <w:pPr>
        <w:shd w:val="clear"/>
        <w:spacing w:line="44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03517F2C">
      <w:pPr>
        <w:shd w:val="clear"/>
        <w:spacing w:line="44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一、总  则</w:t>
      </w:r>
    </w:p>
    <w:p w14:paraId="4097A5F1">
      <w:pPr>
        <w:shd w:val="clear"/>
        <w:spacing w:line="44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报价文件、技术资信要求，对投标文件进行综合评定，提出优选方案，编写评标报告。对落标单位，评委会不作任何落标解释。投标人不得以任何方式干扰招投标工作的进行，一经发现其投标文件将被否决。</w:t>
      </w:r>
    </w:p>
    <w:p w14:paraId="45B172A8">
      <w:pPr>
        <w:shd w:val="clear"/>
        <w:spacing w:line="44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二、评标组织</w:t>
      </w:r>
    </w:p>
    <w:p w14:paraId="1C5FCB7D">
      <w:pPr>
        <w:shd w:val="clear"/>
        <w:spacing w:line="44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评标工作由评标委员会负责，评标全过程由有关部门指导监督。</w:t>
      </w:r>
    </w:p>
    <w:p w14:paraId="78B1B7D6">
      <w:pPr>
        <w:shd w:val="clear"/>
        <w:spacing w:line="44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三、评标程序</w:t>
      </w:r>
    </w:p>
    <w:p w14:paraId="4C9ADD7C">
      <w:pPr>
        <w:shd w:val="clear"/>
        <w:spacing w:line="44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评标委员会对合格投标人的</w:t>
      </w:r>
      <w:r>
        <w:rPr>
          <w:rFonts w:hint="eastAsia" w:asciiTheme="minorEastAsia" w:hAnsiTheme="minorEastAsia" w:eastAsiaTheme="minorEastAsia" w:cstheme="minorEastAsia"/>
          <w:sz w:val="21"/>
          <w:szCs w:val="21"/>
          <w:highlight w:val="none"/>
          <w:lang w:eastAsia="zh-CN"/>
        </w:rPr>
        <w:t>商务与技术文件</w:t>
      </w:r>
      <w:r>
        <w:rPr>
          <w:rFonts w:hint="eastAsia" w:asciiTheme="minorEastAsia" w:hAnsiTheme="minorEastAsia" w:eastAsiaTheme="minorEastAsia" w:cstheme="minorEastAsia"/>
          <w:sz w:val="21"/>
          <w:szCs w:val="21"/>
          <w:highlight w:val="none"/>
        </w:rPr>
        <w:t>进行评审；</w:t>
      </w:r>
      <w:r>
        <w:rPr>
          <w:rFonts w:hint="eastAsia" w:asciiTheme="minorEastAsia" w:hAnsiTheme="minorEastAsia" w:eastAsiaTheme="minorEastAsia" w:cstheme="minorEastAsia"/>
          <w:sz w:val="21"/>
          <w:szCs w:val="21"/>
          <w:highlight w:val="none"/>
          <w:lang w:eastAsia="zh-CN"/>
        </w:rPr>
        <w:t>商务与技术文件</w:t>
      </w:r>
      <w:r>
        <w:rPr>
          <w:rFonts w:hint="eastAsia" w:asciiTheme="minorEastAsia" w:hAnsiTheme="minorEastAsia" w:eastAsiaTheme="minorEastAsia" w:cstheme="minorEastAsia"/>
          <w:sz w:val="21"/>
          <w:szCs w:val="21"/>
          <w:highlight w:val="none"/>
        </w:rPr>
        <w:t>评审结束后即公布投标人技术资信得分情况，之后评审报价文件；对报价文件评审后，根据综合评审结果，提交评审报告。</w:t>
      </w:r>
    </w:p>
    <w:p w14:paraId="68941F33">
      <w:pPr>
        <w:shd w:val="clear"/>
        <w:spacing w:line="440" w:lineRule="exact"/>
        <w:ind w:firstLine="517" w:firstLineChars="245"/>
        <w:rPr>
          <w:rFonts w:hint="eastAsia" w:asciiTheme="minorEastAsia" w:hAnsiTheme="minorEastAsia" w:eastAsiaTheme="minorEastAsia" w:cstheme="minorEastAsia"/>
          <w:b/>
          <w:sz w:val="21"/>
          <w:szCs w:val="21"/>
          <w:highlight w:val="none"/>
          <w:lang w:val="zh-CN"/>
        </w:rPr>
      </w:pPr>
      <w:r>
        <w:rPr>
          <w:rFonts w:hint="eastAsia" w:asciiTheme="minorEastAsia" w:hAnsiTheme="minorEastAsia" w:eastAsiaTheme="minorEastAsia" w:cstheme="minorEastAsia"/>
          <w:b/>
          <w:sz w:val="21"/>
          <w:szCs w:val="21"/>
          <w:highlight w:val="none"/>
          <w:lang w:val="en-US" w:eastAsia="zh-CN"/>
        </w:rPr>
        <w:t>四</w:t>
      </w:r>
      <w:r>
        <w:rPr>
          <w:rFonts w:hint="eastAsia" w:asciiTheme="minorEastAsia" w:hAnsiTheme="minorEastAsia" w:eastAsiaTheme="minorEastAsia" w:cstheme="minorEastAsia"/>
          <w:b/>
          <w:sz w:val="21"/>
          <w:szCs w:val="21"/>
          <w:highlight w:val="none"/>
          <w:lang w:val="zh-CN"/>
        </w:rPr>
        <w:t>、评标办法</w:t>
      </w:r>
    </w:p>
    <w:p w14:paraId="420C8ED5">
      <w:pPr>
        <w:shd w:val="clear"/>
        <w:spacing w:line="460" w:lineRule="exact"/>
        <w:ind w:firstLine="514"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sz w:val="21"/>
          <w:szCs w:val="21"/>
          <w:highlight w:val="none"/>
        </w:rPr>
        <w:t>1、本次采购采用综合评分法，即投标人最大限度地满足招标文件实质性要求的基础上，按照招标文件的各项因素进行综合评审后，</w:t>
      </w:r>
      <w:r>
        <w:rPr>
          <w:rFonts w:hint="eastAsia" w:asciiTheme="minorEastAsia" w:hAnsiTheme="minorEastAsia" w:eastAsiaTheme="minorEastAsia" w:cstheme="minorEastAsia"/>
          <w:color w:val="FF0000"/>
          <w:spacing w:val="10"/>
          <w:szCs w:val="21"/>
          <w:highlight w:val="none"/>
        </w:rPr>
        <w:t>根据评标总分高低排定顺序，推荐第一名</w:t>
      </w:r>
      <w:r>
        <w:rPr>
          <w:rFonts w:hint="eastAsia" w:asciiTheme="minorEastAsia" w:hAnsiTheme="minorEastAsia" w:eastAsiaTheme="minorEastAsia" w:cstheme="minorEastAsia"/>
          <w:color w:val="FF0000"/>
          <w:spacing w:val="10"/>
          <w:szCs w:val="21"/>
          <w:highlight w:val="none"/>
          <w:lang w:val="en-US" w:eastAsia="zh-CN"/>
        </w:rPr>
        <w:t>为中标</w:t>
      </w:r>
      <w:r>
        <w:rPr>
          <w:rFonts w:hint="eastAsia" w:asciiTheme="minorEastAsia" w:hAnsiTheme="minorEastAsia" w:eastAsiaTheme="minorEastAsia" w:cstheme="minorEastAsia"/>
          <w:color w:val="FF0000"/>
          <w:sz w:val="21"/>
          <w:szCs w:val="21"/>
          <w:highlight w:val="none"/>
          <w:lang w:val="zh-CN"/>
        </w:rPr>
        <w:t>供应商</w:t>
      </w:r>
      <w:r>
        <w:rPr>
          <w:rFonts w:hint="eastAsia" w:asciiTheme="minorEastAsia" w:hAnsiTheme="minorEastAsia" w:eastAsiaTheme="minorEastAsia" w:cstheme="minorEastAsia"/>
          <w:sz w:val="21"/>
          <w:szCs w:val="21"/>
          <w:highlight w:val="none"/>
        </w:rPr>
        <w:t>。根据采购要求，</w:t>
      </w:r>
      <w:r>
        <w:rPr>
          <w:rFonts w:hint="eastAsia" w:asciiTheme="minorEastAsia" w:hAnsiTheme="minorEastAsia" w:eastAsiaTheme="minorEastAsia" w:cstheme="minorEastAsia"/>
          <w:b/>
          <w:sz w:val="21"/>
          <w:szCs w:val="21"/>
          <w:highlight w:val="none"/>
        </w:rPr>
        <w:t>总分设定为100分：其中</w:t>
      </w:r>
      <w:r>
        <w:rPr>
          <w:rFonts w:hint="eastAsia" w:asciiTheme="minorEastAsia" w:hAnsiTheme="minorEastAsia" w:eastAsiaTheme="minorEastAsia" w:cstheme="minorEastAsia"/>
          <w:b/>
          <w:sz w:val="21"/>
          <w:szCs w:val="21"/>
          <w:highlight w:val="none"/>
          <w:lang w:eastAsia="zh-CN"/>
        </w:rPr>
        <w:t>商务与技术文件</w:t>
      </w:r>
      <w:r>
        <w:rPr>
          <w:rFonts w:hint="eastAsia" w:asciiTheme="minorEastAsia" w:hAnsiTheme="minorEastAsia" w:eastAsiaTheme="minorEastAsia" w:cstheme="minorEastAsia"/>
          <w:b/>
          <w:sz w:val="21"/>
          <w:szCs w:val="21"/>
          <w:highlight w:val="none"/>
          <w:lang w:val="en-US" w:eastAsia="zh-CN"/>
        </w:rPr>
        <w:t>80</w:t>
      </w:r>
      <w:r>
        <w:rPr>
          <w:rFonts w:hint="eastAsia" w:asciiTheme="minorEastAsia" w:hAnsiTheme="minorEastAsia" w:eastAsiaTheme="minorEastAsia" w:cstheme="minorEastAsia"/>
          <w:b/>
          <w:sz w:val="21"/>
          <w:szCs w:val="21"/>
          <w:highlight w:val="none"/>
        </w:rPr>
        <w:t>分（权值</w:t>
      </w:r>
      <w:r>
        <w:rPr>
          <w:rFonts w:hint="eastAsia" w:asciiTheme="minorEastAsia" w:hAnsiTheme="minorEastAsia" w:eastAsiaTheme="minorEastAsia" w:cstheme="minorEastAsia"/>
          <w:b/>
          <w:sz w:val="21"/>
          <w:szCs w:val="21"/>
          <w:highlight w:val="none"/>
          <w:lang w:val="en-US" w:eastAsia="zh-CN"/>
        </w:rPr>
        <w:t>80</w:t>
      </w:r>
      <w:r>
        <w:rPr>
          <w:rFonts w:hint="eastAsia" w:asciiTheme="minorEastAsia" w:hAnsiTheme="minorEastAsia" w:eastAsiaTheme="minorEastAsia" w:cstheme="minorEastAsia"/>
          <w:b/>
          <w:sz w:val="21"/>
          <w:szCs w:val="21"/>
          <w:highlight w:val="none"/>
        </w:rPr>
        <w:t>%），报价评分</w:t>
      </w:r>
      <w:r>
        <w:rPr>
          <w:rFonts w:hint="eastAsia" w:asciiTheme="minorEastAsia" w:hAnsiTheme="minorEastAsia" w:eastAsiaTheme="minorEastAsia" w:cstheme="minorEastAsia"/>
          <w:b/>
          <w:sz w:val="21"/>
          <w:szCs w:val="21"/>
          <w:highlight w:val="none"/>
          <w:lang w:val="en-US" w:eastAsia="zh-CN"/>
        </w:rPr>
        <w:t>20</w:t>
      </w:r>
      <w:r>
        <w:rPr>
          <w:rFonts w:hint="eastAsia" w:asciiTheme="minorEastAsia" w:hAnsiTheme="minorEastAsia" w:eastAsiaTheme="minorEastAsia" w:cstheme="minorEastAsia"/>
          <w:b/>
          <w:sz w:val="21"/>
          <w:szCs w:val="21"/>
          <w:highlight w:val="none"/>
        </w:rPr>
        <w:t>分（权值</w:t>
      </w:r>
      <w:r>
        <w:rPr>
          <w:rFonts w:hint="eastAsia" w:asciiTheme="minorEastAsia" w:hAnsiTheme="minorEastAsia" w:eastAsiaTheme="minorEastAsia" w:cstheme="minorEastAsia"/>
          <w:b/>
          <w:sz w:val="21"/>
          <w:szCs w:val="21"/>
          <w:highlight w:val="none"/>
          <w:lang w:val="en-US" w:eastAsia="zh-CN"/>
        </w:rPr>
        <w:t>20</w:t>
      </w:r>
      <w:r>
        <w:rPr>
          <w:rFonts w:hint="eastAsia" w:asciiTheme="minorEastAsia" w:hAnsiTheme="minorEastAsia" w:eastAsiaTheme="minorEastAsia" w:cstheme="minorEastAsia"/>
          <w:b/>
          <w:sz w:val="21"/>
          <w:szCs w:val="21"/>
          <w:highlight w:val="none"/>
        </w:rPr>
        <w:t>%）。</w:t>
      </w:r>
    </w:p>
    <w:p w14:paraId="0D9B1F56">
      <w:pPr>
        <w:shd w:val="clear"/>
        <w:spacing w:line="46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2、投标文件递交截止时间止及评审期间，出现有效供应商不足3家情况的，此项目流标，重新组织招标。</w:t>
      </w:r>
    </w:p>
    <w:p w14:paraId="04771F83">
      <w:pPr>
        <w:shd w:val="clear"/>
        <w:spacing w:line="46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五</w:t>
      </w:r>
      <w:r>
        <w:rPr>
          <w:rFonts w:hint="eastAsia" w:asciiTheme="minorEastAsia" w:hAnsiTheme="minorEastAsia" w:eastAsiaTheme="minorEastAsia" w:cstheme="minorEastAsia"/>
          <w:b/>
          <w:sz w:val="21"/>
          <w:szCs w:val="21"/>
          <w:highlight w:val="none"/>
        </w:rPr>
        <w:t>、评分细则</w:t>
      </w:r>
    </w:p>
    <w:p w14:paraId="2E6A4184">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各评委成员按下列评分项目进行评判。投标文件各项评分内容由评标委员会成员各自评分</w:t>
      </w:r>
      <w:r>
        <w:rPr>
          <w:rFonts w:hint="eastAsia" w:asciiTheme="minorEastAsia" w:hAnsiTheme="minorEastAsia" w:eastAsiaTheme="minorEastAsia" w:cstheme="minorEastAsia"/>
          <w:sz w:val="21"/>
          <w:szCs w:val="21"/>
          <w:highlight w:val="none"/>
          <w:lang w:eastAsia="zh-CN"/>
        </w:rPr>
        <w:t>（小数点后保留一位小数）</w:t>
      </w:r>
      <w:r>
        <w:rPr>
          <w:rFonts w:hint="eastAsia" w:asciiTheme="minorEastAsia" w:hAnsiTheme="minorEastAsia" w:eastAsiaTheme="minorEastAsia" w:cstheme="minorEastAsia"/>
          <w:sz w:val="21"/>
          <w:szCs w:val="21"/>
          <w:highlight w:val="none"/>
        </w:rPr>
        <w:t>。各评标委员会成员对各投标人的各项评分内容评分的算术平均值为各投标人技术资信分得分（小数点后保留2位，第三位四舍五入）。</w:t>
      </w:r>
    </w:p>
    <w:tbl>
      <w:tblPr>
        <w:tblStyle w:val="78"/>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4"/>
        <w:gridCol w:w="1310"/>
        <w:gridCol w:w="6906"/>
        <w:gridCol w:w="784"/>
      </w:tblGrid>
      <w:tr w14:paraId="4B61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9" w:hRule="atLeast"/>
        </w:trPr>
        <w:tc>
          <w:tcPr>
            <w:tcW w:w="1954" w:type="dxa"/>
            <w:gridSpan w:val="2"/>
            <w:shd w:val="clear" w:color="auto" w:fill="auto"/>
            <w:vAlign w:val="center"/>
          </w:tcPr>
          <w:p w14:paraId="721B72A4">
            <w:pPr>
              <w:pStyle w:val="95"/>
              <w:shd w:val="clear"/>
              <w:spacing w:line="360" w:lineRule="auto"/>
              <w:ind w:left="0" w:leftChars="0" w:firstLine="0" w:firstLineChars="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评审项目</w:t>
            </w:r>
          </w:p>
        </w:tc>
        <w:tc>
          <w:tcPr>
            <w:tcW w:w="6906" w:type="dxa"/>
            <w:shd w:val="clear" w:color="auto" w:fill="auto"/>
            <w:vAlign w:val="center"/>
          </w:tcPr>
          <w:p w14:paraId="2F5A0990">
            <w:pPr>
              <w:pStyle w:val="95"/>
              <w:shd w:val="clear"/>
              <w:spacing w:line="360" w:lineRule="auto"/>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评审标准</w:t>
            </w:r>
          </w:p>
        </w:tc>
        <w:tc>
          <w:tcPr>
            <w:tcW w:w="784" w:type="dxa"/>
            <w:shd w:val="clear" w:color="auto" w:fill="auto"/>
            <w:vAlign w:val="center"/>
          </w:tcPr>
          <w:p w14:paraId="78AC18EE">
            <w:pPr>
              <w:pStyle w:val="95"/>
              <w:shd w:val="clear"/>
              <w:spacing w:line="360" w:lineRule="auto"/>
              <w:ind w:left="0" w:leftChars="0" w:firstLine="0" w:firstLineChars="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分</w:t>
            </w:r>
            <w:r>
              <w:rPr>
                <w:rFonts w:hint="eastAsia" w:asciiTheme="minorEastAsia" w:hAnsiTheme="minorEastAsia" w:eastAsiaTheme="minorEastAsia" w:cstheme="minorEastAsia"/>
                <w:color w:val="auto"/>
                <w:sz w:val="21"/>
                <w:szCs w:val="21"/>
                <w:highlight w:val="none"/>
              </w:rPr>
              <w:t>值</w:t>
            </w:r>
          </w:p>
        </w:tc>
      </w:tr>
      <w:tr w14:paraId="5B4D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63" w:hRule="atLeast"/>
        </w:trPr>
        <w:tc>
          <w:tcPr>
            <w:tcW w:w="644" w:type="dxa"/>
            <w:vMerge w:val="restart"/>
            <w:shd w:val="clear" w:color="auto" w:fill="auto"/>
            <w:vAlign w:val="center"/>
          </w:tcPr>
          <w:p w14:paraId="776A37FE">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p w14:paraId="248E618B">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p w14:paraId="0A5C0279">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p w14:paraId="3686B6E5">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p w14:paraId="6889C4B0">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p w14:paraId="3854AE1E">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p w14:paraId="6264454F">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p w14:paraId="5D98F34E">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p w14:paraId="425C0B52">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商务与技术文件得分</w:t>
            </w:r>
          </w:p>
          <w:p w14:paraId="4B4EF2F3">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（80分）</w:t>
            </w:r>
          </w:p>
        </w:tc>
        <w:tc>
          <w:tcPr>
            <w:tcW w:w="1310" w:type="dxa"/>
            <w:shd w:val="clear" w:color="auto" w:fill="auto"/>
            <w:vAlign w:val="center"/>
          </w:tcPr>
          <w:p w14:paraId="3C7E8EA1">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p w14:paraId="38E38AB3">
            <w:pPr>
              <w:numPr>
                <w:ilvl w:val="0"/>
                <w:numId w:val="0"/>
              </w:numPr>
              <w:shd w:val="clear"/>
              <w:spacing w:line="360" w:lineRule="auto"/>
              <w:ind w:left="0" w:leftChars="0"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类似业绩 </w:t>
            </w:r>
          </w:p>
        </w:tc>
        <w:tc>
          <w:tcPr>
            <w:tcW w:w="6906" w:type="dxa"/>
            <w:shd w:val="clear" w:color="auto" w:fill="auto"/>
            <w:vAlign w:val="center"/>
          </w:tcPr>
          <w:p w14:paraId="1584AC49">
            <w:pPr>
              <w:shd w:val="clear"/>
              <w:spacing w:line="36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投标人 2021 年 1 月 1 日至招标公告发布之日（以合同签订时间为准） 承接过居家养老服务中心或居家养老服务照料中心托管运营服务业绩的，每提供一个业绩的得1分，最高得 2 分。 </w:t>
            </w:r>
          </w:p>
          <w:p w14:paraId="4DEE0F7E">
            <w:pPr>
              <w:shd w:val="clear"/>
              <w:spacing w:line="36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（上述评分项相关证明资料原件扫描件加盖公章编入投标文件，未提供不得分。若投标人提供2份及以上合同，合同业主、项目名称均相同又分多个年份签订的，按一个业绩计算）。</w:t>
            </w:r>
          </w:p>
        </w:tc>
        <w:tc>
          <w:tcPr>
            <w:tcW w:w="784" w:type="dxa"/>
            <w:shd w:val="clear" w:color="auto" w:fill="auto"/>
            <w:vAlign w:val="center"/>
          </w:tcPr>
          <w:p w14:paraId="06169E47">
            <w:pPr>
              <w:pStyle w:val="27"/>
              <w:shd w:val="clear"/>
              <w:spacing w:line="360" w:lineRule="auto"/>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kern w:val="2"/>
                <w:sz w:val="21"/>
                <w:szCs w:val="21"/>
                <w:highlight w:val="none"/>
                <w:vertAlign w:val="baseline"/>
                <w:lang w:val="en-US" w:eastAsia="zh-CN" w:bidi="ar-SA"/>
              </w:rPr>
              <w:t>0-2分</w:t>
            </w:r>
          </w:p>
        </w:tc>
      </w:tr>
      <w:tr w14:paraId="2FD4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95" w:hRule="atLeast"/>
        </w:trPr>
        <w:tc>
          <w:tcPr>
            <w:tcW w:w="644" w:type="dxa"/>
            <w:vMerge w:val="continue"/>
            <w:shd w:val="clear" w:color="auto" w:fill="auto"/>
            <w:vAlign w:val="center"/>
          </w:tcPr>
          <w:p w14:paraId="4AE48385">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shd w:val="clear" w:color="auto" w:fill="auto"/>
            <w:vAlign w:val="center"/>
          </w:tcPr>
          <w:p w14:paraId="38593408">
            <w:pPr>
              <w:numPr>
                <w:ilvl w:val="0"/>
                <w:numId w:val="0"/>
              </w:numPr>
              <w:shd w:val="clear"/>
              <w:spacing w:line="360"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体系认证</w:t>
            </w:r>
          </w:p>
          <w:p w14:paraId="571A5BA9">
            <w:pPr>
              <w:numPr>
                <w:ilvl w:val="0"/>
                <w:numId w:val="0"/>
              </w:numPr>
              <w:shd w:val="clear"/>
              <w:spacing w:line="360"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p>
        </w:tc>
        <w:tc>
          <w:tcPr>
            <w:tcW w:w="6906" w:type="dxa"/>
            <w:shd w:val="clear" w:color="auto" w:fill="auto"/>
            <w:vAlign w:val="center"/>
          </w:tcPr>
          <w:p w14:paraId="3ACDE58E">
            <w:pPr>
              <w:shd w:val="clear"/>
              <w:spacing w:line="36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投标人具有有效的 ISO9001 质量管理体系认证、ISO14001 环境管理体系认证、ISO45001 职业健康安全管理体系认证，每提供 1 个认证得 2 分，最高得 6分。 </w:t>
            </w:r>
          </w:p>
          <w:p w14:paraId="1D282C00">
            <w:pPr>
              <w:shd w:val="clear"/>
              <w:spacing w:line="360" w:lineRule="auto"/>
              <w:ind w:firstLine="420" w:firstLineChars="200"/>
              <w:jc w:val="left"/>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sz w:val="21"/>
                <w:szCs w:val="21"/>
                <w:highlight w:val="none"/>
                <w:lang w:val="en-US" w:eastAsia="zh-CN"/>
              </w:rPr>
              <w:t>上述评分项证书原件扫描件加盖公章编入投标文件，未提供不得分。</w:t>
            </w:r>
          </w:p>
        </w:tc>
        <w:tc>
          <w:tcPr>
            <w:tcW w:w="784" w:type="dxa"/>
            <w:shd w:val="clear" w:color="auto" w:fill="auto"/>
            <w:vAlign w:val="center"/>
          </w:tcPr>
          <w:p w14:paraId="0B7CFBB3">
            <w:pPr>
              <w:pStyle w:val="27"/>
              <w:shd w:val="clear"/>
              <w:spacing w:line="360" w:lineRule="auto"/>
              <w:jc w:val="center"/>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kern w:val="2"/>
                <w:sz w:val="21"/>
                <w:szCs w:val="21"/>
                <w:highlight w:val="none"/>
                <w:vertAlign w:val="baseline"/>
                <w:lang w:val="en-US" w:eastAsia="zh-CN" w:bidi="ar-SA"/>
              </w:rPr>
              <w:t>0-6分</w:t>
            </w:r>
          </w:p>
        </w:tc>
      </w:tr>
      <w:tr w14:paraId="2E2E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44" w:type="dxa"/>
            <w:vMerge w:val="continue"/>
            <w:shd w:val="clear" w:color="auto" w:fill="auto"/>
            <w:vAlign w:val="center"/>
          </w:tcPr>
          <w:p w14:paraId="2CD3F80F">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vMerge w:val="restart"/>
            <w:shd w:val="clear" w:color="auto" w:fill="auto"/>
            <w:vAlign w:val="top"/>
          </w:tcPr>
          <w:p w14:paraId="532D8128">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p w14:paraId="640975E4">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p w14:paraId="683DFBE7">
            <w:pPr>
              <w:numPr>
                <w:ilvl w:val="0"/>
                <w:numId w:val="0"/>
              </w:numPr>
              <w:shd w:val="clear"/>
              <w:spacing w:line="360"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p>
          <w:p w14:paraId="73780EB6">
            <w:pPr>
              <w:numPr>
                <w:ilvl w:val="0"/>
                <w:numId w:val="0"/>
              </w:numPr>
              <w:shd w:val="clear"/>
              <w:spacing w:line="360" w:lineRule="auto"/>
              <w:ind w:left="0" w:leftChars="0" w:firstLine="0" w:firstLineChars="0"/>
              <w:jc w:val="center"/>
              <w:rPr>
                <w:rFonts w:hint="eastAsia" w:asciiTheme="minorEastAsia" w:hAnsiTheme="minorEastAsia" w:eastAsiaTheme="minorEastAsia" w:cstheme="minorEastAsia"/>
                <w:kern w:val="0"/>
                <w:sz w:val="21"/>
                <w:szCs w:val="21"/>
                <w:highlight w:val="none"/>
              </w:rPr>
            </w:pPr>
          </w:p>
          <w:p w14:paraId="449F8323">
            <w:pPr>
              <w:numPr>
                <w:ilvl w:val="0"/>
                <w:numId w:val="0"/>
              </w:numPr>
              <w:shd w:val="clear"/>
              <w:spacing w:line="360" w:lineRule="auto"/>
              <w:ind w:left="0" w:leftChars="0" w:firstLine="0" w:firstLineChars="0"/>
              <w:jc w:val="center"/>
              <w:rPr>
                <w:rFonts w:hint="eastAsia" w:asciiTheme="minorEastAsia" w:hAnsiTheme="minorEastAsia" w:eastAsiaTheme="minorEastAsia" w:cstheme="minorEastAsia"/>
                <w:kern w:val="0"/>
                <w:sz w:val="21"/>
                <w:szCs w:val="21"/>
                <w:highlight w:val="none"/>
              </w:rPr>
            </w:pPr>
          </w:p>
          <w:p w14:paraId="44FCF256">
            <w:pPr>
              <w:numPr>
                <w:ilvl w:val="0"/>
                <w:numId w:val="0"/>
              </w:numPr>
              <w:shd w:val="clear"/>
              <w:spacing w:line="360" w:lineRule="auto"/>
              <w:ind w:left="0" w:leftChars="0" w:firstLine="0" w:firstLineChars="0"/>
              <w:jc w:val="center"/>
              <w:rPr>
                <w:rFonts w:hint="eastAsia" w:asciiTheme="minorEastAsia" w:hAnsiTheme="minorEastAsia" w:eastAsiaTheme="minorEastAsia" w:cstheme="minorEastAsia"/>
                <w:kern w:val="0"/>
                <w:sz w:val="21"/>
                <w:szCs w:val="21"/>
                <w:highlight w:val="none"/>
              </w:rPr>
            </w:pPr>
          </w:p>
          <w:p w14:paraId="4FCC6FE4">
            <w:pPr>
              <w:numPr>
                <w:ilvl w:val="0"/>
                <w:numId w:val="0"/>
              </w:numPr>
              <w:shd w:val="clear"/>
              <w:spacing w:line="360" w:lineRule="auto"/>
              <w:ind w:left="0" w:leftChars="0" w:firstLine="0" w:firstLineChars="0"/>
              <w:jc w:val="center"/>
              <w:rPr>
                <w:rFonts w:hint="eastAsia" w:asciiTheme="minorEastAsia" w:hAnsiTheme="minorEastAsia" w:eastAsiaTheme="minorEastAsia" w:cstheme="minorEastAsia"/>
                <w:kern w:val="0"/>
                <w:sz w:val="21"/>
                <w:szCs w:val="21"/>
                <w:highlight w:val="none"/>
              </w:rPr>
            </w:pPr>
          </w:p>
          <w:p w14:paraId="34896064">
            <w:pPr>
              <w:numPr>
                <w:ilvl w:val="0"/>
                <w:numId w:val="0"/>
              </w:numPr>
              <w:shd w:val="clear"/>
              <w:spacing w:line="360" w:lineRule="auto"/>
              <w:ind w:left="0" w:lef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项目实施团队</w:t>
            </w:r>
          </w:p>
        </w:tc>
        <w:tc>
          <w:tcPr>
            <w:tcW w:w="6906" w:type="dxa"/>
            <w:shd w:val="clear" w:color="auto" w:fill="auto"/>
            <w:vAlign w:val="top"/>
          </w:tcPr>
          <w:p w14:paraId="763B495F">
            <w:pPr>
              <w:shd w:val="clear"/>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根据投标人拟派遣的项目负责人工作经验（例：项目管理经验、专业知识掌握熟悉程度等）、资格能力（例：国家职业资格证书、职业技能等级证书等）等进行评分。 </w:t>
            </w:r>
          </w:p>
          <w:p w14:paraId="656A3C26">
            <w:pPr>
              <w:shd w:val="clear"/>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①项目负责人工作经验丰富，资格能力优异，得4.0-3.1 分； </w:t>
            </w:r>
          </w:p>
          <w:p w14:paraId="020AD0A3">
            <w:pPr>
              <w:shd w:val="clear"/>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②项目负责人相关工作经验丰富，资格能力强，得 3.0-1.1 分； </w:t>
            </w:r>
          </w:p>
          <w:p w14:paraId="287B4C8B">
            <w:pPr>
              <w:shd w:val="clea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③项目负责人相关工作经验不足，得 1.0-0.1 分。</w:t>
            </w:r>
          </w:p>
        </w:tc>
        <w:tc>
          <w:tcPr>
            <w:tcW w:w="784" w:type="dxa"/>
            <w:shd w:val="clear" w:color="auto" w:fill="auto"/>
            <w:vAlign w:val="center"/>
          </w:tcPr>
          <w:p w14:paraId="6B0FD921">
            <w:pPr>
              <w:shd w:val="clear"/>
              <w:spacing w:line="360" w:lineRule="auto"/>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0-4分</w:t>
            </w:r>
          </w:p>
        </w:tc>
      </w:tr>
      <w:tr w14:paraId="0987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60" w:hRule="atLeast"/>
        </w:trPr>
        <w:tc>
          <w:tcPr>
            <w:tcW w:w="644" w:type="dxa"/>
            <w:vMerge w:val="continue"/>
            <w:shd w:val="clear" w:color="auto" w:fill="auto"/>
            <w:vAlign w:val="center"/>
          </w:tcPr>
          <w:p w14:paraId="3BBA079A">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vMerge w:val="continue"/>
            <w:shd w:val="clear" w:color="auto" w:fill="auto"/>
            <w:vAlign w:val="top"/>
          </w:tcPr>
          <w:p w14:paraId="3FEBE261">
            <w:pPr>
              <w:numPr>
                <w:ilvl w:val="0"/>
                <w:numId w:val="0"/>
              </w:numPr>
              <w:shd w:val="clear"/>
              <w:spacing w:line="360" w:lineRule="auto"/>
              <w:ind w:left="0" w:leftChars="0" w:firstLine="0" w:firstLineChars="0"/>
              <w:jc w:val="center"/>
              <w:rPr>
                <w:rFonts w:hint="eastAsia" w:asciiTheme="minorEastAsia" w:hAnsiTheme="minorEastAsia" w:eastAsiaTheme="minorEastAsia" w:cstheme="minorEastAsia"/>
                <w:kern w:val="0"/>
                <w:sz w:val="21"/>
                <w:szCs w:val="21"/>
                <w:highlight w:val="none"/>
              </w:rPr>
            </w:pPr>
          </w:p>
        </w:tc>
        <w:tc>
          <w:tcPr>
            <w:tcW w:w="6906" w:type="dxa"/>
            <w:shd w:val="clear" w:color="auto" w:fill="auto"/>
            <w:vAlign w:val="center"/>
          </w:tcPr>
          <w:p w14:paraId="05FE9A4F">
            <w:pPr>
              <w:shd w:val="clea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根据投标人拟派遣的服务人员（除项目负责人外），满足项目需求人员配置要求，工作经验（例：项目经验、专业知识掌握熟悉程度等）、资格能力（例：国家职业资格证书、职业技能等级证书等）、岗位配置是否科学、合理、完整等进行评分。</w:t>
            </w:r>
          </w:p>
          <w:p w14:paraId="3E0DC736">
            <w:pPr>
              <w:shd w:val="clear"/>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①服务人员相关经验丰富，资格能力优异，岗位配置合理，得7.0-5.1 分； </w:t>
            </w:r>
          </w:p>
          <w:p w14:paraId="52ADBC5F">
            <w:pPr>
              <w:shd w:val="clear"/>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②服务人员相关经验较丰富，资格能力较强，岗位配置较合理，得 5.0-3.1 分； </w:t>
            </w:r>
          </w:p>
          <w:p w14:paraId="01F67C7C">
            <w:pPr>
              <w:shd w:val="clea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③务人员相关经验不足，资格能力不够，岗位配置较差，得 3.0-0.1 分；</w:t>
            </w:r>
          </w:p>
        </w:tc>
        <w:tc>
          <w:tcPr>
            <w:tcW w:w="784" w:type="dxa"/>
            <w:shd w:val="clear" w:color="auto" w:fill="auto"/>
            <w:vAlign w:val="center"/>
          </w:tcPr>
          <w:p w14:paraId="270810D7">
            <w:pPr>
              <w:widowControl/>
              <w:shd w:val="clear"/>
              <w:spacing w:line="360" w:lineRule="auto"/>
              <w:jc w:val="center"/>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0-7</w:t>
            </w:r>
            <w:r>
              <w:rPr>
                <w:rFonts w:hint="eastAsia" w:asciiTheme="minorEastAsia" w:hAnsiTheme="minorEastAsia" w:eastAsiaTheme="minorEastAsia" w:cstheme="minorEastAsia"/>
                <w:kern w:val="0"/>
                <w:sz w:val="21"/>
                <w:szCs w:val="21"/>
                <w:highlight w:val="none"/>
              </w:rPr>
              <w:t>分</w:t>
            </w:r>
          </w:p>
        </w:tc>
      </w:tr>
      <w:tr w14:paraId="111F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44" w:type="dxa"/>
            <w:vMerge w:val="continue"/>
            <w:shd w:val="clear" w:color="auto" w:fill="auto"/>
            <w:vAlign w:val="center"/>
          </w:tcPr>
          <w:p w14:paraId="5E041F42">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vMerge w:val="restart"/>
            <w:shd w:val="clear" w:color="auto" w:fill="auto"/>
            <w:vAlign w:val="center"/>
          </w:tcPr>
          <w:p w14:paraId="69D11647">
            <w:pPr>
              <w:shd w:val="clea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项目实施方案</w:t>
            </w:r>
          </w:p>
          <w:p w14:paraId="370137F5">
            <w:pPr>
              <w:shd w:val="clear"/>
              <w:spacing w:line="360" w:lineRule="auto"/>
              <w:rPr>
                <w:rFonts w:hint="eastAsia" w:asciiTheme="minorEastAsia" w:hAnsiTheme="minorEastAsia" w:eastAsiaTheme="minorEastAsia" w:cstheme="minorEastAsia"/>
                <w:sz w:val="21"/>
                <w:szCs w:val="21"/>
                <w:highlight w:val="none"/>
              </w:rPr>
            </w:pPr>
          </w:p>
        </w:tc>
        <w:tc>
          <w:tcPr>
            <w:tcW w:w="6906" w:type="dxa"/>
            <w:shd w:val="clear" w:color="auto" w:fill="auto"/>
            <w:vAlign w:val="center"/>
          </w:tcPr>
          <w:p w14:paraId="1E3AD357">
            <w:pPr>
              <w:shd w:val="clea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根据投标人对本项目的服务目标定位是否明确且合理进行综合评分：</w:t>
            </w:r>
          </w:p>
          <w:p w14:paraId="314B6D2A">
            <w:pPr>
              <w:shd w:val="clea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①服务目标定位清晰合理得 6.0-4.1 分，</w:t>
            </w:r>
          </w:p>
          <w:p w14:paraId="08A652AE">
            <w:pPr>
              <w:shd w:val="clea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②服务目标定位基本明确得 4.0-2.1分，</w:t>
            </w:r>
          </w:p>
          <w:p w14:paraId="088D78D7">
            <w:pPr>
              <w:shd w:val="clea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③服务目标定位模糊得 2.0-0.1 分。</w:t>
            </w:r>
          </w:p>
        </w:tc>
        <w:tc>
          <w:tcPr>
            <w:tcW w:w="784" w:type="dxa"/>
            <w:shd w:val="clear" w:color="auto" w:fill="auto"/>
            <w:vAlign w:val="center"/>
          </w:tcPr>
          <w:p w14:paraId="40B1EE6E">
            <w:pPr>
              <w:widowControl/>
              <w:shd w:val="clear"/>
              <w:spacing w:line="360" w:lineRule="auto"/>
              <w:jc w:val="center"/>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0-6分</w:t>
            </w:r>
          </w:p>
        </w:tc>
      </w:tr>
      <w:tr w14:paraId="538A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73" w:hRule="atLeast"/>
        </w:trPr>
        <w:tc>
          <w:tcPr>
            <w:tcW w:w="644" w:type="dxa"/>
            <w:vMerge w:val="continue"/>
            <w:shd w:val="clear" w:color="auto" w:fill="auto"/>
            <w:vAlign w:val="center"/>
          </w:tcPr>
          <w:p w14:paraId="446876AC">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vMerge w:val="continue"/>
            <w:shd w:val="clear" w:color="auto" w:fill="auto"/>
            <w:vAlign w:val="center"/>
          </w:tcPr>
          <w:p w14:paraId="2D88AC7B">
            <w:pPr>
              <w:shd w:val="clear"/>
              <w:spacing w:line="360" w:lineRule="auto"/>
              <w:rPr>
                <w:rFonts w:hint="eastAsia" w:asciiTheme="minorEastAsia" w:hAnsiTheme="minorEastAsia" w:eastAsiaTheme="minorEastAsia" w:cstheme="minorEastAsia"/>
                <w:sz w:val="21"/>
                <w:szCs w:val="21"/>
                <w:highlight w:val="none"/>
                <w:lang w:val="en-US" w:eastAsia="zh-CN"/>
              </w:rPr>
            </w:pPr>
          </w:p>
        </w:tc>
        <w:tc>
          <w:tcPr>
            <w:tcW w:w="6906" w:type="dxa"/>
            <w:shd w:val="clear" w:color="auto" w:fill="auto"/>
            <w:vAlign w:val="center"/>
          </w:tcPr>
          <w:p w14:paraId="1230B58A">
            <w:pPr>
              <w:shd w:val="clea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根据投标人对本项目的优化服务方案、创新性建议等进行综合评分：</w:t>
            </w:r>
          </w:p>
          <w:p w14:paraId="17E01AF0">
            <w:pPr>
              <w:shd w:val="clea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①优化方案切实可行，创新性建议贴合实际具有可操作性得6.0-4.1 分，</w:t>
            </w:r>
          </w:p>
          <w:p w14:paraId="6B9B08BD">
            <w:pPr>
              <w:shd w:val="clea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②优化方案较简单但基本可行，创新性建议具有一定可行性得 4.0-2.1分，</w:t>
            </w:r>
          </w:p>
          <w:p w14:paraId="009DC722">
            <w:pPr>
              <w:shd w:val="clear"/>
              <w:spacing w:line="36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③优化方案简单可操作性不强，无创新性建议得2.0-0.1 分。</w:t>
            </w:r>
          </w:p>
        </w:tc>
        <w:tc>
          <w:tcPr>
            <w:tcW w:w="784" w:type="dxa"/>
            <w:shd w:val="clear" w:color="auto" w:fill="auto"/>
            <w:vAlign w:val="center"/>
          </w:tcPr>
          <w:p w14:paraId="73E52D2E">
            <w:pPr>
              <w:widowControl/>
              <w:shd w:val="clear"/>
              <w:spacing w:line="360" w:lineRule="auto"/>
              <w:jc w:val="center"/>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0-6分</w:t>
            </w:r>
          </w:p>
        </w:tc>
      </w:tr>
      <w:tr w14:paraId="4F2B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3" w:hRule="atLeast"/>
        </w:trPr>
        <w:tc>
          <w:tcPr>
            <w:tcW w:w="644" w:type="dxa"/>
            <w:vMerge w:val="continue"/>
            <w:shd w:val="clear" w:color="auto" w:fill="auto"/>
            <w:vAlign w:val="center"/>
          </w:tcPr>
          <w:p w14:paraId="3FE0549A">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vMerge w:val="continue"/>
            <w:shd w:val="clear" w:color="auto" w:fill="auto"/>
            <w:vAlign w:val="center"/>
          </w:tcPr>
          <w:p w14:paraId="5631197E">
            <w:pPr>
              <w:shd w:val="clear"/>
              <w:spacing w:line="360" w:lineRule="auto"/>
              <w:rPr>
                <w:rFonts w:hint="eastAsia" w:asciiTheme="minorEastAsia" w:hAnsiTheme="minorEastAsia" w:eastAsiaTheme="minorEastAsia" w:cstheme="minorEastAsia"/>
                <w:sz w:val="21"/>
                <w:szCs w:val="21"/>
                <w:highlight w:val="none"/>
                <w:lang w:val="en-US" w:eastAsia="zh-CN"/>
              </w:rPr>
            </w:pPr>
          </w:p>
        </w:tc>
        <w:tc>
          <w:tcPr>
            <w:tcW w:w="6906" w:type="dxa"/>
            <w:shd w:val="clear" w:color="auto" w:fill="auto"/>
            <w:vAlign w:val="center"/>
          </w:tcPr>
          <w:p w14:paraId="720A3395">
            <w:pPr>
              <w:shd w:val="clea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根据投标人对居家养老服务（照料）中心托管运营服务工作的了解情况，前期调研及理解程度进行综合评分：</w:t>
            </w:r>
          </w:p>
          <w:p w14:paraId="11C0CB82">
            <w:pPr>
              <w:shd w:val="clea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①对项目工程调研情况清楚，理解透彻，方案完善，整体思路清晰得 6.0-4.1 分，</w:t>
            </w:r>
          </w:p>
          <w:p w14:paraId="5CF1E613">
            <w:pPr>
              <w:shd w:val="clea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②项目调研情况简单，理解情况简单，方案简单，整体思路不够清晰得 4.0-2.1分；</w:t>
            </w:r>
          </w:p>
          <w:p w14:paraId="4C2968AE">
            <w:pPr>
              <w:shd w:val="clear"/>
              <w:spacing w:line="36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③对本项目调研情况简单，理解情况差，方案不完整得 2.0-0.1 分。</w:t>
            </w:r>
          </w:p>
        </w:tc>
        <w:tc>
          <w:tcPr>
            <w:tcW w:w="784" w:type="dxa"/>
            <w:shd w:val="clear" w:color="auto" w:fill="auto"/>
            <w:vAlign w:val="center"/>
          </w:tcPr>
          <w:p w14:paraId="23DD519A">
            <w:pPr>
              <w:shd w:val="clear"/>
              <w:spacing w:line="36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0-6分</w:t>
            </w:r>
          </w:p>
        </w:tc>
      </w:tr>
      <w:tr w14:paraId="44E2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trPr>
        <w:tc>
          <w:tcPr>
            <w:tcW w:w="644" w:type="dxa"/>
            <w:vMerge w:val="continue"/>
            <w:shd w:val="clear" w:color="auto" w:fill="auto"/>
            <w:vAlign w:val="center"/>
          </w:tcPr>
          <w:p w14:paraId="6299A41F">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vMerge w:val="continue"/>
            <w:shd w:val="clear" w:color="auto" w:fill="auto"/>
            <w:vAlign w:val="center"/>
          </w:tcPr>
          <w:p w14:paraId="14F09B17">
            <w:pPr>
              <w:shd w:val="clear"/>
              <w:spacing w:line="360" w:lineRule="auto"/>
              <w:rPr>
                <w:rFonts w:hint="eastAsia" w:asciiTheme="minorEastAsia" w:hAnsiTheme="minorEastAsia" w:eastAsiaTheme="minorEastAsia" w:cstheme="minorEastAsia"/>
                <w:sz w:val="21"/>
                <w:szCs w:val="21"/>
                <w:highlight w:val="none"/>
                <w:lang w:val="en-US" w:eastAsia="zh-CN"/>
              </w:rPr>
            </w:pPr>
          </w:p>
        </w:tc>
        <w:tc>
          <w:tcPr>
            <w:tcW w:w="6906" w:type="dxa"/>
            <w:shd w:val="clear" w:color="auto" w:fill="auto"/>
            <w:vAlign w:val="center"/>
          </w:tcPr>
          <w:p w14:paraId="29981CDF">
            <w:pPr>
              <w:shd w:val="clea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根据投标人对本项目制定的服务质量监管情况、服务情况反馈进行综合评分：</w:t>
            </w:r>
          </w:p>
          <w:p w14:paraId="770526E7">
            <w:pPr>
              <w:shd w:val="clea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①本项目制定的服务质量监管制度完善、服务情况反馈及时得6.0-4.1 分；</w:t>
            </w:r>
          </w:p>
          <w:p w14:paraId="55AE282C">
            <w:pPr>
              <w:shd w:val="clea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②本项目制定的服务质量监管制度不够完善，服务情况反馈较及时4.0-2.1分；</w:t>
            </w:r>
          </w:p>
          <w:p w14:paraId="225F57B0">
            <w:pPr>
              <w:shd w:val="clear"/>
              <w:spacing w:line="36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③本项目制定的服务质量监管制度较差，服务情况反馈不及时得  2.0-0.1 分。</w:t>
            </w:r>
          </w:p>
        </w:tc>
        <w:tc>
          <w:tcPr>
            <w:tcW w:w="784" w:type="dxa"/>
            <w:shd w:val="clear" w:color="auto" w:fill="auto"/>
            <w:vAlign w:val="center"/>
          </w:tcPr>
          <w:p w14:paraId="0E74118D">
            <w:pPr>
              <w:shd w:val="clear"/>
              <w:spacing w:line="36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0-6分</w:t>
            </w:r>
          </w:p>
        </w:tc>
      </w:tr>
      <w:tr w14:paraId="711A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44" w:type="dxa"/>
            <w:vMerge w:val="continue"/>
            <w:shd w:val="clear" w:color="auto" w:fill="auto"/>
            <w:vAlign w:val="center"/>
          </w:tcPr>
          <w:p w14:paraId="6B27DAE0">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vMerge w:val="continue"/>
            <w:shd w:val="clear" w:color="auto" w:fill="auto"/>
            <w:vAlign w:val="center"/>
          </w:tcPr>
          <w:p w14:paraId="239C61B4">
            <w:pPr>
              <w:shd w:val="clear"/>
              <w:spacing w:line="360" w:lineRule="auto"/>
              <w:jc w:val="center"/>
              <w:rPr>
                <w:rFonts w:hint="eastAsia" w:asciiTheme="minorEastAsia" w:hAnsiTheme="minorEastAsia" w:eastAsiaTheme="minorEastAsia" w:cstheme="minorEastAsia"/>
                <w:sz w:val="21"/>
                <w:szCs w:val="21"/>
                <w:highlight w:val="none"/>
                <w:lang w:val="en-US" w:eastAsia="zh-CN"/>
              </w:rPr>
            </w:pPr>
          </w:p>
        </w:tc>
        <w:tc>
          <w:tcPr>
            <w:tcW w:w="6906" w:type="dxa"/>
            <w:shd w:val="clear" w:color="auto" w:fill="auto"/>
            <w:vAlign w:val="center"/>
          </w:tcPr>
          <w:p w14:paraId="766BAEF9">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根据投标人对本项目实施方案与实施进度的可行性进行综合评分：</w:t>
            </w:r>
          </w:p>
          <w:p w14:paraId="29FCDE58">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 xml:space="preserve">①本项目制定的实施方案与实施进度方案完全满足项目要求得6.0-4.1 分；  </w:t>
            </w:r>
          </w:p>
          <w:p w14:paraId="234238F2">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②本项目制定的实施方案与实施进度方案基本满足得4.0-2.1分；</w:t>
            </w:r>
          </w:p>
          <w:p w14:paraId="2882A88F">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③本项目制定的实施方案与实施进度方案</w:t>
            </w:r>
            <w:r>
              <w:rPr>
                <w:rFonts w:hint="eastAsia" w:asciiTheme="minorEastAsia" w:hAnsiTheme="minorEastAsia" w:eastAsiaTheme="minorEastAsia" w:cstheme="minorEastAsia"/>
                <w:color w:val="000000"/>
                <w:kern w:val="0"/>
                <w:sz w:val="21"/>
                <w:szCs w:val="21"/>
                <w:highlight w:val="none"/>
                <w:lang w:val="en-US" w:eastAsia="zh-CN" w:bidi="ar"/>
              </w:rPr>
              <w:t xml:space="preserve">设置不合理无法保证项目要求得 </w:t>
            </w:r>
            <w:r>
              <w:rPr>
                <w:rFonts w:hint="eastAsia" w:asciiTheme="minorEastAsia" w:hAnsiTheme="minorEastAsia" w:eastAsiaTheme="minorEastAsia" w:cstheme="minorEastAsia"/>
                <w:color w:val="auto"/>
                <w:kern w:val="2"/>
                <w:sz w:val="21"/>
                <w:szCs w:val="21"/>
                <w:highlight w:val="none"/>
                <w:lang w:val="en-US" w:eastAsia="zh-CN" w:bidi="ar-SA"/>
              </w:rPr>
              <w:t>2.0-0.1 分。</w:t>
            </w:r>
          </w:p>
        </w:tc>
        <w:tc>
          <w:tcPr>
            <w:tcW w:w="784" w:type="dxa"/>
            <w:shd w:val="clear" w:color="auto" w:fill="auto"/>
            <w:vAlign w:val="center"/>
          </w:tcPr>
          <w:p w14:paraId="3A490FC2">
            <w:pPr>
              <w:shd w:val="clear"/>
              <w:spacing w:line="360" w:lineRule="auto"/>
              <w:jc w:val="center"/>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0-6分</w:t>
            </w:r>
          </w:p>
        </w:tc>
      </w:tr>
      <w:tr w14:paraId="55B6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4" w:hRule="atLeast"/>
        </w:trPr>
        <w:tc>
          <w:tcPr>
            <w:tcW w:w="644" w:type="dxa"/>
            <w:vMerge w:val="continue"/>
            <w:shd w:val="clear" w:color="auto" w:fill="auto"/>
            <w:vAlign w:val="center"/>
          </w:tcPr>
          <w:p w14:paraId="44E85A38">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vMerge w:val="continue"/>
            <w:shd w:val="clear" w:color="auto" w:fill="auto"/>
            <w:vAlign w:val="center"/>
          </w:tcPr>
          <w:p w14:paraId="50C83973">
            <w:pPr>
              <w:shd w:val="clear"/>
              <w:spacing w:line="360" w:lineRule="auto"/>
              <w:rPr>
                <w:rFonts w:hint="eastAsia" w:asciiTheme="minorEastAsia" w:hAnsiTheme="minorEastAsia" w:eastAsiaTheme="minorEastAsia" w:cstheme="minorEastAsia"/>
                <w:sz w:val="21"/>
                <w:szCs w:val="21"/>
                <w:highlight w:val="none"/>
                <w:lang w:val="en-US" w:eastAsia="zh-CN"/>
              </w:rPr>
            </w:pPr>
          </w:p>
        </w:tc>
        <w:tc>
          <w:tcPr>
            <w:tcW w:w="6906" w:type="dxa"/>
            <w:shd w:val="clear" w:color="auto" w:fill="auto"/>
            <w:vAlign w:val="center"/>
          </w:tcPr>
          <w:p w14:paraId="32E892D4">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根据投标人对本项目成效可衡量，可量化、具体的指标（服务进度预 </w:t>
            </w:r>
          </w:p>
          <w:p w14:paraId="63124F88">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估完成数据和服务完成后所需的各类调查表格）根据各评估指标、针对所开展的项目所需指定、以可衡量，可量化，数据采集有针对性为标准，进行综合评分：</w:t>
            </w:r>
          </w:p>
          <w:p w14:paraId="0B600725">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①成效衡量完全满足项目需求，数据信息全面具有针对性得6.0-4.1分；</w:t>
            </w:r>
          </w:p>
          <w:p w14:paraId="52B4BDD0">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②成效衡量基本满足项目需求，数据信息缺乏针对性得4.0-2.1分；</w:t>
            </w:r>
          </w:p>
          <w:p w14:paraId="454D8202">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③</w:t>
            </w:r>
            <w:r>
              <w:rPr>
                <w:rFonts w:hint="eastAsia" w:asciiTheme="minorEastAsia" w:hAnsiTheme="minorEastAsia" w:eastAsiaTheme="minorEastAsia" w:cstheme="minorEastAsia"/>
                <w:color w:val="000000"/>
                <w:kern w:val="0"/>
                <w:sz w:val="21"/>
                <w:szCs w:val="21"/>
                <w:highlight w:val="none"/>
                <w:lang w:val="en-US" w:eastAsia="zh-CN" w:bidi="ar"/>
              </w:rPr>
              <w:t>成效衡量较难满足项目要求，数据信息不全面得</w:t>
            </w:r>
            <w:r>
              <w:rPr>
                <w:rFonts w:hint="eastAsia" w:asciiTheme="minorEastAsia" w:hAnsiTheme="minorEastAsia" w:eastAsiaTheme="minorEastAsia" w:cstheme="minorEastAsia"/>
                <w:color w:val="auto"/>
                <w:kern w:val="2"/>
                <w:sz w:val="21"/>
                <w:szCs w:val="21"/>
                <w:highlight w:val="none"/>
                <w:lang w:val="en-US" w:eastAsia="zh-CN" w:bidi="ar-SA"/>
              </w:rPr>
              <w:t>2.0-0.1 分。</w:t>
            </w:r>
          </w:p>
        </w:tc>
        <w:tc>
          <w:tcPr>
            <w:tcW w:w="784" w:type="dxa"/>
            <w:shd w:val="clear" w:color="auto" w:fill="auto"/>
            <w:vAlign w:val="center"/>
          </w:tcPr>
          <w:p w14:paraId="36E5D470">
            <w:pPr>
              <w:shd w:val="clear"/>
              <w:spacing w:line="360" w:lineRule="auto"/>
              <w:jc w:val="center"/>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0-6分</w:t>
            </w:r>
          </w:p>
        </w:tc>
      </w:tr>
      <w:tr w14:paraId="1615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44" w:type="dxa"/>
            <w:vMerge w:val="continue"/>
            <w:shd w:val="clear" w:color="auto" w:fill="auto"/>
            <w:vAlign w:val="center"/>
          </w:tcPr>
          <w:p w14:paraId="79A242BA">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shd w:val="clear" w:color="auto" w:fill="auto"/>
            <w:vAlign w:val="center"/>
          </w:tcPr>
          <w:p w14:paraId="34999CF1">
            <w:p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对本项目重点、难点进行分析</w:t>
            </w:r>
          </w:p>
          <w:p w14:paraId="69236FF4">
            <w:p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906" w:type="dxa"/>
            <w:shd w:val="clear" w:color="auto" w:fill="auto"/>
            <w:vAlign w:val="center"/>
          </w:tcPr>
          <w:p w14:paraId="25C77F69">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根据投标人对项目现状、存在的问题和居家养老服务（照料）中心服务的难点、要点等问题进行调查剖析，并针对性的提出克服难点和要点技术措施等进行评分： </w:t>
            </w:r>
          </w:p>
          <w:p w14:paraId="21CAFE7D">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①调查剖析及解决措施到位、科学、合理、完整，得 6.0-4.1分； </w:t>
            </w:r>
          </w:p>
          <w:p w14:paraId="0C332133">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②调查剖析及解决措施基本到位、科学、合理、完整，有一定不足需进一步完善，得4.0-2.1分； </w:t>
            </w:r>
          </w:p>
          <w:p w14:paraId="4B938C50">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③调查剖析及解决措施欠科学、合理、完整，得 2.0-0.1 分； </w:t>
            </w:r>
          </w:p>
          <w:p w14:paraId="60572B06">
            <w:pPr>
              <w:keepNext w:val="0"/>
              <w:keepLines w:val="0"/>
              <w:widowControl/>
              <w:suppressLineNumbers w:val="0"/>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bidi="ar"/>
              </w:rPr>
              <w:t>④调查剖析及解决措施不合理或未提供的得 0 分。</w:t>
            </w:r>
          </w:p>
        </w:tc>
        <w:tc>
          <w:tcPr>
            <w:tcW w:w="784" w:type="dxa"/>
            <w:shd w:val="clear" w:color="auto" w:fill="auto"/>
            <w:vAlign w:val="center"/>
          </w:tcPr>
          <w:p w14:paraId="2826E109">
            <w:pPr>
              <w:shd w:val="clear"/>
              <w:spacing w:line="360" w:lineRule="auto"/>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0-6分</w:t>
            </w:r>
          </w:p>
        </w:tc>
      </w:tr>
      <w:tr w14:paraId="7A40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2" w:hRule="atLeast"/>
        </w:trPr>
        <w:tc>
          <w:tcPr>
            <w:tcW w:w="644" w:type="dxa"/>
            <w:vMerge w:val="continue"/>
            <w:shd w:val="clear" w:color="auto" w:fill="auto"/>
            <w:vAlign w:val="center"/>
          </w:tcPr>
          <w:p w14:paraId="7990BFEA">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shd w:val="clear" w:color="auto" w:fill="auto"/>
            <w:vAlign w:val="center"/>
          </w:tcPr>
          <w:p w14:paraId="13DB1497">
            <w:p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岗位职责、内部管理、考核制度</w:t>
            </w:r>
          </w:p>
          <w:p w14:paraId="00ABE68F">
            <w:p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906" w:type="dxa"/>
            <w:shd w:val="clear" w:color="auto" w:fill="auto"/>
            <w:vAlign w:val="center"/>
          </w:tcPr>
          <w:p w14:paraId="2BDAB259">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根据投标人针对本项目实际情况制定岗位职责、内部管理制度、内部考核制度是否科学、合理、完整及可行性、可操作性、针对性等进行评分： </w:t>
            </w:r>
          </w:p>
          <w:p w14:paraId="60D216C6">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①岗位职责、内部管理制度、内部考核制度科学、合理、完整且可行性、可操作性、针对性强，贴合本项目的实际，能够充分保障项目的顺利实施，得 6.0-4.1分； </w:t>
            </w:r>
          </w:p>
          <w:p w14:paraId="0CBA19FA">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②岗位职责、内部管理制度、内部考核制度基本科学、合理、完整且可行性、可操作性、针对性一般，基本能够保障项目的顺利实施，但有一定不足，需进一步完善，得 4.0-2.1分； </w:t>
            </w:r>
          </w:p>
          <w:p w14:paraId="2B505703">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③岗位职责、内部管理制度、内部考核制度欠科学、合理、完整且可行性、可操作性、针对性欠缺，得 2.0-0.1 分； </w:t>
            </w:r>
          </w:p>
          <w:p w14:paraId="276230AC">
            <w:pPr>
              <w:keepNext w:val="0"/>
              <w:keepLines w:val="0"/>
              <w:widowControl/>
              <w:suppressLineNumbers w:val="0"/>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bidi="ar"/>
              </w:rPr>
              <w:t>④岗位职责、内部管理制度、内部考核制度不合理或未提供的得 0分。</w:t>
            </w:r>
          </w:p>
        </w:tc>
        <w:tc>
          <w:tcPr>
            <w:tcW w:w="784" w:type="dxa"/>
            <w:shd w:val="clear" w:color="auto" w:fill="auto"/>
            <w:vAlign w:val="center"/>
          </w:tcPr>
          <w:p w14:paraId="46918EF6">
            <w:pPr>
              <w:shd w:val="clear"/>
              <w:spacing w:line="360" w:lineRule="auto"/>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0-6分</w:t>
            </w:r>
          </w:p>
        </w:tc>
      </w:tr>
      <w:tr w14:paraId="006D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44" w:type="dxa"/>
            <w:vMerge w:val="continue"/>
            <w:shd w:val="clear" w:color="auto" w:fill="auto"/>
            <w:vAlign w:val="center"/>
          </w:tcPr>
          <w:p w14:paraId="3318E74D">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shd w:val="clear" w:color="auto" w:fill="auto"/>
            <w:vAlign w:val="center"/>
          </w:tcPr>
          <w:p w14:paraId="07571798">
            <w:pPr>
              <w:keepNext w:val="0"/>
              <w:keepLines w:val="0"/>
              <w:widowControl/>
              <w:suppressLineNumbers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bidi="ar"/>
              </w:rPr>
              <w:t>重大活动、突发事件应急预案</w:t>
            </w:r>
          </w:p>
        </w:tc>
        <w:tc>
          <w:tcPr>
            <w:tcW w:w="6906" w:type="dxa"/>
            <w:shd w:val="clear" w:color="auto" w:fill="auto"/>
            <w:vAlign w:val="center"/>
          </w:tcPr>
          <w:p w14:paraId="5042E963">
            <w:pPr>
              <w:keepNext w:val="0"/>
              <w:keepLines w:val="0"/>
              <w:widowControl/>
              <w:suppressLineNumbers w:val="0"/>
              <w:ind w:firstLine="420" w:firstLineChars="200"/>
              <w:jc w:val="left"/>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 xml:space="preserve">根据投标人针对本项目实际情况制定的重大活动及突发事件应急预案（极端天气应急保障方案、恶性事故应急方案、紧急援助处置方案、服务过程中老人出现意外情况的应对方案等）是否科学、合理、完整及可行性、针对性进行评分： </w:t>
            </w:r>
          </w:p>
          <w:p w14:paraId="585C73D0">
            <w:pPr>
              <w:keepNext w:val="0"/>
              <w:keepLines w:val="0"/>
              <w:widowControl/>
              <w:suppressLineNumbers w:val="0"/>
              <w:ind w:firstLine="420" w:firstLineChars="200"/>
              <w:jc w:val="left"/>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 xml:space="preserve">①重大活动、突发事件应急预案科学、合理、完整且可行性、具有针对性，重大活动、突发事件应急预案贴合本项目的实际，能够充分保障项目的建设实施，得6.0-4.1分； </w:t>
            </w:r>
          </w:p>
          <w:p w14:paraId="52FAE20F">
            <w:pPr>
              <w:keepNext w:val="0"/>
              <w:keepLines w:val="0"/>
              <w:widowControl/>
              <w:suppressLineNumbers w:val="0"/>
              <w:ind w:firstLine="420" w:firstLineChars="200"/>
              <w:jc w:val="left"/>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②重大活动、突发事件应急预案基本科学、合理、完整且可行性、具有一定针对性，基本能够保障项目的建设实施，但有一定不足，需进一步完善，得  4.0-2.1分；</w:t>
            </w:r>
          </w:p>
          <w:p w14:paraId="4231E780">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③重大活动、突发事件应急预案欠科学、合理、完整且可行性、针对性欠缺，得 2.0-0.1 分；</w:t>
            </w:r>
          </w:p>
          <w:p w14:paraId="48FCFBC4">
            <w:pPr>
              <w:keepNext w:val="0"/>
              <w:keepLines w:val="0"/>
              <w:widowControl/>
              <w:suppressLineNumbers w:val="0"/>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bidi="ar"/>
              </w:rPr>
              <w:t>④重大活动、突发事件应急预案不合理或未提供的得 0 分。</w:t>
            </w:r>
          </w:p>
        </w:tc>
        <w:tc>
          <w:tcPr>
            <w:tcW w:w="784" w:type="dxa"/>
            <w:shd w:val="clear" w:color="auto" w:fill="auto"/>
            <w:vAlign w:val="center"/>
          </w:tcPr>
          <w:p w14:paraId="60ECC877">
            <w:pPr>
              <w:shd w:val="clear"/>
              <w:spacing w:line="360" w:lineRule="auto"/>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0-6分</w:t>
            </w:r>
          </w:p>
        </w:tc>
      </w:tr>
      <w:tr w14:paraId="5FE1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44" w:type="dxa"/>
            <w:vMerge w:val="continue"/>
            <w:shd w:val="clear" w:color="auto" w:fill="auto"/>
            <w:vAlign w:val="center"/>
          </w:tcPr>
          <w:p w14:paraId="40F98C31">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shd w:val="clear" w:color="auto" w:fill="auto"/>
            <w:vAlign w:val="center"/>
          </w:tcPr>
          <w:p w14:paraId="23C20F21">
            <w:p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p w14:paraId="01DF60F2">
            <w:p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档案管</w:t>
            </w:r>
          </w:p>
          <w:p w14:paraId="297EB843">
            <w:p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理</w:t>
            </w:r>
          </w:p>
          <w:p w14:paraId="0769F87A">
            <w:p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906" w:type="dxa"/>
            <w:shd w:val="clear" w:color="auto" w:fill="auto"/>
            <w:vAlign w:val="center"/>
          </w:tcPr>
          <w:p w14:paraId="2AC7381A">
            <w:pPr>
              <w:shd w:val="clear"/>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根据投标人针对本项目是否具有基本档案管理制度，针对本项目的基本档案目录进行评分：</w:t>
            </w:r>
          </w:p>
          <w:p w14:paraId="49108C8E">
            <w:pPr>
              <w:shd w:val="clear"/>
              <w:spacing w:line="360" w:lineRule="auto"/>
              <w:ind w:firstLine="420" w:firstLineChars="200"/>
              <w:jc w:val="both"/>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①具有完善的档案管理制度，完整的项目基本档案相关常规性表格样表</w:t>
            </w:r>
            <w:r>
              <w:rPr>
                <w:rFonts w:hint="eastAsia" w:asciiTheme="minorEastAsia" w:hAnsiTheme="minorEastAsia" w:eastAsiaTheme="minorEastAsia" w:cstheme="minorEastAsia"/>
                <w:color w:val="000000"/>
                <w:kern w:val="0"/>
                <w:sz w:val="21"/>
                <w:szCs w:val="21"/>
                <w:highlight w:val="none"/>
                <w:lang w:val="en-US" w:eastAsia="zh-CN" w:bidi="ar"/>
              </w:rPr>
              <w:t>得 3.0-2.1 分；</w:t>
            </w:r>
          </w:p>
          <w:p w14:paraId="7BCF9674">
            <w:pPr>
              <w:shd w:val="clear"/>
              <w:spacing w:line="360" w:lineRule="auto"/>
              <w:ind w:firstLine="420" w:firstLineChars="200"/>
              <w:jc w:val="both"/>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②具有档案管理制度，具有项目基本档案相关常规性表格样表</w:t>
            </w:r>
            <w:r>
              <w:rPr>
                <w:rFonts w:hint="eastAsia" w:asciiTheme="minorEastAsia" w:hAnsiTheme="minorEastAsia" w:eastAsiaTheme="minorEastAsia" w:cstheme="minorEastAsia"/>
                <w:color w:val="000000"/>
                <w:kern w:val="0"/>
                <w:sz w:val="21"/>
                <w:szCs w:val="21"/>
                <w:highlight w:val="none"/>
                <w:lang w:val="en-US" w:eastAsia="zh-CN" w:bidi="ar"/>
              </w:rPr>
              <w:t>得 2.0-1.1 分；</w:t>
            </w:r>
          </w:p>
          <w:p w14:paraId="3B0BB854">
            <w:pPr>
              <w:shd w:val="clear"/>
              <w:spacing w:line="360" w:lineRule="auto"/>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bidi="ar"/>
              </w:rPr>
              <w:t>③</w:t>
            </w:r>
            <w:r>
              <w:rPr>
                <w:rFonts w:hint="eastAsia" w:asciiTheme="minorEastAsia" w:hAnsiTheme="minorEastAsia" w:eastAsiaTheme="minorEastAsia" w:cstheme="minorEastAsia"/>
                <w:color w:val="auto"/>
                <w:sz w:val="21"/>
                <w:szCs w:val="21"/>
                <w:highlight w:val="none"/>
                <w:lang w:val="en-US" w:eastAsia="zh-CN"/>
              </w:rPr>
              <w:t>档案管理制度不够完善，缺乏项目基本档案相关常规性表格样表</w:t>
            </w:r>
            <w:r>
              <w:rPr>
                <w:rFonts w:hint="eastAsia" w:asciiTheme="minorEastAsia" w:hAnsiTheme="minorEastAsia" w:eastAsiaTheme="minorEastAsia" w:cstheme="minorEastAsia"/>
                <w:color w:val="000000"/>
                <w:kern w:val="0"/>
                <w:sz w:val="21"/>
                <w:szCs w:val="21"/>
                <w:highlight w:val="none"/>
                <w:lang w:val="en-US" w:eastAsia="zh-CN" w:bidi="ar"/>
              </w:rPr>
              <w:t>得 1.0-0.0 分</w:t>
            </w:r>
            <w:r>
              <w:rPr>
                <w:rFonts w:hint="eastAsia" w:asciiTheme="minorEastAsia" w:hAnsiTheme="minorEastAsia" w:eastAsiaTheme="minorEastAsia" w:cstheme="minorEastAsia"/>
                <w:color w:val="auto"/>
                <w:sz w:val="21"/>
                <w:szCs w:val="21"/>
                <w:highlight w:val="none"/>
                <w:lang w:val="en-US" w:eastAsia="zh-CN"/>
              </w:rPr>
              <w:t>。</w:t>
            </w:r>
          </w:p>
        </w:tc>
        <w:tc>
          <w:tcPr>
            <w:tcW w:w="784" w:type="dxa"/>
            <w:shd w:val="clear" w:color="auto" w:fill="auto"/>
            <w:vAlign w:val="center"/>
          </w:tcPr>
          <w:p w14:paraId="3F109C36">
            <w:pPr>
              <w:shd w:val="clear"/>
              <w:spacing w:line="360" w:lineRule="auto"/>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0-3分</w:t>
            </w:r>
          </w:p>
        </w:tc>
      </w:tr>
      <w:tr w14:paraId="498A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44" w:type="dxa"/>
            <w:vMerge w:val="continue"/>
            <w:shd w:val="clear" w:color="auto" w:fill="auto"/>
            <w:vAlign w:val="center"/>
          </w:tcPr>
          <w:p w14:paraId="7C550A49">
            <w:pPr>
              <w:numPr>
                <w:ilvl w:val="0"/>
                <w:numId w:val="0"/>
              </w:numPr>
              <w:shd w:val="clea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shd w:val="clear" w:color="auto" w:fill="auto"/>
            <w:vAlign w:val="center"/>
          </w:tcPr>
          <w:p w14:paraId="41CA73FB">
            <w:pPr>
              <w:keepNext w:val="0"/>
              <w:keepLines w:val="0"/>
              <w:widowControl/>
              <w:suppressLineNumbers w:val="0"/>
              <w:jc w:val="left"/>
              <w:rPr>
                <w:rFonts w:hint="eastAsia" w:asciiTheme="minorEastAsia" w:hAnsiTheme="minorEastAsia" w:eastAsiaTheme="minorEastAsia" w:cstheme="minorEastAsia"/>
                <w:color w:val="000000"/>
                <w:kern w:val="0"/>
                <w:sz w:val="21"/>
                <w:szCs w:val="21"/>
                <w:highlight w:val="none"/>
                <w:lang w:val="en-US" w:eastAsia="zh-CN" w:bidi="ar"/>
              </w:rPr>
            </w:pPr>
          </w:p>
          <w:p w14:paraId="6E4F217B">
            <w:pPr>
              <w:keepNext w:val="0"/>
              <w:keepLines w:val="0"/>
              <w:widowControl/>
              <w:suppressLineNumbers w:val="0"/>
              <w:jc w:val="left"/>
              <w:rPr>
                <w:rFonts w:hint="eastAsia" w:asciiTheme="minorEastAsia" w:hAnsiTheme="minorEastAsia" w:eastAsiaTheme="minorEastAsia" w:cstheme="minorEastAsia"/>
                <w:color w:val="000000"/>
                <w:kern w:val="0"/>
                <w:sz w:val="21"/>
                <w:szCs w:val="21"/>
                <w:highlight w:val="none"/>
                <w:lang w:val="en-US" w:eastAsia="zh-CN" w:bidi="ar"/>
              </w:rPr>
            </w:pPr>
          </w:p>
          <w:p w14:paraId="6435F9FC">
            <w:pPr>
              <w:keepNext w:val="0"/>
              <w:keepLines w:val="0"/>
              <w:widowControl/>
              <w:suppressLineNumbers w:val="0"/>
              <w:jc w:val="left"/>
              <w:rPr>
                <w:rFonts w:hint="eastAsia" w:asciiTheme="minorEastAsia" w:hAnsiTheme="minorEastAsia" w:eastAsiaTheme="minorEastAsia" w:cstheme="minorEastAsia"/>
                <w:color w:val="000000"/>
                <w:kern w:val="0"/>
                <w:sz w:val="21"/>
                <w:szCs w:val="21"/>
                <w:highlight w:val="none"/>
                <w:lang w:val="en-US" w:eastAsia="zh-CN" w:bidi="ar"/>
              </w:rPr>
            </w:pPr>
          </w:p>
          <w:p w14:paraId="5AD3BF89">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项目服务质量承诺</w:t>
            </w:r>
          </w:p>
          <w:p w14:paraId="2982BC16">
            <w:pPr>
              <w:shd w:val="clear"/>
              <w:spacing w:line="360" w:lineRule="auto"/>
              <w:rPr>
                <w:rFonts w:hint="eastAsia" w:asciiTheme="minorEastAsia" w:hAnsiTheme="minorEastAsia" w:eastAsiaTheme="minorEastAsia" w:cstheme="minorEastAsia"/>
                <w:color w:val="auto"/>
                <w:sz w:val="21"/>
                <w:szCs w:val="21"/>
                <w:highlight w:val="none"/>
                <w:lang w:val="en-US" w:eastAsia="zh-CN"/>
              </w:rPr>
            </w:pPr>
          </w:p>
        </w:tc>
        <w:tc>
          <w:tcPr>
            <w:tcW w:w="6906" w:type="dxa"/>
            <w:shd w:val="clear" w:color="auto" w:fill="auto"/>
            <w:vAlign w:val="center"/>
          </w:tcPr>
          <w:p w14:paraId="368201E6">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根据投标人针对本项目实际情况提供的服务质量承诺（包括事故处理方案、服务网点设置、优惠承诺、培训方案、其他特色增值服务等）进行打分。 </w:t>
            </w:r>
          </w:p>
          <w:p w14:paraId="000DD606">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①服务质量承诺优于采购需求且事故处理方案、服务网点设置、培训方案、其他特色增值服务科学、合理、完整，可行性、具有针对性，服务质量承诺贴合本项目的实际，能够充分保障项目的建设实施，得4.0-3.1 分； </w:t>
            </w:r>
          </w:p>
          <w:p w14:paraId="652089D8">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②服务质量承诺优于采购需求且事故处理方案、服务网点设置、培训 </w:t>
            </w:r>
          </w:p>
          <w:p w14:paraId="776D0448">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方案、其他特色增值服务基本科学、合理、完整，可行性、缺乏针对性，基本能够保障项目的建设实施，但有一定不足，需进一步完善，得 3.0-2.1 分； </w:t>
            </w:r>
          </w:p>
          <w:p w14:paraId="26559F9C">
            <w:pPr>
              <w:keepNext w:val="0"/>
              <w:keepLines w:val="0"/>
              <w:widowControl/>
              <w:suppressLineNumbers w:val="0"/>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bidi="ar"/>
              </w:rPr>
              <w:t xml:space="preserve">③服务质量承诺有欠缺不完善，得 2.0-0.0分； </w:t>
            </w:r>
          </w:p>
        </w:tc>
        <w:tc>
          <w:tcPr>
            <w:tcW w:w="784" w:type="dxa"/>
            <w:shd w:val="clear" w:color="auto" w:fill="auto"/>
            <w:vAlign w:val="center"/>
          </w:tcPr>
          <w:p w14:paraId="61680437">
            <w:pPr>
              <w:shd w:val="clear"/>
              <w:spacing w:line="360" w:lineRule="auto"/>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0-4分</w:t>
            </w:r>
          </w:p>
        </w:tc>
      </w:tr>
      <w:tr w14:paraId="4DBC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trPr>
        <w:tc>
          <w:tcPr>
            <w:tcW w:w="1954" w:type="dxa"/>
            <w:gridSpan w:val="2"/>
            <w:shd w:val="clear" w:color="auto" w:fill="auto"/>
          </w:tcPr>
          <w:p w14:paraId="00D38DA7">
            <w:pPr>
              <w:keepNext w:val="0"/>
              <w:keepLines w:val="0"/>
              <w:widowControl/>
              <w:suppressLineNumbers w:val="0"/>
              <w:shd w:val="clear"/>
              <w:spacing w:line="36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14:paraId="195EF3D4">
            <w:pPr>
              <w:keepNext w:val="0"/>
              <w:keepLines w:val="0"/>
              <w:widowControl/>
              <w:suppressLineNumbers w:val="0"/>
              <w:shd w:val="clear"/>
              <w:spacing w:line="36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14:paraId="74C881DD">
            <w:pPr>
              <w:keepNext w:val="0"/>
              <w:keepLines w:val="0"/>
              <w:widowControl/>
              <w:suppressLineNumbers w:val="0"/>
              <w:shd w:val="clear"/>
              <w:spacing w:line="36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14:paraId="4C118BF0">
            <w:pPr>
              <w:keepNext w:val="0"/>
              <w:keepLines w:val="0"/>
              <w:widowControl/>
              <w:suppressLineNumbers w:val="0"/>
              <w:shd w:val="clear"/>
              <w:spacing w:line="36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14:paraId="7F31FB49">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报价得分 （20分）</w:t>
            </w:r>
          </w:p>
          <w:p w14:paraId="29A8D110">
            <w:pPr>
              <w:keepNext w:val="0"/>
              <w:keepLines w:val="0"/>
              <w:widowControl/>
              <w:suppressLineNumbers w:val="0"/>
              <w:shd w:val="clear"/>
              <w:spacing w:line="360" w:lineRule="auto"/>
              <w:jc w:val="left"/>
              <w:rPr>
                <w:rFonts w:hint="eastAsia" w:asciiTheme="minorEastAsia" w:hAnsiTheme="minorEastAsia" w:eastAsiaTheme="minorEastAsia" w:cstheme="minorEastAsia"/>
                <w:color w:val="000000"/>
                <w:kern w:val="0"/>
                <w:sz w:val="21"/>
                <w:szCs w:val="21"/>
                <w:highlight w:val="none"/>
                <w:lang w:val="en-US" w:eastAsia="zh-CN" w:bidi="ar"/>
              </w:rPr>
            </w:pPr>
          </w:p>
        </w:tc>
        <w:tc>
          <w:tcPr>
            <w:tcW w:w="6906" w:type="dxa"/>
            <w:shd w:val="clear" w:color="auto" w:fill="auto"/>
          </w:tcPr>
          <w:p w14:paraId="5E176202">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1、评标基准价的确定</w:t>
            </w:r>
          </w:p>
          <w:p w14:paraId="07B89821">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资格审查和商务与技术文件评审完成后计算评标基准价。</w:t>
            </w:r>
          </w:p>
          <w:p w14:paraId="76AE5737">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商务价格为无效标的条件：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p w14:paraId="087EFB15">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2、出现以下情况时，则该投标报价不再进入评标基准价的计算：</w:t>
            </w:r>
          </w:p>
          <w:p w14:paraId="4B420956">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（1）资格审查及商务与技术文件评审过程中已做无效标处理的；</w:t>
            </w:r>
          </w:p>
          <w:p w14:paraId="04D2BD9F">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3、评标基准价的确定：满足招标文件要求且投标报价最低的投标报价为评标基准价。评标基准值按上述方法确定后，不再受其他任何因素的影响而改变。</w:t>
            </w:r>
          </w:p>
          <w:p w14:paraId="1DBD2714">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4、投标报价得分计算方法</w:t>
            </w:r>
          </w:p>
          <w:p w14:paraId="34B703C5">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计算价格评分：价格分采用低价优先法计算，各有效投标人的评标价中，取有效报价中的最低报价为评标基准价，其价格分为满分。其他投标人的价格分统一按照下列公式计算：价格评分=（评标基准价／</w:t>
            </w:r>
            <w:r>
              <w:rPr>
                <w:rFonts w:hint="eastAsia" w:asciiTheme="minorEastAsia" w:hAnsiTheme="minorEastAsia" w:eastAsiaTheme="minorEastAsia" w:cstheme="minorEastAsia"/>
                <w:sz w:val="21"/>
                <w:szCs w:val="21"/>
                <w:highlight w:val="none"/>
                <w:vertAlign w:val="baseline"/>
                <w:lang w:val="en-US" w:eastAsia="zh-CN"/>
              </w:rPr>
              <w:t>投标报价</w:t>
            </w:r>
            <w:r>
              <w:rPr>
                <w:rFonts w:hint="eastAsia" w:asciiTheme="minorEastAsia" w:hAnsiTheme="minorEastAsia" w:eastAsiaTheme="minorEastAsia" w:cstheme="minorEastAsia"/>
                <w:sz w:val="21"/>
                <w:szCs w:val="21"/>
                <w:highlight w:val="none"/>
                <w:lang w:val="en-US" w:eastAsia="zh-CN"/>
              </w:rPr>
              <w:t>）×20（小数点后保留2位，第三位四舍五入），投标报价超过上限价，按无效标处理。</w:t>
            </w:r>
          </w:p>
        </w:tc>
        <w:tc>
          <w:tcPr>
            <w:tcW w:w="784" w:type="dxa"/>
            <w:shd w:val="clear" w:color="auto" w:fill="auto"/>
            <w:vAlign w:val="center"/>
          </w:tcPr>
          <w:p w14:paraId="294AFF16">
            <w:pPr>
              <w:pStyle w:val="95"/>
              <w:shd w:val="clear"/>
              <w:spacing w:line="360" w:lineRule="auto"/>
              <w:jc w:val="center"/>
              <w:rPr>
                <w:rFonts w:hint="eastAsia" w:asciiTheme="minorEastAsia" w:hAnsiTheme="minorEastAsia" w:eastAsiaTheme="minorEastAsia" w:cstheme="minorEastAsia"/>
                <w:sz w:val="21"/>
                <w:szCs w:val="21"/>
                <w:highlight w:val="none"/>
                <w:vertAlign w:val="baseline"/>
                <w:lang w:val="en-US" w:eastAsia="zh-CN"/>
              </w:rPr>
            </w:pPr>
          </w:p>
          <w:p w14:paraId="725ACCD1">
            <w:pPr>
              <w:pStyle w:val="95"/>
              <w:shd w:val="clear"/>
              <w:spacing w:line="360" w:lineRule="auto"/>
              <w:jc w:val="center"/>
              <w:rPr>
                <w:rFonts w:hint="eastAsia" w:asciiTheme="minorEastAsia" w:hAnsiTheme="minorEastAsia" w:eastAsiaTheme="minorEastAsia" w:cstheme="minorEastAsia"/>
                <w:sz w:val="21"/>
                <w:szCs w:val="21"/>
                <w:highlight w:val="none"/>
                <w:vertAlign w:val="baseline"/>
                <w:lang w:val="en-US" w:eastAsia="zh-CN"/>
              </w:rPr>
            </w:pPr>
          </w:p>
          <w:p w14:paraId="0798611D">
            <w:pPr>
              <w:pStyle w:val="95"/>
              <w:shd w:val="clear"/>
              <w:spacing w:line="360" w:lineRule="auto"/>
              <w:jc w:val="center"/>
              <w:rPr>
                <w:rFonts w:hint="eastAsia" w:asciiTheme="minorEastAsia" w:hAnsiTheme="minorEastAsia" w:eastAsiaTheme="minorEastAsia" w:cstheme="minorEastAsia"/>
                <w:sz w:val="21"/>
                <w:szCs w:val="21"/>
                <w:highlight w:val="none"/>
                <w:vertAlign w:val="baseline"/>
                <w:lang w:val="en-US" w:eastAsia="zh-CN"/>
              </w:rPr>
            </w:pPr>
          </w:p>
          <w:p w14:paraId="414660CD">
            <w:pPr>
              <w:pStyle w:val="95"/>
              <w:shd w:val="clear"/>
              <w:spacing w:line="360" w:lineRule="auto"/>
              <w:jc w:val="center"/>
              <w:rPr>
                <w:rFonts w:hint="eastAsia" w:asciiTheme="minorEastAsia" w:hAnsiTheme="minorEastAsia" w:eastAsiaTheme="minorEastAsia" w:cstheme="minorEastAsia"/>
                <w:sz w:val="21"/>
                <w:szCs w:val="21"/>
                <w:highlight w:val="none"/>
                <w:vertAlign w:val="baseline"/>
                <w:lang w:val="en-US" w:eastAsia="zh-CN"/>
              </w:rPr>
            </w:pPr>
          </w:p>
          <w:p w14:paraId="39E1D1DC">
            <w:pPr>
              <w:pStyle w:val="95"/>
              <w:shd w:val="clear"/>
              <w:spacing w:line="360" w:lineRule="auto"/>
              <w:jc w:val="center"/>
              <w:rPr>
                <w:rFonts w:hint="eastAsia" w:asciiTheme="minorEastAsia" w:hAnsiTheme="minorEastAsia" w:eastAsiaTheme="minorEastAsia" w:cstheme="minorEastAsia"/>
                <w:sz w:val="21"/>
                <w:szCs w:val="21"/>
                <w:highlight w:val="none"/>
                <w:vertAlign w:val="baseline"/>
                <w:lang w:val="en-US" w:eastAsia="zh-CN"/>
              </w:rPr>
            </w:pPr>
          </w:p>
          <w:p w14:paraId="5B6B040A">
            <w:pPr>
              <w:pStyle w:val="95"/>
              <w:shd w:val="clear"/>
              <w:spacing w:line="360" w:lineRule="auto"/>
              <w:jc w:val="center"/>
              <w:rPr>
                <w:rFonts w:hint="eastAsia" w:asciiTheme="minorEastAsia" w:hAnsiTheme="minorEastAsia" w:eastAsiaTheme="minorEastAsia" w:cstheme="minorEastAsia"/>
                <w:sz w:val="21"/>
                <w:szCs w:val="21"/>
                <w:highlight w:val="none"/>
                <w:vertAlign w:val="baseline"/>
                <w:lang w:val="en-US" w:eastAsia="zh-CN"/>
              </w:rPr>
            </w:pPr>
          </w:p>
          <w:p w14:paraId="42A87439">
            <w:pPr>
              <w:pStyle w:val="95"/>
              <w:shd w:val="clear"/>
              <w:spacing w:line="360" w:lineRule="auto"/>
              <w:ind w:left="0" w:leftChars="0" w:firstLine="0" w:firstLineChars="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20分</w:t>
            </w:r>
          </w:p>
        </w:tc>
      </w:tr>
    </w:tbl>
    <w:p w14:paraId="3DC2D971">
      <w:pPr>
        <w:keepNext w:val="0"/>
        <w:keepLines w:val="0"/>
        <w:pageBreakBefore w:val="0"/>
        <w:widowControl/>
        <w:suppressLineNumbers w:val="0"/>
        <w:shd w:val="clear"/>
        <w:kinsoku/>
        <w:wordWrap/>
        <w:overflowPunct/>
        <w:topLinePunct w:val="0"/>
        <w:autoSpaceDE/>
        <w:autoSpaceDN/>
        <w:bidi w:val="0"/>
        <w:adjustRightInd/>
        <w:snapToGrid/>
        <w:spacing w:line="360" w:lineRule="exact"/>
        <w:ind w:firstLine="210" w:firstLineChars="1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2、有效投标人的综合得分=商务与技术文件+报价文件得分。</w:t>
      </w:r>
    </w:p>
    <w:p w14:paraId="06220EDF">
      <w:pPr>
        <w:keepNext w:val="0"/>
        <w:keepLines w:val="0"/>
        <w:pageBreakBefore w:val="0"/>
        <w:widowControl/>
        <w:suppressLineNumbers w:val="0"/>
        <w:shd w:val="clear"/>
        <w:kinsoku/>
        <w:wordWrap/>
        <w:overflowPunct/>
        <w:topLinePunct w:val="0"/>
        <w:autoSpaceDE/>
        <w:autoSpaceDN/>
        <w:bidi w:val="0"/>
        <w:adjustRightInd/>
        <w:snapToGrid/>
        <w:spacing w:line="360" w:lineRule="exact"/>
        <w:ind w:firstLine="210" w:firstLineChars="1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3、评标委员会按综合得分从高到低顺序排列，在最大限度地满足采购文件实质性要求前提下，评标委员会按照采购文件中规定的各项因素进行综合评审后，以评标总得分最高的投标人为中标</w:t>
      </w:r>
      <w:r>
        <w:rPr>
          <w:rFonts w:hint="eastAsia" w:asciiTheme="minorEastAsia" w:hAnsiTheme="minorEastAsia" w:eastAsiaTheme="minorEastAsia" w:cstheme="minorEastAsia"/>
          <w:sz w:val="21"/>
          <w:szCs w:val="21"/>
          <w:highlight w:val="none"/>
          <w:lang w:val="zh-CN" w:eastAsia="zh-CN"/>
        </w:rPr>
        <w:t>供应商。</w:t>
      </w:r>
      <w:r>
        <w:rPr>
          <w:rFonts w:hint="eastAsia" w:asciiTheme="minorEastAsia" w:hAnsiTheme="minorEastAsia" w:eastAsiaTheme="minorEastAsia" w:cstheme="minorEastAsia"/>
          <w:sz w:val="21"/>
          <w:szCs w:val="21"/>
          <w:highlight w:val="none"/>
          <w:lang w:val="en-US" w:eastAsia="zh-CN"/>
        </w:rPr>
        <w:t>如综合得分相同，投标报价低者为先；如综合得分且投标报价相同的，由采购人抽签确定(抽签规则：采购人代表对进入抽签的各供应商依次抽取对应单位编号，再由采购人代表在上述对应单位编号中进行抽取，抽中的第一个编号所对应的供应商即为中标单位。）。</w:t>
      </w:r>
    </w:p>
    <w:p w14:paraId="0AE6A7B7">
      <w:pPr>
        <w:keepNext w:val="0"/>
        <w:keepLines w:val="0"/>
        <w:pageBreakBefore w:val="0"/>
        <w:widowControl/>
        <w:suppressLineNumbers w:val="0"/>
        <w:shd w:val="clear"/>
        <w:kinsoku/>
        <w:wordWrap/>
        <w:overflowPunct/>
        <w:topLinePunct w:val="0"/>
        <w:autoSpaceDE/>
        <w:autoSpaceDN/>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六、中标候选人放弃中标、因不可抗力提出不能履行合同，采购人可以确定排名次之的中标候选人为中标人。 评标办法的解释权归采购人。</w:t>
      </w:r>
    </w:p>
    <w:p w14:paraId="50CE6B49">
      <w:pPr>
        <w:shd w:val="clear"/>
        <w:spacing w:line="46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七</w:t>
      </w:r>
      <w:r>
        <w:rPr>
          <w:rFonts w:hint="eastAsia" w:asciiTheme="minorEastAsia" w:hAnsiTheme="minorEastAsia" w:eastAsiaTheme="minorEastAsia" w:cstheme="minorEastAsia"/>
          <w:b/>
          <w:sz w:val="21"/>
          <w:szCs w:val="21"/>
          <w:highlight w:val="none"/>
        </w:rPr>
        <w:t>、确定中标人</w:t>
      </w:r>
    </w:p>
    <w:p w14:paraId="64C1227F">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评标结束后，</w:t>
      </w:r>
      <w:r>
        <w:rPr>
          <w:rFonts w:hint="eastAsia" w:asciiTheme="minorEastAsia" w:hAnsiTheme="minorEastAsia" w:eastAsiaTheme="minorEastAsia" w:cstheme="minorEastAsia"/>
          <w:sz w:val="21"/>
          <w:szCs w:val="21"/>
          <w:highlight w:val="none"/>
          <w:lang w:eastAsia="zh-CN"/>
        </w:rPr>
        <w:t>采购人</w:t>
      </w:r>
      <w:r>
        <w:rPr>
          <w:rFonts w:hint="eastAsia" w:asciiTheme="minorEastAsia" w:hAnsiTheme="minorEastAsia" w:eastAsiaTheme="minorEastAsia" w:cstheme="minorEastAsia"/>
          <w:sz w:val="21"/>
          <w:szCs w:val="21"/>
          <w:highlight w:val="none"/>
        </w:rPr>
        <w:t>将在</w:t>
      </w:r>
      <w:r>
        <w:rPr>
          <w:rFonts w:hint="eastAsia" w:asciiTheme="minorEastAsia" w:hAnsiTheme="minorEastAsia" w:eastAsiaTheme="minorEastAsia" w:cstheme="minorEastAsia"/>
          <w:sz w:val="21"/>
          <w:szCs w:val="21"/>
          <w:highlight w:val="none"/>
          <w:lang w:eastAsia="zh-CN"/>
        </w:rPr>
        <w:t>发布招标</w:t>
      </w:r>
      <w:r>
        <w:rPr>
          <w:rFonts w:hint="eastAsia" w:asciiTheme="minorEastAsia" w:hAnsiTheme="minorEastAsia" w:eastAsiaTheme="minorEastAsia" w:cstheme="minorEastAsia"/>
          <w:sz w:val="21"/>
          <w:szCs w:val="21"/>
          <w:highlight w:val="none"/>
        </w:rPr>
        <w:t>公告</w:t>
      </w:r>
      <w:r>
        <w:rPr>
          <w:rFonts w:hint="eastAsia" w:asciiTheme="minorEastAsia" w:hAnsiTheme="minorEastAsia" w:eastAsiaTheme="minorEastAsia" w:cstheme="minorEastAsia"/>
          <w:sz w:val="21"/>
          <w:szCs w:val="21"/>
          <w:highlight w:val="none"/>
          <w:lang w:eastAsia="zh-CN"/>
        </w:rPr>
        <w:t>媒体发布</w:t>
      </w:r>
      <w:r>
        <w:rPr>
          <w:rFonts w:hint="eastAsia" w:asciiTheme="minorEastAsia" w:hAnsiTheme="minorEastAsia" w:eastAsiaTheme="minorEastAsia" w:cstheme="minorEastAsia"/>
          <w:sz w:val="21"/>
          <w:szCs w:val="21"/>
          <w:highlight w:val="none"/>
        </w:rPr>
        <w:t>中标结果，</w:t>
      </w:r>
      <w:r>
        <w:rPr>
          <w:rFonts w:hint="eastAsia" w:asciiTheme="minorEastAsia" w:hAnsiTheme="minorEastAsia" w:eastAsiaTheme="minorEastAsia" w:cstheme="minorEastAsia"/>
          <w:sz w:val="21"/>
          <w:szCs w:val="21"/>
          <w:highlight w:val="none"/>
          <w:lang w:eastAsia="zh-CN"/>
        </w:rPr>
        <w:t>采购人</w:t>
      </w:r>
      <w:r>
        <w:rPr>
          <w:rFonts w:hint="eastAsia" w:asciiTheme="minorEastAsia" w:hAnsiTheme="minorEastAsia" w:eastAsiaTheme="minorEastAsia" w:cstheme="minorEastAsia"/>
          <w:sz w:val="21"/>
          <w:szCs w:val="21"/>
          <w:highlight w:val="none"/>
        </w:rPr>
        <w:t>向中标人发出中标通知书。</w:t>
      </w:r>
    </w:p>
    <w:p w14:paraId="4C44EFF6">
      <w:pPr>
        <w:shd w:val="clear"/>
        <w:spacing w:line="46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八</w:t>
      </w:r>
      <w:r>
        <w:rPr>
          <w:rFonts w:hint="eastAsia" w:asciiTheme="minorEastAsia" w:hAnsiTheme="minorEastAsia" w:eastAsiaTheme="minorEastAsia" w:cstheme="minorEastAsia"/>
          <w:b/>
          <w:sz w:val="21"/>
          <w:szCs w:val="21"/>
          <w:highlight w:val="none"/>
        </w:rPr>
        <w:t>、投标人义务</w:t>
      </w:r>
    </w:p>
    <w:p w14:paraId="096B7042">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highlight w:val="none"/>
        </w:rPr>
        <w:t>投标人应随时接受评标委员会的询标，解答包括有关的报价文件、技术资信问题等。评标结束，所有评标资料存招标机构备查。</w:t>
      </w:r>
    </w:p>
    <w:sectPr>
      <w:pgSz w:w="11906" w:h="16838"/>
      <w:pgMar w:top="1247" w:right="1417" w:bottom="1474" w:left="1417" w:header="851" w:footer="896" w:gutter="0"/>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swiss"/>
    <w:pitch w:val="default"/>
    <w:sig w:usb0="E4002EFF" w:usb1="C0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书宋简体">
    <w:altName w:val="黑体"/>
    <w:panose1 w:val="00000000000000000000"/>
    <w:charset w:val="86"/>
    <w:family w:val="auto"/>
    <w:pitch w:val="default"/>
    <w:sig w:usb0="00000000" w:usb1="00000000" w:usb2="00000010" w:usb3="00000000" w:csb0="00040000" w:csb1="00000000"/>
  </w:font>
  <w:font w:name="Beijing">
    <w:altName w:val="Arial"/>
    <w:panose1 w:val="00000000000000000000"/>
    <w:charset w:val="50"/>
    <w:family w:val="auto"/>
    <w:pitch w:val="default"/>
    <w:sig w:usb0="00000000" w:usb1="00000000" w:usb2="00000000" w:usb3="00000000" w:csb0="00000000" w:csb1="00000000"/>
  </w:font>
  <w:font w:name="??">
    <w:altName w:val="Times New Roman"/>
    <w:panose1 w:val="00000000000000000000"/>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76D91">
    <w:pPr>
      <w:pStyle w:val="47"/>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8EC82">
    <w:pPr>
      <w:pStyle w:val="4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78B2C">
    <w:pPr>
      <w:pStyle w:val="47"/>
      <w:ind w:firstLine="480"/>
      <w:jc w:val="center"/>
    </w:pPr>
    <w:r>
      <w:fldChar w:fldCharType="begin"/>
    </w:r>
    <w:r>
      <w:instrText xml:space="preserve">PAGE   \* MERGEFORMAT</w:instrText>
    </w:r>
    <w:r>
      <w:fldChar w:fldCharType="separate"/>
    </w:r>
    <w:r>
      <w:rPr>
        <w:lang w:val="zh-CN"/>
      </w:rPr>
      <w:t>2</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27AE2">
    <w:pPr>
      <w:pStyle w:val="47"/>
      <w:ind w:firstLine="480"/>
      <w:jc w:val="center"/>
    </w:pPr>
    <w:r>
      <w:fldChar w:fldCharType="begin"/>
    </w:r>
    <w:r>
      <w:instrText xml:space="preserve">PAGE   \* MERGEFORMAT</w:instrText>
    </w:r>
    <w:r>
      <w:fldChar w:fldCharType="separate"/>
    </w:r>
    <w:r>
      <w:rPr>
        <w:lang w:val="zh-CN"/>
      </w:rPr>
      <w:t>20</w:t>
    </w:r>
    <w:r>
      <w:rPr>
        <w:lang w:val="zh-CN"/>
      </w:rPr>
      <w:fldChar w:fldCharType="end"/>
    </w:r>
  </w:p>
  <w:p w14:paraId="23C37AA2">
    <w:pPr>
      <w:pStyle w:val="4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CDA65">
    <w:pPr>
      <w:pStyle w:val="4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6B875">
                          <w:pPr>
                            <w:pStyle w:val="4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F16B875">
                    <w:pPr>
                      <w:pStyle w:val="4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934A">
    <w:pPr>
      <w:pStyle w:val="47"/>
      <w:ind w:firstLine="48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9F402">
                          <w:pPr>
                            <w:pStyle w:val="4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B9F402">
                    <w:pPr>
                      <w:pStyle w:val="4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4C5B4">
    <w:pPr>
      <w:pStyle w:val="4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4B31F">
    <w:pPr>
      <w:pStyle w:val="4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4DB4B">
    <w:pPr>
      <w:pStyle w:val="4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3B873">
    <w:pPr>
      <w:pStyle w:val="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1140"/>
        </w:tabs>
        <w:ind w:left="1140" w:hanging="420"/>
      </w:pPr>
      <w:rPr>
        <w:rFonts w:cs="Times New Roman"/>
      </w:rPr>
    </w:lvl>
    <w:lvl w:ilvl="1" w:tentative="0">
      <w:start w:val="1"/>
      <w:numFmt w:val="lowerLetter"/>
      <w:pStyle w:val="597"/>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1">
    <w:nsid w:val="00000003"/>
    <w:multiLevelType w:val="multilevel"/>
    <w:tmpl w:val="00000003"/>
    <w:lvl w:ilvl="0" w:tentative="0">
      <w:start w:val="1"/>
      <w:numFmt w:val="decimal"/>
      <w:pStyle w:val="206"/>
      <w:lvlText w:val="%1"/>
      <w:lvlJc w:val="left"/>
      <w:pPr>
        <w:tabs>
          <w:tab w:val="left" w:pos="480"/>
        </w:tabs>
        <w:ind w:left="480" w:hanging="480"/>
      </w:pPr>
      <w:rPr>
        <w:rFonts w:hint="eastAsia" w:cs="Times New Roman"/>
        <w:sz w:val="44"/>
        <w:szCs w:val="44"/>
      </w:rPr>
    </w:lvl>
    <w:lvl w:ilvl="1" w:tentative="0">
      <w:start w:val="1"/>
      <w:numFmt w:val="decimal"/>
      <w:pStyle w:val="202"/>
      <w:lvlText w:val="%1.%2"/>
      <w:lvlJc w:val="left"/>
      <w:pPr>
        <w:tabs>
          <w:tab w:val="left" w:pos="480"/>
        </w:tabs>
        <w:ind w:left="480" w:hanging="480"/>
      </w:pPr>
      <w:rPr>
        <w:rFonts w:hint="default" w:cs="Times New Roman"/>
        <w:sz w:val="32"/>
        <w:szCs w:val="32"/>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620"/>
        </w:tabs>
        <w:ind w:left="16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
    <w:nsid w:val="00000006"/>
    <w:multiLevelType w:val="singleLevel"/>
    <w:tmpl w:val="00000006"/>
    <w:lvl w:ilvl="0" w:tentative="0">
      <w:start w:val="1"/>
      <w:numFmt w:val="decimal"/>
      <w:pStyle w:val="353"/>
      <w:lvlText w:val="%1."/>
      <w:lvlJc w:val="left"/>
      <w:pPr>
        <w:tabs>
          <w:tab w:val="left" w:pos="1620"/>
        </w:tabs>
        <w:ind w:left="1620" w:hanging="360"/>
      </w:pPr>
      <w:rPr>
        <w:rFonts w:cs="Times New Roman"/>
      </w:rPr>
    </w:lvl>
  </w:abstractNum>
  <w:abstractNum w:abstractNumId="3">
    <w:nsid w:val="00000008"/>
    <w:multiLevelType w:val="multilevel"/>
    <w:tmpl w:val="00000008"/>
    <w:lvl w:ilvl="0" w:tentative="0">
      <w:start w:val="1"/>
      <w:numFmt w:val="decimal"/>
      <w:pStyle w:val="490"/>
      <w:lvlText w:val="%1."/>
      <w:lvlJc w:val="left"/>
      <w:pPr>
        <w:tabs>
          <w:tab w:val="left" w:pos="720"/>
        </w:tabs>
        <w:ind w:left="720" w:hanging="720"/>
      </w:pPr>
      <w:rPr>
        <w:rFonts w:hint="default" w:cs="Times New Roman"/>
      </w:rPr>
    </w:lvl>
    <w:lvl w:ilvl="1" w:tentative="0">
      <w:start w:val="1"/>
      <w:numFmt w:val="decimal"/>
      <w:pStyle w:val="491"/>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4">
    <w:nsid w:val="0000000A"/>
    <w:multiLevelType w:val="multilevel"/>
    <w:tmpl w:val="0000000A"/>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pStyle w:val="496"/>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5">
    <w:nsid w:val="0000000B"/>
    <w:multiLevelType w:val="singleLevel"/>
    <w:tmpl w:val="0000000B"/>
    <w:lvl w:ilvl="0" w:tentative="0">
      <w:start w:val="1"/>
      <w:numFmt w:val="decimal"/>
      <w:pStyle w:val="528"/>
      <w:lvlText w:val="%1．"/>
      <w:lvlJc w:val="left"/>
      <w:pPr>
        <w:tabs>
          <w:tab w:val="left" w:pos="360"/>
        </w:tabs>
        <w:ind w:left="245" w:hanging="245"/>
      </w:pPr>
      <w:rPr>
        <w:rFonts w:ascii="Times New Roman" w:hAnsi="Times New Roman" w:eastAsia="Times New Roman" w:cs="Times New Roman"/>
      </w:rPr>
    </w:lvl>
  </w:abstractNum>
  <w:abstractNum w:abstractNumId="6">
    <w:nsid w:val="0000000C"/>
    <w:multiLevelType w:val="multilevel"/>
    <w:tmpl w:val="0000000C"/>
    <w:lvl w:ilvl="0" w:tentative="0">
      <w:start w:val="1"/>
      <w:numFmt w:val="bullet"/>
      <w:pStyle w:val="36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0D"/>
    <w:multiLevelType w:val="multilevel"/>
    <w:tmpl w:val="0000000D"/>
    <w:lvl w:ilvl="0" w:tentative="0">
      <w:start w:val="12"/>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576"/>
        </w:tabs>
        <w:ind w:left="576" w:hanging="576"/>
      </w:pPr>
      <w:rPr>
        <w:rFonts w:hint="default" w:cs="Times New Roman"/>
      </w:rPr>
    </w:lvl>
    <w:lvl w:ilvl="2" w:tentative="0">
      <w:start w:val="1"/>
      <w:numFmt w:val="decimal"/>
      <w:pStyle w:val="527"/>
      <w:lvlText w:val="%1.%2.%3."/>
      <w:lvlJc w:val="left"/>
      <w:pPr>
        <w:tabs>
          <w:tab w:val="left" w:pos="720"/>
        </w:tabs>
        <w:ind w:left="720" w:hanging="720"/>
      </w:pPr>
      <w:rPr>
        <w:rFonts w:hint="default" w:cs="Times New Roman"/>
      </w:rPr>
    </w:lvl>
    <w:lvl w:ilvl="3" w:tentative="0">
      <w:start w:val="1"/>
      <w:numFmt w:val="decimal"/>
      <w:lvlText w:val="%1.%2.%3.%4"/>
      <w:lvlJc w:val="left"/>
      <w:pPr>
        <w:tabs>
          <w:tab w:val="left" w:pos="864"/>
        </w:tabs>
        <w:ind w:left="864" w:hanging="864"/>
      </w:pPr>
      <w:rPr>
        <w:rFonts w:hint="default" w:cs="Times New Roman"/>
      </w:rPr>
    </w:lvl>
    <w:lvl w:ilvl="4" w:tentative="0">
      <w:start w:val="1"/>
      <w:numFmt w:val="decimal"/>
      <w:lvlText w:val="%1.%2.%3.%4.%5"/>
      <w:lvlJc w:val="left"/>
      <w:pPr>
        <w:tabs>
          <w:tab w:val="left" w:pos="1008"/>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1"/>
      <w:numFmt w:val="decimal"/>
      <w:lvlText w:val="%1.%2.%3.%4.%5.%6.%7"/>
      <w:lvlJc w:val="left"/>
      <w:pPr>
        <w:tabs>
          <w:tab w:val="left" w:pos="1296"/>
        </w:tabs>
        <w:ind w:left="1296" w:hanging="1296"/>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8">
    <w:nsid w:val="0000000E"/>
    <w:multiLevelType w:val="multilevel"/>
    <w:tmpl w:val="0000000E"/>
    <w:lvl w:ilvl="0" w:tentative="0">
      <w:start w:val="0"/>
      <w:numFmt w:val="bullet"/>
      <w:pStyle w:val="605"/>
      <w:lvlText w:val="●"/>
      <w:lvlJc w:val="left"/>
      <w:pPr>
        <w:ind w:left="420" w:hanging="420"/>
      </w:pPr>
      <w:rPr>
        <w:rFonts w:hint="eastAsia" w:ascii="微软雅黑" w:hAnsi="微软雅黑" w:eastAsia="微软雅黑"/>
      </w:rPr>
    </w:lvl>
    <w:lvl w:ilvl="1" w:tentative="0">
      <w:start w:val="0"/>
      <w:numFmt w:val="bullet"/>
      <w:lvlText w:val="●"/>
      <w:lvlJc w:val="left"/>
      <w:pPr>
        <w:ind w:left="840" w:hanging="420"/>
      </w:pPr>
      <w:rPr>
        <w:rFonts w:hint="eastAsia" w:ascii="微软雅黑" w:hAnsi="微软雅黑" w:eastAsia="微软雅黑"/>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000000F"/>
    <w:multiLevelType w:val="multilevel"/>
    <w:tmpl w:val="0000000F"/>
    <w:lvl w:ilvl="0" w:tentative="0">
      <w:start w:val="1"/>
      <w:numFmt w:val="decimal"/>
      <w:pStyle w:val="249"/>
      <w:suff w:val="space"/>
      <w:lvlText w:val="%1"/>
      <w:lvlJc w:val="left"/>
      <w:rPr>
        <w:rFonts w:hint="eastAsia" w:cs="Times New Roman"/>
      </w:rPr>
    </w:lvl>
    <w:lvl w:ilvl="1" w:tentative="0">
      <w:start w:val="1"/>
      <w:numFmt w:val="decimal"/>
      <w:pStyle w:val="246"/>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suff w:val="space"/>
      <w:lvlText w:val="%1.%2.%3.%4"/>
      <w:lvlJc w:val="left"/>
      <w:pPr>
        <w:ind w:left="709"/>
      </w:pPr>
      <w:rPr>
        <w:rFonts w:hint="eastAsia" w:cs="Times New Roman"/>
      </w:rPr>
    </w:lvl>
    <w:lvl w:ilvl="4" w:tentative="0">
      <w:start w:val="1"/>
      <w:numFmt w:val="decimal"/>
      <w:suff w:val="space"/>
      <w:lvlText w:val="%1.%2.%3.%4.%5"/>
      <w:lvlJc w:val="left"/>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0">
    <w:nsid w:val="00000010"/>
    <w:multiLevelType w:val="multilevel"/>
    <w:tmpl w:val="00000010"/>
    <w:lvl w:ilvl="0" w:tentative="0">
      <w:start w:val="1"/>
      <w:numFmt w:val="bullet"/>
      <w:pStyle w:val="5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704"/>
        </w:tabs>
        <w:ind w:left="704" w:hanging="420"/>
      </w:pPr>
      <w:rPr>
        <w:rFonts w:hint="default" w:ascii="Wingdings" w:hAnsi="Wingdings"/>
        <w:color w:val="auto"/>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1"/>
    <w:multiLevelType w:val="multilevel"/>
    <w:tmpl w:val="00000011"/>
    <w:lvl w:ilvl="0" w:tentative="0">
      <w:start w:val="1"/>
      <w:numFmt w:val="decimal"/>
      <w:lvlText w:val="%1"/>
      <w:lvlJc w:val="left"/>
      <w:pPr>
        <w:tabs>
          <w:tab w:val="left" w:pos="1440"/>
        </w:tabs>
        <w:ind w:left="1440" w:hanging="720"/>
      </w:pPr>
      <w:rPr>
        <w:rFonts w:hint="default" w:cs="Times New Roman"/>
      </w:rPr>
    </w:lvl>
    <w:lvl w:ilvl="1" w:tentative="0">
      <w:start w:val="1"/>
      <w:numFmt w:val="decimal"/>
      <w:pStyle w:val="499"/>
      <w:isLgl/>
      <w:lvlText w:val="%1.%2"/>
      <w:lvlJc w:val="left"/>
      <w:pPr>
        <w:tabs>
          <w:tab w:val="left" w:pos="1440"/>
        </w:tabs>
        <w:ind w:left="1440" w:hanging="720"/>
      </w:pPr>
      <w:rPr>
        <w:rFonts w:hint="default" w:cs="Times New Roman"/>
      </w:rPr>
    </w:lvl>
    <w:lvl w:ilvl="2" w:tentative="0">
      <w:start w:val="1"/>
      <w:numFmt w:val="decimal"/>
      <w:isLgl/>
      <w:lvlText w:val="%1.%2.%3"/>
      <w:lvlJc w:val="left"/>
      <w:pPr>
        <w:tabs>
          <w:tab w:val="left" w:pos="1440"/>
        </w:tabs>
        <w:ind w:left="1440" w:hanging="720"/>
      </w:pPr>
      <w:rPr>
        <w:rFonts w:hint="default" w:ascii="Arial (W1)" w:hAnsi="Arial (W1)" w:cs="Times New Roman"/>
        <w:b w:val="0"/>
        <w:i w:val="0"/>
        <w:caps/>
        <w:sz w:val="24"/>
      </w:rPr>
    </w:lvl>
    <w:lvl w:ilvl="3" w:tentative="0">
      <w:start w:val="1"/>
      <w:numFmt w:val="decimal"/>
      <w:pStyle w:val="515"/>
      <w:isLgl/>
      <w:lvlText w:val="%1.%2.%3.%4"/>
      <w:lvlJc w:val="left"/>
      <w:pPr>
        <w:tabs>
          <w:tab w:val="left" w:pos="1440"/>
        </w:tabs>
        <w:ind w:left="1440" w:hanging="720"/>
      </w:pPr>
      <w:rPr>
        <w:rFonts w:hint="default" w:cs="Times New Roman"/>
      </w:rPr>
    </w:lvl>
    <w:lvl w:ilvl="4" w:tentative="0">
      <w:start w:val="1"/>
      <w:numFmt w:val="decimal"/>
      <w:isLgl/>
      <w:lvlText w:val="%1.%2.%3.%4.%5"/>
      <w:lvlJc w:val="left"/>
      <w:pPr>
        <w:tabs>
          <w:tab w:val="left" w:pos="1440"/>
        </w:tabs>
        <w:ind w:left="1440" w:hanging="720"/>
      </w:pPr>
      <w:rPr>
        <w:rFonts w:hint="default" w:cs="Times New Roman"/>
      </w:rPr>
    </w:lvl>
    <w:lvl w:ilvl="5" w:tentative="0">
      <w:start w:val="1"/>
      <w:numFmt w:val="decimal"/>
      <w:isLgl/>
      <w:lvlText w:val="%1.%2.%3.%4.%5.%6"/>
      <w:lvlJc w:val="left"/>
      <w:pPr>
        <w:tabs>
          <w:tab w:val="left" w:pos="1800"/>
        </w:tabs>
        <w:ind w:left="1800" w:hanging="1080"/>
      </w:pPr>
      <w:rPr>
        <w:rFonts w:hint="default" w:cs="Times New Roman"/>
      </w:rPr>
    </w:lvl>
    <w:lvl w:ilvl="6" w:tentative="0">
      <w:start w:val="1"/>
      <w:numFmt w:val="decimal"/>
      <w:isLgl/>
      <w:lvlText w:val="%1.%2.%3.%4.%5.%6.%7"/>
      <w:lvlJc w:val="left"/>
      <w:pPr>
        <w:tabs>
          <w:tab w:val="left" w:pos="1800"/>
        </w:tabs>
        <w:ind w:left="1800" w:hanging="1080"/>
      </w:pPr>
      <w:rPr>
        <w:rFonts w:hint="default" w:cs="Times New Roman"/>
      </w:rPr>
    </w:lvl>
    <w:lvl w:ilvl="7" w:tentative="0">
      <w:start w:val="1"/>
      <w:numFmt w:val="decimal"/>
      <w:isLgl/>
      <w:lvlText w:val="%1.%2.%3.%4.%5.%6.%7.%8"/>
      <w:lvlJc w:val="left"/>
      <w:pPr>
        <w:tabs>
          <w:tab w:val="left" w:pos="2160"/>
        </w:tabs>
        <w:ind w:left="2160" w:hanging="1440"/>
      </w:pPr>
      <w:rPr>
        <w:rFonts w:hint="default" w:cs="Times New Roman"/>
      </w:rPr>
    </w:lvl>
    <w:lvl w:ilvl="8" w:tentative="0">
      <w:start w:val="1"/>
      <w:numFmt w:val="decimal"/>
      <w:isLgl/>
      <w:lvlText w:val="%1.%2.%3.%4.%5.%6.%7.%8.%9"/>
      <w:lvlJc w:val="left"/>
      <w:pPr>
        <w:tabs>
          <w:tab w:val="left" w:pos="2160"/>
        </w:tabs>
        <w:ind w:left="2160" w:hanging="1440"/>
      </w:pPr>
      <w:rPr>
        <w:rFonts w:hint="default" w:cs="Times New Roman"/>
      </w:rPr>
    </w:lvl>
  </w:abstractNum>
  <w:abstractNum w:abstractNumId="12">
    <w:nsid w:val="00000013"/>
    <w:multiLevelType w:val="multilevel"/>
    <w:tmpl w:val="00000013"/>
    <w:lvl w:ilvl="0" w:tentative="0">
      <w:start w:val="1"/>
      <w:numFmt w:val="decimal"/>
      <w:pStyle w:val="238"/>
      <w:lvlText w:val="%1)"/>
      <w:lvlJc w:val="left"/>
      <w:pPr>
        <w:tabs>
          <w:tab w:val="left" w:pos="1440"/>
        </w:tabs>
        <w:ind w:left="1440" w:hanging="420"/>
      </w:pPr>
      <w:rPr>
        <w:rFonts w:hint="eastAsia" w:cs="Times New Roman"/>
      </w:rPr>
    </w:lvl>
    <w:lvl w:ilvl="1" w:tentative="0">
      <w:start w:val="1"/>
      <w:numFmt w:val="lowerLetter"/>
      <w:lvlText w:val="%2)"/>
      <w:lvlJc w:val="left"/>
      <w:pPr>
        <w:tabs>
          <w:tab w:val="left" w:pos="1080"/>
        </w:tabs>
        <w:ind w:left="1080" w:hanging="420"/>
      </w:pPr>
      <w:rPr>
        <w:rFonts w:cs="Times New Roman"/>
      </w:rPr>
    </w:lvl>
    <w:lvl w:ilvl="2" w:tentative="0">
      <w:start w:val="1"/>
      <w:numFmt w:val="lowerRoman"/>
      <w:lvlText w:val="%3."/>
      <w:lvlJc w:val="right"/>
      <w:pPr>
        <w:tabs>
          <w:tab w:val="left" w:pos="1500"/>
        </w:tabs>
        <w:ind w:left="1500" w:hanging="420"/>
      </w:pPr>
      <w:rPr>
        <w:rFonts w:cs="Times New Roman"/>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13">
    <w:nsid w:val="00000014"/>
    <w:multiLevelType w:val="singleLevel"/>
    <w:tmpl w:val="00000014"/>
    <w:lvl w:ilvl="0" w:tentative="0">
      <w:start w:val="1"/>
      <w:numFmt w:val="decimal"/>
      <w:pStyle w:val="16"/>
      <w:lvlText w:val="%1."/>
      <w:lvlJc w:val="left"/>
      <w:pPr>
        <w:tabs>
          <w:tab w:val="left" w:pos="360"/>
        </w:tabs>
        <w:ind w:left="360" w:hanging="360"/>
      </w:pPr>
      <w:rPr>
        <w:rFonts w:cs="Times New Roman"/>
      </w:rPr>
    </w:lvl>
  </w:abstractNum>
  <w:abstractNum w:abstractNumId="14">
    <w:nsid w:val="00000015"/>
    <w:multiLevelType w:val="multilevel"/>
    <w:tmpl w:val="00000015"/>
    <w:lvl w:ilvl="0" w:tentative="0">
      <w:start w:val="1"/>
      <w:numFmt w:val="decimal"/>
      <w:pStyle w:val="178"/>
      <w:lvlText w:val="%1."/>
      <w:lvlJc w:val="left"/>
      <w:pPr>
        <w:tabs>
          <w:tab w:val="left" w:pos="900"/>
        </w:tabs>
        <w:ind w:left="900" w:hanging="420"/>
      </w:pPr>
      <w:rPr>
        <w:rFonts w:cs="Times New Roman"/>
      </w:rPr>
    </w:lvl>
    <w:lvl w:ilvl="1" w:tentative="0">
      <w:start w:val="1"/>
      <w:numFmt w:val="decimal"/>
      <w:lvlText w:val="%2、"/>
      <w:lvlJc w:val="left"/>
      <w:pPr>
        <w:tabs>
          <w:tab w:val="left" w:pos="1260"/>
        </w:tabs>
        <w:ind w:left="1260" w:hanging="360"/>
      </w:pPr>
      <w:rPr>
        <w:rFonts w:hint="eastAsia" w:cs="Times New Roman"/>
      </w:rPr>
    </w:lvl>
    <w:lvl w:ilvl="2" w:tentative="0">
      <w:start w:val="1"/>
      <w:numFmt w:val="upperLetter"/>
      <w:lvlText w:val="%3、"/>
      <w:lvlJc w:val="left"/>
      <w:pPr>
        <w:tabs>
          <w:tab w:val="left" w:pos="1680"/>
        </w:tabs>
        <w:ind w:left="1680" w:hanging="360"/>
      </w:pPr>
      <w:rPr>
        <w:rFonts w:hint="eastAsia"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5">
    <w:nsid w:val="00000017"/>
    <w:multiLevelType w:val="multilevel"/>
    <w:tmpl w:val="00000017"/>
    <w:lvl w:ilvl="0" w:tentative="0">
      <w:start w:val="1"/>
      <w:numFmt w:val="decimal"/>
      <w:pStyle w:val="534"/>
      <w:lvlText w:val="%1."/>
      <w:lvlJc w:val="left"/>
      <w:pPr>
        <w:tabs>
          <w:tab w:val="left" w:pos="902"/>
        </w:tabs>
        <w:ind w:left="902" w:hanging="420"/>
      </w:pPr>
      <w:rPr>
        <w:rFonts w:hint="eastAsia" w:cs="Times New Roman"/>
      </w:rPr>
    </w:lvl>
    <w:lvl w:ilvl="1" w:tentative="0">
      <w:start w:val="1"/>
      <w:numFmt w:val="decimal"/>
      <w:lvlText w:val="%2）"/>
      <w:lvlJc w:val="left"/>
      <w:pPr>
        <w:tabs>
          <w:tab w:val="left" w:pos="1262"/>
        </w:tabs>
        <w:ind w:left="1262" w:hanging="360"/>
      </w:pPr>
      <w:rPr>
        <w:rFonts w:hint="eastAsia" w:cs="Times New Roman"/>
      </w:rPr>
    </w:lvl>
    <w:lvl w:ilvl="2" w:tentative="0">
      <w:start w:val="1"/>
      <w:numFmt w:val="japaneseCounting"/>
      <w:lvlText w:val="%3．"/>
      <w:lvlJc w:val="left"/>
      <w:pPr>
        <w:tabs>
          <w:tab w:val="left" w:pos="1742"/>
        </w:tabs>
        <w:ind w:left="1742" w:hanging="420"/>
      </w:pPr>
      <w:rPr>
        <w:rFonts w:hint="eastAsia" w:cs="Times New Roman"/>
      </w:rPr>
    </w:lvl>
    <w:lvl w:ilvl="3" w:tentative="0">
      <w:start w:val="1"/>
      <w:numFmt w:val="japaneseCounting"/>
      <w:lvlText w:val="（%4）"/>
      <w:lvlJc w:val="left"/>
      <w:pPr>
        <w:tabs>
          <w:tab w:val="left" w:pos="720"/>
        </w:tabs>
        <w:ind w:left="720" w:hanging="720"/>
      </w:pPr>
      <w:rPr>
        <w:rFonts w:hint="eastAsia" w:cs="Times New Roman"/>
      </w:rPr>
    </w:lvl>
    <w:lvl w:ilvl="4" w:tentative="0">
      <w:start w:val="1"/>
      <w:numFmt w:val="decimal"/>
      <w:lvlText w:val="%5)"/>
      <w:lvlJc w:val="left"/>
      <w:pPr>
        <w:tabs>
          <w:tab w:val="left" w:pos="2582"/>
        </w:tabs>
        <w:ind w:left="2582" w:hanging="420"/>
      </w:pPr>
      <w:rPr>
        <w:rFonts w:hint="eastAsia" w:cs="Times New Roman"/>
      </w:rPr>
    </w:lvl>
    <w:lvl w:ilvl="5" w:tentative="0">
      <w:start w:val="1"/>
      <w:numFmt w:val="japaneseCounting"/>
      <w:lvlText w:val="%6、"/>
      <w:lvlJc w:val="left"/>
      <w:pPr>
        <w:tabs>
          <w:tab w:val="left" w:pos="3062"/>
        </w:tabs>
        <w:ind w:left="3062" w:hanging="480"/>
      </w:pPr>
      <w:rPr>
        <w:rFonts w:hint="eastAsia" w:cs="Times New Roman"/>
      </w:rPr>
    </w:lvl>
    <w:lvl w:ilvl="6" w:tentative="0">
      <w:start w:val="1"/>
      <w:numFmt w:val="decimal"/>
      <w:lvlText w:val="%7."/>
      <w:lvlJc w:val="left"/>
      <w:pPr>
        <w:tabs>
          <w:tab w:val="left" w:pos="3422"/>
        </w:tabs>
        <w:ind w:left="3422" w:hanging="420"/>
      </w:pPr>
      <w:rPr>
        <w:rFonts w:cs="Times New Roman"/>
      </w:rPr>
    </w:lvl>
    <w:lvl w:ilvl="7" w:tentative="0">
      <w:start w:val="1"/>
      <w:numFmt w:val="lowerLetter"/>
      <w:lvlText w:val="%8)"/>
      <w:lvlJc w:val="left"/>
      <w:pPr>
        <w:tabs>
          <w:tab w:val="left" w:pos="3842"/>
        </w:tabs>
        <w:ind w:left="3842" w:hanging="420"/>
      </w:pPr>
      <w:rPr>
        <w:rFonts w:cs="Times New Roman"/>
      </w:rPr>
    </w:lvl>
    <w:lvl w:ilvl="8" w:tentative="0">
      <w:start w:val="1"/>
      <w:numFmt w:val="lowerRoman"/>
      <w:lvlText w:val="%9."/>
      <w:lvlJc w:val="right"/>
      <w:pPr>
        <w:tabs>
          <w:tab w:val="left" w:pos="4262"/>
        </w:tabs>
        <w:ind w:left="4262" w:hanging="420"/>
      </w:pPr>
      <w:rPr>
        <w:rFonts w:cs="Times New Roman"/>
      </w:rPr>
    </w:lvl>
  </w:abstractNum>
  <w:abstractNum w:abstractNumId="16">
    <w:nsid w:val="00000018"/>
    <w:multiLevelType w:val="multilevel"/>
    <w:tmpl w:val="00000018"/>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497"/>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0000001A"/>
    <w:multiLevelType w:val="multilevel"/>
    <w:tmpl w:val="0000001A"/>
    <w:lvl w:ilvl="0" w:tentative="0">
      <w:start w:val="1"/>
      <w:numFmt w:val="lowerLetter"/>
      <w:pStyle w:val="516"/>
      <w:lvlText w:val="%1."/>
      <w:lvlJc w:val="left"/>
      <w:pPr>
        <w:tabs>
          <w:tab w:val="left" w:pos="2304"/>
        </w:tabs>
        <w:ind w:left="2304" w:hanging="576"/>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8">
    <w:nsid w:val="0000001B"/>
    <w:multiLevelType w:val="multilevel"/>
    <w:tmpl w:val="0000001B"/>
    <w:lvl w:ilvl="0" w:tentative="0">
      <w:start w:val="1"/>
      <w:numFmt w:val="decimal"/>
      <w:pStyle w:val="6"/>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0000001C"/>
    <w:multiLevelType w:val="multilevel"/>
    <w:tmpl w:val="0000001C"/>
    <w:lvl w:ilvl="0" w:tentative="0">
      <w:start w:val="1"/>
      <w:numFmt w:val="lowerLetter"/>
      <w:pStyle w:val="502"/>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0">
    <w:nsid w:val="0000001D"/>
    <w:multiLevelType w:val="multilevel"/>
    <w:tmpl w:val="0000001D"/>
    <w:lvl w:ilvl="0" w:tentative="0">
      <w:start w:val="1"/>
      <w:numFmt w:val="none"/>
      <w:pStyle w:val="186"/>
      <w:suff w:val="nothing"/>
      <w:lvlText w:val="%1"/>
      <w:lvlJc w:val="left"/>
      <w:rPr>
        <w:rFonts w:hint="default" w:ascii="Times New Roman" w:hAnsi="Times New Roman" w:cs="Times New Roman"/>
        <w:b/>
        <w:i w:val="0"/>
        <w:sz w:val="21"/>
      </w:rPr>
    </w:lvl>
    <w:lvl w:ilvl="1" w:tentative="0">
      <w:start w:val="1"/>
      <w:numFmt w:val="decimal"/>
      <w:pStyle w:val="188"/>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pPr>
        <w:ind w:left="525"/>
      </w:pPr>
      <w:rPr>
        <w:rFonts w:hint="eastAsia" w:ascii="黑体" w:hAnsi="Times New Roman" w:eastAsia="黑体" w:cs="Times New Roman"/>
        <w:b w:val="0"/>
        <w:i w:val="0"/>
        <w:sz w:val="21"/>
      </w:rPr>
    </w:lvl>
    <w:lvl w:ilvl="3" w:tentative="0">
      <w:start w:val="1"/>
      <w:numFmt w:val="decimal"/>
      <w:suff w:val="nothing"/>
      <w:lvlText w:val="%1%2.%3.%4　"/>
      <w:lvlJc w:val="left"/>
      <w:pPr>
        <w:ind w:left="18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1">
    <w:nsid w:val="0000001F"/>
    <w:multiLevelType w:val="singleLevel"/>
    <w:tmpl w:val="0000001F"/>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22">
    <w:nsid w:val="00000021"/>
    <w:multiLevelType w:val="multilevel"/>
    <w:tmpl w:val="00000021"/>
    <w:lvl w:ilvl="0" w:tentative="0">
      <w:start w:val="1"/>
      <w:numFmt w:val="none"/>
      <w:pStyle w:val="512"/>
      <w:suff w:val="nothing"/>
      <w:lvlText w:val="%1"/>
      <w:lvlJc w:val="left"/>
      <w:rPr>
        <w:rFonts w:cs="Times New Roman"/>
      </w:rPr>
    </w:lvl>
    <w:lvl w:ilvl="1" w:tentative="0">
      <w:start w:val="1"/>
      <w:numFmt w:val="decimal"/>
      <w:pStyle w:val="504"/>
      <w:lvlText w:val="%1%2.0"/>
      <w:lvlJc w:val="left"/>
      <w:pPr>
        <w:tabs>
          <w:tab w:val="left" w:pos="576"/>
        </w:tabs>
        <w:ind w:left="576" w:hanging="576"/>
      </w:pPr>
      <w:rPr>
        <w:rFonts w:cs="Times New Roman"/>
      </w:rPr>
    </w:lvl>
    <w:lvl w:ilvl="2" w:tentative="0">
      <w:start w:val="1"/>
      <w:numFmt w:val="decimal"/>
      <w:pStyle w:val="505"/>
      <w:lvlText w:val="%1%2.%3"/>
      <w:lvlJc w:val="left"/>
      <w:pPr>
        <w:tabs>
          <w:tab w:val="left" w:pos="576"/>
        </w:tabs>
        <w:ind w:left="576" w:hanging="576"/>
      </w:pPr>
      <w:rPr>
        <w:rFonts w:cs="Times New Roman"/>
      </w:rPr>
    </w:lvl>
    <w:lvl w:ilvl="3" w:tentative="0">
      <w:start w:val="1"/>
      <w:numFmt w:val="lowerLetter"/>
      <w:pStyle w:val="506"/>
      <w:lvlText w:val="%1%4."/>
      <w:lvlJc w:val="left"/>
      <w:pPr>
        <w:tabs>
          <w:tab w:val="left" w:pos="720"/>
        </w:tabs>
        <w:ind w:left="360" w:hanging="360"/>
      </w:pPr>
      <w:rPr>
        <w:rFonts w:cs="Times New Roman"/>
      </w:rPr>
    </w:lvl>
    <w:lvl w:ilvl="4" w:tentative="0">
      <w:start w:val="1"/>
      <w:numFmt w:val="decimal"/>
      <w:pStyle w:val="507"/>
      <w:lvlText w:val="%5."/>
      <w:lvlJc w:val="left"/>
      <w:pPr>
        <w:tabs>
          <w:tab w:val="left" w:pos="720"/>
        </w:tabs>
        <w:ind w:left="720" w:hanging="360"/>
      </w:pPr>
      <w:rPr>
        <w:rFonts w:cs="Times New Roman"/>
      </w:rPr>
    </w:lvl>
    <w:lvl w:ilvl="5" w:tentative="0">
      <w:start w:val="1"/>
      <w:numFmt w:val="lowerLetter"/>
      <w:pStyle w:val="508"/>
      <w:lvlText w:val="%1(%6)"/>
      <w:lvlJc w:val="left"/>
      <w:pPr>
        <w:tabs>
          <w:tab w:val="left" w:pos="1440"/>
        </w:tabs>
        <w:ind w:left="720"/>
      </w:pPr>
      <w:rPr>
        <w:rFonts w:cs="Times New Roman"/>
      </w:rPr>
    </w:lvl>
    <w:lvl w:ilvl="6" w:tentative="0">
      <w:start w:val="1"/>
      <w:numFmt w:val="lowerRoman"/>
      <w:pStyle w:val="509"/>
      <w:lvlText w:val="(%7)"/>
      <w:lvlJc w:val="left"/>
      <w:pPr>
        <w:tabs>
          <w:tab w:val="left" w:pos="1800"/>
        </w:tabs>
        <w:ind w:left="1440" w:hanging="360"/>
      </w:pPr>
      <w:rPr>
        <w:rFonts w:cs="Times New Roman"/>
      </w:rPr>
    </w:lvl>
    <w:lvl w:ilvl="7" w:tentative="0">
      <w:start w:val="1"/>
      <w:numFmt w:val="decimal"/>
      <w:pStyle w:val="510"/>
      <w:lvlText w:val="(%8)"/>
      <w:lvlJc w:val="left"/>
      <w:pPr>
        <w:tabs>
          <w:tab w:val="left" w:pos="1800"/>
        </w:tabs>
        <w:ind w:left="1800" w:hanging="360"/>
      </w:pPr>
      <w:rPr>
        <w:rFonts w:cs="Times New Roman"/>
      </w:rPr>
    </w:lvl>
    <w:lvl w:ilvl="8" w:tentative="0">
      <w:start w:val="1"/>
      <w:numFmt w:val="lowerRoman"/>
      <w:pStyle w:val="511"/>
      <w:lvlText w:val="(%9)"/>
      <w:lvlJc w:val="left"/>
      <w:pPr>
        <w:tabs>
          <w:tab w:val="left" w:pos="2520"/>
        </w:tabs>
        <w:ind w:left="2160" w:hanging="360"/>
      </w:pPr>
      <w:rPr>
        <w:rFonts w:cs="Times New Roman"/>
      </w:rPr>
    </w:lvl>
  </w:abstractNum>
  <w:abstractNum w:abstractNumId="23">
    <w:nsid w:val="00000023"/>
    <w:multiLevelType w:val="multilevel"/>
    <w:tmpl w:val="00000023"/>
    <w:lvl w:ilvl="0" w:tentative="0">
      <w:start w:val="1"/>
      <w:numFmt w:val="decimal"/>
      <w:pStyle w:val="3"/>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abstractNum w:abstractNumId="24">
    <w:nsid w:val="00000024"/>
    <w:multiLevelType w:val="multilevel"/>
    <w:tmpl w:val="00000024"/>
    <w:lvl w:ilvl="0" w:tentative="0">
      <w:start w:val="1"/>
      <w:numFmt w:val="bullet"/>
      <w:pStyle w:val="53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00000028"/>
    <w:multiLevelType w:val="multilevel"/>
    <w:tmpl w:val="00000028"/>
    <w:lvl w:ilvl="0" w:tentative="0">
      <w:start w:val="1"/>
      <w:numFmt w:val="decimal"/>
      <w:pStyle w:val="194"/>
      <w:suff w:val="nothing"/>
      <w:lvlText w:val="表%1　"/>
      <w:lvlJc w:val="left"/>
      <w:pPr>
        <w:ind w:left="3240"/>
      </w:pPr>
      <w:rPr>
        <w:rFonts w:hint="eastAsia" w:ascii="黑体" w:hAnsi="Times New Roman" w:eastAsia="黑体" w:cs="Times New Roman"/>
        <w:b w:val="0"/>
        <w:i w:val="0"/>
        <w:sz w:val="21"/>
      </w:rPr>
    </w:lvl>
    <w:lvl w:ilvl="1" w:tentative="0">
      <w:start w:val="1"/>
      <w:numFmt w:val="decimal"/>
      <w:lvlText w:val="%1.%2"/>
      <w:lvlJc w:val="left"/>
      <w:pPr>
        <w:tabs>
          <w:tab w:val="left" w:pos="872"/>
        </w:tabs>
        <w:ind w:left="872" w:hanging="567"/>
      </w:pPr>
      <w:rPr>
        <w:rFonts w:hint="eastAsia" w:cs="Times New Roman"/>
      </w:rPr>
    </w:lvl>
    <w:lvl w:ilvl="2" w:tentative="0">
      <w:start w:val="1"/>
      <w:numFmt w:val="decimal"/>
      <w:lvlText w:val="%1.%2.%3"/>
      <w:lvlJc w:val="left"/>
      <w:pPr>
        <w:tabs>
          <w:tab w:val="left" w:pos="1298"/>
        </w:tabs>
        <w:ind w:left="1298" w:hanging="567"/>
      </w:pPr>
      <w:rPr>
        <w:rFonts w:hint="eastAsia" w:cs="Times New Roman"/>
      </w:rPr>
    </w:lvl>
    <w:lvl w:ilvl="3" w:tentative="0">
      <w:start w:val="1"/>
      <w:numFmt w:val="decimal"/>
      <w:lvlText w:val="%1.%2.%3.%4"/>
      <w:lvlJc w:val="left"/>
      <w:pPr>
        <w:tabs>
          <w:tab w:val="left" w:pos="1864"/>
        </w:tabs>
        <w:ind w:left="1864" w:hanging="708"/>
      </w:pPr>
      <w:rPr>
        <w:rFonts w:hint="eastAsia" w:cs="Times New Roman"/>
      </w:rPr>
    </w:lvl>
    <w:lvl w:ilvl="4" w:tentative="0">
      <w:start w:val="1"/>
      <w:numFmt w:val="decimal"/>
      <w:lvlText w:val="%1.%2.%3.%4.%5"/>
      <w:lvlJc w:val="left"/>
      <w:pPr>
        <w:tabs>
          <w:tab w:val="left" w:pos="2431"/>
        </w:tabs>
        <w:ind w:left="2431" w:hanging="850"/>
      </w:pPr>
      <w:rPr>
        <w:rFonts w:hint="eastAsia" w:cs="Times New Roman"/>
      </w:rPr>
    </w:lvl>
    <w:lvl w:ilvl="5" w:tentative="0">
      <w:start w:val="1"/>
      <w:numFmt w:val="decimal"/>
      <w:lvlText w:val="%1.%2.%3.%4.%5.%6"/>
      <w:lvlJc w:val="left"/>
      <w:pPr>
        <w:tabs>
          <w:tab w:val="left" w:pos="3140"/>
        </w:tabs>
        <w:ind w:left="3140" w:hanging="1134"/>
      </w:pPr>
      <w:rPr>
        <w:rFonts w:hint="eastAsia" w:cs="Times New Roman"/>
      </w:rPr>
    </w:lvl>
    <w:lvl w:ilvl="6" w:tentative="0">
      <w:start w:val="1"/>
      <w:numFmt w:val="decimal"/>
      <w:lvlText w:val="%1.%2.%3.%4.%5.%6.%7"/>
      <w:lvlJc w:val="left"/>
      <w:pPr>
        <w:tabs>
          <w:tab w:val="left" w:pos="3707"/>
        </w:tabs>
        <w:ind w:left="3707" w:hanging="1276"/>
      </w:pPr>
      <w:rPr>
        <w:rFonts w:hint="eastAsia" w:cs="Times New Roman"/>
      </w:rPr>
    </w:lvl>
    <w:lvl w:ilvl="7" w:tentative="0">
      <w:start w:val="1"/>
      <w:numFmt w:val="decimal"/>
      <w:lvlText w:val="%1.%2.%3.%4.%5.%6.%7.%8"/>
      <w:lvlJc w:val="left"/>
      <w:pPr>
        <w:tabs>
          <w:tab w:val="left" w:pos="4274"/>
        </w:tabs>
        <w:ind w:left="4274" w:hanging="1418"/>
      </w:pPr>
      <w:rPr>
        <w:rFonts w:hint="eastAsia" w:cs="Times New Roman"/>
      </w:rPr>
    </w:lvl>
    <w:lvl w:ilvl="8" w:tentative="0">
      <w:start w:val="1"/>
      <w:numFmt w:val="decimal"/>
      <w:lvlText w:val="%1.%2.%3.%4.%5.%6.%7.%8.%9"/>
      <w:lvlJc w:val="left"/>
      <w:pPr>
        <w:tabs>
          <w:tab w:val="left" w:pos="4982"/>
        </w:tabs>
        <w:ind w:left="4982" w:hanging="1700"/>
      </w:pPr>
      <w:rPr>
        <w:rFonts w:hint="eastAsia" w:cs="Times New Roman"/>
      </w:rPr>
    </w:lvl>
  </w:abstractNum>
  <w:abstractNum w:abstractNumId="26">
    <w:nsid w:val="00000029"/>
    <w:multiLevelType w:val="multilevel"/>
    <w:tmpl w:val="00000029"/>
    <w:lvl w:ilvl="0" w:tentative="0">
      <w:start w:val="1"/>
      <w:numFmt w:val="decimal"/>
      <w:pStyle w:val="30"/>
      <w:lvlText w:val="%1."/>
      <w:lvlJc w:val="left"/>
      <w:pPr>
        <w:tabs>
          <w:tab w:val="left" w:pos="1140"/>
        </w:tabs>
        <w:ind w:left="1140" w:hanging="420"/>
      </w:pPr>
      <w:rPr>
        <w:rFonts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27">
    <w:nsid w:val="0000002C"/>
    <w:multiLevelType w:val="multilevel"/>
    <w:tmpl w:val="0000002C"/>
    <w:lvl w:ilvl="0" w:tentative="0">
      <w:start w:val="1"/>
      <w:numFmt w:val="decimal"/>
      <w:pStyle w:val="366"/>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28">
    <w:nsid w:val="0000002D"/>
    <w:multiLevelType w:val="multilevel"/>
    <w:tmpl w:val="0000002D"/>
    <w:lvl w:ilvl="0" w:tentative="0">
      <w:start w:val="1"/>
      <w:numFmt w:val="chineseCountingThousand"/>
      <w:lvlText w:val="第%1章 "/>
      <w:lvlJc w:val="left"/>
      <w:pPr>
        <w:tabs>
          <w:tab w:val="left" w:pos="420"/>
        </w:tabs>
        <w:ind w:left="420" w:hanging="420"/>
      </w:pPr>
      <w:rPr>
        <w:rFonts w:hint="eastAsia" w:cs="Times New Roman"/>
      </w:rPr>
    </w:lvl>
    <w:lvl w:ilvl="1" w:tentative="0">
      <w:start w:val="1"/>
      <w:numFmt w:val="chineseCountingThousand"/>
      <w:lvlText w:val="第%2节"/>
      <w:lvlJc w:val="left"/>
      <w:pPr>
        <w:tabs>
          <w:tab w:val="left" w:pos="2315"/>
        </w:tabs>
        <w:ind w:left="2315" w:hanging="575"/>
      </w:pPr>
      <w:rPr>
        <w:rFonts w:hint="eastAsia" w:cs="Times New Roman"/>
      </w:rPr>
    </w:lvl>
    <w:lvl w:ilvl="2" w:tentative="0">
      <w:start w:val="1"/>
      <w:numFmt w:val="chineseCounting"/>
      <w:lvlText w:val="%3、"/>
      <w:lvlJc w:val="left"/>
      <w:pPr>
        <w:tabs>
          <w:tab w:val="left" w:pos="1020"/>
        </w:tabs>
        <w:ind w:left="1020" w:hanging="720"/>
      </w:pPr>
      <w:rPr>
        <w:rFonts w:hint="eastAsia" w:ascii="宋体" w:hAnsi="宋体" w:eastAsia="宋体" w:cs="Times New Roman"/>
      </w:rPr>
    </w:lvl>
    <w:lvl w:ilvl="3" w:tentative="0">
      <w:start w:val="1"/>
      <w:numFmt w:val="decimal"/>
      <w:lvlText w:val="%4"/>
      <w:lvlJc w:val="left"/>
      <w:pPr>
        <w:tabs>
          <w:tab w:val="left" w:pos="2604"/>
        </w:tabs>
        <w:ind w:left="2604" w:hanging="864"/>
      </w:pPr>
      <w:rPr>
        <w:rFonts w:hint="eastAsia" w:ascii="宋体" w:hAnsi="宋体" w:eastAsia="宋体" w:cs="Times New Roman"/>
      </w:rPr>
    </w:lvl>
    <w:lvl w:ilvl="4" w:tentative="0">
      <w:start w:val="1"/>
      <w:numFmt w:val="decimal"/>
      <w:pStyle w:val="131"/>
      <w:lvlText w:val="%3.%4.%5"/>
      <w:lvlJc w:val="left"/>
      <w:pPr>
        <w:tabs>
          <w:tab w:val="left" w:pos="1008"/>
        </w:tabs>
        <w:ind w:left="1008" w:hanging="1008"/>
      </w:pPr>
      <w:rPr>
        <w:rFonts w:hint="eastAsia" w:cs="Times New Roman"/>
      </w:rPr>
    </w:lvl>
    <w:lvl w:ilvl="5" w:tentative="0">
      <w:start w:val="1"/>
      <w:numFmt w:val="decimal"/>
      <w:lvlText w:val="%1.%2.%3.%4.%5.%6."/>
      <w:lvlJc w:val="left"/>
      <w:pPr>
        <w:tabs>
          <w:tab w:val="left" w:pos="1151"/>
        </w:tabs>
        <w:ind w:left="1151" w:hanging="1151"/>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3"/>
        </w:tabs>
        <w:ind w:left="1583" w:hanging="1583"/>
      </w:pPr>
      <w:rPr>
        <w:rFonts w:hint="eastAsia" w:cs="Times New Roman"/>
      </w:rPr>
    </w:lvl>
  </w:abstractNum>
  <w:abstractNum w:abstractNumId="29">
    <w:nsid w:val="0E02BFB3"/>
    <w:multiLevelType w:val="singleLevel"/>
    <w:tmpl w:val="0E02BFB3"/>
    <w:lvl w:ilvl="0" w:tentative="0">
      <w:start w:val="1"/>
      <w:numFmt w:val="decimal"/>
      <w:suff w:val="space"/>
      <w:lvlText w:val="%1."/>
      <w:lvlJc w:val="left"/>
    </w:lvl>
  </w:abstractNum>
  <w:abstractNum w:abstractNumId="30">
    <w:nsid w:val="11595245"/>
    <w:multiLevelType w:val="singleLevel"/>
    <w:tmpl w:val="11595245"/>
    <w:lvl w:ilvl="0" w:tentative="0">
      <w:start w:val="2"/>
      <w:numFmt w:val="chineseCounting"/>
      <w:suff w:val="space"/>
      <w:lvlText w:val="第%1部分"/>
      <w:lvlJc w:val="left"/>
      <w:rPr>
        <w:rFonts w:hint="eastAsia"/>
      </w:rPr>
    </w:lvl>
  </w:abstractNum>
  <w:abstractNum w:abstractNumId="31">
    <w:nsid w:val="54F403B5"/>
    <w:multiLevelType w:val="singleLevel"/>
    <w:tmpl w:val="54F403B5"/>
    <w:lvl w:ilvl="0" w:tentative="0">
      <w:start w:val="1"/>
      <w:numFmt w:val="chineseCounting"/>
      <w:suff w:val="nothing"/>
      <w:lvlText w:val="%1、"/>
      <w:lvlJc w:val="left"/>
    </w:lvl>
  </w:abstractNum>
  <w:abstractNum w:abstractNumId="32">
    <w:nsid w:val="557FD3DA"/>
    <w:multiLevelType w:val="singleLevel"/>
    <w:tmpl w:val="557FD3DA"/>
    <w:lvl w:ilvl="0" w:tentative="0">
      <w:start w:val="3"/>
      <w:numFmt w:val="chineseCounting"/>
      <w:suff w:val="nothing"/>
      <w:lvlText w:val="%1、"/>
      <w:lvlJc w:val="left"/>
    </w:lvl>
  </w:abstractNum>
  <w:abstractNum w:abstractNumId="33">
    <w:nsid w:val="59C2244E"/>
    <w:multiLevelType w:val="multilevel"/>
    <w:tmpl w:val="59C2244E"/>
    <w:lvl w:ilvl="0" w:tentative="0">
      <w:start w:val="1"/>
      <w:numFmt w:val="decimal"/>
      <w:pStyle w:val="200"/>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4">
    <w:nsid w:val="60AE2CA3"/>
    <w:multiLevelType w:val="singleLevel"/>
    <w:tmpl w:val="60AE2CA3"/>
    <w:lvl w:ilvl="0" w:tentative="0">
      <w:start w:val="2"/>
      <w:numFmt w:val="decimal"/>
      <w:suff w:val="nothing"/>
      <w:lvlText w:val="（%1）"/>
      <w:lvlJc w:val="left"/>
    </w:lvl>
  </w:abstractNum>
  <w:abstractNum w:abstractNumId="35">
    <w:nsid w:val="625E924F"/>
    <w:multiLevelType w:val="singleLevel"/>
    <w:tmpl w:val="625E924F"/>
    <w:lvl w:ilvl="0" w:tentative="0">
      <w:start w:val="2"/>
      <w:numFmt w:val="decimal"/>
      <w:suff w:val="nothing"/>
      <w:lvlText w:val="%1、"/>
      <w:lvlJc w:val="left"/>
    </w:lvl>
  </w:abstractNum>
  <w:abstractNum w:abstractNumId="36">
    <w:nsid w:val="776A512F"/>
    <w:multiLevelType w:val="singleLevel"/>
    <w:tmpl w:val="776A512F"/>
    <w:lvl w:ilvl="0" w:tentative="0">
      <w:start w:val="1"/>
      <w:numFmt w:val="decimal"/>
      <w:lvlText w:val="%1."/>
      <w:lvlJc w:val="left"/>
      <w:pPr>
        <w:tabs>
          <w:tab w:val="left" w:pos="312"/>
        </w:tabs>
      </w:pPr>
    </w:lvl>
  </w:abstractNum>
  <w:abstractNum w:abstractNumId="37">
    <w:nsid w:val="79189F0A"/>
    <w:multiLevelType w:val="singleLevel"/>
    <w:tmpl w:val="79189F0A"/>
    <w:lvl w:ilvl="0" w:tentative="0">
      <w:start w:val="5"/>
      <w:numFmt w:val="decimal"/>
      <w:suff w:val="nothing"/>
      <w:lvlText w:val="%1、"/>
      <w:lvlJc w:val="left"/>
    </w:lvl>
  </w:abstractNum>
  <w:num w:numId="1">
    <w:abstractNumId w:val="23"/>
  </w:num>
  <w:num w:numId="2">
    <w:abstractNumId w:val="18"/>
  </w:num>
  <w:num w:numId="3">
    <w:abstractNumId w:val="13"/>
  </w:num>
  <w:num w:numId="4">
    <w:abstractNumId w:val="21"/>
  </w:num>
  <w:num w:numId="5">
    <w:abstractNumId w:val="26"/>
  </w:num>
  <w:num w:numId="6">
    <w:abstractNumId w:val="10"/>
  </w:num>
  <w:num w:numId="7">
    <w:abstractNumId w:val="28"/>
  </w:num>
  <w:num w:numId="8">
    <w:abstractNumId w:val="14"/>
  </w:num>
  <w:num w:numId="9">
    <w:abstractNumId w:val="20"/>
  </w:num>
  <w:num w:numId="10">
    <w:abstractNumId w:val="25"/>
  </w:num>
  <w:num w:numId="11">
    <w:abstractNumId w:val="33"/>
  </w:num>
  <w:num w:numId="12">
    <w:abstractNumId w:val="1"/>
  </w:num>
  <w:num w:numId="13">
    <w:abstractNumId w:val="12"/>
  </w:num>
  <w:num w:numId="14">
    <w:abstractNumId w:val="9"/>
  </w:num>
  <w:num w:numId="15">
    <w:abstractNumId w:val="2"/>
  </w:num>
  <w:num w:numId="16">
    <w:abstractNumId w:val="6"/>
  </w:num>
  <w:num w:numId="17">
    <w:abstractNumId w:val="27"/>
  </w:num>
  <w:num w:numId="18">
    <w:abstractNumId w:val="3"/>
  </w:num>
  <w:num w:numId="19">
    <w:abstractNumId w:val="4"/>
  </w:num>
  <w:num w:numId="20">
    <w:abstractNumId w:val="16"/>
  </w:num>
  <w:num w:numId="21">
    <w:abstractNumId w:val="11"/>
  </w:num>
  <w:num w:numId="22">
    <w:abstractNumId w:val="19"/>
  </w:num>
  <w:num w:numId="23">
    <w:abstractNumId w:val="22"/>
  </w:num>
  <w:num w:numId="24">
    <w:abstractNumId w:val="17"/>
  </w:num>
  <w:num w:numId="25">
    <w:abstractNumId w:val="7"/>
  </w:num>
  <w:num w:numId="26">
    <w:abstractNumId w:val="5"/>
    <w:lvlOverride w:ilvl="0">
      <w:startOverride w:val="1"/>
    </w:lvlOverride>
  </w:num>
  <w:num w:numId="27">
    <w:abstractNumId w:val="24"/>
  </w:num>
  <w:num w:numId="28">
    <w:abstractNumId w:val="15"/>
  </w:num>
  <w:num w:numId="29">
    <w:abstractNumId w:val="0"/>
  </w:num>
  <w:num w:numId="30">
    <w:abstractNumId w:val="8"/>
  </w:num>
  <w:num w:numId="31">
    <w:abstractNumId w:val="37"/>
  </w:num>
  <w:num w:numId="32">
    <w:abstractNumId w:val="35"/>
  </w:num>
  <w:num w:numId="33">
    <w:abstractNumId w:val="30"/>
  </w:num>
  <w:num w:numId="34">
    <w:abstractNumId w:val="36"/>
  </w:num>
  <w:num w:numId="35">
    <w:abstractNumId w:val="34"/>
  </w:num>
  <w:num w:numId="36">
    <w:abstractNumId w:val="29"/>
  </w:num>
  <w:num w:numId="37">
    <w:abstractNumId w:val="3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OGM2ODc3NzNkZjgwMmU0Y2VhNGFlOTg4MzMyZDcifQ=="/>
  </w:docVars>
  <w:rsids>
    <w:rsidRoot w:val="00E1598F"/>
    <w:rsid w:val="0005247E"/>
    <w:rsid w:val="00222F5D"/>
    <w:rsid w:val="002814B1"/>
    <w:rsid w:val="00310B0C"/>
    <w:rsid w:val="00325D15"/>
    <w:rsid w:val="00501FD2"/>
    <w:rsid w:val="006E2D5D"/>
    <w:rsid w:val="00823AB7"/>
    <w:rsid w:val="00A11CA9"/>
    <w:rsid w:val="00AA06A3"/>
    <w:rsid w:val="00E1598F"/>
    <w:rsid w:val="01275768"/>
    <w:rsid w:val="01682B5C"/>
    <w:rsid w:val="01A30E5C"/>
    <w:rsid w:val="01A619B0"/>
    <w:rsid w:val="01AD174B"/>
    <w:rsid w:val="01B54C6B"/>
    <w:rsid w:val="020170DE"/>
    <w:rsid w:val="0263128E"/>
    <w:rsid w:val="02FC432C"/>
    <w:rsid w:val="044445A6"/>
    <w:rsid w:val="046F46C7"/>
    <w:rsid w:val="04AD688B"/>
    <w:rsid w:val="04E26B3E"/>
    <w:rsid w:val="04F14CE6"/>
    <w:rsid w:val="0518245C"/>
    <w:rsid w:val="05265AFA"/>
    <w:rsid w:val="055558D3"/>
    <w:rsid w:val="0559570F"/>
    <w:rsid w:val="0586718C"/>
    <w:rsid w:val="05892753"/>
    <w:rsid w:val="059B7F92"/>
    <w:rsid w:val="05C16AE4"/>
    <w:rsid w:val="05EF077E"/>
    <w:rsid w:val="064B2580"/>
    <w:rsid w:val="06712609"/>
    <w:rsid w:val="06833D1C"/>
    <w:rsid w:val="07074284"/>
    <w:rsid w:val="07225B82"/>
    <w:rsid w:val="073F4C20"/>
    <w:rsid w:val="08357CBD"/>
    <w:rsid w:val="08382CB9"/>
    <w:rsid w:val="08397DAD"/>
    <w:rsid w:val="08A91BB0"/>
    <w:rsid w:val="08C60B95"/>
    <w:rsid w:val="09105B46"/>
    <w:rsid w:val="09232761"/>
    <w:rsid w:val="092704E6"/>
    <w:rsid w:val="09580A74"/>
    <w:rsid w:val="09B03566"/>
    <w:rsid w:val="09BF32CC"/>
    <w:rsid w:val="09E01016"/>
    <w:rsid w:val="0A166BDB"/>
    <w:rsid w:val="0A193A65"/>
    <w:rsid w:val="0A3E54A5"/>
    <w:rsid w:val="0A435784"/>
    <w:rsid w:val="0AE1568B"/>
    <w:rsid w:val="0AFB1FC0"/>
    <w:rsid w:val="0B4279C0"/>
    <w:rsid w:val="0B581F2E"/>
    <w:rsid w:val="0B906504"/>
    <w:rsid w:val="0B9F7DB5"/>
    <w:rsid w:val="0BBC3E22"/>
    <w:rsid w:val="0BEA3594"/>
    <w:rsid w:val="0C3253B8"/>
    <w:rsid w:val="0C632FA1"/>
    <w:rsid w:val="0C7A1FEE"/>
    <w:rsid w:val="0CDF3565"/>
    <w:rsid w:val="0D7A65C0"/>
    <w:rsid w:val="0DD979BE"/>
    <w:rsid w:val="0DED554B"/>
    <w:rsid w:val="0E0570A9"/>
    <w:rsid w:val="0EB3133C"/>
    <w:rsid w:val="0EF058CD"/>
    <w:rsid w:val="0EF525AC"/>
    <w:rsid w:val="0F19649D"/>
    <w:rsid w:val="0F1C53AD"/>
    <w:rsid w:val="0FBF4F59"/>
    <w:rsid w:val="105959C2"/>
    <w:rsid w:val="1099671F"/>
    <w:rsid w:val="10D32719"/>
    <w:rsid w:val="1102722C"/>
    <w:rsid w:val="1156073D"/>
    <w:rsid w:val="11601302"/>
    <w:rsid w:val="11B53B4E"/>
    <w:rsid w:val="11E550BF"/>
    <w:rsid w:val="11F50FEF"/>
    <w:rsid w:val="129272BC"/>
    <w:rsid w:val="12973BBA"/>
    <w:rsid w:val="12DB4732"/>
    <w:rsid w:val="12FA1FCF"/>
    <w:rsid w:val="13121E19"/>
    <w:rsid w:val="1343695E"/>
    <w:rsid w:val="134F5DF8"/>
    <w:rsid w:val="135D3225"/>
    <w:rsid w:val="13DE2E3D"/>
    <w:rsid w:val="13EF1C95"/>
    <w:rsid w:val="14043624"/>
    <w:rsid w:val="14202864"/>
    <w:rsid w:val="146029EE"/>
    <w:rsid w:val="148023CF"/>
    <w:rsid w:val="14E8239F"/>
    <w:rsid w:val="157C333C"/>
    <w:rsid w:val="15FA6925"/>
    <w:rsid w:val="1611078E"/>
    <w:rsid w:val="164F1ADC"/>
    <w:rsid w:val="168D067E"/>
    <w:rsid w:val="171C5CC3"/>
    <w:rsid w:val="172060D1"/>
    <w:rsid w:val="175C51BC"/>
    <w:rsid w:val="177511E7"/>
    <w:rsid w:val="17A6070F"/>
    <w:rsid w:val="184C55D6"/>
    <w:rsid w:val="18BA2FC2"/>
    <w:rsid w:val="18C03BF0"/>
    <w:rsid w:val="18F86BFA"/>
    <w:rsid w:val="19363D1D"/>
    <w:rsid w:val="1A143B2C"/>
    <w:rsid w:val="1A743E61"/>
    <w:rsid w:val="1AA330CF"/>
    <w:rsid w:val="1AE462D0"/>
    <w:rsid w:val="1B59415F"/>
    <w:rsid w:val="1BA60B01"/>
    <w:rsid w:val="1BA93514"/>
    <w:rsid w:val="1C1B69E9"/>
    <w:rsid w:val="1C1D78A1"/>
    <w:rsid w:val="1C35743A"/>
    <w:rsid w:val="1C6012AB"/>
    <w:rsid w:val="1CAA2535"/>
    <w:rsid w:val="1CC5494E"/>
    <w:rsid w:val="1CEF35D1"/>
    <w:rsid w:val="1D3D556A"/>
    <w:rsid w:val="1D742EEF"/>
    <w:rsid w:val="1D8A3BBF"/>
    <w:rsid w:val="1DBA7A97"/>
    <w:rsid w:val="1DEC3F36"/>
    <w:rsid w:val="1E4A5725"/>
    <w:rsid w:val="1E9774BE"/>
    <w:rsid w:val="1ED53482"/>
    <w:rsid w:val="1ED67524"/>
    <w:rsid w:val="1FA14832"/>
    <w:rsid w:val="1FFF4924"/>
    <w:rsid w:val="20127FAD"/>
    <w:rsid w:val="20203AED"/>
    <w:rsid w:val="205A00E7"/>
    <w:rsid w:val="205F3E3A"/>
    <w:rsid w:val="20834810"/>
    <w:rsid w:val="20922DB2"/>
    <w:rsid w:val="20B21F00"/>
    <w:rsid w:val="20CC4073"/>
    <w:rsid w:val="21034FB5"/>
    <w:rsid w:val="210B760B"/>
    <w:rsid w:val="21366341"/>
    <w:rsid w:val="22101661"/>
    <w:rsid w:val="227B13F1"/>
    <w:rsid w:val="22A763E9"/>
    <w:rsid w:val="22BD7B49"/>
    <w:rsid w:val="22EE26E9"/>
    <w:rsid w:val="233126BC"/>
    <w:rsid w:val="23F933A6"/>
    <w:rsid w:val="24182D55"/>
    <w:rsid w:val="24373B16"/>
    <w:rsid w:val="24B50750"/>
    <w:rsid w:val="24BB306B"/>
    <w:rsid w:val="24EF4F40"/>
    <w:rsid w:val="24FD0D07"/>
    <w:rsid w:val="250C5FA7"/>
    <w:rsid w:val="251F6FA3"/>
    <w:rsid w:val="252E3D36"/>
    <w:rsid w:val="25FC470C"/>
    <w:rsid w:val="261F3807"/>
    <w:rsid w:val="26375CDF"/>
    <w:rsid w:val="26A85D28"/>
    <w:rsid w:val="26D032B8"/>
    <w:rsid w:val="272F7091"/>
    <w:rsid w:val="28165D62"/>
    <w:rsid w:val="28BA32E0"/>
    <w:rsid w:val="28CA434D"/>
    <w:rsid w:val="29205FE3"/>
    <w:rsid w:val="2A5A22A7"/>
    <w:rsid w:val="2B015933"/>
    <w:rsid w:val="2B675D46"/>
    <w:rsid w:val="2BA03516"/>
    <w:rsid w:val="2C2476EA"/>
    <w:rsid w:val="2C9C76E9"/>
    <w:rsid w:val="2D054929"/>
    <w:rsid w:val="2D1D3EAC"/>
    <w:rsid w:val="2D413944"/>
    <w:rsid w:val="2D5F048F"/>
    <w:rsid w:val="2DBA58ED"/>
    <w:rsid w:val="2DC27ECF"/>
    <w:rsid w:val="2E7E24F5"/>
    <w:rsid w:val="2E9C0C99"/>
    <w:rsid w:val="2F255DDC"/>
    <w:rsid w:val="2F640A7D"/>
    <w:rsid w:val="2F8F2ACB"/>
    <w:rsid w:val="2FA3072F"/>
    <w:rsid w:val="2FA630D2"/>
    <w:rsid w:val="2FB145FA"/>
    <w:rsid w:val="2FD52566"/>
    <w:rsid w:val="306525BC"/>
    <w:rsid w:val="30877EF4"/>
    <w:rsid w:val="30986EFA"/>
    <w:rsid w:val="314E1A65"/>
    <w:rsid w:val="31596CD5"/>
    <w:rsid w:val="319C0B7F"/>
    <w:rsid w:val="31EE13E9"/>
    <w:rsid w:val="328C01C2"/>
    <w:rsid w:val="32BE2DB2"/>
    <w:rsid w:val="332605A0"/>
    <w:rsid w:val="33BF410F"/>
    <w:rsid w:val="340D68B4"/>
    <w:rsid w:val="341A467A"/>
    <w:rsid w:val="342153E0"/>
    <w:rsid w:val="34375FA8"/>
    <w:rsid w:val="343E20CB"/>
    <w:rsid w:val="3450262B"/>
    <w:rsid w:val="34713F0B"/>
    <w:rsid w:val="34890EB6"/>
    <w:rsid w:val="349F0D85"/>
    <w:rsid w:val="34F939FA"/>
    <w:rsid w:val="360B1564"/>
    <w:rsid w:val="366E64FF"/>
    <w:rsid w:val="36A20DF7"/>
    <w:rsid w:val="36A627A2"/>
    <w:rsid w:val="36B357B5"/>
    <w:rsid w:val="36B35B09"/>
    <w:rsid w:val="36D27571"/>
    <w:rsid w:val="36E3234C"/>
    <w:rsid w:val="373F73AF"/>
    <w:rsid w:val="37452986"/>
    <w:rsid w:val="37C14D20"/>
    <w:rsid w:val="37D11229"/>
    <w:rsid w:val="38EF1572"/>
    <w:rsid w:val="38FB68BC"/>
    <w:rsid w:val="39453979"/>
    <w:rsid w:val="398D353D"/>
    <w:rsid w:val="39B1263C"/>
    <w:rsid w:val="39D939E5"/>
    <w:rsid w:val="39DD13BB"/>
    <w:rsid w:val="39DE3CCA"/>
    <w:rsid w:val="3A5540C8"/>
    <w:rsid w:val="3A9756E5"/>
    <w:rsid w:val="3A9869E4"/>
    <w:rsid w:val="3AD37C55"/>
    <w:rsid w:val="3AE12510"/>
    <w:rsid w:val="3AF462B0"/>
    <w:rsid w:val="3B24674A"/>
    <w:rsid w:val="3B345A5B"/>
    <w:rsid w:val="3B4B0E3B"/>
    <w:rsid w:val="3B7250A6"/>
    <w:rsid w:val="3BE54651"/>
    <w:rsid w:val="3BFE5535"/>
    <w:rsid w:val="3C31128F"/>
    <w:rsid w:val="3C422951"/>
    <w:rsid w:val="3C463E89"/>
    <w:rsid w:val="3C5B18A3"/>
    <w:rsid w:val="3C820841"/>
    <w:rsid w:val="3CA10278"/>
    <w:rsid w:val="3CB21686"/>
    <w:rsid w:val="3CDB5695"/>
    <w:rsid w:val="3CE949E8"/>
    <w:rsid w:val="3CF50EFC"/>
    <w:rsid w:val="3D035E9B"/>
    <w:rsid w:val="3D113564"/>
    <w:rsid w:val="3D4B7FB5"/>
    <w:rsid w:val="3D4D1310"/>
    <w:rsid w:val="3D6A2B17"/>
    <w:rsid w:val="3DD5509A"/>
    <w:rsid w:val="3DDA3A0D"/>
    <w:rsid w:val="3E3C0A74"/>
    <w:rsid w:val="3E640B14"/>
    <w:rsid w:val="3E68729F"/>
    <w:rsid w:val="3E6B41E7"/>
    <w:rsid w:val="3E727DFD"/>
    <w:rsid w:val="3E7737E6"/>
    <w:rsid w:val="3E9E3C42"/>
    <w:rsid w:val="3EF77818"/>
    <w:rsid w:val="3F22062B"/>
    <w:rsid w:val="3F235EA4"/>
    <w:rsid w:val="3F2D31C1"/>
    <w:rsid w:val="3F3A5660"/>
    <w:rsid w:val="3F664A45"/>
    <w:rsid w:val="3FB134B1"/>
    <w:rsid w:val="3FDA4DAD"/>
    <w:rsid w:val="3FEA0364"/>
    <w:rsid w:val="3FF132B2"/>
    <w:rsid w:val="400619E3"/>
    <w:rsid w:val="401D3450"/>
    <w:rsid w:val="40353AD0"/>
    <w:rsid w:val="40C01A9B"/>
    <w:rsid w:val="41030CE0"/>
    <w:rsid w:val="41446784"/>
    <w:rsid w:val="416835BC"/>
    <w:rsid w:val="41771D01"/>
    <w:rsid w:val="41FC033A"/>
    <w:rsid w:val="424E1BB1"/>
    <w:rsid w:val="425C40F6"/>
    <w:rsid w:val="42DF2858"/>
    <w:rsid w:val="43087695"/>
    <w:rsid w:val="434B5213"/>
    <w:rsid w:val="43AF70CA"/>
    <w:rsid w:val="43C50BD5"/>
    <w:rsid w:val="442347E8"/>
    <w:rsid w:val="4467266C"/>
    <w:rsid w:val="45031EEB"/>
    <w:rsid w:val="458052C7"/>
    <w:rsid w:val="45BA7DC0"/>
    <w:rsid w:val="45CA7611"/>
    <w:rsid w:val="46734EEB"/>
    <w:rsid w:val="468050F2"/>
    <w:rsid w:val="46A71700"/>
    <w:rsid w:val="46A75D53"/>
    <w:rsid w:val="46B7075B"/>
    <w:rsid w:val="46DF70EC"/>
    <w:rsid w:val="4702616C"/>
    <w:rsid w:val="474B5FC3"/>
    <w:rsid w:val="47AB1A53"/>
    <w:rsid w:val="47D349C0"/>
    <w:rsid w:val="480621CB"/>
    <w:rsid w:val="48317CE8"/>
    <w:rsid w:val="48B43671"/>
    <w:rsid w:val="48CC7CBB"/>
    <w:rsid w:val="490F5D4D"/>
    <w:rsid w:val="49724CD2"/>
    <w:rsid w:val="498830D0"/>
    <w:rsid w:val="4A1F2F5F"/>
    <w:rsid w:val="4A2A0AE9"/>
    <w:rsid w:val="4A4853D7"/>
    <w:rsid w:val="4A8227D3"/>
    <w:rsid w:val="4AB55081"/>
    <w:rsid w:val="4AB90F9C"/>
    <w:rsid w:val="4B716136"/>
    <w:rsid w:val="4BB73C19"/>
    <w:rsid w:val="4CEE0089"/>
    <w:rsid w:val="4D283EF6"/>
    <w:rsid w:val="4D5C23F6"/>
    <w:rsid w:val="4D7A1DD1"/>
    <w:rsid w:val="4E682EA3"/>
    <w:rsid w:val="4E7C569D"/>
    <w:rsid w:val="4E836AA7"/>
    <w:rsid w:val="4EE4165B"/>
    <w:rsid w:val="4EF97AB3"/>
    <w:rsid w:val="4F363489"/>
    <w:rsid w:val="4F3E05BC"/>
    <w:rsid w:val="4F506937"/>
    <w:rsid w:val="4FE74F27"/>
    <w:rsid w:val="5004288A"/>
    <w:rsid w:val="50151B9D"/>
    <w:rsid w:val="501A4743"/>
    <w:rsid w:val="50BF6371"/>
    <w:rsid w:val="50FE5901"/>
    <w:rsid w:val="51733692"/>
    <w:rsid w:val="5177264C"/>
    <w:rsid w:val="51982918"/>
    <w:rsid w:val="51E171AE"/>
    <w:rsid w:val="51F9433B"/>
    <w:rsid w:val="52310E4C"/>
    <w:rsid w:val="53275F83"/>
    <w:rsid w:val="53815F32"/>
    <w:rsid w:val="538422FC"/>
    <w:rsid w:val="539D310A"/>
    <w:rsid w:val="53F00AA9"/>
    <w:rsid w:val="5480324C"/>
    <w:rsid w:val="554F6049"/>
    <w:rsid w:val="559B472D"/>
    <w:rsid w:val="55AD0A9C"/>
    <w:rsid w:val="55E61F20"/>
    <w:rsid w:val="565D3B8A"/>
    <w:rsid w:val="57437EAA"/>
    <w:rsid w:val="575416C6"/>
    <w:rsid w:val="57792DCA"/>
    <w:rsid w:val="577B243E"/>
    <w:rsid w:val="57C71BE6"/>
    <w:rsid w:val="57D72CC2"/>
    <w:rsid w:val="57E86555"/>
    <w:rsid w:val="581016F4"/>
    <w:rsid w:val="58226081"/>
    <w:rsid w:val="58480F47"/>
    <w:rsid w:val="58B62EB2"/>
    <w:rsid w:val="58BC16C5"/>
    <w:rsid w:val="592C1AAA"/>
    <w:rsid w:val="593D6EE9"/>
    <w:rsid w:val="594B1014"/>
    <w:rsid w:val="5A8A1FBA"/>
    <w:rsid w:val="5B0C47C2"/>
    <w:rsid w:val="5B7C5DC2"/>
    <w:rsid w:val="5B8E2084"/>
    <w:rsid w:val="5BCA1815"/>
    <w:rsid w:val="5C0514DA"/>
    <w:rsid w:val="5C3518A0"/>
    <w:rsid w:val="5CC52489"/>
    <w:rsid w:val="5CEB159D"/>
    <w:rsid w:val="5CF502C2"/>
    <w:rsid w:val="5D12374A"/>
    <w:rsid w:val="5D14574C"/>
    <w:rsid w:val="5D2B371C"/>
    <w:rsid w:val="5D2F3086"/>
    <w:rsid w:val="5D6109D9"/>
    <w:rsid w:val="5D7A7717"/>
    <w:rsid w:val="5D886665"/>
    <w:rsid w:val="5DBD7EB8"/>
    <w:rsid w:val="5E784599"/>
    <w:rsid w:val="5EBB7BEA"/>
    <w:rsid w:val="5EBF0EC5"/>
    <w:rsid w:val="5ED84BDD"/>
    <w:rsid w:val="5F2177AA"/>
    <w:rsid w:val="5F217E4A"/>
    <w:rsid w:val="5F4527A3"/>
    <w:rsid w:val="5F596A63"/>
    <w:rsid w:val="5F636C82"/>
    <w:rsid w:val="5F7B767F"/>
    <w:rsid w:val="5F8E3DD4"/>
    <w:rsid w:val="5FB73CE0"/>
    <w:rsid w:val="5FC0446B"/>
    <w:rsid w:val="5FC60A70"/>
    <w:rsid w:val="6058507D"/>
    <w:rsid w:val="607046D5"/>
    <w:rsid w:val="60732BDB"/>
    <w:rsid w:val="608A3A03"/>
    <w:rsid w:val="60E83D77"/>
    <w:rsid w:val="60EC5830"/>
    <w:rsid w:val="616D550B"/>
    <w:rsid w:val="619F6539"/>
    <w:rsid w:val="61DF288D"/>
    <w:rsid w:val="630F26B0"/>
    <w:rsid w:val="637F5E9D"/>
    <w:rsid w:val="63810DB0"/>
    <w:rsid w:val="648A0D94"/>
    <w:rsid w:val="64990050"/>
    <w:rsid w:val="64B01B49"/>
    <w:rsid w:val="64C22104"/>
    <w:rsid w:val="64F97D5F"/>
    <w:rsid w:val="65053A72"/>
    <w:rsid w:val="650F603E"/>
    <w:rsid w:val="65320772"/>
    <w:rsid w:val="653363A2"/>
    <w:rsid w:val="654C7BEB"/>
    <w:rsid w:val="65890555"/>
    <w:rsid w:val="65983B42"/>
    <w:rsid w:val="65C27AD4"/>
    <w:rsid w:val="65FB5949"/>
    <w:rsid w:val="666C4AE3"/>
    <w:rsid w:val="66842C3B"/>
    <w:rsid w:val="670A5B23"/>
    <w:rsid w:val="673227BE"/>
    <w:rsid w:val="674B5231"/>
    <w:rsid w:val="68456F48"/>
    <w:rsid w:val="68834213"/>
    <w:rsid w:val="68C5726A"/>
    <w:rsid w:val="695F7B33"/>
    <w:rsid w:val="697A4395"/>
    <w:rsid w:val="69AC7055"/>
    <w:rsid w:val="6A366774"/>
    <w:rsid w:val="6A8273BB"/>
    <w:rsid w:val="6AB130B3"/>
    <w:rsid w:val="6AB210D1"/>
    <w:rsid w:val="6AD73B91"/>
    <w:rsid w:val="6B0B0DDE"/>
    <w:rsid w:val="6B425E84"/>
    <w:rsid w:val="6B603A76"/>
    <w:rsid w:val="6BFF6419"/>
    <w:rsid w:val="6C2E7A10"/>
    <w:rsid w:val="6C376B7B"/>
    <w:rsid w:val="6CB218EF"/>
    <w:rsid w:val="6CDC7AA6"/>
    <w:rsid w:val="6D08089B"/>
    <w:rsid w:val="6D4A09F2"/>
    <w:rsid w:val="6EDB25B8"/>
    <w:rsid w:val="6F01232B"/>
    <w:rsid w:val="6F536E5D"/>
    <w:rsid w:val="6FAC7E0B"/>
    <w:rsid w:val="6FBE16A4"/>
    <w:rsid w:val="6FC0088D"/>
    <w:rsid w:val="704E00FC"/>
    <w:rsid w:val="70863518"/>
    <w:rsid w:val="70B37B3D"/>
    <w:rsid w:val="70C76DFD"/>
    <w:rsid w:val="70F24F67"/>
    <w:rsid w:val="70FD511C"/>
    <w:rsid w:val="71EA1747"/>
    <w:rsid w:val="724C52A4"/>
    <w:rsid w:val="724F1C7B"/>
    <w:rsid w:val="726C07DF"/>
    <w:rsid w:val="728D1592"/>
    <w:rsid w:val="72970D3A"/>
    <w:rsid w:val="729B0F70"/>
    <w:rsid w:val="73B429F2"/>
    <w:rsid w:val="73B97EDC"/>
    <w:rsid w:val="73D17F16"/>
    <w:rsid w:val="73ED7CFF"/>
    <w:rsid w:val="74100036"/>
    <w:rsid w:val="744A2E4C"/>
    <w:rsid w:val="74583304"/>
    <w:rsid w:val="75637B60"/>
    <w:rsid w:val="75E73724"/>
    <w:rsid w:val="75E77B83"/>
    <w:rsid w:val="764A3287"/>
    <w:rsid w:val="76507F6E"/>
    <w:rsid w:val="7703171D"/>
    <w:rsid w:val="77D27668"/>
    <w:rsid w:val="77F43EDB"/>
    <w:rsid w:val="78295EEB"/>
    <w:rsid w:val="7850370B"/>
    <w:rsid w:val="786170B2"/>
    <w:rsid w:val="7863464A"/>
    <w:rsid w:val="78695F71"/>
    <w:rsid w:val="78724DB3"/>
    <w:rsid w:val="78EC4500"/>
    <w:rsid w:val="78F10938"/>
    <w:rsid w:val="79544CB5"/>
    <w:rsid w:val="799F53FC"/>
    <w:rsid w:val="79A13DD6"/>
    <w:rsid w:val="79A574C3"/>
    <w:rsid w:val="7A222B43"/>
    <w:rsid w:val="7A802A28"/>
    <w:rsid w:val="7AE52816"/>
    <w:rsid w:val="7AFA28C3"/>
    <w:rsid w:val="7B5A6B70"/>
    <w:rsid w:val="7B99730D"/>
    <w:rsid w:val="7BB06348"/>
    <w:rsid w:val="7C3E5392"/>
    <w:rsid w:val="7C4667C6"/>
    <w:rsid w:val="7CC95FCF"/>
    <w:rsid w:val="7D0F17D2"/>
    <w:rsid w:val="7D300E0F"/>
    <w:rsid w:val="7D3A2967"/>
    <w:rsid w:val="7D6B0AB9"/>
    <w:rsid w:val="7D766291"/>
    <w:rsid w:val="7DA64F30"/>
    <w:rsid w:val="7DC94321"/>
    <w:rsid w:val="7E0E3CFF"/>
    <w:rsid w:val="7E313DDB"/>
    <w:rsid w:val="7E8C7481"/>
    <w:rsid w:val="7E8D2D1F"/>
    <w:rsid w:val="7EB47DF6"/>
    <w:rsid w:val="7F001BE0"/>
    <w:rsid w:val="7F1B694F"/>
    <w:rsid w:val="7F3E0DDC"/>
    <w:rsid w:val="7F476E45"/>
    <w:rsid w:val="7F805B09"/>
    <w:rsid w:val="7FE9368F"/>
    <w:rsid w:val="7FF75D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99"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99"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04"/>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7"/>
    <w:qFormat/>
    <w:uiPriority w:val="9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98"/>
    <w:qFormat/>
    <w:uiPriority w:val="99"/>
    <w:pPr>
      <w:keepNext/>
      <w:keepLines/>
      <w:ind w:left="992" w:firstLine="482"/>
      <w:jc w:val="center"/>
      <w:outlineLvl w:val="1"/>
    </w:pPr>
    <w:rPr>
      <w:rFonts w:ascii="宋体" w:hAnsi="宋体"/>
      <w:b/>
      <w:bCs/>
      <w:kern w:val="0"/>
      <w:sz w:val="30"/>
      <w:szCs w:val="30"/>
      <w:lang w:val="zh-CN"/>
    </w:rPr>
  </w:style>
  <w:style w:type="paragraph" w:styleId="5">
    <w:name w:val="heading 3"/>
    <w:basedOn w:val="1"/>
    <w:next w:val="1"/>
    <w:link w:val="99"/>
    <w:qFormat/>
    <w:uiPriority w:val="99"/>
    <w:pPr>
      <w:keepNext/>
      <w:keepLines/>
      <w:tabs>
        <w:tab w:val="left" w:pos="432"/>
        <w:tab w:val="left" w:pos="720"/>
      </w:tabs>
      <w:spacing w:before="260" w:after="260" w:line="240" w:lineRule="exact"/>
      <w:outlineLvl w:val="2"/>
    </w:pPr>
    <w:rPr>
      <w:b/>
      <w:bCs/>
      <w:sz w:val="32"/>
      <w:szCs w:val="32"/>
    </w:rPr>
  </w:style>
  <w:style w:type="paragraph" w:styleId="6">
    <w:name w:val="heading 4"/>
    <w:basedOn w:val="1"/>
    <w:next w:val="1"/>
    <w:link w:val="100"/>
    <w:qFormat/>
    <w:uiPriority w:val="99"/>
    <w:pPr>
      <w:keepNext/>
      <w:keepLines/>
      <w:numPr>
        <w:ilvl w:val="0"/>
        <w:numId w:val="2"/>
      </w:numPr>
      <w:tabs>
        <w:tab w:val="left" w:pos="432"/>
      </w:tabs>
      <w:spacing w:before="280" w:after="290" w:line="560" w:lineRule="exact"/>
      <w:outlineLvl w:val="3"/>
    </w:pPr>
    <w:rPr>
      <w:rFonts w:ascii="Arial" w:hAnsi="Arial"/>
      <w:bCs/>
      <w:sz w:val="28"/>
      <w:szCs w:val="28"/>
      <w:lang w:val="zh-CN"/>
    </w:rPr>
  </w:style>
  <w:style w:type="paragraph" w:styleId="7">
    <w:name w:val="heading 5"/>
    <w:basedOn w:val="1"/>
    <w:next w:val="1"/>
    <w:link w:val="101"/>
    <w:qFormat/>
    <w:uiPriority w:val="99"/>
    <w:pPr>
      <w:keepNext/>
      <w:keepLines/>
      <w:numPr>
        <w:ilvl w:val="4"/>
        <w:numId w:val="1"/>
      </w:numPr>
      <w:tabs>
        <w:tab w:val="left" w:pos="432"/>
      </w:tabs>
      <w:spacing w:before="280" w:after="290" w:line="376" w:lineRule="auto"/>
      <w:outlineLvl w:val="4"/>
    </w:pPr>
    <w:rPr>
      <w:b/>
      <w:bCs/>
      <w:sz w:val="28"/>
      <w:szCs w:val="28"/>
    </w:rPr>
  </w:style>
  <w:style w:type="paragraph" w:styleId="8">
    <w:name w:val="heading 6"/>
    <w:basedOn w:val="1"/>
    <w:next w:val="1"/>
    <w:link w:val="102"/>
    <w:qFormat/>
    <w:uiPriority w:val="99"/>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9">
    <w:name w:val="heading 7"/>
    <w:basedOn w:val="1"/>
    <w:next w:val="1"/>
    <w:link w:val="103"/>
    <w:qFormat/>
    <w:uiPriority w:val="99"/>
    <w:pPr>
      <w:keepNext/>
      <w:keepLines/>
      <w:numPr>
        <w:ilvl w:val="6"/>
        <w:numId w:val="1"/>
      </w:numPr>
      <w:tabs>
        <w:tab w:val="left" w:pos="432"/>
      </w:tabs>
      <w:spacing w:before="240" w:after="64" w:line="320" w:lineRule="auto"/>
      <w:outlineLvl w:val="6"/>
    </w:pPr>
    <w:rPr>
      <w:b/>
      <w:bCs/>
      <w:sz w:val="24"/>
    </w:rPr>
  </w:style>
  <w:style w:type="paragraph" w:styleId="10">
    <w:name w:val="heading 8"/>
    <w:basedOn w:val="1"/>
    <w:next w:val="1"/>
    <w:link w:val="104"/>
    <w:qFormat/>
    <w:uiPriority w:val="99"/>
    <w:pPr>
      <w:keepNext/>
      <w:keepLines/>
      <w:numPr>
        <w:ilvl w:val="7"/>
        <w:numId w:val="1"/>
      </w:numPr>
      <w:tabs>
        <w:tab w:val="left" w:pos="432"/>
      </w:tabs>
      <w:spacing w:before="240" w:after="64" w:line="320" w:lineRule="auto"/>
      <w:outlineLvl w:val="7"/>
    </w:pPr>
    <w:rPr>
      <w:rFonts w:ascii="Arial" w:hAnsi="Arial" w:eastAsia="黑体"/>
      <w:sz w:val="24"/>
    </w:rPr>
  </w:style>
  <w:style w:type="paragraph" w:styleId="11">
    <w:name w:val="heading 9"/>
    <w:basedOn w:val="1"/>
    <w:next w:val="1"/>
    <w:link w:val="105"/>
    <w:qFormat/>
    <w:uiPriority w:val="99"/>
    <w:pPr>
      <w:keepNext/>
      <w:keepLines/>
      <w:numPr>
        <w:ilvl w:val="8"/>
        <w:numId w:val="1"/>
      </w:numPr>
      <w:tabs>
        <w:tab w:val="left" w:pos="432"/>
      </w:tabs>
      <w:spacing w:before="240" w:after="64" w:line="320" w:lineRule="auto"/>
      <w:outlineLvl w:val="8"/>
    </w:pPr>
    <w:rPr>
      <w:rFonts w:ascii="Arial" w:hAnsi="Arial" w:eastAsia="黑体"/>
      <w:szCs w:val="21"/>
    </w:rPr>
  </w:style>
  <w:style w:type="character" w:default="1" w:styleId="82">
    <w:name w:val="Default Paragraph Font"/>
    <w:semiHidden/>
    <w:qFormat/>
    <w:uiPriority w:val="99"/>
  </w:style>
  <w:style w:type="table" w:default="1" w:styleId="77">
    <w:name w:val="Normal Table"/>
    <w:unhideWhenUsed/>
    <w:qFormat/>
    <w:uiPriority w:val="99"/>
    <w:tblPr>
      <w:tblCellMar>
        <w:top w:w="0" w:type="dxa"/>
        <w:left w:w="108" w:type="dxa"/>
        <w:bottom w:w="0" w:type="dxa"/>
        <w:right w:w="108" w:type="dxa"/>
      </w:tblCellMar>
    </w:tblPr>
  </w:style>
  <w:style w:type="paragraph" w:styleId="2">
    <w:name w:val="Title"/>
    <w:basedOn w:val="1"/>
    <w:next w:val="1"/>
    <w:link w:val="130"/>
    <w:qFormat/>
    <w:uiPriority w:val="99"/>
    <w:pPr>
      <w:widowControl/>
      <w:overflowPunct w:val="0"/>
      <w:autoSpaceDE w:val="0"/>
      <w:autoSpaceDN w:val="0"/>
      <w:adjustRightInd w:val="0"/>
      <w:jc w:val="center"/>
      <w:textAlignment w:val="baseline"/>
    </w:pPr>
    <w:rPr>
      <w:b/>
      <w:kern w:val="0"/>
      <w:sz w:val="24"/>
      <w:szCs w:val="20"/>
    </w:rPr>
  </w:style>
  <w:style w:type="paragraph" w:styleId="12">
    <w:name w:val="List 3"/>
    <w:basedOn w:val="1"/>
    <w:qFormat/>
    <w:uiPriority w:val="99"/>
    <w:pPr>
      <w:widowControl/>
      <w:adjustRightInd w:val="0"/>
      <w:snapToGrid w:val="0"/>
      <w:ind w:left="1080" w:hanging="360"/>
      <w:jc w:val="left"/>
    </w:pPr>
    <w:rPr>
      <w:kern w:val="0"/>
      <w:sz w:val="24"/>
    </w:rPr>
  </w:style>
  <w:style w:type="paragraph" w:styleId="13">
    <w:name w:val="toc 7"/>
    <w:basedOn w:val="1"/>
    <w:next w:val="1"/>
    <w:qFormat/>
    <w:uiPriority w:val="99"/>
    <w:pPr>
      <w:ind w:left="2520" w:leftChars="1200"/>
    </w:pPr>
  </w:style>
  <w:style w:type="paragraph" w:styleId="14">
    <w:name w:val="table of authorities"/>
    <w:basedOn w:val="1"/>
    <w:next w:val="1"/>
    <w:qFormat/>
    <w:uiPriority w:val="99"/>
    <w:pPr>
      <w:spacing w:line="240" w:lineRule="auto"/>
      <w:ind w:left="420" w:leftChars="200"/>
    </w:pPr>
  </w:style>
  <w:style w:type="paragraph" w:styleId="15">
    <w:name w:val="index 8"/>
    <w:basedOn w:val="1"/>
    <w:next w:val="1"/>
    <w:qFormat/>
    <w:uiPriority w:val="99"/>
    <w:pPr>
      <w:widowControl/>
      <w:adjustRightInd w:val="0"/>
      <w:snapToGrid w:val="0"/>
      <w:ind w:left="1920" w:hanging="240"/>
      <w:jc w:val="left"/>
    </w:pPr>
    <w:rPr>
      <w:kern w:val="0"/>
      <w:sz w:val="24"/>
    </w:rPr>
  </w:style>
  <w:style w:type="paragraph" w:styleId="16">
    <w:name w:val="List Number"/>
    <w:basedOn w:val="1"/>
    <w:qFormat/>
    <w:uiPriority w:val="99"/>
    <w:pPr>
      <w:numPr>
        <w:ilvl w:val="0"/>
        <w:numId w:val="3"/>
      </w:numPr>
      <w:adjustRightInd w:val="0"/>
      <w:snapToGrid w:val="0"/>
      <w:ind w:hangingChars="200"/>
    </w:pPr>
    <w:rPr>
      <w:rFonts w:eastAsia="仿宋"/>
    </w:rPr>
  </w:style>
  <w:style w:type="paragraph" w:styleId="17">
    <w:name w:val="Normal Indent"/>
    <w:basedOn w:val="1"/>
    <w:link w:val="404"/>
    <w:qFormat/>
    <w:uiPriority w:val="99"/>
    <w:pPr>
      <w:widowControl/>
      <w:adjustRightInd w:val="0"/>
      <w:snapToGrid w:val="0"/>
      <w:spacing w:line="480" w:lineRule="exact"/>
      <w:ind w:firstLine="567"/>
    </w:pPr>
    <w:rPr>
      <w:rFonts w:ascii="宋体"/>
      <w:color w:val="000000"/>
      <w:kern w:val="28"/>
      <w:sz w:val="28"/>
      <w:szCs w:val="20"/>
    </w:rPr>
  </w:style>
  <w:style w:type="paragraph" w:styleId="18">
    <w:name w:val="caption"/>
    <w:basedOn w:val="1"/>
    <w:next w:val="1"/>
    <w:link w:val="607"/>
    <w:qFormat/>
    <w:uiPriority w:val="99"/>
    <w:rPr>
      <w:b/>
      <w:sz w:val="28"/>
      <w:szCs w:val="20"/>
    </w:rPr>
  </w:style>
  <w:style w:type="paragraph" w:styleId="19">
    <w:name w:val="index 5"/>
    <w:basedOn w:val="1"/>
    <w:next w:val="1"/>
    <w:qFormat/>
    <w:uiPriority w:val="99"/>
    <w:pPr>
      <w:widowControl/>
      <w:adjustRightInd w:val="0"/>
      <w:snapToGrid w:val="0"/>
      <w:ind w:left="1200" w:hanging="240"/>
      <w:jc w:val="left"/>
    </w:pPr>
    <w:rPr>
      <w:kern w:val="0"/>
      <w:sz w:val="24"/>
    </w:rPr>
  </w:style>
  <w:style w:type="paragraph" w:styleId="20">
    <w:name w:val="List Bullet"/>
    <w:basedOn w:val="1"/>
    <w:qFormat/>
    <w:uiPriority w:val="99"/>
    <w:pPr>
      <w:numPr>
        <w:ilvl w:val="0"/>
        <w:numId w:val="4"/>
      </w:numPr>
      <w:autoSpaceDE w:val="0"/>
      <w:autoSpaceDN w:val="0"/>
      <w:adjustRightInd w:val="0"/>
      <w:snapToGrid w:val="0"/>
      <w:ind w:hangingChars="200"/>
    </w:pPr>
    <w:rPr>
      <w:rFonts w:ascii="宋体" w:hAnsi="Tms Rmn"/>
      <w:color w:val="000000"/>
      <w:kern w:val="24"/>
      <w:sz w:val="28"/>
      <w:szCs w:val="20"/>
    </w:rPr>
  </w:style>
  <w:style w:type="paragraph" w:styleId="21">
    <w:name w:val="Document Map"/>
    <w:basedOn w:val="1"/>
    <w:link w:val="111"/>
    <w:qFormat/>
    <w:uiPriority w:val="99"/>
    <w:pPr>
      <w:shd w:val="clear" w:color="auto" w:fill="000080"/>
    </w:pPr>
  </w:style>
  <w:style w:type="paragraph" w:styleId="22">
    <w:name w:val="toa heading"/>
    <w:basedOn w:val="1"/>
    <w:next w:val="1"/>
    <w:qFormat/>
    <w:uiPriority w:val="99"/>
    <w:pPr>
      <w:spacing w:before="120" w:line="240" w:lineRule="auto"/>
    </w:pPr>
    <w:rPr>
      <w:rFonts w:ascii="Arial" w:hAnsi="Arial" w:cs="Arial"/>
      <w:sz w:val="24"/>
    </w:rPr>
  </w:style>
  <w:style w:type="paragraph" w:styleId="23">
    <w:name w:val="annotation text"/>
    <w:basedOn w:val="1"/>
    <w:link w:val="106"/>
    <w:qFormat/>
    <w:uiPriority w:val="99"/>
    <w:pPr>
      <w:jc w:val="left"/>
    </w:pPr>
    <w:rPr>
      <w:kern w:val="0"/>
      <w:sz w:val="20"/>
    </w:rPr>
  </w:style>
  <w:style w:type="paragraph" w:styleId="24">
    <w:name w:val="index 6"/>
    <w:basedOn w:val="1"/>
    <w:next w:val="1"/>
    <w:qFormat/>
    <w:uiPriority w:val="99"/>
    <w:pPr>
      <w:widowControl/>
      <w:adjustRightInd w:val="0"/>
      <w:snapToGrid w:val="0"/>
      <w:ind w:left="1440" w:hanging="240"/>
      <w:jc w:val="left"/>
    </w:pPr>
    <w:rPr>
      <w:kern w:val="0"/>
      <w:sz w:val="24"/>
    </w:rPr>
  </w:style>
  <w:style w:type="paragraph" w:styleId="25">
    <w:name w:val="Salutation"/>
    <w:basedOn w:val="1"/>
    <w:next w:val="1"/>
    <w:link w:val="112"/>
    <w:qFormat/>
    <w:uiPriority w:val="99"/>
    <w:rPr>
      <w:rFonts w:ascii="仿宋_GB2312" w:eastAsia="仿宋_GB2312"/>
      <w:kern w:val="0"/>
      <w:sz w:val="28"/>
      <w:szCs w:val="20"/>
    </w:rPr>
  </w:style>
  <w:style w:type="paragraph" w:styleId="26">
    <w:name w:val="Body Text 3"/>
    <w:basedOn w:val="1"/>
    <w:link w:val="113"/>
    <w:qFormat/>
    <w:uiPriority w:val="99"/>
    <w:pPr>
      <w:jc w:val="center"/>
    </w:pPr>
    <w:rPr>
      <w:kern w:val="0"/>
      <w:sz w:val="20"/>
      <w:szCs w:val="20"/>
    </w:rPr>
  </w:style>
  <w:style w:type="paragraph" w:styleId="27">
    <w:name w:val="Body Text"/>
    <w:basedOn w:val="1"/>
    <w:next w:val="28"/>
    <w:link w:val="109"/>
    <w:qFormat/>
    <w:uiPriority w:val="99"/>
    <w:pPr>
      <w:autoSpaceDE w:val="0"/>
      <w:autoSpaceDN w:val="0"/>
      <w:adjustRightInd w:val="0"/>
    </w:pPr>
    <w:rPr>
      <w:rFonts w:ascii="宋体"/>
      <w:sz w:val="24"/>
      <w:szCs w:val="21"/>
      <w:lang w:val="zh-CN"/>
    </w:rPr>
  </w:style>
  <w:style w:type="paragraph" w:customStyle="1" w:styleId="28">
    <w:name w:val="正文首行缩进1"/>
    <w:basedOn w:val="27"/>
    <w:qFormat/>
    <w:uiPriority w:val="99"/>
    <w:pPr>
      <w:suppressAutoHyphens/>
      <w:adjustRightInd/>
      <w:spacing w:after="120" w:line="240" w:lineRule="auto"/>
      <w:ind w:firstLine="420"/>
      <w:jc w:val="left"/>
    </w:pPr>
    <w:rPr>
      <w:rFonts w:ascii="Times New Roman"/>
      <w:kern w:val="1"/>
      <w:sz w:val="28"/>
      <w:szCs w:val="24"/>
      <w:lang w:val="en-US" w:eastAsia="ar-SA"/>
    </w:rPr>
  </w:style>
  <w:style w:type="paragraph" w:styleId="29">
    <w:name w:val="Body Text Indent"/>
    <w:basedOn w:val="1"/>
    <w:next w:val="1"/>
    <w:link w:val="114"/>
    <w:qFormat/>
    <w:uiPriority w:val="99"/>
    <w:pPr>
      <w:spacing w:line="480" w:lineRule="exact"/>
      <w:ind w:firstLine="480" w:firstLineChars="200"/>
    </w:pPr>
    <w:rPr>
      <w:rFonts w:ascii="宋体" w:hAnsi="宋体"/>
      <w:kern w:val="0"/>
      <w:sz w:val="24"/>
    </w:rPr>
  </w:style>
  <w:style w:type="paragraph" w:styleId="30">
    <w:name w:val="List Number 3"/>
    <w:basedOn w:val="1"/>
    <w:qFormat/>
    <w:uiPriority w:val="99"/>
    <w:pPr>
      <w:numPr>
        <w:ilvl w:val="0"/>
        <w:numId w:val="5"/>
      </w:numPr>
      <w:tabs>
        <w:tab w:val="left" w:pos="1200"/>
      </w:tabs>
      <w:spacing w:line="240" w:lineRule="auto"/>
    </w:pPr>
  </w:style>
  <w:style w:type="paragraph" w:styleId="31">
    <w:name w:val="List 2"/>
    <w:basedOn w:val="1"/>
    <w:qFormat/>
    <w:uiPriority w:val="99"/>
    <w:pPr>
      <w:tabs>
        <w:tab w:val="left" w:pos="420"/>
      </w:tabs>
      <w:spacing w:after="120" w:line="400" w:lineRule="exact"/>
    </w:pPr>
    <w:rPr>
      <w:szCs w:val="20"/>
    </w:rPr>
  </w:style>
  <w:style w:type="paragraph" w:styleId="32">
    <w:name w:val="List Continue"/>
    <w:basedOn w:val="1"/>
    <w:qFormat/>
    <w:uiPriority w:val="99"/>
    <w:pPr>
      <w:spacing w:after="120" w:line="240" w:lineRule="auto"/>
      <w:ind w:left="420" w:leftChars="200"/>
    </w:pPr>
    <w:rPr>
      <w:szCs w:val="20"/>
    </w:rPr>
  </w:style>
  <w:style w:type="paragraph" w:styleId="33">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99"/>
    <w:pPr>
      <w:widowControl/>
      <w:tabs>
        <w:tab w:val="left" w:pos="1440"/>
      </w:tabs>
      <w:adjustRightInd w:val="0"/>
      <w:snapToGrid w:val="0"/>
      <w:ind w:left="1440" w:hanging="720"/>
      <w:jc w:val="left"/>
    </w:pPr>
    <w:rPr>
      <w:rFonts w:ascii="Tahoma" w:hAnsi="Tahoma" w:cs="Tahoma"/>
      <w:kern w:val="0"/>
      <w:sz w:val="24"/>
      <w:lang w:eastAsia="en-US"/>
    </w:rPr>
  </w:style>
  <w:style w:type="paragraph" w:styleId="35">
    <w:name w:val="HTML Address"/>
    <w:basedOn w:val="1"/>
    <w:link w:val="115"/>
    <w:qFormat/>
    <w:uiPriority w:val="99"/>
    <w:pPr>
      <w:widowControl/>
      <w:adjustRightInd w:val="0"/>
      <w:snapToGrid w:val="0"/>
      <w:jc w:val="left"/>
    </w:pPr>
    <w:rPr>
      <w:rFonts w:ascii="宋体" w:hAnsi="宋体" w:eastAsia="仿宋"/>
      <w:i/>
      <w:iCs/>
      <w:kern w:val="0"/>
      <w:sz w:val="24"/>
    </w:rPr>
  </w:style>
  <w:style w:type="paragraph" w:styleId="36">
    <w:name w:val="index 4"/>
    <w:basedOn w:val="1"/>
    <w:next w:val="1"/>
    <w:qFormat/>
    <w:uiPriority w:val="99"/>
    <w:pPr>
      <w:widowControl/>
      <w:adjustRightInd w:val="0"/>
      <w:snapToGrid w:val="0"/>
      <w:ind w:left="960" w:hanging="240"/>
      <w:jc w:val="left"/>
    </w:pPr>
    <w:rPr>
      <w:kern w:val="0"/>
      <w:sz w:val="24"/>
    </w:rPr>
  </w:style>
  <w:style w:type="paragraph" w:styleId="37">
    <w:name w:val="toc 5"/>
    <w:basedOn w:val="1"/>
    <w:next w:val="1"/>
    <w:qFormat/>
    <w:uiPriority w:val="99"/>
    <w:pPr>
      <w:ind w:left="1680" w:leftChars="800"/>
    </w:pPr>
  </w:style>
  <w:style w:type="paragraph" w:styleId="38">
    <w:name w:val="toc 3"/>
    <w:basedOn w:val="1"/>
    <w:next w:val="1"/>
    <w:qFormat/>
    <w:uiPriority w:val="99"/>
    <w:pPr>
      <w:tabs>
        <w:tab w:val="right" w:leader="dot" w:pos="8268"/>
      </w:tabs>
      <w:ind w:left="840" w:leftChars="400"/>
    </w:pPr>
    <w:rPr>
      <w:rFonts w:ascii="宋体" w:hAnsi="宋体"/>
    </w:rPr>
  </w:style>
  <w:style w:type="paragraph" w:styleId="39">
    <w:name w:val="Plain Text"/>
    <w:basedOn w:val="1"/>
    <w:next w:val="40"/>
    <w:link w:val="116"/>
    <w:qFormat/>
    <w:uiPriority w:val="99"/>
    <w:rPr>
      <w:rFonts w:ascii="宋体" w:hAnsi="Courier New"/>
      <w:kern w:val="0"/>
      <w:sz w:val="20"/>
      <w:szCs w:val="20"/>
    </w:rPr>
  </w:style>
  <w:style w:type="paragraph" w:styleId="40">
    <w:name w:val="Date"/>
    <w:basedOn w:val="1"/>
    <w:next w:val="1"/>
    <w:link w:val="117"/>
    <w:qFormat/>
    <w:uiPriority w:val="99"/>
    <w:pPr>
      <w:ind w:left="100" w:leftChars="2500"/>
    </w:pPr>
    <w:rPr>
      <w:rFonts w:ascii="宋体"/>
      <w:sz w:val="24"/>
      <w:szCs w:val="21"/>
      <w:lang w:val="zh-CN"/>
    </w:rPr>
  </w:style>
  <w:style w:type="paragraph" w:styleId="41">
    <w:name w:val="List Number 4"/>
    <w:basedOn w:val="1"/>
    <w:qFormat/>
    <w:uiPriority w:val="99"/>
    <w:pPr>
      <w:tabs>
        <w:tab w:val="left" w:pos="840"/>
      </w:tabs>
      <w:autoSpaceDE w:val="0"/>
      <w:autoSpaceDN w:val="0"/>
      <w:adjustRightInd w:val="0"/>
      <w:spacing w:line="360" w:lineRule="atLeast"/>
      <w:ind w:left="840" w:hanging="420"/>
    </w:pPr>
    <w:rPr>
      <w:kern w:val="0"/>
      <w:sz w:val="24"/>
    </w:rPr>
  </w:style>
  <w:style w:type="paragraph" w:styleId="42">
    <w:name w:val="toc 8"/>
    <w:basedOn w:val="1"/>
    <w:next w:val="1"/>
    <w:qFormat/>
    <w:uiPriority w:val="99"/>
    <w:pPr>
      <w:ind w:left="2940" w:leftChars="1400"/>
    </w:pPr>
  </w:style>
  <w:style w:type="paragraph" w:styleId="43">
    <w:name w:val="index 3"/>
    <w:basedOn w:val="1"/>
    <w:next w:val="1"/>
    <w:qFormat/>
    <w:uiPriority w:val="99"/>
    <w:pPr>
      <w:widowControl/>
      <w:adjustRightInd w:val="0"/>
      <w:snapToGrid w:val="0"/>
      <w:ind w:left="720" w:hanging="240"/>
      <w:jc w:val="left"/>
    </w:pPr>
    <w:rPr>
      <w:kern w:val="0"/>
      <w:sz w:val="24"/>
    </w:rPr>
  </w:style>
  <w:style w:type="paragraph" w:styleId="44">
    <w:name w:val="Body Text Indent 2"/>
    <w:basedOn w:val="1"/>
    <w:link w:val="118"/>
    <w:qFormat/>
    <w:uiPriority w:val="99"/>
    <w:pPr>
      <w:adjustRightInd w:val="0"/>
      <w:ind w:firstLine="601"/>
      <w:textAlignment w:val="baseline"/>
    </w:pPr>
    <w:rPr>
      <w:rFonts w:ascii="宋体"/>
      <w:kern w:val="0"/>
      <w:sz w:val="28"/>
      <w:szCs w:val="20"/>
    </w:rPr>
  </w:style>
  <w:style w:type="paragraph" w:styleId="45">
    <w:name w:val="endnote text"/>
    <w:basedOn w:val="1"/>
    <w:link w:val="119"/>
    <w:qFormat/>
    <w:uiPriority w:val="99"/>
    <w:pPr>
      <w:snapToGrid w:val="0"/>
      <w:spacing w:line="240" w:lineRule="auto"/>
      <w:jc w:val="left"/>
    </w:pPr>
  </w:style>
  <w:style w:type="paragraph" w:styleId="46">
    <w:name w:val="Balloon Text"/>
    <w:basedOn w:val="1"/>
    <w:link w:val="120"/>
    <w:qFormat/>
    <w:uiPriority w:val="99"/>
    <w:rPr>
      <w:kern w:val="0"/>
      <w:sz w:val="18"/>
      <w:szCs w:val="18"/>
    </w:rPr>
  </w:style>
  <w:style w:type="paragraph" w:styleId="47">
    <w:name w:val="footer"/>
    <w:basedOn w:val="1"/>
    <w:link w:val="121"/>
    <w:qFormat/>
    <w:uiPriority w:val="99"/>
    <w:pPr>
      <w:tabs>
        <w:tab w:val="center" w:pos="4153"/>
        <w:tab w:val="right" w:pos="8306"/>
      </w:tabs>
      <w:snapToGrid w:val="0"/>
      <w:jc w:val="left"/>
    </w:pPr>
    <w:rPr>
      <w:sz w:val="18"/>
      <w:szCs w:val="18"/>
    </w:rPr>
  </w:style>
  <w:style w:type="paragraph" w:styleId="48">
    <w:name w:val="header"/>
    <w:basedOn w:val="1"/>
    <w:link w:val="123"/>
    <w:qFormat/>
    <w:uiPriority w:val="99"/>
    <w:pPr>
      <w:pBdr>
        <w:bottom w:val="single" w:color="auto" w:sz="6" w:space="1"/>
      </w:pBdr>
      <w:tabs>
        <w:tab w:val="center" w:pos="4153"/>
        <w:tab w:val="right" w:pos="8306"/>
      </w:tabs>
      <w:snapToGrid w:val="0"/>
      <w:jc w:val="center"/>
    </w:pPr>
    <w:rPr>
      <w:sz w:val="18"/>
      <w:szCs w:val="18"/>
    </w:rPr>
  </w:style>
  <w:style w:type="paragraph" w:styleId="49">
    <w:name w:val="Signature"/>
    <w:basedOn w:val="1"/>
    <w:link w:val="124"/>
    <w:qFormat/>
    <w:uiPriority w:val="99"/>
    <w:pPr>
      <w:adjustRightInd w:val="0"/>
      <w:spacing w:after="600" w:line="312" w:lineRule="atLeast"/>
      <w:jc w:val="center"/>
      <w:textAlignment w:val="baseline"/>
    </w:pPr>
    <w:rPr>
      <w:rFonts w:eastAsia="仿宋_GB2312"/>
      <w:kern w:val="0"/>
      <w:sz w:val="24"/>
      <w:szCs w:val="20"/>
    </w:rPr>
  </w:style>
  <w:style w:type="paragraph" w:styleId="50">
    <w:name w:val="toc 1"/>
    <w:basedOn w:val="1"/>
    <w:next w:val="1"/>
    <w:qFormat/>
    <w:uiPriority w:val="99"/>
  </w:style>
  <w:style w:type="paragraph" w:styleId="51">
    <w:name w:val="toc 4"/>
    <w:basedOn w:val="1"/>
    <w:next w:val="1"/>
    <w:qFormat/>
    <w:uiPriority w:val="99"/>
    <w:pPr>
      <w:ind w:left="1260" w:leftChars="600"/>
    </w:pPr>
  </w:style>
  <w:style w:type="paragraph" w:styleId="52">
    <w:name w:val="index heading"/>
    <w:basedOn w:val="1"/>
    <w:next w:val="53"/>
    <w:qFormat/>
    <w:uiPriority w:val="99"/>
    <w:pPr>
      <w:widowControl/>
      <w:adjustRightInd w:val="0"/>
      <w:snapToGrid w:val="0"/>
      <w:jc w:val="left"/>
    </w:pPr>
    <w:rPr>
      <w:kern w:val="0"/>
      <w:sz w:val="24"/>
    </w:rPr>
  </w:style>
  <w:style w:type="paragraph" w:styleId="53">
    <w:name w:val="index 1"/>
    <w:basedOn w:val="1"/>
    <w:next w:val="1"/>
    <w:qFormat/>
    <w:uiPriority w:val="99"/>
    <w:pPr>
      <w:widowControl/>
      <w:adjustRightInd w:val="0"/>
      <w:snapToGrid w:val="0"/>
      <w:ind w:left="240" w:hanging="240"/>
      <w:jc w:val="left"/>
    </w:pPr>
    <w:rPr>
      <w:rFonts w:ascii="Arial" w:hAnsi="Arial" w:cs="Arial"/>
      <w:kern w:val="0"/>
      <w:szCs w:val="21"/>
    </w:rPr>
  </w:style>
  <w:style w:type="paragraph" w:styleId="54">
    <w:name w:val="Subtitle"/>
    <w:basedOn w:val="1"/>
    <w:next w:val="1"/>
    <w:link w:val="125"/>
    <w:qFormat/>
    <w:uiPriority w:val="99"/>
    <w:pPr>
      <w:autoSpaceDE w:val="0"/>
      <w:autoSpaceDN w:val="0"/>
      <w:adjustRightInd w:val="0"/>
      <w:spacing w:before="240" w:after="60" w:line="312" w:lineRule="auto"/>
      <w:jc w:val="center"/>
      <w:outlineLvl w:val="1"/>
    </w:pPr>
    <w:rPr>
      <w:rFonts w:ascii="Cambria" w:hAnsi="Cambria"/>
      <w:b/>
      <w:bCs/>
      <w:kern w:val="28"/>
      <w:sz w:val="32"/>
      <w:szCs w:val="32"/>
    </w:rPr>
  </w:style>
  <w:style w:type="paragraph" w:styleId="55">
    <w:name w:val="List Number 5"/>
    <w:basedOn w:val="1"/>
    <w:qFormat/>
    <w:uiPriority w:val="99"/>
    <w:pPr>
      <w:tabs>
        <w:tab w:val="left" w:pos="902"/>
      </w:tabs>
      <w:spacing w:line="400" w:lineRule="exact"/>
      <w:ind w:left="902" w:hanging="420"/>
    </w:pPr>
    <w:rPr>
      <w:sz w:val="24"/>
      <w:szCs w:val="20"/>
    </w:rPr>
  </w:style>
  <w:style w:type="paragraph" w:styleId="56">
    <w:name w:val="List"/>
    <w:basedOn w:val="1"/>
    <w:qFormat/>
    <w:uiPriority w:val="99"/>
    <w:pPr>
      <w:numPr>
        <w:ilvl w:val="0"/>
        <w:numId w:val="6"/>
      </w:numPr>
      <w:adjustRightInd w:val="0"/>
      <w:snapToGrid w:val="0"/>
      <w:jc w:val="left"/>
    </w:pPr>
    <w:rPr>
      <w:rFonts w:ascii="宋体" w:hAnsi="宋体"/>
      <w:sz w:val="24"/>
    </w:rPr>
  </w:style>
  <w:style w:type="paragraph" w:styleId="57">
    <w:name w:val="footnote text"/>
    <w:basedOn w:val="1"/>
    <w:qFormat/>
    <w:uiPriority w:val="0"/>
    <w:pPr>
      <w:snapToGrid w:val="0"/>
      <w:jc w:val="left"/>
    </w:pPr>
    <w:rPr>
      <w:rFonts w:eastAsia="FangSong_GB2312"/>
      <w:sz w:val="18"/>
      <w:szCs w:val="20"/>
    </w:rPr>
  </w:style>
  <w:style w:type="paragraph" w:styleId="58">
    <w:name w:val="toc 6"/>
    <w:basedOn w:val="1"/>
    <w:next w:val="1"/>
    <w:qFormat/>
    <w:uiPriority w:val="99"/>
    <w:pPr>
      <w:ind w:left="2100" w:leftChars="1000"/>
    </w:pPr>
  </w:style>
  <w:style w:type="paragraph" w:styleId="59">
    <w:name w:val="List 5"/>
    <w:basedOn w:val="1"/>
    <w:qFormat/>
    <w:uiPriority w:val="99"/>
    <w:pPr>
      <w:spacing w:line="240" w:lineRule="auto"/>
      <w:ind w:left="100" w:leftChars="800" w:hanging="200" w:hangingChars="200"/>
    </w:pPr>
    <w:rPr>
      <w:szCs w:val="20"/>
    </w:rPr>
  </w:style>
  <w:style w:type="paragraph" w:styleId="60">
    <w:name w:val="Body Text Indent 3"/>
    <w:basedOn w:val="1"/>
    <w:link w:val="126"/>
    <w:qFormat/>
    <w:uiPriority w:val="99"/>
    <w:pPr>
      <w:ind w:firstLine="420"/>
    </w:pPr>
    <w:rPr>
      <w:kern w:val="0"/>
      <w:sz w:val="24"/>
      <w:szCs w:val="20"/>
    </w:rPr>
  </w:style>
  <w:style w:type="paragraph" w:styleId="61">
    <w:name w:val="index 7"/>
    <w:basedOn w:val="1"/>
    <w:next w:val="1"/>
    <w:qFormat/>
    <w:uiPriority w:val="99"/>
    <w:pPr>
      <w:widowControl/>
      <w:adjustRightInd w:val="0"/>
      <w:snapToGrid w:val="0"/>
      <w:ind w:left="1680" w:hanging="240"/>
      <w:jc w:val="left"/>
    </w:pPr>
    <w:rPr>
      <w:kern w:val="0"/>
      <w:sz w:val="24"/>
    </w:rPr>
  </w:style>
  <w:style w:type="paragraph" w:styleId="62">
    <w:name w:val="index 9"/>
    <w:basedOn w:val="1"/>
    <w:next w:val="1"/>
    <w:qFormat/>
    <w:uiPriority w:val="99"/>
    <w:pPr>
      <w:widowControl/>
      <w:adjustRightInd w:val="0"/>
      <w:snapToGrid w:val="0"/>
      <w:ind w:left="2160" w:hanging="240"/>
      <w:jc w:val="left"/>
    </w:pPr>
    <w:rPr>
      <w:kern w:val="0"/>
      <w:sz w:val="24"/>
    </w:rPr>
  </w:style>
  <w:style w:type="paragraph" w:styleId="63">
    <w:name w:val="table of figures"/>
    <w:basedOn w:val="1"/>
    <w:next w:val="1"/>
    <w:qFormat/>
    <w:uiPriority w:val="99"/>
    <w:pPr>
      <w:widowControl/>
      <w:adjustRightInd w:val="0"/>
      <w:snapToGrid w:val="0"/>
      <w:ind w:left="480" w:hanging="480"/>
      <w:jc w:val="left"/>
    </w:pPr>
    <w:rPr>
      <w:kern w:val="0"/>
      <w:sz w:val="24"/>
    </w:rPr>
  </w:style>
  <w:style w:type="paragraph" w:styleId="64">
    <w:name w:val="toc 2"/>
    <w:basedOn w:val="1"/>
    <w:next w:val="1"/>
    <w:qFormat/>
    <w:uiPriority w:val="99"/>
    <w:pPr>
      <w:ind w:left="420" w:leftChars="200"/>
    </w:pPr>
  </w:style>
  <w:style w:type="paragraph" w:styleId="65">
    <w:name w:val="toc 9"/>
    <w:basedOn w:val="1"/>
    <w:next w:val="1"/>
    <w:qFormat/>
    <w:uiPriority w:val="99"/>
    <w:pPr>
      <w:ind w:left="3360" w:leftChars="1600"/>
    </w:pPr>
  </w:style>
  <w:style w:type="paragraph" w:styleId="66">
    <w:name w:val="Body Text 2"/>
    <w:basedOn w:val="1"/>
    <w:link w:val="127"/>
    <w:qFormat/>
    <w:uiPriority w:val="99"/>
    <w:pPr>
      <w:spacing w:after="120" w:line="480" w:lineRule="auto"/>
    </w:pPr>
  </w:style>
  <w:style w:type="paragraph" w:styleId="67">
    <w:name w:val="List 4"/>
    <w:basedOn w:val="1"/>
    <w:qFormat/>
    <w:uiPriority w:val="99"/>
    <w:pPr>
      <w:spacing w:line="240" w:lineRule="auto"/>
      <w:ind w:left="100" w:leftChars="600" w:hanging="200" w:hangingChars="200"/>
    </w:pPr>
    <w:rPr>
      <w:szCs w:val="20"/>
    </w:rPr>
  </w:style>
  <w:style w:type="paragraph" w:styleId="68">
    <w:name w:val="List Continue 2"/>
    <w:basedOn w:val="1"/>
    <w:qFormat/>
    <w:uiPriority w:val="99"/>
    <w:pPr>
      <w:spacing w:after="120" w:line="240" w:lineRule="auto"/>
      <w:ind w:left="840" w:leftChars="400"/>
    </w:pPr>
    <w:rPr>
      <w:szCs w:val="20"/>
    </w:rPr>
  </w:style>
  <w:style w:type="paragraph" w:styleId="69">
    <w:name w:val="Message Header"/>
    <w:basedOn w:val="1"/>
    <w:link w:val="128"/>
    <w:qFormat/>
    <w:uiPriority w:val="99"/>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pPr>
    <w:rPr>
      <w:rFonts w:ascii="Arial" w:hAnsi="Arial"/>
      <w:sz w:val="24"/>
      <w:szCs w:val="20"/>
    </w:rPr>
  </w:style>
  <w:style w:type="paragraph" w:styleId="70">
    <w:name w:val="HTML Preformatted"/>
    <w:basedOn w:val="1"/>
    <w:link w:val="12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kern w:val="0"/>
      <w:sz w:val="24"/>
    </w:rPr>
  </w:style>
  <w:style w:type="paragraph" w:styleId="71">
    <w:name w:val="Normal (Web)"/>
    <w:basedOn w:val="1"/>
    <w:qFormat/>
    <w:uiPriority w:val="99"/>
    <w:pPr>
      <w:widowControl/>
      <w:spacing w:before="100" w:beforeAutospacing="1" w:after="100" w:afterAutospacing="1"/>
      <w:jc w:val="left"/>
    </w:pPr>
    <w:rPr>
      <w:rFonts w:ascii="宋体" w:hAnsi="宋体"/>
      <w:kern w:val="0"/>
      <w:sz w:val="24"/>
    </w:rPr>
  </w:style>
  <w:style w:type="paragraph" w:styleId="72">
    <w:name w:val="List Continue 3"/>
    <w:basedOn w:val="1"/>
    <w:qFormat/>
    <w:uiPriority w:val="99"/>
    <w:pPr>
      <w:spacing w:after="120" w:line="240" w:lineRule="auto"/>
      <w:ind w:left="1260" w:leftChars="600"/>
    </w:pPr>
    <w:rPr>
      <w:szCs w:val="20"/>
    </w:rPr>
  </w:style>
  <w:style w:type="paragraph" w:styleId="73">
    <w:name w:val="index 2"/>
    <w:basedOn w:val="1"/>
    <w:next w:val="1"/>
    <w:qFormat/>
    <w:uiPriority w:val="99"/>
    <w:pPr>
      <w:widowControl/>
      <w:adjustRightInd w:val="0"/>
      <w:snapToGrid w:val="0"/>
      <w:ind w:left="480" w:hanging="240"/>
      <w:jc w:val="left"/>
    </w:pPr>
    <w:rPr>
      <w:kern w:val="0"/>
      <w:sz w:val="24"/>
    </w:rPr>
  </w:style>
  <w:style w:type="paragraph" w:styleId="74">
    <w:name w:val="annotation subject"/>
    <w:basedOn w:val="23"/>
    <w:next w:val="23"/>
    <w:link w:val="107"/>
    <w:qFormat/>
    <w:uiPriority w:val="99"/>
    <w:rPr>
      <w:b/>
      <w:bCs/>
    </w:rPr>
  </w:style>
  <w:style w:type="paragraph" w:styleId="75">
    <w:name w:val="Body Text First Indent"/>
    <w:basedOn w:val="27"/>
    <w:next w:val="58"/>
    <w:link w:val="110"/>
    <w:qFormat/>
    <w:uiPriority w:val="99"/>
    <w:pPr>
      <w:ind w:firstLine="420"/>
    </w:pPr>
    <w:rPr>
      <w:kern w:val="0"/>
      <w:szCs w:val="20"/>
    </w:rPr>
  </w:style>
  <w:style w:type="paragraph" w:styleId="76">
    <w:name w:val="Body Text First Indent 2"/>
    <w:basedOn w:val="29"/>
    <w:link w:val="122"/>
    <w:qFormat/>
    <w:uiPriority w:val="99"/>
    <w:pPr>
      <w:adjustRightInd w:val="0"/>
      <w:snapToGrid w:val="0"/>
      <w:spacing w:after="120" w:line="360" w:lineRule="auto"/>
      <w:ind w:left="420" w:leftChars="200" w:firstLine="420"/>
    </w:pPr>
    <w:rPr>
      <w:rFonts w:ascii="Calibri" w:hAnsi="Calibri" w:eastAsia="仿宋"/>
      <w:sz w:val="21"/>
      <w:szCs w:val="22"/>
    </w:rPr>
  </w:style>
  <w:style w:type="table" w:styleId="78">
    <w:name w:val="Table Grid"/>
    <w:basedOn w:val="7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Theme"/>
    <w:basedOn w:val="7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0">
    <w:name w:val="Table Elegant"/>
    <w:basedOn w:val="77"/>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table" w:styleId="81">
    <w:name w:val="Table Grid 8"/>
    <w:basedOn w:val="77"/>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shd w:val="solid" w:color="000080" w:fill="FFFFFF"/>
      </w:tcPr>
    </w:tblStylePr>
    <w:tblStylePr w:type="lastRow">
      <w:rPr>
        <w:rFonts w:cs="Times New Roman"/>
        <w:b/>
        <w:bCs/>
        <w:color w:val="auto"/>
      </w:rPr>
      <w:tblPr/>
    </w:tblStylePr>
    <w:tblStylePr w:type="lastCol">
      <w:rPr>
        <w:rFonts w:cs="Times New Roman"/>
        <w:b/>
        <w:bCs/>
        <w:color w:val="auto"/>
      </w:rPr>
      <w:tblPr/>
    </w:tblStylePr>
  </w:style>
  <w:style w:type="character" w:styleId="83">
    <w:name w:val="Strong"/>
    <w:basedOn w:val="82"/>
    <w:qFormat/>
    <w:uiPriority w:val="99"/>
    <w:rPr>
      <w:rFonts w:cs="Times New Roman"/>
      <w:b/>
    </w:rPr>
  </w:style>
  <w:style w:type="character" w:styleId="84">
    <w:name w:val="endnote reference"/>
    <w:basedOn w:val="82"/>
    <w:qFormat/>
    <w:uiPriority w:val="99"/>
    <w:rPr>
      <w:rFonts w:cs="Times New Roman"/>
      <w:vertAlign w:val="superscript"/>
    </w:rPr>
  </w:style>
  <w:style w:type="character" w:styleId="85">
    <w:name w:val="page number"/>
    <w:basedOn w:val="82"/>
    <w:qFormat/>
    <w:uiPriority w:val="99"/>
    <w:rPr>
      <w:rFonts w:cs="Times New Roman"/>
    </w:rPr>
  </w:style>
  <w:style w:type="character" w:styleId="86">
    <w:name w:val="FollowedHyperlink"/>
    <w:basedOn w:val="82"/>
    <w:qFormat/>
    <w:uiPriority w:val="99"/>
    <w:rPr>
      <w:rFonts w:cs="Times New Roman"/>
      <w:color w:val="954F72"/>
      <w:u w:val="single"/>
    </w:rPr>
  </w:style>
  <w:style w:type="character" w:styleId="87">
    <w:name w:val="Emphasis"/>
    <w:basedOn w:val="82"/>
    <w:qFormat/>
    <w:uiPriority w:val="99"/>
    <w:rPr>
      <w:rFonts w:cs="Times New Roman"/>
      <w:color w:val="CC0033"/>
    </w:rPr>
  </w:style>
  <w:style w:type="character" w:styleId="88">
    <w:name w:val="line number"/>
    <w:basedOn w:val="82"/>
    <w:qFormat/>
    <w:uiPriority w:val="99"/>
    <w:rPr>
      <w:rFonts w:cs="Times New Roman"/>
    </w:rPr>
  </w:style>
  <w:style w:type="character" w:styleId="89">
    <w:name w:val="Hyperlink"/>
    <w:basedOn w:val="82"/>
    <w:qFormat/>
    <w:uiPriority w:val="99"/>
    <w:rPr>
      <w:rFonts w:cs="Times New Roman"/>
      <w:color w:val="0000FF"/>
      <w:u w:val="single"/>
    </w:rPr>
  </w:style>
  <w:style w:type="character" w:styleId="90">
    <w:name w:val="HTML Code"/>
    <w:basedOn w:val="82"/>
    <w:qFormat/>
    <w:uiPriority w:val="99"/>
    <w:rPr>
      <w:rFonts w:ascii="黑体" w:hAnsi="Courier New" w:eastAsia="黑体" w:cs="Times New Roman"/>
      <w:sz w:val="20"/>
    </w:rPr>
  </w:style>
  <w:style w:type="character" w:styleId="91">
    <w:name w:val="annotation reference"/>
    <w:basedOn w:val="82"/>
    <w:qFormat/>
    <w:uiPriority w:val="99"/>
    <w:rPr>
      <w:rFonts w:cs="Times New Roman"/>
      <w:sz w:val="21"/>
    </w:rPr>
  </w:style>
  <w:style w:type="character" w:styleId="92">
    <w:name w:val="footnote reference"/>
    <w:basedOn w:val="82"/>
    <w:qFormat/>
    <w:uiPriority w:val="0"/>
    <w:rPr>
      <w:vertAlign w:val="superscript"/>
    </w:rPr>
  </w:style>
  <w:style w:type="paragraph" w:customStyle="1" w:styleId="93">
    <w:name w:val="正文（首行缩进2字符）"/>
    <w:basedOn w:val="1"/>
    <w:link w:val="649"/>
    <w:qFormat/>
    <w:uiPriority w:val="99"/>
    <w:pPr>
      <w:ind w:firstLine="480" w:firstLineChars="200"/>
    </w:pPr>
    <w:rPr>
      <w:sz w:val="24"/>
      <w:szCs w:val="20"/>
    </w:rPr>
  </w:style>
  <w:style w:type="paragraph" w:customStyle="1" w:styleId="94">
    <w:name w:val="[Normal]"/>
    <w:qFormat/>
    <w:uiPriority w:val="0"/>
    <w:rPr>
      <w:rFonts w:ascii="宋体" w:hAnsi="宋体" w:eastAsia="宋体" w:cs="Times New Roman"/>
      <w:sz w:val="24"/>
      <w:szCs w:val="22"/>
      <w:lang w:val="zh-CN" w:eastAsia="zh-CN" w:bidi="ar-SA"/>
    </w:rPr>
  </w:style>
  <w:style w:type="paragraph" w:customStyle="1" w:styleId="95">
    <w:name w:val="BodyText1I2"/>
    <w:basedOn w:val="96"/>
    <w:next w:val="1"/>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96">
    <w:name w:val="BodyTextIndent"/>
    <w:basedOn w:val="1"/>
    <w:next w:val="1"/>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character" w:customStyle="1" w:styleId="97">
    <w:name w:val="Heading 1 Char"/>
    <w:basedOn w:val="82"/>
    <w:link w:val="3"/>
    <w:qFormat/>
    <w:locked/>
    <w:uiPriority w:val="99"/>
    <w:rPr>
      <w:b/>
      <w:bCs/>
      <w:kern w:val="44"/>
      <w:sz w:val="44"/>
      <w:szCs w:val="44"/>
    </w:rPr>
  </w:style>
  <w:style w:type="character" w:customStyle="1" w:styleId="98">
    <w:name w:val="Heading 2 Char"/>
    <w:basedOn w:val="82"/>
    <w:link w:val="4"/>
    <w:qFormat/>
    <w:locked/>
    <w:uiPriority w:val="99"/>
    <w:rPr>
      <w:rFonts w:ascii="宋体" w:hAnsi="宋体" w:eastAsia="宋体"/>
      <w:b/>
      <w:sz w:val="30"/>
      <w:lang w:val="zh-CN"/>
    </w:rPr>
  </w:style>
  <w:style w:type="character" w:customStyle="1" w:styleId="99">
    <w:name w:val="Heading 3 Char"/>
    <w:basedOn w:val="82"/>
    <w:link w:val="5"/>
    <w:qFormat/>
    <w:locked/>
    <w:uiPriority w:val="99"/>
    <w:rPr>
      <w:b/>
      <w:kern w:val="2"/>
      <w:sz w:val="32"/>
    </w:rPr>
  </w:style>
  <w:style w:type="character" w:customStyle="1" w:styleId="100">
    <w:name w:val="Heading 4 Char"/>
    <w:basedOn w:val="82"/>
    <w:link w:val="6"/>
    <w:qFormat/>
    <w:locked/>
    <w:uiPriority w:val="99"/>
    <w:rPr>
      <w:rFonts w:ascii="Arial" w:hAnsi="Arial"/>
      <w:bCs/>
      <w:sz w:val="28"/>
      <w:szCs w:val="28"/>
      <w:lang w:val="zh-CN"/>
    </w:rPr>
  </w:style>
  <w:style w:type="character" w:customStyle="1" w:styleId="101">
    <w:name w:val="Heading 5 Char"/>
    <w:basedOn w:val="82"/>
    <w:link w:val="7"/>
    <w:qFormat/>
    <w:locked/>
    <w:uiPriority w:val="99"/>
    <w:rPr>
      <w:b/>
      <w:bCs/>
      <w:sz w:val="28"/>
      <w:szCs w:val="28"/>
    </w:rPr>
  </w:style>
  <w:style w:type="character" w:customStyle="1" w:styleId="102">
    <w:name w:val="Heading 6 Char"/>
    <w:basedOn w:val="82"/>
    <w:link w:val="8"/>
    <w:qFormat/>
    <w:locked/>
    <w:uiPriority w:val="99"/>
    <w:rPr>
      <w:rFonts w:ascii="Arial" w:hAnsi="Arial" w:eastAsia="黑体"/>
      <w:b/>
      <w:bCs/>
      <w:sz w:val="24"/>
      <w:szCs w:val="24"/>
    </w:rPr>
  </w:style>
  <w:style w:type="character" w:customStyle="1" w:styleId="103">
    <w:name w:val="Heading 7 Char"/>
    <w:basedOn w:val="82"/>
    <w:link w:val="9"/>
    <w:qFormat/>
    <w:locked/>
    <w:uiPriority w:val="99"/>
    <w:rPr>
      <w:b/>
      <w:bCs/>
      <w:sz w:val="24"/>
      <w:szCs w:val="24"/>
    </w:rPr>
  </w:style>
  <w:style w:type="character" w:customStyle="1" w:styleId="104">
    <w:name w:val="Heading 8 Char"/>
    <w:basedOn w:val="82"/>
    <w:link w:val="10"/>
    <w:qFormat/>
    <w:locked/>
    <w:uiPriority w:val="99"/>
    <w:rPr>
      <w:rFonts w:ascii="Arial" w:hAnsi="Arial" w:eastAsia="黑体"/>
      <w:sz w:val="24"/>
      <w:szCs w:val="24"/>
    </w:rPr>
  </w:style>
  <w:style w:type="character" w:customStyle="1" w:styleId="105">
    <w:name w:val="Heading 9 Char"/>
    <w:basedOn w:val="82"/>
    <w:link w:val="11"/>
    <w:qFormat/>
    <w:locked/>
    <w:uiPriority w:val="99"/>
    <w:rPr>
      <w:rFonts w:ascii="Arial" w:hAnsi="Arial" w:eastAsia="黑体"/>
      <w:szCs w:val="21"/>
    </w:rPr>
  </w:style>
  <w:style w:type="character" w:customStyle="1" w:styleId="106">
    <w:name w:val="Comment Text Char"/>
    <w:basedOn w:val="82"/>
    <w:link w:val="23"/>
    <w:qFormat/>
    <w:locked/>
    <w:uiPriority w:val="99"/>
    <w:rPr>
      <w:rFonts w:ascii="Times New Roman" w:hAnsi="Times New Roman" w:eastAsia="宋体"/>
      <w:sz w:val="24"/>
    </w:rPr>
  </w:style>
  <w:style w:type="character" w:customStyle="1" w:styleId="107">
    <w:name w:val="Comment Subject Char"/>
    <w:basedOn w:val="108"/>
    <w:link w:val="74"/>
    <w:qFormat/>
    <w:locked/>
    <w:uiPriority w:val="99"/>
    <w:rPr>
      <w:b/>
      <w:bCs/>
    </w:rPr>
  </w:style>
  <w:style w:type="character" w:customStyle="1" w:styleId="108">
    <w:name w:val="批注文字 Char"/>
    <w:basedOn w:val="82"/>
    <w:qFormat/>
    <w:uiPriority w:val="99"/>
    <w:rPr>
      <w:rFonts w:ascii="Times New Roman" w:hAnsi="Times New Roman" w:eastAsia="宋体" w:cs="Times New Roman"/>
      <w:sz w:val="24"/>
      <w:szCs w:val="24"/>
    </w:rPr>
  </w:style>
  <w:style w:type="character" w:customStyle="1" w:styleId="109">
    <w:name w:val="Body Text Char"/>
    <w:basedOn w:val="82"/>
    <w:link w:val="27"/>
    <w:qFormat/>
    <w:locked/>
    <w:uiPriority w:val="99"/>
    <w:rPr>
      <w:rFonts w:ascii="宋体" w:hAnsi="Times New Roman" w:eastAsia="宋体" w:cs="Times New Roman"/>
      <w:sz w:val="21"/>
      <w:szCs w:val="21"/>
      <w:lang w:val="zh-CN"/>
    </w:rPr>
  </w:style>
  <w:style w:type="character" w:customStyle="1" w:styleId="110">
    <w:name w:val="Body Text First Indent Char"/>
    <w:basedOn w:val="109"/>
    <w:link w:val="75"/>
    <w:qFormat/>
    <w:locked/>
    <w:uiPriority w:val="99"/>
    <w:rPr>
      <w:sz w:val="20"/>
    </w:rPr>
  </w:style>
  <w:style w:type="character" w:customStyle="1" w:styleId="111">
    <w:name w:val="Document Map Char"/>
    <w:basedOn w:val="82"/>
    <w:link w:val="21"/>
    <w:qFormat/>
    <w:locked/>
    <w:uiPriority w:val="99"/>
    <w:rPr>
      <w:rFonts w:ascii="Times New Roman" w:hAnsi="Times New Roman" w:eastAsia="宋体" w:cs="Times New Roman"/>
      <w:sz w:val="24"/>
      <w:szCs w:val="24"/>
      <w:shd w:val="clear" w:color="auto" w:fill="000080"/>
    </w:rPr>
  </w:style>
  <w:style w:type="character" w:customStyle="1" w:styleId="112">
    <w:name w:val="Salutation Char"/>
    <w:basedOn w:val="82"/>
    <w:link w:val="25"/>
    <w:qFormat/>
    <w:locked/>
    <w:uiPriority w:val="99"/>
    <w:rPr>
      <w:rFonts w:ascii="仿宋_GB2312" w:hAnsi="Times New Roman" w:eastAsia="仿宋_GB2312"/>
      <w:sz w:val="20"/>
    </w:rPr>
  </w:style>
  <w:style w:type="character" w:customStyle="1" w:styleId="113">
    <w:name w:val="Body Text 3 Char"/>
    <w:basedOn w:val="82"/>
    <w:link w:val="26"/>
    <w:qFormat/>
    <w:locked/>
    <w:uiPriority w:val="99"/>
    <w:rPr>
      <w:rFonts w:ascii="Times New Roman" w:hAnsi="Times New Roman" w:eastAsia="宋体"/>
      <w:sz w:val="20"/>
    </w:rPr>
  </w:style>
  <w:style w:type="character" w:customStyle="1" w:styleId="114">
    <w:name w:val="Body Text Indent Char"/>
    <w:basedOn w:val="82"/>
    <w:link w:val="29"/>
    <w:qFormat/>
    <w:locked/>
    <w:uiPriority w:val="99"/>
    <w:rPr>
      <w:rFonts w:ascii="宋体" w:hAnsi="宋体" w:eastAsia="宋体"/>
      <w:sz w:val="24"/>
    </w:rPr>
  </w:style>
  <w:style w:type="character" w:customStyle="1" w:styleId="115">
    <w:name w:val="HTML Address Char"/>
    <w:basedOn w:val="82"/>
    <w:link w:val="35"/>
    <w:qFormat/>
    <w:locked/>
    <w:uiPriority w:val="99"/>
    <w:rPr>
      <w:rFonts w:ascii="宋体" w:hAnsi="宋体" w:eastAsia="仿宋" w:cs="Times New Roman"/>
      <w:i/>
      <w:iCs/>
      <w:sz w:val="24"/>
      <w:szCs w:val="24"/>
    </w:rPr>
  </w:style>
  <w:style w:type="character" w:customStyle="1" w:styleId="116">
    <w:name w:val="Plain Text Char"/>
    <w:basedOn w:val="82"/>
    <w:link w:val="39"/>
    <w:qFormat/>
    <w:locked/>
    <w:uiPriority w:val="99"/>
    <w:rPr>
      <w:rFonts w:ascii="宋体" w:hAnsi="Courier New" w:eastAsia="宋体"/>
      <w:sz w:val="20"/>
    </w:rPr>
  </w:style>
  <w:style w:type="character" w:customStyle="1" w:styleId="117">
    <w:name w:val="Date Char"/>
    <w:basedOn w:val="82"/>
    <w:link w:val="40"/>
    <w:qFormat/>
    <w:locked/>
    <w:uiPriority w:val="99"/>
    <w:rPr>
      <w:rFonts w:ascii="宋体" w:hAnsi="Times New Roman" w:eastAsia="宋体" w:cs="Times New Roman"/>
      <w:sz w:val="21"/>
      <w:szCs w:val="21"/>
      <w:lang w:val="zh-CN"/>
    </w:rPr>
  </w:style>
  <w:style w:type="character" w:customStyle="1" w:styleId="118">
    <w:name w:val="Body Text Indent 2 Char"/>
    <w:basedOn w:val="82"/>
    <w:link w:val="44"/>
    <w:qFormat/>
    <w:locked/>
    <w:uiPriority w:val="99"/>
    <w:rPr>
      <w:rFonts w:ascii="宋体" w:hAnsi="Times New Roman" w:eastAsia="宋体"/>
      <w:kern w:val="0"/>
      <w:sz w:val="20"/>
    </w:rPr>
  </w:style>
  <w:style w:type="character" w:customStyle="1" w:styleId="119">
    <w:name w:val="Endnote Text Char"/>
    <w:basedOn w:val="82"/>
    <w:link w:val="45"/>
    <w:qFormat/>
    <w:locked/>
    <w:uiPriority w:val="99"/>
    <w:rPr>
      <w:rFonts w:cs="Times New Roman"/>
      <w:kern w:val="2"/>
      <w:sz w:val="24"/>
      <w:szCs w:val="24"/>
    </w:rPr>
  </w:style>
  <w:style w:type="character" w:customStyle="1" w:styleId="120">
    <w:name w:val="Balloon Text Char"/>
    <w:basedOn w:val="82"/>
    <w:link w:val="46"/>
    <w:qFormat/>
    <w:locked/>
    <w:uiPriority w:val="99"/>
    <w:rPr>
      <w:rFonts w:ascii="Times New Roman" w:hAnsi="Times New Roman" w:eastAsia="宋体"/>
      <w:sz w:val="18"/>
    </w:rPr>
  </w:style>
  <w:style w:type="character" w:customStyle="1" w:styleId="121">
    <w:name w:val="Footer Char"/>
    <w:basedOn w:val="82"/>
    <w:link w:val="47"/>
    <w:qFormat/>
    <w:locked/>
    <w:uiPriority w:val="99"/>
    <w:rPr>
      <w:rFonts w:cs="Times New Roman"/>
      <w:sz w:val="18"/>
      <w:szCs w:val="18"/>
    </w:rPr>
  </w:style>
  <w:style w:type="character" w:customStyle="1" w:styleId="122">
    <w:name w:val="Body Text First Indent 2 Char"/>
    <w:basedOn w:val="114"/>
    <w:link w:val="76"/>
    <w:qFormat/>
    <w:locked/>
    <w:uiPriority w:val="99"/>
    <w:rPr>
      <w:rFonts w:ascii="Calibri" w:hAnsi="Calibri" w:eastAsia="仿宋" w:cs="Times New Roman"/>
      <w:kern w:val="2"/>
      <w:sz w:val="22"/>
      <w:szCs w:val="22"/>
    </w:rPr>
  </w:style>
  <w:style w:type="character" w:customStyle="1" w:styleId="123">
    <w:name w:val="Header Char"/>
    <w:basedOn w:val="82"/>
    <w:link w:val="48"/>
    <w:qFormat/>
    <w:locked/>
    <w:uiPriority w:val="99"/>
    <w:rPr>
      <w:rFonts w:cs="Times New Roman"/>
      <w:sz w:val="18"/>
      <w:szCs w:val="18"/>
    </w:rPr>
  </w:style>
  <w:style w:type="character" w:customStyle="1" w:styleId="124">
    <w:name w:val="Signature Char"/>
    <w:basedOn w:val="82"/>
    <w:link w:val="49"/>
    <w:qFormat/>
    <w:locked/>
    <w:uiPriority w:val="99"/>
    <w:rPr>
      <w:rFonts w:ascii="Times New Roman" w:hAnsi="Times New Roman" w:eastAsia="仿宋_GB2312"/>
      <w:kern w:val="0"/>
      <w:sz w:val="20"/>
    </w:rPr>
  </w:style>
  <w:style w:type="character" w:customStyle="1" w:styleId="125">
    <w:name w:val="Subtitle Char"/>
    <w:basedOn w:val="82"/>
    <w:link w:val="54"/>
    <w:qFormat/>
    <w:locked/>
    <w:uiPriority w:val="99"/>
    <w:rPr>
      <w:rFonts w:ascii="Cambria" w:hAnsi="Cambria" w:eastAsia="宋体"/>
      <w:b/>
      <w:kern w:val="28"/>
      <w:sz w:val="32"/>
    </w:rPr>
  </w:style>
  <w:style w:type="character" w:customStyle="1" w:styleId="126">
    <w:name w:val="Body Text Indent 3 Char"/>
    <w:basedOn w:val="82"/>
    <w:link w:val="60"/>
    <w:qFormat/>
    <w:locked/>
    <w:uiPriority w:val="99"/>
    <w:rPr>
      <w:rFonts w:ascii="Times New Roman" w:hAnsi="Times New Roman" w:eastAsia="宋体"/>
      <w:sz w:val="20"/>
    </w:rPr>
  </w:style>
  <w:style w:type="character" w:customStyle="1" w:styleId="127">
    <w:name w:val="Body Text 2 Char"/>
    <w:basedOn w:val="82"/>
    <w:link w:val="66"/>
    <w:qFormat/>
    <w:locked/>
    <w:uiPriority w:val="99"/>
    <w:rPr>
      <w:rFonts w:ascii="Times New Roman" w:hAnsi="Times New Roman" w:eastAsia="宋体" w:cs="Times New Roman"/>
      <w:sz w:val="24"/>
      <w:szCs w:val="24"/>
    </w:rPr>
  </w:style>
  <w:style w:type="character" w:customStyle="1" w:styleId="128">
    <w:name w:val="Message Header Char"/>
    <w:basedOn w:val="82"/>
    <w:link w:val="69"/>
    <w:qFormat/>
    <w:locked/>
    <w:uiPriority w:val="99"/>
    <w:rPr>
      <w:rFonts w:ascii="Arial" w:hAnsi="Arial" w:cs="Times New Roman"/>
      <w:kern w:val="2"/>
      <w:sz w:val="24"/>
      <w:shd w:val="pct20" w:color="auto" w:fill="auto"/>
    </w:rPr>
  </w:style>
  <w:style w:type="character" w:customStyle="1" w:styleId="129">
    <w:name w:val="HTML Preformatted Char"/>
    <w:basedOn w:val="82"/>
    <w:link w:val="70"/>
    <w:qFormat/>
    <w:locked/>
    <w:uiPriority w:val="99"/>
    <w:rPr>
      <w:rFonts w:ascii="Arial" w:hAnsi="Arial" w:cs="Arial"/>
      <w:sz w:val="24"/>
      <w:szCs w:val="24"/>
    </w:rPr>
  </w:style>
  <w:style w:type="character" w:customStyle="1" w:styleId="130">
    <w:name w:val="Title Char"/>
    <w:basedOn w:val="82"/>
    <w:link w:val="2"/>
    <w:qFormat/>
    <w:locked/>
    <w:uiPriority w:val="99"/>
    <w:rPr>
      <w:rFonts w:ascii="Times New Roman" w:hAnsi="Times New Roman" w:eastAsia="宋体" w:cs="Times New Roman"/>
      <w:b/>
      <w:kern w:val="0"/>
      <w:sz w:val="20"/>
      <w:szCs w:val="20"/>
    </w:rPr>
  </w:style>
  <w:style w:type="paragraph" w:customStyle="1" w:styleId="131">
    <w:name w:val="样式 标题 5 + 右侧:  -0.18 字符"/>
    <w:basedOn w:val="1"/>
    <w:qFormat/>
    <w:uiPriority w:val="99"/>
    <w:pPr>
      <w:numPr>
        <w:ilvl w:val="4"/>
        <w:numId w:val="7"/>
      </w:numPr>
    </w:pPr>
  </w:style>
  <w:style w:type="paragraph" w:customStyle="1" w:styleId="132">
    <w:name w:val="正文文字表格居中"/>
    <w:basedOn w:val="1"/>
    <w:next w:val="66"/>
    <w:qFormat/>
    <w:uiPriority w:val="99"/>
    <w:pPr>
      <w:snapToGrid w:val="0"/>
    </w:pPr>
    <w:rPr>
      <w:rFonts w:ascii="宋体"/>
      <w:b/>
      <w:sz w:val="24"/>
      <w:szCs w:val="20"/>
    </w:rPr>
  </w:style>
  <w:style w:type="paragraph" w:customStyle="1" w:styleId="133">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34">
    <w:name w:val="正文2"/>
    <w:basedOn w:val="1"/>
    <w:link w:val="414"/>
    <w:qFormat/>
    <w:uiPriority w:val="99"/>
    <w:pPr>
      <w:spacing w:before="156"/>
      <w:ind w:firstLine="510" w:firstLineChars="200"/>
    </w:pPr>
    <w:rPr>
      <w:kern w:val="0"/>
      <w:sz w:val="24"/>
      <w:szCs w:val="20"/>
    </w:rPr>
  </w:style>
  <w:style w:type="paragraph" w:customStyle="1" w:styleId="135">
    <w:name w:val="_Style 37"/>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部分1"/>
    <w:basedOn w:val="1"/>
    <w:qFormat/>
    <w:uiPriority w:val="99"/>
    <w:pPr>
      <w:keepNext/>
      <w:pageBreakBefore/>
      <w:tabs>
        <w:tab w:val="left" w:pos="720"/>
      </w:tabs>
      <w:jc w:val="center"/>
      <w:outlineLvl w:val="0"/>
    </w:pPr>
    <w:rPr>
      <w:rFonts w:eastAsia="黑体"/>
      <w:b/>
      <w:kern w:val="44"/>
      <w:sz w:val="36"/>
      <w:szCs w:val="20"/>
    </w:rPr>
  </w:style>
  <w:style w:type="paragraph" w:customStyle="1" w:styleId="137">
    <w:name w:val="正文缩进1"/>
    <w:basedOn w:val="1"/>
    <w:next w:val="29"/>
    <w:qFormat/>
    <w:uiPriority w:val="99"/>
    <w:pPr>
      <w:autoSpaceDE w:val="0"/>
      <w:autoSpaceDN w:val="0"/>
      <w:adjustRightInd w:val="0"/>
      <w:snapToGrid w:val="0"/>
      <w:spacing w:after="120"/>
      <w:ind w:left="420" w:leftChars="200" w:firstLine="480" w:firstLineChars="200"/>
    </w:pPr>
    <w:rPr>
      <w:sz w:val="24"/>
      <w:szCs w:val="21"/>
    </w:rPr>
  </w:style>
  <w:style w:type="paragraph" w:customStyle="1" w:styleId="138">
    <w:name w:val="Test2"/>
    <w:basedOn w:val="4"/>
    <w:qFormat/>
    <w:uiPriority w:val="99"/>
    <w:pPr>
      <w:widowControl/>
      <w:adjustRightInd w:val="0"/>
      <w:snapToGrid w:val="0"/>
      <w:spacing w:before="360" w:after="360" w:line="240" w:lineRule="atLeast"/>
      <w:jc w:val="left"/>
    </w:pPr>
    <w:rPr>
      <w:rFonts w:hAnsi="Arial"/>
      <w:sz w:val="28"/>
      <w:szCs w:val="32"/>
      <w:lang w:val="en-US"/>
    </w:rPr>
  </w:style>
  <w:style w:type="paragraph" w:customStyle="1" w:styleId="139">
    <w:name w:val="Body Text 21"/>
    <w:basedOn w:val="1"/>
    <w:qFormat/>
    <w:uiPriority w:val="99"/>
    <w:pPr>
      <w:widowControl/>
      <w:overflowPunct w:val="0"/>
      <w:autoSpaceDE w:val="0"/>
      <w:autoSpaceDN w:val="0"/>
      <w:adjustRightInd w:val="0"/>
      <w:ind w:left="720" w:hanging="720"/>
      <w:textAlignment w:val="baseline"/>
    </w:pPr>
    <w:rPr>
      <w:kern w:val="0"/>
      <w:sz w:val="24"/>
      <w:szCs w:val="20"/>
    </w:rPr>
  </w:style>
  <w:style w:type="paragraph" w:customStyle="1" w:styleId="140">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141">
    <w:name w:val="Char2"/>
    <w:basedOn w:val="1"/>
    <w:qFormat/>
    <w:uiPriority w:val="99"/>
    <w:rPr>
      <w:rFonts w:ascii="仿宋_GB2312" w:eastAsia="仿宋_GB2312"/>
      <w:b/>
      <w:sz w:val="32"/>
      <w:szCs w:val="32"/>
    </w:rPr>
  </w:style>
  <w:style w:type="paragraph" w:customStyle="1" w:styleId="142">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143">
    <w:name w:val="Char1"/>
    <w:basedOn w:val="1"/>
    <w:qFormat/>
    <w:uiPriority w:val="99"/>
    <w:rPr>
      <w:rFonts w:ascii="仿宋_GB2312" w:eastAsia="仿宋_GB2312"/>
      <w:b/>
      <w:sz w:val="32"/>
      <w:szCs w:val="32"/>
    </w:rPr>
  </w:style>
  <w:style w:type="paragraph" w:customStyle="1" w:styleId="144">
    <w:name w:val="Char"/>
    <w:basedOn w:val="1"/>
    <w:qFormat/>
    <w:uiPriority w:val="99"/>
    <w:rPr>
      <w:rFonts w:ascii="仿宋_GB2312" w:eastAsia="仿宋_GB2312"/>
      <w:b/>
      <w:sz w:val="32"/>
      <w:szCs w:val="32"/>
    </w:rPr>
  </w:style>
  <w:style w:type="paragraph" w:customStyle="1" w:styleId="145">
    <w:name w:val="Char Char1 Char Char Char"/>
    <w:basedOn w:val="1"/>
    <w:qFormat/>
    <w:uiPriority w:val="99"/>
    <w:rPr>
      <w:rFonts w:ascii="仿宋_GB2312" w:eastAsia="仿宋_GB2312"/>
      <w:b/>
      <w:sz w:val="32"/>
      <w:szCs w:val="32"/>
    </w:rPr>
  </w:style>
  <w:style w:type="paragraph" w:customStyle="1" w:styleId="146">
    <w:name w:val="Char Char1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47">
    <w:name w:val="Char Char Char Char"/>
    <w:basedOn w:val="1"/>
    <w:qFormat/>
    <w:uiPriority w:val="99"/>
    <w:rPr>
      <w:rFonts w:ascii="Tahoma" w:hAnsi="Tahoma"/>
      <w:sz w:val="24"/>
      <w:szCs w:val="20"/>
    </w:rPr>
  </w:style>
  <w:style w:type="paragraph" w:customStyle="1" w:styleId="148">
    <w:name w:val="Char Char1"/>
    <w:basedOn w:val="1"/>
    <w:qFormat/>
    <w:uiPriority w:val="99"/>
    <w:pPr>
      <w:widowControl/>
      <w:spacing w:after="160" w:line="240" w:lineRule="exact"/>
      <w:jc w:val="left"/>
    </w:pPr>
    <w:rPr>
      <w:rFonts w:eastAsia="仿宋_GB2312"/>
      <w:sz w:val="28"/>
    </w:rPr>
  </w:style>
  <w:style w:type="paragraph" w:customStyle="1" w:styleId="149">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150">
    <w:name w:val="Char31"/>
    <w:basedOn w:val="1"/>
    <w:qFormat/>
    <w:uiPriority w:val="99"/>
    <w:rPr>
      <w:rFonts w:ascii="仿宋_GB2312" w:eastAsia="仿宋_GB2312"/>
      <w:b/>
      <w:sz w:val="32"/>
      <w:szCs w:val="32"/>
    </w:rPr>
  </w:style>
  <w:style w:type="paragraph" w:customStyle="1" w:styleId="151">
    <w:name w:val="Char Char1 Char1"/>
    <w:basedOn w:val="1"/>
    <w:qFormat/>
    <w:uiPriority w:val="99"/>
    <w:rPr>
      <w:rFonts w:ascii="仿宋_GB2312" w:eastAsia="仿宋_GB2312"/>
      <w:b/>
      <w:sz w:val="32"/>
      <w:szCs w:val="32"/>
    </w:rPr>
  </w:style>
  <w:style w:type="paragraph" w:customStyle="1" w:styleId="152">
    <w:name w:val="Table Text"/>
    <w:basedOn w:val="1"/>
    <w:link w:val="426"/>
    <w:qFormat/>
    <w:uiPriority w:val="99"/>
    <w:pPr>
      <w:widowControl/>
      <w:spacing w:before="60" w:after="60"/>
      <w:jc w:val="left"/>
    </w:pPr>
    <w:rPr>
      <w:kern w:val="0"/>
      <w:sz w:val="24"/>
    </w:rPr>
  </w:style>
  <w:style w:type="paragraph" w:customStyle="1" w:styleId="153">
    <w:name w:val="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54">
    <w:name w:val="Char1 Char Char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55">
    <w:name w:val="样式 正文文本缩进 2 + 仿宋_GB2312 黑色 行距: 1.5 倍行距"/>
    <w:basedOn w:val="44"/>
    <w:qFormat/>
    <w:uiPriority w:val="99"/>
    <w:pPr>
      <w:adjustRightInd/>
      <w:ind w:firstLine="560" w:firstLineChars="200"/>
      <w:textAlignment w:val="auto"/>
    </w:pPr>
    <w:rPr>
      <w:rFonts w:hAnsi="宋体" w:cs="宋体"/>
      <w:color w:val="000000"/>
      <w:kern w:val="2"/>
      <w:sz w:val="24"/>
    </w:rPr>
  </w:style>
  <w:style w:type="paragraph" w:customStyle="1" w:styleId="156">
    <w:name w:val="正文（标题三）"/>
    <w:basedOn w:val="1"/>
    <w:qFormat/>
    <w:uiPriority w:val="99"/>
    <w:pPr>
      <w:ind w:firstLine="200" w:firstLineChars="200"/>
    </w:pPr>
    <w:rPr>
      <w:sz w:val="24"/>
    </w:rPr>
  </w:style>
  <w:style w:type="paragraph" w:customStyle="1" w:styleId="157">
    <w:name w:val="Char2 Char Char Char"/>
    <w:basedOn w:val="1"/>
    <w:qFormat/>
    <w:uiPriority w:val="99"/>
    <w:rPr>
      <w:rFonts w:ascii="仿宋_GB2312" w:eastAsia="仿宋_GB2312"/>
      <w:b/>
      <w:sz w:val="32"/>
      <w:szCs w:val="32"/>
    </w:rPr>
  </w:style>
  <w:style w:type="paragraph" w:customStyle="1" w:styleId="158">
    <w:name w:val="gf正文1"/>
    <w:basedOn w:val="1"/>
    <w:link w:val="403"/>
    <w:qFormat/>
    <w:uiPriority w:val="99"/>
    <w:pPr>
      <w:tabs>
        <w:tab w:val="left" w:pos="3240"/>
        <w:tab w:val="left" w:pos="3960"/>
      </w:tabs>
      <w:adjustRightInd w:val="0"/>
      <w:snapToGrid w:val="0"/>
      <w:ind w:firstLine="480" w:firstLineChars="200"/>
    </w:pPr>
    <w:rPr>
      <w:rFonts w:ascii="宋体" w:hAnsi="宋体"/>
      <w:kern w:val="0"/>
      <w:sz w:val="24"/>
    </w:rPr>
  </w:style>
  <w:style w:type="paragraph" w:customStyle="1" w:styleId="159">
    <w:name w:val="Char1 Char Char Char Char Char Char Char Char Char Char Char1 Char Char Char Char Char Char Char Char Char Char Char Char Char Char1 Char Char Char Char"/>
    <w:basedOn w:val="1"/>
    <w:qFormat/>
    <w:uiPriority w:val="99"/>
    <w:pPr>
      <w:adjustRightInd w:val="0"/>
    </w:pPr>
    <w:rPr>
      <w:kern w:val="0"/>
      <w:sz w:val="24"/>
      <w:szCs w:val="20"/>
    </w:rPr>
  </w:style>
  <w:style w:type="paragraph" w:customStyle="1" w:styleId="160">
    <w:name w:val="默认段落字体 Para Char Char Char1 Char"/>
    <w:basedOn w:val="1"/>
    <w:qFormat/>
    <w:uiPriority w:val="99"/>
    <w:pPr>
      <w:spacing w:line="240" w:lineRule="atLeast"/>
      <w:ind w:left="420" w:firstLine="420"/>
    </w:pPr>
    <w:rPr>
      <w:sz w:val="24"/>
    </w:rPr>
  </w:style>
  <w:style w:type="paragraph" w:customStyle="1" w:styleId="161">
    <w:name w:val="a1"/>
    <w:basedOn w:val="1"/>
    <w:qFormat/>
    <w:uiPriority w:val="99"/>
    <w:pPr>
      <w:widowControl/>
      <w:spacing w:line="300" w:lineRule="atLeast"/>
      <w:jc w:val="left"/>
    </w:pPr>
    <w:rPr>
      <w:rFonts w:ascii="宋体" w:hAnsi="宋体"/>
      <w:kern w:val="0"/>
      <w:sz w:val="18"/>
      <w:szCs w:val="20"/>
    </w:rPr>
  </w:style>
  <w:style w:type="paragraph" w:customStyle="1" w:styleId="16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163">
    <w:name w:val="默认段落字体 Para Char Char Char Char Char Char Char"/>
    <w:basedOn w:val="1"/>
    <w:qFormat/>
    <w:uiPriority w:val="99"/>
    <w:rPr>
      <w:rFonts w:eastAsia="仿宋_GB2312"/>
      <w:sz w:val="28"/>
      <w:szCs w:val="20"/>
    </w:rPr>
  </w:style>
  <w:style w:type="paragraph" w:customStyle="1" w:styleId="164">
    <w:name w:val="样式1"/>
    <w:basedOn w:val="1"/>
    <w:link w:val="464"/>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Char Char1 Char Char Char Char Char Char"/>
    <w:basedOn w:val="1"/>
    <w:qFormat/>
    <w:uiPriority w:val="99"/>
    <w:rPr>
      <w:rFonts w:ascii="仿宋_GB2312" w:eastAsia="仿宋_GB2312"/>
      <w:b/>
      <w:sz w:val="32"/>
      <w:szCs w:val="20"/>
    </w:rPr>
  </w:style>
  <w:style w:type="paragraph" w:customStyle="1" w:styleId="166">
    <w:name w:val="Char Char1 Char Char Char1"/>
    <w:basedOn w:val="1"/>
    <w:qFormat/>
    <w:uiPriority w:val="99"/>
    <w:rPr>
      <w:rFonts w:ascii="仿宋_GB2312" w:eastAsia="仿宋_GB2312"/>
      <w:b/>
      <w:sz w:val="32"/>
      <w:szCs w:val="20"/>
    </w:rPr>
  </w:style>
  <w:style w:type="paragraph" w:customStyle="1" w:styleId="167">
    <w:name w:val="Char Char Char Char Char Char Char Char"/>
    <w:basedOn w:val="1"/>
    <w:qFormat/>
    <w:uiPriority w:val="99"/>
    <w:pPr>
      <w:tabs>
        <w:tab w:val="left" w:pos="360"/>
      </w:tabs>
    </w:pPr>
    <w:rPr>
      <w:sz w:val="24"/>
      <w:szCs w:val="20"/>
    </w:rPr>
  </w:style>
  <w:style w:type="paragraph" w:customStyle="1" w:styleId="168">
    <w:name w:val="4"/>
    <w:basedOn w:val="1"/>
    <w:next w:val="44"/>
    <w:qFormat/>
    <w:uiPriority w:val="99"/>
    <w:pPr>
      <w:spacing w:after="120" w:line="480" w:lineRule="auto"/>
      <w:ind w:left="420" w:leftChars="200"/>
    </w:pPr>
    <w:rPr>
      <w:sz w:val="24"/>
      <w:szCs w:val="20"/>
    </w:rPr>
  </w:style>
  <w:style w:type="paragraph" w:customStyle="1" w:styleId="169">
    <w:name w:val="FA正文"/>
    <w:basedOn w:val="1"/>
    <w:link w:val="408"/>
    <w:qFormat/>
    <w:uiPriority w:val="99"/>
    <w:pPr>
      <w:ind w:firstLine="480" w:firstLineChars="200"/>
    </w:pPr>
    <w:rPr>
      <w:rFonts w:hAnsi="宋体"/>
      <w:kern w:val="0"/>
      <w:sz w:val="24"/>
      <w:szCs w:val="20"/>
    </w:rPr>
  </w:style>
  <w:style w:type="paragraph" w:customStyle="1" w:styleId="170">
    <w:name w:val="0"/>
    <w:basedOn w:val="1"/>
    <w:qFormat/>
    <w:uiPriority w:val="99"/>
    <w:pPr>
      <w:widowControl/>
    </w:pPr>
    <w:rPr>
      <w:kern w:val="0"/>
      <w:sz w:val="24"/>
      <w:szCs w:val="20"/>
    </w:rPr>
  </w:style>
  <w:style w:type="paragraph" w:customStyle="1" w:styleId="171">
    <w:name w:val="Char Char Char Char Char Char Char Char Char Char"/>
    <w:basedOn w:val="1"/>
    <w:qFormat/>
    <w:uiPriority w:val="99"/>
    <w:rPr>
      <w:rFonts w:ascii="仿宋_GB2312" w:eastAsia="仿宋_GB2312"/>
      <w:b/>
      <w:sz w:val="32"/>
      <w:szCs w:val="32"/>
    </w:rPr>
  </w:style>
  <w:style w:type="paragraph" w:customStyle="1" w:styleId="172">
    <w:name w:val="样式 标题 3标题 3 Char第二层条h33Bold Headbh章标题1小标题level_3PIM 3..."/>
    <w:basedOn w:val="5"/>
    <w:qFormat/>
    <w:uiPriority w:val="99"/>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73">
    <w:name w:val="样式 首行缩进:  2 字符"/>
    <w:basedOn w:val="1"/>
    <w:qFormat/>
    <w:uiPriority w:val="99"/>
    <w:pPr>
      <w:snapToGrid w:val="0"/>
    </w:pPr>
    <w:rPr>
      <w:rFonts w:ascii="仿宋_GB2312" w:hAnsi="宋体" w:eastAsia="仿宋_GB2312" w:cs="宋体"/>
      <w:color w:val="000000"/>
      <w:kern w:val="0"/>
      <w:sz w:val="28"/>
      <w:szCs w:val="21"/>
    </w:rPr>
  </w:style>
  <w:style w:type="paragraph" w:customStyle="1" w:styleId="174">
    <w:name w:val="Char Char Char Char Char Char Char Char Char Char1"/>
    <w:basedOn w:val="1"/>
    <w:qFormat/>
    <w:uiPriority w:val="99"/>
    <w:rPr>
      <w:rFonts w:ascii="仿宋_GB2312" w:eastAsia="仿宋_GB2312"/>
      <w:b/>
      <w:sz w:val="32"/>
      <w:szCs w:val="32"/>
    </w:rPr>
  </w:style>
  <w:style w:type="paragraph" w:customStyle="1" w:styleId="175">
    <w:name w:val="Char Char Char Char Char Char Char"/>
    <w:basedOn w:val="1"/>
    <w:qFormat/>
    <w:uiPriority w:val="99"/>
    <w:rPr>
      <w:rFonts w:ascii="仿宋_GB2312" w:eastAsia="仿宋_GB2312"/>
      <w:b/>
      <w:sz w:val="32"/>
      <w:szCs w:val="32"/>
    </w:rPr>
  </w:style>
  <w:style w:type="paragraph" w:customStyle="1" w:styleId="176">
    <w:name w:val="默认段落字体 Para Char"/>
    <w:basedOn w:val="1"/>
    <w:qFormat/>
    <w:uiPriority w:val="99"/>
    <w:rPr>
      <w:rFonts w:ascii="Tahoma" w:hAnsi="Tahoma"/>
      <w:sz w:val="24"/>
      <w:szCs w:val="20"/>
    </w:rPr>
  </w:style>
  <w:style w:type="paragraph" w:customStyle="1" w:styleId="177">
    <w:name w:val="Char Char"/>
    <w:basedOn w:val="1"/>
    <w:qFormat/>
    <w:uiPriority w:val="99"/>
    <w:rPr>
      <w:rFonts w:ascii="Tahoma" w:hAnsi="Tahoma"/>
      <w:sz w:val="24"/>
      <w:szCs w:val="20"/>
    </w:rPr>
  </w:style>
  <w:style w:type="paragraph" w:customStyle="1" w:styleId="178">
    <w:name w:val="规范正文"/>
    <w:basedOn w:val="1"/>
    <w:qFormat/>
    <w:uiPriority w:val="99"/>
    <w:pPr>
      <w:numPr>
        <w:ilvl w:val="0"/>
        <w:numId w:val="8"/>
      </w:numPr>
      <w:adjustRightInd w:val="0"/>
      <w:spacing w:beforeLines="50"/>
      <w:textAlignment w:val="baseline"/>
    </w:pPr>
    <w:rPr>
      <w:szCs w:val="20"/>
    </w:rPr>
  </w:style>
  <w:style w:type="paragraph" w:customStyle="1" w:styleId="179">
    <w:name w:val="样式"/>
    <w:basedOn w:val="1"/>
    <w:qFormat/>
    <w:uiPriority w:val="99"/>
    <w:pPr>
      <w:autoSpaceDE w:val="0"/>
      <w:autoSpaceDN w:val="0"/>
      <w:snapToGrid w:val="0"/>
      <w:spacing w:before="120" w:after="120"/>
    </w:pPr>
    <w:rPr>
      <w:rFonts w:ascii="宋体"/>
      <w:sz w:val="24"/>
      <w:szCs w:val="20"/>
    </w:rPr>
  </w:style>
  <w:style w:type="paragraph" w:customStyle="1" w:styleId="180">
    <w:name w:val="Char Char Char Char Char Char Char Char Char Char Char Char1 Char"/>
    <w:basedOn w:val="1"/>
    <w:qFormat/>
    <w:uiPriority w:val="99"/>
    <w:rPr>
      <w:rFonts w:ascii="Tahoma" w:hAnsi="Tahoma" w:cs="仿宋_GB2312"/>
      <w:sz w:val="24"/>
      <w:szCs w:val="20"/>
    </w:rPr>
  </w:style>
  <w:style w:type="paragraph" w:customStyle="1" w:styleId="181">
    <w:name w:val="彩色列表 - 强调文字颜色 11"/>
    <w:basedOn w:val="1"/>
    <w:qFormat/>
    <w:uiPriority w:val="99"/>
    <w:pPr>
      <w:ind w:firstLine="200" w:firstLineChars="200"/>
    </w:pPr>
    <w:rPr>
      <w:rFonts w:eastAsia="楷体_GB2312" w:cs="Lucida Sans"/>
      <w:sz w:val="24"/>
    </w:rPr>
  </w:style>
  <w:style w:type="paragraph" w:customStyle="1" w:styleId="182">
    <w:name w:val="Char Char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83">
    <w:name w:val="正文段"/>
    <w:basedOn w:val="1"/>
    <w:qFormat/>
    <w:uiPriority w:val="99"/>
    <w:pPr>
      <w:widowControl/>
      <w:snapToGrid w:val="0"/>
      <w:spacing w:afterLines="50"/>
      <w:ind w:firstLine="200" w:firstLineChars="200"/>
    </w:pPr>
    <w:rPr>
      <w:kern w:val="0"/>
      <w:sz w:val="24"/>
      <w:szCs w:val="20"/>
    </w:rPr>
  </w:style>
  <w:style w:type="paragraph" w:customStyle="1" w:styleId="184">
    <w:name w:val="Char1 Char Char Char1"/>
    <w:basedOn w:val="1"/>
    <w:qFormat/>
    <w:uiPriority w:val="99"/>
    <w:rPr>
      <w:rFonts w:ascii="Tahoma" w:hAnsi="Tahoma"/>
      <w:sz w:val="24"/>
      <w:szCs w:val="20"/>
    </w:rPr>
  </w:style>
  <w:style w:type="paragraph" w:customStyle="1" w:styleId="185">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186">
    <w:name w:val="前言、引言标题"/>
    <w:next w:val="1"/>
    <w:qFormat/>
    <w:uiPriority w:val="99"/>
    <w:pPr>
      <w:numPr>
        <w:ilvl w:val="0"/>
        <w:numId w:val="9"/>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87">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88">
    <w:name w:val="章标题"/>
    <w:next w:val="187"/>
    <w:qFormat/>
    <w:uiPriority w:val="99"/>
    <w:pPr>
      <w:numPr>
        <w:ilvl w:val="1"/>
        <w:numId w:val="9"/>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89">
    <w:name w:val="一级条标题"/>
    <w:basedOn w:val="188"/>
    <w:next w:val="187"/>
    <w:qFormat/>
    <w:uiPriority w:val="99"/>
    <w:pPr>
      <w:numPr>
        <w:ilvl w:val="2"/>
        <w:numId w:val="0"/>
      </w:numPr>
      <w:outlineLvl w:val="2"/>
    </w:pPr>
  </w:style>
  <w:style w:type="paragraph" w:customStyle="1" w:styleId="190">
    <w:name w:val="二级条标题"/>
    <w:basedOn w:val="189"/>
    <w:next w:val="187"/>
    <w:qFormat/>
    <w:uiPriority w:val="99"/>
    <w:pPr>
      <w:numPr>
        <w:ilvl w:val="3"/>
      </w:numPr>
      <w:outlineLvl w:val="3"/>
    </w:pPr>
  </w:style>
  <w:style w:type="paragraph" w:customStyle="1" w:styleId="191">
    <w:name w:val="三级条标题"/>
    <w:basedOn w:val="190"/>
    <w:next w:val="187"/>
    <w:qFormat/>
    <w:uiPriority w:val="99"/>
    <w:pPr>
      <w:numPr>
        <w:ilvl w:val="4"/>
      </w:numPr>
      <w:outlineLvl w:val="4"/>
    </w:pPr>
  </w:style>
  <w:style w:type="paragraph" w:customStyle="1" w:styleId="192">
    <w:name w:val="四级条标题"/>
    <w:basedOn w:val="191"/>
    <w:next w:val="187"/>
    <w:qFormat/>
    <w:uiPriority w:val="99"/>
    <w:pPr>
      <w:numPr>
        <w:ilvl w:val="5"/>
      </w:numPr>
      <w:outlineLvl w:val="5"/>
    </w:pPr>
  </w:style>
  <w:style w:type="paragraph" w:customStyle="1" w:styleId="193">
    <w:name w:val="五级条标题"/>
    <w:basedOn w:val="192"/>
    <w:next w:val="187"/>
    <w:qFormat/>
    <w:uiPriority w:val="99"/>
    <w:pPr>
      <w:numPr>
        <w:ilvl w:val="6"/>
      </w:numPr>
      <w:outlineLvl w:val="6"/>
    </w:pPr>
  </w:style>
  <w:style w:type="paragraph" w:customStyle="1" w:styleId="194">
    <w:name w:val="正文表标题"/>
    <w:next w:val="187"/>
    <w:qFormat/>
    <w:uiPriority w:val="99"/>
    <w:pPr>
      <w:numPr>
        <w:ilvl w:val="0"/>
        <w:numId w:val="10"/>
      </w:numPr>
      <w:jc w:val="center"/>
    </w:pPr>
    <w:rPr>
      <w:rFonts w:ascii="黑体" w:hAnsi="Times New Roman" w:eastAsia="黑体" w:cs="Times New Roman"/>
      <w:kern w:val="0"/>
      <w:sz w:val="21"/>
      <w:szCs w:val="20"/>
      <w:lang w:val="en-US" w:eastAsia="zh-CN" w:bidi="ar-SA"/>
    </w:rPr>
  </w:style>
  <w:style w:type="paragraph" w:customStyle="1" w:styleId="195">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96">
    <w:name w:val="标准小四"/>
    <w:basedOn w:val="1"/>
    <w:qFormat/>
    <w:uiPriority w:val="99"/>
    <w:pPr>
      <w:ind w:firstLine="480" w:firstLineChars="200"/>
    </w:pPr>
    <w:rPr>
      <w:rFonts w:ascii="Arial" w:hAnsi="Arial"/>
      <w:sz w:val="24"/>
      <w:szCs w:val="21"/>
    </w:rPr>
  </w:style>
  <w:style w:type="paragraph" w:customStyle="1" w:styleId="197">
    <w:name w:val="样式 样式 正文文本缩进 + 仿宋_GB2312 小四 首行缩进:  0 厘米 行距: 1.5 倍行距 + (中文) 仿宋_GB... Char Char"/>
    <w:basedOn w:val="1"/>
    <w:qFormat/>
    <w:uiPriority w:val="99"/>
    <w:pPr>
      <w:ind w:firstLine="480" w:firstLineChars="200"/>
    </w:pPr>
    <w:rPr>
      <w:rFonts w:ascii="仿宋_GB2312" w:eastAsia="新宋体"/>
      <w:sz w:val="24"/>
      <w:szCs w:val="20"/>
    </w:rPr>
  </w:style>
  <w:style w:type="paragraph" w:customStyle="1" w:styleId="198">
    <w:name w:val="文档正文"/>
    <w:basedOn w:val="1"/>
    <w:qFormat/>
    <w:uiPriority w:val="99"/>
    <w:pPr>
      <w:adjustRightInd w:val="0"/>
      <w:spacing w:line="480" w:lineRule="atLeast"/>
      <w:ind w:firstLine="567"/>
      <w:textAlignment w:val="baseline"/>
    </w:pPr>
    <w:rPr>
      <w:kern w:val="0"/>
      <w:sz w:val="24"/>
      <w:szCs w:val="20"/>
    </w:rPr>
  </w:style>
  <w:style w:type="paragraph" w:customStyle="1" w:styleId="199">
    <w:name w:val="Char Char1 Char Char1 Char Char1"/>
    <w:basedOn w:val="1"/>
    <w:qFormat/>
    <w:uiPriority w:val="99"/>
    <w:pPr>
      <w:tabs>
        <w:tab w:val="left" w:pos="840"/>
      </w:tabs>
      <w:ind w:left="840" w:hanging="420"/>
    </w:pPr>
    <w:rPr>
      <w:rFonts w:ascii="Tahoma" w:hAnsi="Tahoma"/>
      <w:sz w:val="24"/>
    </w:rPr>
  </w:style>
  <w:style w:type="paragraph" w:customStyle="1" w:styleId="200">
    <w:name w:val="±í????Ñ"/>
    <w:basedOn w:val="1"/>
    <w:qFormat/>
    <w:uiPriority w:val="99"/>
    <w:pPr>
      <w:widowControl/>
      <w:numPr>
        <w:ilvl w:val="0"/>
        <w:numId w:val="11"/>
      </w:numPr>
      <w:overflowPunct w:val="0"/>
      <w:autoSpaceDE w:val="0"/>
      <w:autoSpaceDN w:val="0"/>
      <w:adjustRightInd w:val="0"/>
      <w:ind w:left="0" w:firstLine="0"/>
      <w:jc w:val="left"/>
      <w:textAlignment w:val="baseline"/>
    </w:pPr>
    <w:rPr>
      <w:rFonts w:ascii="Arial Narrow" w:hAnsi="Arial Narrow"/>
      <w:kern w:val="0"/>
      <w:sz w:val="18"/>
      <w:szCs w:val="20"/>
    </w:rPr>
  </w:style>
  <w:style w:type="paragraph" w:customStyle="1" w:styleId="201">
    <w:name w:val="数字标题1"/>
    <w:basedOn w:val="3"/>
    <w:next w:val="1"/>
    <w:qFormat/>
    <w:uiPriority w:val="99"/>
    <w:pPr>
      <w:numPr>
        <w:ilvl w:val="0"/>
        <w:numId w:val="0"/>
      </w:numPr>
      <w:tabs>
        <w:tab w:val="clear" w:pos="432"/>
      </w:tabs>
      <w:ind w:left="480" w:hanging="480"/>
    </w:pPr>
  </w:style>
  <w:style w:type="paragraph" w:customStyle="1" w:styleId="202">
    <w:name w:val="数字标题2"/>
    <w:basedOn w:val="4"/>
    <w:next w:val="1"/>
    <w:qFormat/>
    <w:uiPriority w:val="99"/>
    <w:pPr>
      <w:numPr>
        <w:ilvl w:val="1"/>
        <w:numId w:val="12"/>
      </w:numPr>
      <w:spacing w:before="260" w:after="260" w:line="416" w:lineRule="auto"/>
    </w:pPr>
    <w:rPr>
      <w:rFonts w:ascii="Times New Roman"/>
      <w:i/>
      <w:sz w:val="36"/>
      <w:szCs w:val="36"/>
      <w:lang w:val="en-US"/>
    </w:rPr>
  </w:style>
  <w:style w:type="paragraph" w:customStyle="1" w:styleId="203">
    <w:name w:val="数字标题3"/>
    <w:basedOn w:val="5"/>
    <w:next w:val="1"/>
    <w:qFormat/>
    <w:uiPriority w:val="99"/>
    <w:pPr>
      <w:spacing w:line="240" w:lineRule="auto"/>
    </w:pPr>
    <w:rPr>
      <w:sz w:val="28"/>
      <w:szCs w:val="28"/>
    </w:rPr>
  </w:style>
  <w:style w:type="paragraph" w:customStyle="1" w:styleId="204">
    <w:name w:val="数字标题4"/>
    <w:basedOn w:val="6"/>
    <w:qFormat/>
    <w:uiPriority w:val="99"/>
    <w:pPr>
      <w:numPr>
        <w:ilvl w:val="3"/>
        <w:numId w:val="0"/>
      </w:numPr>
      <w:tabs>
        <w:tab w:val="left" w:pos="0"/>
      </w:tabs>
      <w:spacing w:before="0" w:after="0" w:line="360" w:lineRule="auto"/>
      <w:ind w:left="1"/>
    </w:pPr>
    <w:rPr>
      <w:rFonts w:eastAsia="仿宋_GB2312" w:cs="Arial"/>
      <w:b/>
      <w:bCs w:val="0"/>
      <w:color w:val="000000"/>
      <w:kern w:val="0"/>
      <w:sz w:val="24"/>
      <w:szCs w:val="24"/>
      <w:lang w:val="en-US"/>
    </w:rPr>
  </w:style>
  <w:style w:type="paragraph" w:customStyle="1" w:styleId="205">
    <w:name w:val="数字标题5"/>
    <w:basedOn w:val="7"/>
    <w:next w:val="1"/>
    <w:qFormat/>
    <w:uiPriority w:val="99"/>
    <w:pPr>
      <w:numPr>
        <w:ilvl w:val="0"/>
        <w:numId w:val="0"/>
      </w:numPr>
      <w:tabs>
        <w:tab w:val="clear" w:pos="432"/>
        <w:tab w:val="clear" w:pos="1008"/>
      </w:tabs>
      <w:ind w:left="480" w:hanging="480"/>
    </w:pPr>
  </w:style>
  <w:style w:type="paragraph" w:customStyle="1" w:styleId="206">
    <w:name w:val="数字标题6"/>
    <w:basedOn w:val="8"/>
    <w:next w:val="1"/>
    <w:qFormat/>
    <w:uiPriority w:val="99"/>
    <w:pPr>
      <w:numPr>
        <w:ilvl w:val="0"/>
        <w:numId w:val="12"/>
      </w:numPr>
      <w:tabs>
        <w:tab w:val="clear" w:pos="432"/>
        <w:tab w:val="clear" w:pos="1152"/>
      </w:tabs>
    </w:pPr>
    <w:rPr>
      <w:rFonts w:ascii="Times New Roman" w:hAnsi="Times New Roman" w:eastAsia="宋体"/>
      <w:i/>
    </w:rPr>
  </w:style>
  <w:style w:type="paragraph" w:customStyle="1" w:styleId="207">
    <w:name w:val="默认段落样式"/>
    <w:basedOn w:val="134"/>
    <w:qFormat/>
    <w:uiPriority w:val="99"/>
    <w:pPr>
      <w:spacing w:before="0"/>
      <w:ind w:firstLine="480"/>
      <w:outlineLvl w:val="2"/>
    </w:pPr>
    <w:rPr>
      <w:rFonts w:ascii="仿宋_GB2312" w:hAnsi="宋体" w:eastAsia="仿宋_GB2312"/>
      <w:color w:val="000000"/>
      <w:szCs w:val="24"/>
    </w:rPr>
  </w:style>
  <w:style w:type="paragraph" w:customStyle="1" w:styleId="208">
    <w:name w:val="样式 标题 3H3 + 两端对齐"/>
    <w:basedOn w:val="5"/>
    <w:qFormat/>
    <w:uiPriority w:val="99"/>
    <w:pPr>
      <w:spacing w:before="0" w:after="0" w:line="240" w:lineRule="auto"/>
      <w:jc w:val="left"/>
    </w:pPr>
    <w:rPr>
      <w:rFonts w:cs="宋体"/>
      <w:sz w:val="21"/>
      <w:szCs w:val="20"/>
    </w:rPr>
  </w:style>
  <w:style w:type="paragraph" w:customStyle="1" w:styleId="209">
    <w:name w:val="表格"/>
    <w:basedOn w:val="1"/>
    <w:link w:val="425"/>
    <w:qFormat/>
    <w:uiPriority w:val="99"/>
    <w:pPr>
      <w:snapToGrid w:val="0"/>
      <w:ind w:firstLine="42" w:firstLineChars="21"/>
    </w:pPr>
    <w:rPr>
      <w:rFonts w:ascii="宋体" w:hAnsi="宋体"/>
      <w:kern w:val="0"/>
      <w:sz w:val="20"/>
      <w:szCs w:val="20"/>
    </w:rPr>
  </w:style>
  <w:style w:type="paragraph" w:customStyle="1" w:styleId="210">
    <w:name w:val="列表内容"/>
    <w:basedOn w:val="1"/>
    <w:next w:val="1"/>
    <w:qFormat/>
    <w:uiPriority w:val="99"/>
    <w:pPr>
      <w:widowControl/>
      <w:tabs>
        <w:tab w:val="left" w:pos="840"/>
      </w:tabs>
      <w:ind w:left="840" w:hanging="420"/>
      <w:jc w:val="left"/>
    </w:pPr>
    <w:rPr>
      <w:kern w:val="0"/>
      <w:sz w:val="18"/>
    </w:rPr>
  </w:style>
  <w:style w:type="paragraph" w:customStyle="1" w:styleId="211">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2">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213">
    <w:name w:val="表文字"/>
    <w:qFormat/>
    <w:uiPriority w:val="99"/>
    <w:rPr>
      <w:rFonts w:ascii="宋体" w:hAnsi="Times New Roman" w:eastAsia="宋体" w:cs="Times New Roman"/>
      <w:kern w:val="2"/>
      <w:sz w:val="20"/>
      <w:szCs w:val="20"/>
      <w:lang w:val="en-US" w:eastAsia="zh-CN" w:bidi="ar-SA"/>
    </w:rPr>
  </w:style>
  <w:style w:type="paragraph" w:customStyle="1" w:styleId="214">
    <w:name w:val="Char Char Char"/>
    <w:basedOn w:val="1"/>
    <w:qFormat/>
    <w:uiPriority w:val="99"/>
    <w:rPr>
      <w:rFonts w:ascii="Tahoma" w:hAnsi="Tahoma"/>
      <w:sz w:val="24"/>
      <w:szCs w:val="20"/>
    </w:rPr>
  </w:style>
  <w:style w:type="paragraph" w:customStyle="1" w:styleId="215">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16">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17">
    <w:name w:val="样式 仿宋_GB2312 小三 左侧:  1.06 厘米"/>
    <w:basedOn w:val="1"/>
    <w:qFormat/>
    <w:uiPriority w:val="99"/>
    <w:pPr>
      <w:ind w:left="601"/>
    </w:pPr>
    <w:rPr>
      <w:rFonts w:ascii="仿宋_GB2312" w:eastAsia="仿宋_GB2312"/>
      <w:sz w:val="24"/>
      <w:szCs w:val="20"/>
    </w:rPr>
  </w:style>
  <w:style w:type="paragraph" w:customStyle="1" w:styleId="218">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219">
    <w:name w:val="方案正文"/>
    <w:basedOn w:val="1"/>
    <w:qFormat/>
    <w:uiPriority w:val="99"/>
    <w:pPr>
      <w:adjustRightInd w:val="0"/>
      <w:snapToGrid w:val="0"/>
      <w:spacing w:line="324" w:lineRule="auto"/>
      <w:ind w:firstLine="482" w:firstLineChars="200"/>
    </w:pPr>
    <w:rPr>
      <w:rFonts w:ascii="仿宋_GB2312" w:eastAsia="仿宋_GB2312"/>
      <w:b/>
      <w:color w:val="000000"/>
      <w:sz w:val="24"/>
      <w:szCs w:val="20"/>
    </w:rPr>
  </w:style>
  <w:style w:type="paragraph" w:customStyle="1" w:styleId="220">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221">
    <w:name w:val="彩色底纹 - 强调文字颜色 11"/>
    <w:qFormat/>
    <w:uiPriority w:val="99"/>
    <w:rPr>
      <w:rFonts w:ascii="Times New Roman" w:hAnsi="Times New Roman" w:eastAsia="宋体" w:cs="Times New Roman"/>
      <w:kern w:val="2"/>
      <w:sz w:val="21"/>
      <w:szCs w:val="20"/>
      <w:lang w:val="en-US" w:eastAsia="zh-CN" w:bidi="ar-SA"/>
    </w:rPr>
  </w:style>
  <w:style w:type="paragraph" w:customStyle="1" w:styleId="222">
    <w:name w:val="标准有序列表（L1）"/>
    <w:basedOn w:val="17"/>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23">
    <w:name w:val="首行缩进"/>
    <w:basedOn w:val="1"/>
    <w:qFormat/>
    <w:uiPriority w:val="99"/>
    <w:pPr>
      <w:ind w:firstLine="480" w:firstLineChars="200"/>
    </w:pPr>
    <w:rPr>
      <w:rFonts w:ascii="宋体"/>
      <w:sz w:val="24"/>
      <w:szCs w:val="20"/>
    </w:rPr>
  </w:style>
  <w:style w:type="paragraph" w:customStyle="1" w:styleId="224">
    <w:name w:val="Char3"/>
    <w:basedOn w:val="1"/>
    <w:qFormat/>
    <w:uiPriority w:val="99"/>
    <w:rPr>
      <w:rFonts w:ascii="仿宋_GB2312" w:eastAsia="仿宋_GB2312"/>
      <w:b/>
      <w:sz w:val="32"/>
      <w:szCs w:val="32"/>
    </w:rPr>
  </w:style>
  <w:style w:type="paragraph" w:customStyle="1" w:styleId="225">
    <w:name w:val="标准正文格式"/>
    <w:basedOn w:val="1"/>
    <w:link w:val="429"/>
    <w:qFormat/>
    <w:uiPriority w:val="99"/>
    <w:pPr>
      <w:widowControl/>
      <w:adjustRightInd w:val="0"/>
      <w:spacing w:before="60" w:after="120"/>
      <w:ind w:firstLine="200" w:firstLineChars="200"/>
      <w:textAlignment w:val="baseline"/>
    </w:pPr>
    <w:rPr>
      <w:rFonts w:ascii="宋体" w:eastAsia="仿宋_GB2312"/>
      <w:color w:val="000000"/>
      <w:kern w:val="0"/>
      <w:sz w:val="24"/>
      <w:szCs w:val="20"/>
    </w:rPr>
  </w:style>
  <w:style w:type="paragraph" w:customStyle="1" w:styleId="226">
    <w:name w:val="正文 首行缩进:  2 字符 Char"/>
    <w:basedOn w:val="1"/>
    <w:qFormat/>
    <w:uiPriority w:val="99"/>
    <w:pPr>
      <w:ind w:firstLine="480"/>
    </w:pPr>
    <w:rPr>
      <w:rFonts w:cs="宋体"/>
      <w:sz w:val="24"/>
      <w:szCs w:val="20"/>
    </w:rPr>
  </w:style>
  <w:style w:type="paragraph" w:customStyle="1" w:styleId="227">
    <w:name w:val="Char3 Char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228">
    <w:name w:val="无间距"/>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9">
    <w:name w:val="Char Char Char Char Char Char Char1"/>
    <w:basedOn w:val="1"/>
    <w:qFormat/>
    <w:uiPriority w:val="99"/>
    <w:pPr>
      <w:tabs>
        <w:tab w:val="left" w:pos="432"/>
      </w:tabs>
      <w:ind w:left="432" w:hanging="432"/>
    </w:pPr>
    <w:rPr>
      <w:rFonts w:ascii="仿宋_GB2312" w:eastAsia="仿宋_GB2312"/>
      <w:kern w:val="0"/>
      <w:sz w:val="24"/>
      <w:lang w:val="zh-CN"/>
    </w:rPr>
  </w:style>
  <w:style w:type="paragraph" w:customStyle="1" w:styleId="230">
    <w:name w:val="单元格左对齐"/>
    <w:basedOn w:val="1"/>
    <w:qFormat/>
    <w:uiPriority w:val="99"/>
    <w:rPr>
      <w:sz w:val="24"/>
    </w:rPr>
  </w:style>
  <w:style w:type="paragraph" w:customStyle="1" w:styleId="231">
    <w:name w:val="单元格居中"/>
    <w:basedOn w:val="1"/>
    <w:qFormat/>
    <w:uiPriority w:val="99"/>
    <w:pPr>
      <w:jc w:val="center"/>
    </w:pPr>
    <w:rPr>
      <w:sz w:val="24"/>
    </w:rPr>
  </w:style>
  <w:style w:type="paragraph" w:customStyle="1" w:styleId="232">
    <w:name w:val="正文1"/>
    <w:basedOn w:val="1"/>
    <w:link w:val="431"/>
    <w:qFormat/>
    <w:uiPriority w:val="99"/>
    <w:pPr>
      <w:widowControl/>
      <w:ind w:left="360" w:firstLine="420"/>
      <w:jc w:val="left"/>
    </w:pPr>
    <w:rPr>
      <w:rFonts w:ascii="宋体" w:hAnsi="宋体"/>
      <w:kern w:val="0"/>
      <w:sz w:val="20"/>
      <w:szCs w:val="20"/>
    </w:rPr>
  </w:style>
  <w:style w:type="paragraph" w:customStyle="1" w:styleId="233">
    <w:name w:val="Char Char Char1"/>
    <w:basedOn w:val="1"/>
    <w:qFormat/>
    <w:uiPriority w:val="99"/>
    <w:pPr>
      <w:tabs>
        <w:tab w:val="left" w:pos="0"/>
      </w:tabs>
    </w:pPr>
    <w:rPr>
      <w:rFonts w:eastAsia="仿宋_GB2312"/>
      <w:sz w:val="28"/>
    </w:rPr>
  </w:style>
  <w:style w:type="paragraph" w:customStyle="1" w:styleId="234">
    <w:name w:val="样式 左侧:  0.85 厘米 首行缩进:  0.85 厘米"/>
    <w:basedOn w:val="1"/>
    <w:qFormat/>
    <w:uiPriority w:val="99"/>
    <w:pPr>
      <w:ind w:firstLine="482"/>
    </w:pPr>
    <w:rPr>
      <w:rFonts w:cs="宋体"/>
      <w:sz w:val="24"/>
      <w:szCs w:val="20"/>
    </w:rPr>
  </w:style>
  <w:style w:type="paragraph" w:customStyle="1" w:styleId="235">
    <w:name w:val="小标题"/>
    <w:basedOn w:val="1"/>
    <w:qFormat/>
    <w:uiPriority w:val="99"/>
    <w:pPr>
      <w:adjustRightInd w:val="0"/>
      <w:spacing w:before="120" w:line="360" w:lineRule="atLeast"/>
      <w:ind w:left="1134"/>
      <w:jc w:val="left"/>
      <w:textAlignment w:val="baseline"/>
    </w:pPr>
    <w:rPr>
      <w:rFonts w:eastAsia="黑体"/>
      <w:kern w:val="0"/>
      <w:szCs w:val="20"/>
    </w:rPr>
  </w:style>
  <w:style w:type="paragraph" w:customStyle="1" w:styleId="236">
    <w:name w:val="正文样式 首行缩进:  0.74 厘米"/>
    <w:basedOn w:val="1"/>
    <w:qFormat/>
    <w:uiPriority w:val="99"/>
    <w:pPr>
      <w:spacing w:beforeLines="50"/>
      <w:ind w:firstLine="420"/>
    </w:pPr>
    <w:rPr>
      <w:rFonts w:cs="宋体"/>
      <w:sz w:val="24"/>
      <w:szCs w:val="20"/>
    </w:rPr>
  </w:style>
  <w:style w:type="paragraph" w:customStyle="1" w:styleId="237">
    <w:name w:val="标题五"/>
    <w:basedOn w:val="1"/>
    <w:qFormat/>
    <w:uiPriority w:val="99"/>
    <w:pPr>
      <w:spacing w:beforeLines="50"/>
    </w:pPr>
    <w:rPr>
      <w:b/>
      <w:sz w:val="24"/>
    </w:rPr>
  </w:style>
  <w:style w:type="paragraph" w:customStyle="1" w:styleId="238">
    <w:name w:val="正文（首行缩进）"/>
    <w:basedOn w:val="29"/>
    <w:qFormat/>
    <w:uiPriority w:val="99"/>
    <w:pPr>
      <w:widowControl/>
      <w:numPr>
        <w:ilvl w:val="0"/>
        <w:numId w:val="13"/>
      </w:numPr>
      <w:overflowPunct w:val="0"/>
      <w:autoSpaceDE w:val="0"/>
      <w:autoSpaceDN w:val="0"/>
      <w:adjustRightInd w:val="0"/>
      <w:spacing w:beforeLines="50" w:after="120" w:line="400" w:lineRule="exact"/>
      <w:ind w:left="200" w:leftChars="200" w:firstLine="200"/>
      <w:jc w:val="left"/>
      <w:textAlignment w:val="baseline"/>
    </w:pPr>
    <w:rPr>
      <w:rFonts w:ascii="Times New Roman" w:hAnsi="Times New Roman"/>
      <w:spacing w:val="10"/>
      <w:szCs w:val="20"/>
    </w:rPr>
  </w:style>
  <w:style w:type="paragraph" w:customStyle="1" w:styleId="239">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40">
    <w:name w:val="此正文"/>
    <w:basedOn w:val="1"/>
    <w:qFormat/>
    <w:uiPriority w:val="99"/>
    <w:pPr>
      <w:ind w:firstLine="200" w:firstLineChars="200"/>
    </w:pPr>
    <w:rPr>
      <w:sz w:val="24"/>
    </w:rPr>
  </w:style>
  <w:style w:type="paragraph" w:customStyle="1" w:styleId="241">
    <w:name w:val="ÕýÎÄÊ¡ÁÐÐËõ½ø"/>
    <w:basedOn w:val="1"/>
    <w:qFormat/>
    <w:uiPriority w:val="99"/>
    <w:pPr>
      <w:widowControl/>
      <w:overflowPunct w:val="0"/>
      <w:autoSpaceDE w:val="0"/>
      <w:autoSpaceDN w:val="0"/>
      <w:adjustRightInd w:val="0"/>
      <w:ind w:left="1134"/>
      <w:textAlignment w:val="baseline"/>
    </w:pPr>
    <w:rPr>
      <w:kern w:val="0"/>
      <w:szCs w:val="20"/>
    </w:rPr>
  </w:style>
  <w:style w:type="paragraph" w:customStyle="1" w:styleId="242">
    <w:name w:val="正文－恩普"/>
    <w:basedOn w:val="17"/>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243">
    <w:name w:val="规划正文"/>
    <w:basedOn w:val="1"/>
    <w:qFormat/>
    <w:uiPriority w:val="99"/>
    <w:pPr>
      <w:spacing w:beforeLines="100"/>
      <w:jc w:val="left"/>
    </w:pPr>
    <w:rPr>
      <w:rFonts w:ascii="Arial" w:hAnsi="Arial" w:eastAsia="仿宋_GB2312"/>
      <w:bCs/>
      <w:sz w:val="28"/>
    </w:rPr>
  </w:style>
  <w:style w:type="paragraph" w:customStyle="1" w:styleId="244">
    <w:name w:val="MM Title"/>
    <w:basedOn w:val="2"/>
    <w:qFormat/>
    <w:uiPriority w:val="99"/>
    <w:pPr>
      <w:widowControl w:val="0"/>
      <w:adjustRightInd/>
      <w:spacing w:before="240" w:after="60"/>
      <w:textAlignment w:val="auto"/>
      <w:outlineLvl w:val="0"/>
    </w:pPr>
    <w:rPr>
      <w:rFonts w:ascii="Arial" w:hAnsi="Arial" w:cs="Arial"/>
      <w:bCs/>
      <w:kern w:val="2"/>
      <w:sz w:val="32"/>
      <w:szCs w:val="32"/>
    </w:rPr>
  </w:style>
  <w:style w:type="paragraph" w:customStyle="1" w:styleId="245">
    <w:name w:val="MM Topic 1"/>
    <w:basedOn w:val="3"/>
    <w:qFormat/>
    <w:uiPriority w:val="99"/>
    <w:pPr>
      <w:numPr>
        <w:numId w:val="0"/>
      </w:numPr>
    </w:pPr>
  </w:style>
  <w:style w:type="paragraph" w:customStyle="1" w:styleId="246">
    <w:name w:val="MM Topic 2"/>
    <w:basedOn w:val="4"/>
    <w:qFormat/>
    <w:uiPriority w:val="99"/>
    <w:pPr>
      <w:numPr>
        <w:ilvl w:val="1"/>
        <w:numId w:val="14"/>
      </w:numPr>
      <w:spacing w:before="260" w:after="260" w:line="416" w:lineRule="auto"/>
      <w:ind w:left="0" w:firstLine="0"/>
    </w:pPr>
    <w:rPr>
      <w:rFonts w:ascii="Arial" w:hAnsi="Arial" w:eastAsia="黑体"/>
      <w:sz w:val="32"/>
      <w:szCs w:val="32"/>
      <w:lang w:val="en-US"/>
    </w:rPr>
  </w:style>
  <w:style w:type="paragraph" w:customStyle="1" w:styleId="247">
    <w:name w:val="MM Topic 3"/>
    <w:basedOn w:val="5"/>
    <w:qFormat/>
    <w:uiPriority w:val="99"/>
  </w:style>
  <w:style w:type="paragraph" w:customStyle="1" w:styleId="248">
    <w:name w:val="MM Topic 4"/>
    <w:basedOn w:val="6"/>
    <w:qFormat/>
    <w:uiPriority w:val="99"/>
    <w:pPr>
      <w:numPr>
        <w:numId w:val="0"/>
      </w:numPr>
      <w:tabs>
        <w:tab w:val="clear" w:pos="432"/>
      </w:tabs>
    </w:pPr>
    <w:rPr>
      <w:lang w:val="en-US"/>
    </w:rPr>
  </w:style>
  <w:style w:type="paragraph" w:customStyle="1" w:styleId="249">
    <w:name w:val="MM Topic 5"/>
    <w:basedOn w:val="7"/>
    <w:qFormat/>
    <w:uiPriority w:val="99"/>
    <w:pPr>
      <w:numPr>
        <w:ilvl w:val="0"/>
        <w:numId w:val="14"/>
      </w:numPr>
      <w:tabs>
        <w:tab w:val="left" w:pos="900"/>
        <w:tab w:val="clear" w:pos="432"/>
      </w:tabs>
      <w:ind w:left="0" w:firstLine="0"/>
    </w:pPr>
  </w:style>
  <w:style w:type="paragraph" w:customStyle="1" w:styleId="250">
    <w:name w:val="MM Empty"/>
    <w:basedOn w:val="1"/>
    <w:qFormat/>
    <w:uiPriority w:val="99"/>
  </w:style>
  <w:style w:type="paragraph" w:customStyle="1" w:styleId="251">
    <w:name w:val="标准正文"/>
    <w:basedOn w:val="1"/>
    <w:link w:val="462"/>
    <w:qFormat/>
    <w:uiPriority w:val="99"/>
    <w:pPr>
      <w:spacing w:before="60" w:after="60"/>
      <w:ind w:firstLine="482" w:firstLineChars="200"/>
    </w:pPr>
    <w:rPr>
      <w:rFonts w:ascii="Arial" w:hAnsi="Arial"/>
      <w:b/>
      <w:kern w:val="0"/>
      <w:sz w:val="24"/>
      <w:szCs w:val="20"/>
    </w:rPr>
  </w:style>
  <w:style w:type="paragraph" w:customStyle="1" w:styleId="252">
    <w:name w:val="注释"/>
    <w:basedOn w:val="1"/>
    <w:qFormat/>
    <w:uiPriority w:val="99"/>
    <w:pPr>
      <w:ind w:firstLine="480"/>
    </w:pPr>
    <w:rPr>
      <w:sz w:val="24"/>
    </w:rPr>
  </w:style>
  <w:style w:type="paragraph" w:customStyle="1" w:styleId="253">
    <w:name w:val="xl30"/>
    <w:basedOn w:val="1"/>
    <w:qFormat/>
    <w:uiPriority w:val="99"/>
    <w:pPr>
      <w:widowControl/>
      <w:pBdr>
        <w:left w:val="single" w:color="auto" w:sz="4" w:space="0"/>
        <w:right w:val="single" w:color="auto" w:sz="4" w:space="0"/>
      </w:pBdr>
      <w:spacing w:before="100" w:beforeAutospacing="1" w:after="100" w:afterAutospacing="1"/>
      <w:jc w:val="center"/>
    </w:pPr>
    <w:rPr>
      <w:kern w:val="0"/>
      <w:szCs w:val="21"/>
    </w:rPr>
  </w:style>
  <w:style w:type="paragraph" w:customStyle="1" w:styleId="254">
    <w:name w:val="Char2 Char Char Char1"/>
    <w:basedOn w:val="1"/>
    <w:qFormat/>
    <w:uiPriority w:val="99"/>
    <w:rPr>
      <w:rFonts w:ascii="仿宋_GB2312" w:eastAsia="仿宋_GB2312"/>
      <w:b/>
      <w:sz w:val="32"/>
      <w:szCs w:val="32"/>
    </w:rPr>
  </w:style>
  <w:style w:type="paragraph" w:customStyle="1" w:styleId="255">
    <w:name w:val="列出段落1"/>
    <w:basedOn w:val="1"/>
    <w:link w:val="675"/>
    <w:qFormat/>
    <w:uiPriority w:val="99"/>
    <w:pPr>
      <w:ind w:firstLine="420" w:firstLineChars="200"/>
    </w:pPr>
  </w:style>
  <w:style w:type="paragraph" w:customStyle="1" w:styleId="256">
    <w:name w:val="pl"/>
    <w:basedOn w:val="1"/>
    <w:qFormat/>
    <w:uiPriority w:val="99"/>
    <w:pPr>
      <w:widowControl/>
      <w:tabs>
        <w:tab w:val="left" w:pos="1151"/>
        <w:tab w:val="left" w:pos="1985"/>
        <w:tab w:val="left" w:pos="8363"/>
        <w:tab w:val="decimal" w:pos="9639"/>
      </w:tabs>
      <w:jc w:val="left"/>
    </w:pPr>
    <w:rPr>
      <w:rFonts w:ascii="Verdana" w:hAnsi="Verdana"/>
      <w:bCs/>
      <w:color w:val="000000"/>
      <w:kern w:val="0"/>
      <w:sz w:val="22"/>
      <w:szCs w:val="20"/>
    </w:rPr>
  </w:style>
  <w:style w:type="paragraph" w:customStyle="1" w:styleId="257">
    <w:name w:val="列出段落11"/>
    <w:basedOn w:val="1"/>
    <w:qFormat/>
    <w:uiPriority w:val="99"/>
    <w:pPr>
      <w:ind w:firstLine="420" w:firstLineChars="200"/>
    </w:pPr>
  </w:style>
  <w:style w:type="paragraph" w:customStyle="1" w:styleId="258">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59">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1">
    <w:name w:val="缺省文本"/>
    <w:basedOn w:val="1"/>
    <w:qFormat/>
    <w:uiPriority w:val="99"/>
    <w:pPr>
      <w:autoSpaceDE w:val="0"/>
      <w:autoSpaceDN w:val="0"/>
      <w:adjustRightInd w:val="0"/>
      <w:jc w:val="left"/>
    </w:pPr>
    <w:rPr>
      <w:kern w:val="0"/>
      <w:sz w:val="24"/>
    </w:rPr>
  </w:style>
  <w:style w:type="paragraph" w:customStyle="1" w:styleId="262">
    <w:name w:val="1 Char"/>
    <w:basedOn w:val="1"/>
    <w:qFormat/>
    <w:uiPriority w:val="99"/>
    <w:pPr>
      <w:tabs>
        <w:tab w:val="left" w:pos="432"/>
      </w:tabs>
      <w:spacing w:beforeLines="50" w:afterLines="50"/>
      <w:ind w:left="432" w:hanging="432"/>
    </w:pPr>
    <w:rPr>
      <w:sz w:val="24"/>
    </w:rPr>
  </w:style>
  <w:style w:type="paragraph" w:customStyle="1" w:styleId="263">
    <w:name w:val="无间隔1"/>
    <w:link w:val="443"/>
    <w:qFormat/>
    <w:uiPriority w:val="99"/>
    <w:rPr>
      <w:rFonts w:ascii="Calibri" w:hAnsi="Calibri" w:eastAsia="宋体" w:cs="Times New Roman"/>
      <w:kern w:val="0"/>
      <w:sz w:val="22"/>
      <w:szCs w:val="20"/>
      <w:lang w:val="en-US" w:eastAsia="zh-CN" w:bidi="ar-SA"/>
    </w:rPr>
  </w:style>
  <w:style w:type="paragraph" w:customStyle="1" w:styleId="264">
    <w:name w:val="列出段落[858D7CFB-ED40-4347-BF05-701D383B685F][858D7CFB-ED40-4347-BF05-701D383B685F]"/>
    <w:basedOn w:val="1"/>
    <w:qFormat/>
    <w:uiPriority w:val="99"/>
    <w:pPr>
      <w:ind w:firstLine="420" w:firstLineChars="200"/>
    </w:pPr>
    <w:rPr>
      <w:szCs w:val="21"/>
    </w:rPr>
  </w:style>
  <w:style w:type="paragraph" w:customStyle="1" w:styleId="265">
    <w:name w:val="修订1"/>
    <w:qFormat/>
    <w:uiPriority w:val="99"/>
    <w:rPr>
      <w:rFonts w:ascii="Times New Roman" w:hAnsi="Times New Roman" w:eastAsia="宋体" w:cs="Times New Roman"/>
      <w:kern w:val="2"/>
      <w:sz w:val="21"/>
      <w:szCs w:val="24"/>
      <w:lang w:val="en-US" w:eastAsia="zh-CN" w:bidi="ar-SA"/>
    </w:rPr>
  </w:style>
  <w:style w:type="paragraph" w:customStyle="1" w:styleId="266">
    <w:name w:val="样式2"/>
    <w:basedOn w:val="134"/>
    <w:link w:val="444"/>
    <w:qFormat/>
    <w:uiPriority w:val="99"/>
    <w:pPr>
      <w:spacing w:before="0" w:line="460" w:lineRule="exact"/>
      <w:ind w:firstLine="480"/>
    </w:pPr>
    <w:rPr>
      <w:rFonts w:ascii="仿宋_GB2312" w:hAnsi="仿宋" w:eastAsia="仿宋_GB2312"/>
    </w:rPr>
  </w:style>
  <w:style w:type="paragraph" w:customStyle="1" w:styleId="267">
    <w:name w:val="标题2def"/>
    <w:basedOn w:val="2"/>
    <w:qFormat/>
    <w:uiPriority w:val="99"/>
    <w:pPr>
      <w:snapToGrid w:val="0"/>
      <w:spacing w:before="160" w:after="200"/>
      <w:outlineLvl w:val="0"/>
    </w:pPr>
    <w:rPr>
      <w:rFonts w:hAnsi="宋体" w:eastAsia="仿宋_GB2312"/>
      <w:sz w:val="32"/>
    </w:rPr>
  </w:style>
  <w:style w:type="paragraph" w:customStyle="1" w:styleId="268">
    <w:name w:val="CM29"/>
    <w:basedOn w:val="269"/>
    <w:next w:val="269"/>
    <w:qFormat/>
    <w:uiPriority w:val="99"/>
    <w:pPr>
      <w:spacing w:after="153"/>
    </w:pPr>
    <w:rPr>
      <w:rFonts w:ascii="黑体" w:eastAsia="黑体"/>
      <w:color w:val="auto"/>
    </w:rPr>
  </w:style>
  <w:style w:type="paragraph" w:customStyle="1" w:styleId="26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70">
    <w:name w:val="CM11"/>
    <w:basedOn w:val="269"/>
    <w:next w:val="269"/>
    <w:qFormat/>
    <w:uiPriority w:val="99"/>
    <w:pPr>
      <w:spacing w:line="468" w:lineRule="atLeast"/>
    </w:pPr>
    <w:rPr>
      <w:rFonts w:ascii="黑体" w:eastAsia="黑体"/>
      <w:color w:val="auto"/>
    </w:rPr>
  </w:style>
  <w:style w:type="paragraph" w:customStyle="1" w:styleId="271">
    <w:name w:val="CM26"/>
    <w:basedOn w:val="269"/>
    <w:next w:val="269"/>
    <w:qFormat/>
    <w:uiPriority w:val="99"/>
    <w:pPr>
      <w:spacing w:after="210"/>
    </w:pPr>
    <w:rPr>
      <w:rFonts w:ascii="黑体" w:eastAsia="黑体"/>
      <w:color w:val="auto"/>
    </w:rPr>
  </w:style>
  <w:style w:type="paragraph" w:customStyle="1" w:styleId="272">
    <w:name w:val="List Paragraph11"/>
    <w:basedOn w:val="1"/>
    <w:link w:val="463"/>
    <w:qFormat/>
    <w:uiPriority w:val="99"/>
    <w:pPr>
      <w:ind w:firstLine="200" w:firstLineChars="200"/>
    </w:pPr>
    <w:rPr>
      <w:rFonts w:eastAsia="楷体_GB2312"/>
      <w:kern w:val="0"/>
      <w:sz w:val="24"/>
    </w:rPr>
  </w:style>
  <w:style w:type="paragraph" w:customStyle="1" w:styleId="273">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74">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75">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6">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7">
    <w:name w:val="xl66"/>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278">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79">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rPr>
  </w:style>
  <w:style w:type="paragraph" w:customStyle="1" w:styleId="280">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1">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2">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3">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4">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5">
    <w:name w:val="xl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286">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7">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8">
    <w:name w:val="xl77"/>
    <w:basedOn w:val="1"/>
    <w:qFormat/>
    <w:uiPriority w:val="99"/>
    <w:pPr>
      <w:widowControl/>
      <w:pBdr>
        <w:top w:val="single" w:color="auto" w:sz="4" w:space="0"/>
      </w:pBdr>
      <w:spacing w:before="100" w:beforeAutospacing="1" w:after="100" w:afterAutospacing="1"/>
      <w:jc w:val="center"/>
    </w:pPr>
    <w:rPr>
      <w:rFonts w:ascii="宋体" w:hAnsi="宋体" w:cs="宋体"/>
      <w:kern w:val="0"/>
      <w:sz w:val="24"/>
    </w:rPr>
  </w:style>
  <w:style w:type="paragraph" w:customStyle="1" w:styleId="289">
    <w:name w:val="纯文本1"/>
    <w:basedOn w:val="1"/>
    <w:qFormat/>
    <w:uiPriority w:val="99"/>
    <w:rPr>
      <w:rFonts w:ascii="宋体" w:hAnsi="Courier New"/>
      <w:kern w:val="0"/>
      <w:sz w:val="20"/>
      <w:szCs w:val="20"/>
    </w:rPr>
  </w:style>
  <w:style w:type="paragraph" w:customStyle="1" w:styleId="290">
    <w:name w:val="xl24"/>
    <w:basedOn w:val="1"/>
    <w:qFormat/>
    <w:uiPriority w:val="99"/>
    <w:pPr>
      <w:widowControl/>
      <w:pBdr>
        <w:bottom w:val="single" w:color="auto" w:sz="8" w:space="0"/>
        <w:right w:val="single" w:color="auto" w:sz="8"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91">
    <w:name w:val="xl26"/>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92">
    <w:name w:val="xl27"/>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3">
    <w:name w:val="xl28"/>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4">
    <w:name w:val="xl29"/>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 w:val="20"/>
      <w:szCs w:val="20"/>
    </w:rPr>
  </w:style>
  <w:style w:type="paragraph" w:customStyle="1" w:styleId="295">
    <w:name w:val="msono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6">
    <w:name w:val="msormpane"/>
    <w:qFormat/>
    <w:uiPriority w:val="99"/>
    <w:rPr>
      <w:rFonts w:ascii="Times New Roman" w:hAnsi="Times New Roman" w:eastAsia="宋体" w:cs="Times New Roman"/>
      <w:kern w:val="2"/>
      <w:sz w:val="21"/>
      <w:szCs w:val="20"/>
      <w:lang w:val="en-US" w:eastAsia="zh-CN" w:bidi="ar-SA"/>
    </w:rPr>
  </w:style>
  <w:style w:type="paragraph" w:customStyle="1" w:styleId="297">
    <w:name w:val="msolistparagraph"/>
    <w:basedOn w:val="1"/>
    <w:qFormat/>
    <w:uiPriority w:val="99"/>
    <w:pPr>
      <w:ind w:firstLine="200" w:firstLineChars="200"/>
    </w:pPr>
    <w:rPr>
      <w:rFonts w:eastAsia="楷体_GB2312" w:cs="Lucida Sans"/>
      <w:sz w:val="24"/>
    </w:rPr>
  </w:style>
  <w:style w:type="paragraph" w:customStyle="1" w:styleId="298">
    <w:name w:val="Char21"/>
    <w:basedOn w:val="1"/>
    <w:qFormat/>
    <w:uiPriority w:val="99"/>
    <w:rPr>
      <w:rFonts w:ascii="仿宋_GB2312" w:eastAsia="仿宋_GB2312"/>
      <w:b/>
      <w:sz w:val="32"/>
      <w:szCs w:val="32"/>
    </w:rPr>
  </w:style>
  <w:style w:type="paragraph" w:customStyle="1" w:styleId="299">
    <w:name w:val="Char Char11"/>
    <w:basedOn w:val="1"/>
    <w:qFormat/>
    <w:uiPriority w:val="99"/>
    <w:pPr>
      <w:widowControl/>
      <w:spacing w:after="160" w:line="240" w:lineRule="exact"/>
      <w:jc w:val="left"/>
    </w:pPr>
    <w:rPr>
      <w:rFonts w:eastAsia="仿宋_GB2312"/>
      <w:sz w:val="28"/>
    </w:rPr>
  </w:style>
  <w:style w:type="paragraph" w:customStyle="1" w:styleId="300">
    <w:name w:val="Char1 Char Char Char Char Char Char Char Char Char Char Char1 Char Char Char Char Char Char Char Char Char Char Char Char Char Char1 Char Char Char Char1"/>
    <w:basedOn w:val="1"/>
    <w:qFormat/>
    <w:uiPriority w:val="99"/>
    <w:pPr>
      <w:adjustRightInd w:val="0"/>
    </w:pPr>
    <w:rPr>
      <w:kern w:val="0"/>
      <w:sz w:val="24"/>
      <w:szCs w:val="20"/>
    </w:rPr>
  </w:style>
  <w:style w:type="paragraph" w:customStyle="1" w:styleId="301">
    <w:name w:val="Char Char1 Char Char Char Char Char Char1"/>
    <w:basedOn w:val="1"/>
    <w:qFormat/>
    <w:uiPriority w:val="99"/>
    <w:rPr>
      <w:rFonts w:ascii="仿宋_GB2312" w:eastAsia="仿宋_GB2312"/>
      <w:b/>
      <w:sz w:val="32"/>
      <w:szCs w:val="20"/>
    </w:rPr>
  </w:style>
  <w:style w:type="paragraph" w:customStyle="1" w:styleId="302">
    <w:name w:val="Char Char Char Char Char Char Char Char1"/>
    <w:basedOn w:val="1"/>
    <w:qFormat/>
    <w:uiPriority w:val="99"/>
    <w:pPr>
      <w:tabs>
        <w:tab w:val="left" w:pos="360"/>
      </w:tabs>
    </w:pPr>
    <w:rPr>
      <w:sz w:val="24"/>
      <w:szCs w:val="20"/>
    </w:rPr>
  </w:style>
  <w:style w:type="paragraph" w:customStyle="1" w:styleId="303">
    <w:name w:val="Char Char Char Char Char Char Char Char Char Char Char Char1 Char1"/>
    <w:basedOn w:val="1"/>
    <w:qFormat/>
    <w:uiPriority w:val="99"/>
    <w:rPr>
      <w:rFonts w:ascii="Tahoma" w:hAnsi="Tahoma" w:cs="仿宋_GB2312"/>
      <w:sz w:val="24"/>
      <w:szCs w:val="20"/>
    </w:rPr>
  </w:style>
  <w:style w:type="paragraph" w:customStyle="1" w:styleId="304">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305">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306">
    <w:name w:val="Char32"/>
    <w:basedOn w:val="1"/>
    <w:qFormat/>
    <w:uiPriority w:val="99"/>
    <w:rPr>
      <w:rFonts w:ascii="仿宋_GB2312" w:eastAsia="仿宋_GB2312"/>
      <w:b/>
      <w:sz w:val="32"/>
      <w:szCs w:val="32"/>
    </w:rPr>
  </w:style>
  <w:style w:type="paragraph" w:customStyle="1" w:styleId="307">
    <w:name w:val="Char3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30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09">
    <w:name w:val="xl78"/>
    <w:basedOn w:val="1"/>
    <w:qFormat/>
    <w:uiPriority w:val="99"/>
    <w:pPr>
      <w:widowControl/>
      <w:pBdr>
        <w:top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0">
    <w:name w:val="xl79"/>
    <w:basedOn w:val="1"/>
    <w:qFormat/>
    <w:uiPriority w:val="99"/>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1">
    <w:name w:val="xl80"/>
    <w:basedOn w:val="1"/>
    <w:qFormat/>
    <w:uiPriority w:val="99"/>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2">
    <w:name w:val="xl81"/>
    <w:basedOn w:val="1"/>
    <w:qFormat/>
    <w:uiPriority w:val="99"/>
    <w:pPr>
      <w:widowControl/>
      <w:pBdr>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3">
    <w:name w:val="xl82"/>
    <w:basedOn w:val="1"/>
    <w:qFormat/>
    <w:uiPriority w:val="99"/>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4">
    <w:name w:val="xl8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5">
    <w:name w:val="xl8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16">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7">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8">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9">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0">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1">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22">
    <w:name w:val="xl9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3">
    <w:name w:val="xl9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4">
    <w:name w:val="xl9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5">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6">
    <w:name w:val="xl9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7">
    <w:name w:val="font8"/>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328">
    <w:name w:val="font9"/>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29">
    <w:name w:val="font10"/>
    <w:basedOn w:val="1"/>
    <w:qFormat/>
    <w:uiPriority w:val="99"/>
    <w:pPr>
      <w:widowControl/>
      <w:spacing w:before="100" w:beforeAutospacing="1" w:after="100" w:afterAutospacing="1"/>
      <w:jc w:val="left"/>
    </w:pPr>
    <w:rPr>
      <w:kern w:val="0"/>
      <w:sz w:val="18"/>
      <w:szCs w:val="18"/>
    </w:rPr>
  </w:style>
  <w:style w:type="paragraph" w:customStyle="1" w:styleId="330">
    <w:name w:val="xl3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31">
    <w:name w:val="xl3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32">
    <w:name w:val="xl3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18"/>
      <w:szCs w:val="18"/>
    </w:rPr>
  </w:style>
  <w:style w:type="paragraph" w:customStyle="1" w:styleId="333">
    <w:name w:val="xl34"/>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2"/>
      <w:szCs w:val="22"/>
    </w:rPr>
  </w:style>
  <w:style w:type="paragraph" w:customStyle="1" w:styleId="334">
    <w:name w:val="xl3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20"/>
      <w:szCs w:val="20"/>
    </w:rPr>
  </w:style>
  <w:style w:type="paragraph" w:customStyle="1" w:styleId="335">
    <w:name w:val="xl36"/>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36">
    <w:name w:val="xl37"/>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18"/>
      <w:szCs w:val="18"/>
    </w:rPr>
  </w:style>
  <w:style w:type="paragraph" w:customStyle="1" w:styleId="337">
    <w:name w:val="xl38"/>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38">
    <w:name w:val="xl39"/>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39">
    <w:name w:val="xl40"/>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340">
    <w:name w:val="xl4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color w:val="333333"/>
      <w:kern w:val="0"/>
      <w:szCs w:val="21"/>
    </w:rPr>
  </w:style>
  <w:style w:type="paragraph" w:customStyle="1" w:styleId="341">
    <w:name w:val="xl4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42">
    <w:name w:val="xl4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343">
    <w:name w:val="xl44"/>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344">
    <w:name w:val="xl4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color w:val="000000"/>
      <w:kern w:val="0"/>
      <w:sz w:val="24"/>
    </w:rPr>
  </w:style>
  <w:style w:type="paragraph" w:customStyle="1" w:styleId="345">
    <w:name w:val="xl46"/>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346">
    <w:name w:val="xl47"/>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47">
    <w:name w:val="xl48"/>
    <w:basedOn w:val="1"/>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48">
    <w:name w:val="TOC 标题1"/>
    <w:basedOn w:val="3"/>
    <w:next w:val="1"/>
    <w:qFormat/>
    <w:uiPriority w:val="9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349">
    <w:name w:val="封面标准名称"/>
    <w:qFormat/>
    <w:uiPriority w:val="99"/>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50">
    <w:name w:val="Char Char1 Char Char Char Char Char Char Char Char"/>
    <w:basedOn w:val="1"/>
    <w:qFormat/>
    <w:uiPriority w:val="99"/>
    <w:pPr>
      <w:spacing w:after="160" w:line="240" w:lineRule="exact"/>
      <w:jc w:val="left"/>
    </w:pPr>
    <w:rPr>
      <w:szCs w:val="20"/>
    </w:rPr>
  </w:style>
  <w:style w:type="paragraph" w:customStyle="1" w:styleId="351">
    <w:name w:val="大标题"/>
    <w:basedOn w:val="1"/>
    <w:qFormat/>
    <w:uiPriority w:val="99"/>
    <w:pPr>
      <w:autoSpaceDE w:val="0"/>
      <w:autoSpaceDN w:val="0"/>
      <w:adjustRightInd w:val="0"/>
      <w:spacing w:after="560"/>
      <w:jc w:val="center"/>
    </w:pPr>
    <w:rPr>
      <w:rFonts w:ascii="Arial Black" w:hAnsi="Arial Black"/>
      <w:b/>
      <w:kern w:val="0"/>
      <w:sz w:val="56"/>
      <w:szCs w:val="20"/>
    </w:rPr>
  </w:style>
  <w:style w:type="paragraph" w:customStyle="1" w:styleId="352">
    <w:name w:val="招标文件－标准正文"/>
    <w:basedOn w:val="39"/>
    <w:qFormat/>
    <w:uiPriority w:val="99"/>
    <w:rPr>
      <w:rFonts w:ascii="Times New Roman" w:hAnsi="Times New Roman"/>
      <w:color w:val="000000"/>
      <w:sz w:val="24"/>
    </w:rPr>
  </w:style>
  <w:style w:type="paragraph" w:customStyle="1" w:styleId="353">
    <w:name w:val="正文标号"/>
    <w:basedOn w:val="1"/>
    <w:qFormat/>
    <w:uiPriority w:val="99"/>
    <w:pPr>
      <w:numPr>
        <w:ilvl w:val="0"/>
        <w:numId w:val="15"/>
      </w:numPr>
      <w:tabs>
        <w:tab w:val="clear" w:pos="1620"/>
      </w:tabs>
      <w:spacing w:after="180" w:line="310" w:lineRule="auto"/>
      <w:ind w:left="0" w:right="210" w:firstLine="0"/>
    </w:pPr>
    <w:rPr>
      <w:szCs w:val="20"/>
    </w:rPr>
  </w:style>
  <w:style w:type="paragraph" w:customStyle="1" w:styleId="354">
    <w:name w:val="标题6"/>
    <w:basedOn w:val="1"/>
    <w:next w:val="3"/>
    <w:qFormat/>
    <w:uiPriority w:val="99"/>
    <w:pPr>
      <w:widowControl/>
      <w:snapToGrid w:val="0"/>
      <w:spacing w:beforeLines="50" w:afterLines="50" w:line="520" w:lineRule="atLeast"/>
      <w:ind w:firstLine="200" w:firstLineChars="200"/>
    </w:pPr>
    <w:rPr>
      <w:rFonts w:cs="Arial"/>
      <w:b/>
      <w:sz w:val="24"/>
    </w:rPr>
  </w:style>
  <w:style w:type="paragraph" w:customStyle="1" w:styleId="355">
    <w:name w:val="正文 + 宋体"/>
    <w:basedOn w:val="1"/>
    <w:next w:val="1"/>
    <w:qFormat/>
    <w:uiPriority w:val="99"/>
    <w:pPr>
      <w:spacing w:after="120" w:line="480" w:lineRule="auto"/>
    </w:pPr>
    <w:rPr>
      <w:rFonts w:ascii="宋体" w:hAnsi="宋体"/>
      <w:kern w:val="0"/>
      <w:sz w:val="24"/>
    </w:rPr>
  </w:style>
  <w:style w:type="paragraph" w:customStyle="1" w:styleId="356">
    <w:name w:val="pa-15"/>
    <w:basedOn w:val="1"/>
    <w:qFormat/>
    <w:uiPriority w:val="99"/>
    <w:pPr>
      <w:widowControl/>
      <w:spacing w:line="240" w:lineRule="atLeast"/>
      <w:jc w:val="center"/>
    </w:pPr>
    <w:rPr>
      <w:rFonts w:ascii="宋体" w:hAnsi="宋体" w:cs="宋体"/>
      <w:kern w:val="0"/>
      <w:sz w:val="24"/>
    </w:rPr>
  </w:style>
  <w:style w:type="paragraph" w:customStyle="1" w:styleId="357">
    <w:name w:val="p0"/>
    <w:basedOn w:val="1"/>
    <w:qFormat/>
    <w:uiPriority w:val="99"/>
    <w:pPr>
      <w:widowControl/>
    </w:pPr>
    <w:rPr>
      <w:kern w:val="0"/>
      <w:szCs w:val="20"/>
    </w:rPr>
  </w:style>
  <w:style w:type="paragraph" w:customStyle="1" w:styleId="358">
    <w:name w:val="样式 标题 2 + 四号"/>
    <w:basedOn w:val="4"/>
    <w:qFormat/>
    <w:uiPriority w:val="99"/>
    <w:pPr>
      <w:spacing w:before="120" w:after="120"/>
      <w:ind w:left="0" w:firstLine="0"/>
    </w:pPr>
    <w:rPr>
      <w:rFonts w:hAnsi="Arial"/>
      <w:sz w:val="28"/>
      <w:szCs w:val="32"/>
      <w:lang w:val="en-US"/>
    </w:rPr>
  </w:style>
  <w:style w:type="paragraph" w:customStyle="1" w:styleId="359">
    <w:name w:val="哈哈正文"/>
    <w:basedOn w:val="1"/>
    <w:link w:val="467"/>
    <w:qFormat/>
    <w:uiPriority w:val="99"/>
    <w:pPr>
      <w:ind w:firstLine="200" w:firstLineChars="200"/>
    </w:pPr>
    <w:rPr>
      <w:rFonts w:ascii="宋体" w:hAnsi="宋体"/>
      <w:kern w:val="0"/>
      <w:sz w:val="24"/>
      <w:szCs w:val="20"/>
    </w:rPr>
  </w:style>
  <w:style w:type="paragraph" w:customStyle="1" w:styleId="360">
    <w:name w:val="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61">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2">
    <w:name w:val="样式3"/>
    <w:basedOn w:val="1"/>
    <w:link w:val="468"/>
    <w:qFormat/>
    <w:uiPriority w:val="99"/>
    <w:pPr>
      <w:numPr>
        <w:ilvl w:val="0"/>
        <w:numId w:val="16"/>
      </w:numPr>
      <w:adjustRightInd w:val="0"/>
      <w:snapToGrid w:val="0"/>
    </w:pPr>
    <w:rPr>
      <w:rFonts w:ascii="仿宋_GB2312" w:hAnsi="仿宋" w:eastAsia="仿宋_GB2312"/>
      <w:b/>
      <w:color w:val="000000"/>
      <w:sz w:val="28"/>
      <w:szCs w:val="28"/>
    </w:rPr>
  </w:style>
  <w:style w:type="paragraph" w:customStyle="1" w:styleId="363">
    <w:name w:val="样式 正文文字缩进 + 仿宋_GB2312"/>
    <w:basedOn w:val="29"/>
    <w:qFormat/>
    <w:uiPriority w:val="99"/>
    <w:pPr>
      <w:widowControl/>
      <w:tabs>
        <w:tab w:val="right" w:pos="8640"/>
      </w:tabs>
      <w:spacing w:before="120" w:line="240" w:lineRule="auto"/>
    </w:pPr>
    <w:rPr>
      <w:rFonts w:ascii="仿宋_GB2312" w:hAnsi="仿宋_GB2312"/>
    </w:rPr>
  </w:style>
  <w:style w:type="paragraph" w:customStyle="1" w:styleId="364">
    <w:name w:val="Char Char Char1 Char"/>
    <w:basedOn w:val="1"/>
    <w:qFormat/>
    <w:uiPriority w:val="99"/>
    <w:rPr>
      <w:szCs w:val="20"/>
    </w:rPr>
  </w:style>
  <w:style w:type="paragraph" w:customStyle="1" w:styleId="365">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66">
    <w:name w:val="带编号样式"/>
    <w:basedOn w:val="1"/>
    <w:link w:val="473"/>
    <w:qFormat/>
    <w:uiPriority w:val="99"/>
    <w:pPr>
      <w:numPr>
        <w:ilvl w:val="0"/>
        <w:numId w:val="17"/>
      </w:numPr>
      <w:tabs>
        <w:tab w:val="left" w:pos="840"/>
      </w:tabs>
      <w:adjustRightInd w:val="0"/>
      <w:snapToGrid w:val="0"/>
    </w:pPr>
    <w:rPr>
      <w:rFonts w:ascii="仿宋_GB2312" w:hAnsi="Calibri" w:eastAsia="仿宋_GB2312"/>
      <w:color w:val="000000"/>
      <w:sz w:val="24"/>
      <w:szCs w:val="22"/>
    </w:rPr>
  </w:style>
  <w:style w:type="paragraph" w:customStyle="1" w:styleId="367">
    <w:name w:val="tableheading"/>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8">
    <w:name w:val="公文正文"/>
    <w:basedOn w:val="1"/>
    <w:link w:val="475"/>
    <w:qFormat/>
    <w:uiPriority w:val="99"/>
    <w:pPr>
      <w:spacing w:before="156"/>
      <w:ind w:firstLine="360" w:firstLineChars="200"/>
    </w:pPr>
    <w:rPr>
      <w:rFonts w:ascii="仿宋_GB2312" w:eastAsia="仿宋_GB2312"/>
      <w:kern w:val="0"/>
      <w:sz w:val="24"/>
    </w:rPr>
  </w:style>
  <w:style w:type="paragraph" w:customStyle="1" w:styleId="369">
    <w:name w:val="中等深浅网格 2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0">
    <w:name w:val="Char Char1 Char Char Char Char1 Char Char Char Char Char Char"/>
    <w:basedOn w:val="1"/>
    <w:qFormat/>
    <w:uiPriority w:val="99"/>
    <w:pPr>
      <w:widowControl/>
      <w:ind w:firstLine="200" w:firstLineChars="200"/>
    </w:pPr>
    <w:rPr>
      <w:rFonts w:ascii="Tahoma" w:hAnsi="Tahoma" w:cs="Arial"/>
      <w:sz w:val="24"/>
      <w:szCs w:val="20"/>
    </w:rPr>
  </w:style>
  <w:style w:type="paragraph" w:customStyle="1" w:styleId="371">
    <w:name w:val="Proposals body"/>
    <w:basedOn w:val="1"/>
    <w:next w:val="1"/>
    <w:qFormat/>
    <w:uiPriority w:val="99"/>
    <w:pPr>
      <w:widowControl/>
      <w:jc w:val="left"/>
    </w:pPr>
    <w:rPr>
      <w:rFonts w:ascii="宋体"/>
      <w:color w:val="000000"/>
      <w:kern w:val="0"/>
      <w:sz w:val="24"/>
      <w:szCs w:val="20"/>
    </w:rPr>
  </w:style>
  <w:style w:type="paragraph" w:customStyle="1" w:styleId="372">
    <w:name w:val="表格（小）"/>
    <w:basedOn w:val="1"/>
    <w:qFormat/>
    <w:uiPriority w:val="99"/>
    <w:pPr>
      <w:snapToGrid w:val="0"/>
      <w:spacing w:line="300" w:lineRule="auto"/>
    </w:pPr>
    <w:rPr>
      <w:rFonts w:eastAsia="仿宋"/>
      <w:szCs w:val="21"/>
    </w:rPr>
  </w:style>
  <w:style w:type="paragraph" w:customStyle="1" w:styleId="373">
    <w:name w:val="1."/>
    <w:basedOn w:val="1"/>
    <w:qFormat/>
    <w:uiPriority w:val="99"/>
    <w:pPr>
      <w:ind w:firstLine="480" w:firstLineChars="200"/>
    </w:pPr>
    <w:rPr>
      <w:sz w:val="24"/>
    </w:rPr>
  </w:style>
  <w:style w:type="paragraph" w:customStyle="1" w:styleId="374">
    <w:name w:val="Char Char Char Char Char Char Char Char Char Char Char1 Char"/>
    <w:basedOn w:val="1"/>
    <w:qFormat/>
    <w:uiPriority w:val="99"/>
    <w:rPr>
      <w:rFonts w:ascii="Tahoma" w:hAnsi="Tahoma"/>
      <w:sz w:val="24"/>
    </w:rPr>
  </w:style>
  <w:style w:type="paragraph" w:customStyle="1" w:styleId="375">
    <w:name w:val="页眉1"/>
    <w:basedOn w:val="1"/>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376">
    <w:name w:val="正文首行缩进（ACK）"/>
    <w:basedOn w:val="1"/>
    <w:link w:val="479"/>
    <w:qFormat/>
    <w:uiPriority w:val="99"/>
    <w:pPr>
      <w:widowControl/>
      <w:spacing w:after="50" w:line="300" w:lineRule="auto"/>
      <w:ind w:firstLine="200" w:firstLineChars="200"/>
      <w:jc w:val="left"/>
    </w:pPr>
    <w:rPr>
      <w:rFonts w:ascii="Arial" w:hAnsi="Arial"/>
      <w:kern w:val="0"/>
      <w:sz w:val="20"/>
      <w:szCs w:val="21"/>
    </w:rPr>
  </w:style>
  <w:style w:type="paragraph" w:customStyle="1" w:styleId="377">
    <w:name w:val="正文文本 21"/>
    <w:basedOn w:val="1"/>
    <w:qFormat/>
    <w:uiPriority w:val="99"/>
    <w:pPr>
      <w:adjustRightInd w:val="0"/>
      <w:spacing w:line="300" w:lineRule="auto"/>
      <w:jc w:val="center"/>
      <w:textAlignment w:val="baseline"/>
    </w:pPr>
    <w:rPr>
      <w:rFonts w:ascii="宋体" w:hAnsi="宋体"/>
      <w:sz w:val="24"/>
      <w:szCs w:val="20"/>
    </w:rPr>
  </w:style>
  <w:style w:type="paragraph" w:customStyle="1" w:styleId="378">
    <w:name w:val="table_lines"/>
    <w:basedOn w:val="1"/>
    <w:qFormat/>
    <w:uiPriority w:val="99"/>
    <w:pPr>
      <w:widowControl/>
      <w:jc w:val="left"/>
    </w:pPr>
    <w:rPr>
      <w:kern w:val="0"/>
      <w:sz w:val="20"/>
      <w:szCs w:val="20"/>
    </w:rPr>
  </w:style>
  <w:style w:type="paragraph" w:customStyle="1" w:styleId="379">
    <w:name w:val="Normal New"/>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80">
    <w:name w:val="Char3 Char Char Char Char Char Char"/>
    <w:basedOn w:val="1"/>
    <w:qFormat/>
    <w:uiPriority w:val="99"/>
    <w:rPr>
      <w:rFonts w:ascii="Arial" w:hAnsi="Arial" w:eastAsia="黑体" w:cs="Arial"/>
      <w:kern w:val="0"/>
      <w:szCs w:val="21"/>
    </w:rPr>
  </w:style>
  <w:style w:type="paragraph" w:customStyle="1" w:styleId="381">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82">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383">
    <w:name w:val="List Paragraph1"/>
    <w:basedOn w:val="1"/>
    <w:qFormat/>
    <w:uiPriority w:val="99"/>
    <w:pPr>
      <w:ind w:firstLine="420" w:firstLineChars="200"/>
    </w:pPr>
    <w:rPr>
      <w:szCs w:val="21"/>
    </w:rPr>
  </w:style>
  <w:style w:type="character" w:customStyle="1" w:styleId="384">
    <w:name w:val="标题 1 Char"/>
    <w:basedOn w:val="82"/>
    <w:qFormat/>
    <w:uiPriority w:val="99"/>
    <w:rPr>
      <w:rFonts w:ascii="Times New Roman" w:hAnsi="Times New Roman" w:eastAsia="宋体" w:cs="Times New Roman"/>
      <w:b/>
      <w:bCs/>
      <w:kern w:val="44"/>
      <w:sz w:val="44"/>
      <w:szCs w:val="44"/>
    </w:rPr>
  </w:style>
  <w:style w:type="character" w:customStyle="1" w:styleId="385">
    <w:name w:val="标题 2 Char"/>
    <w:basedOn w:val="82"/>
    <w:qFormat/>
    <w:uiPriority w:val="99"/>
    <w:rPr>
      <w:rFonts w:ascii="Calibri Light" w:hAnsi="Calibri Light" w:eastAsia="宋体" w:cs="黑体"/>
      <w:b/>
      <w:bCs/>
      <w:sz w:val="32"/>
      <w:szCs w:val="32"/>
    </w:rPr>
  </w:style>
  <w:style w:type="character" w:customStyle="1" w:styleId="386">
    <w:name w:val="标题 3 Char"/>
    <w:basedOn w:val="82"/>
    <w:qFormat/>
    <w:uiPriority w:val="99"/>
    <w:rPr>
      <w:rFonts w:ascii="Times New Roman" w:hAnsi="Times New Roman" w:eastAsia="宋体" w:cs="Times New Roman"/>
      <w:b/>
      <w:bCs/>
      <w:sz w:val="32"/>
      <w:szCs w:val="32"/>
    </w:rPr>
  </w:style>
  <w:style w:type="character" w:customStyle="1" w:styleId="387">
    <w:name w:val="标题 4 Char"/>
    <w:basedOn w:val="82"/>
    <w:qFormat/>
    <w:uiPriority w:val="99"/>
    <w:rPr>
      <w:rFonts w:ascii="Calibri Light" w:hAnsi="Calibri Light" w:eastAsia="宋体" w:cs="黑体"/>
      <w:b/>
      <w:bCs/>
      <w:sz w:val="28"/>
      <w:szCs w:val="28"/>
    </w:rPr>
  </w:style>
  <w:style w:type="character" w:customStyle="1" w:styleId="388">
    <w:name w:val="标题 5 Char"/>
    <w:basedOn w:val="82"/>
    <w:qFormat/>
    <w:uiPriority w:val="99"/>
    <w:rPr>
      <w:rFonts w:ascii="Times New Roman" w:hAnsi="Times New Roman" w:eastAsia="宋体" w:cs="Times New Roman"/>
      <w:b/>
      <w:bCs/>
      <w:sz w:val="28"/>
      <w:szCs w:val="28"/>
    </w:rPr>
  </w:style>
  <w:style w:type="character" w:customStyle="1" w:styleId="389">
    <w:name w:val="标题 6 Char"/>
    <w:basedOn w:val="82"/>
    <w:qFormat/>
    <w:uiPriority w:val="99"/>
    <w:rPr>
      <w:rFonts w:ascii="Calibri Light" w:hAnsi="Calibri Light" w:eastAsia="宋体" w:cs="黑体"/>
      <w:b/>
      <w:bCs/>
      <w:sz w:val="24"/>
      <w:szCs w:val="24"/>
    </w:rPr>
  </w:style>
  <w:style w:type="character" w:customStyle="1" w:styleId="390">
    <w:name w:val="标题 7 Char"/>
    <w:basedOn w:val="82"/>
    <w:qFormat/>
    <w:uiPriority w:val="99"/>
    <w:rPr>
      <w:rFonts w:ascii="Times New Roman" w:hAnsi="Times New Roman" w:eastAsia="宋体" w:cs="Times New Roman"/>
      <w:b/>
      <w:bCs/>
      <w:sz w:val="24"/>
      <w:szCs w:val="24"/>
    </w:rPr>
  </w:style>
  <w:style w:type="character" w:customStyle="1" w:styleId="391">
    <w:name w:val="标题 8 Char"/>
    <w:basedOn w:val="82"/>
    <w:qFormat/>
    <w:uiPriority w:val="99"/>
    <w:rPr>
      <w:rFonts w:ascii="Calibri Light" w:hAnsi="Calibri Light" w:eastAsia="宋体" w:cs="黑体"/>
      <w:sz w:val="24"/>
      <w:szCs w:val="24"/>
    </w:rPr>
  </w:style>
  <w:style w:type="character" w:customStyle="1" w:styleId="392">
    <w:name w:val="标题 9 Char"/>
    <w:basedOn w:val="82"/>
    <w:qFormat/>
    <w:uiPriority w:val="99"/>
    <w:rPr>
      <w:rFonts w:ascii="Calibri Light" w:hAnsi="Calibri Light" w:eastAsia="宋体" w:cs="黑体"/>
      <w:sz w:val="21"/>
      <w:szCs w:val="21"/>
    </w:rPr>
  </w:style>
  <w:style w:type="character" w:customStyle="1" w:styleId="393">
    <w:name w:val="纯文本 Char"/>
    <w:basedOn w:val="82"/>
    <w:qFormat/>
    <w:uiPriority w:val="99"/>
    <w:rPr>
      <w:rFonts w:ascii="宋体" w:hAnsi="Courier New" w:eastAsia="宋体" w:cs="Courier New"/>
      <w:sz w:val="21"/>
      <w:szCs w:val="21"/>
    </w:rPr>
  </w:style>
  <w:style w:type="character" w:customStyle="1" w:styleId="394">
    <w:name w:val="正文文本缩进 2 Char"/>
    <w:basedOn w:val="82"/>
    <w:qFormat/>
    <w:uiPriority w:val="99"/>
    <w:rPr>
      <w:rFonts w:ascii="Times New Roman" w:hAnsi="Times New Roman" w:eastAsia="宋体" w:cs="Times New Roman"/>
      <w:sz w:val="24"/>
      <w:szCs w:val="24"/>
    </w:rPr>
  </w:style>
  <w:style w:type="character" w:customStyle="1" w:styleId="395">
    <w:name w:val="正文文本缩进 Char"/>
    <w:basedOn w:val="82"/>
    <w:qFormat/>
    <w:uiPriority w:val="99"/>
    <w:rPr>
      <w:rFonts w:ascii="Times New Roman" w:hAnsi="Times New Roman" w:eastAsia="宋体" w:cs="Times New Roman"/>
      <w:sz w:val="24"/>
      <w:szCs w:val="24"/>
    </w:rPr>
  </w:style>
  <w:style w:type="character" w:customStyle="1" w:styleId="396">
    <w:name w:val="正文文本 3 Char"/>
    <w:basedOn w:val="82"/>
    <w:qFormat/>
    <w:uiPriority w:val="99"/>
    <w:rPr>
      <w:rFonts w:ascii="Times New Roman" w:hAnsi="Times New Roman" w:eastAsia="宋体" w:cs="Times New Roman"/>
      <w:sz w:val="16"/>
      <w:szCs w:val="16"/>
    </w:rPr>
  </w:style>
  <w:style w:type="character" w:customStyle="1" w:styleId="397">
    <w:name w:val="正文文本缩进 3 Char"/>
    <w:basedOn w:val="82"/>
    <w:qFormat/>
    <w:uiPriority w:val="99"/>
    <w:rPr>
      <w:rFonts w:ascii="Times New Roman" w:hAnsi="Times New Roman" w:eastAsia="宋体" w:cs="Times New Roman"/>
      <w:sz w:val="16"/>
      <w:szCs w:val="16"/>
    </w:rPr>
  </w:style>
  <w:style w:type="character" w:customStyle="1" w:styleId="398">
    <w:name w:val="批注框文本 Char"/>
    <w:basedOn w:val="82"/>
    <w:qFormat/>
    <w:uiPriority w:val="99"/>
    <w:rPr>
      <w:rFonts w:ascii="Times New Roman" w:hAnsi="Times New Roman" w:eastAsia="宋体" w:cs="Times New Roman"/>
      <w:sz w:val="18"/>
      <w:szCs w:val="18"/>
    </w:rPr>
  </w:style>
  <w:style w:type="character" w:customStyle="1" w:styleId="399">
    <w:name w:val="Char Char21"/>
    <w:qFormat/>
    <w:uiPriority w:val="99"/>
    <w:rPr>
      <w:rFonts w:ascii="宋体" w:hAnsi="Courier New" w:eastAsia="宋体"/>
      <w:kern w:val="2"/>
      <w:sz w:val="21"/>
      <w:lang w:val="en-US" w:eastAsia="zh-CN"/>
    </w:rPr>
  </w:style>
  <w:style w:type="character" w:customStyle="1" w:styleId="400">
    <w:name w:val="纯文本 Char Char Char"/>
    <w:qFormat/>
    <w:uiPriority w:val="99"/>
    <w:rPr>
      <w:rFonts w:ascii="宋体" w:hAnsi="Courier New" w:eastAsia="宋体"/>
      <w:kern w:val="2"/>
      <w:sz w:val="21"/>
      <w:lang w:val="en-US" w:eastAsia="zh-CN"/>
    </w:rPr>
  </w:style>
  <w:style w:type="character" w:customStyle="1" w:styleId="401">
    <w:name w:val="hui"/>
    <w:basedOn w:val="82"/>
    <w:qFormat/>
    <w:uiPriority w:val="99"/>
    <w:rPr>
      <w:rFonts w:cs="Times New Roman"/>
    </w:rPr>
  </w:style>
  <w:style w:type="character" w:customStyle="1" w:styleId="402">
    <w:name w:val="hui3"/>
    <w:qFormat/>
    <w:uiPriority w:val="99"/>
    <w:rPr>
      <w:color w:val="333333"/>
    </w:rPr>
  </w:style>
  <w:style w:type="character" w:customStyle="1" w:styleId="403">
    <w:name w:val="gf正文1 Char"/>
    <w:link w:val="158"/>
    <w:qFormat/>
    <w:locked/>
    <w:uiPriority w:val="99"/>
    <w:rPr>
      <w:rFonts w:ascii="宋体" w:hAnsi="宋体" w:eastAsia="宋体"/>
      <w:sz w:val="24"/>
    </w:rPr>
  </w:style>
  <w:style w:type="character" w:customStyle="1" w:styleId="404">
    <w:name w:val="Normal Indent Char"/>
    <w:link w:val="17"/>
    <w:qFormat/>
    <w:locked/>
    <w:uiPriority w:val="99"/>
    <w:rPr>
      <w:rFonts w:ascii="宋体" w:hAnsi="Times New Roman" w:eastAsia="宋体"/>
      <w:snapToGrid w:val="0"/>
      <w:color w:val="000000"/>
      <w:kern w:val="28"/>
      <w:sz w:val="20"/>
    </w:rPr>
  </w:style>
  <w:style w:type="character" w:customStyle="1" w:styleId="405">
    <w:name w:val="普通文字 Char Char1"/>
    <w:qFormat/>
    <w:uiPriority w:val="99"/>
    <w:rPr>
      <w:rFonts w:ascii="宋体" w:hAnsi="Courier New"/>
      <w:kern w:val="2"/>
      <w:sz w:val="21"/>
    </w:rPr>
  </w:style>
  <w:style w:type="character" w:customStyle="1" w:styleId="406">
    <w:name w:val="shadow11"/>
    <w:qFormat/>
    <w:uiPriority w:val="99"/>
    <w:rPr>
      <w:color w:val="000000"/>
      <w:sz w:val="21"/>
    </w:rPr>
  </w:style>
  <w:style w:type="character" w:customStyle="1" w:styleId="407">
    <w:name w:val="普通文字 Char1"/>
    <w:qFormat/>
    <w:uiPriority w:val="99"/>
    <w:rPr>
      <w:rFonts w:ascii="宋体" w:hAnsi="Courier New" w:eastAsia="宋体"/>
      <w:kern w:val="2"/>
      <w:sz w:val="21"/>
      <w:lang w:val="en-US" w:eastAsia="zh-CN"/>
    </w:rPr>
  </w:style>
  <w:style w:type="character" w:customStyle="1" w:styleId="408">
    <w:name w:val="FA正文 Char Char"/>
    <w:link w:val="169"/>
    <w:qFormat/>
    <w:locked/>
    <w:uiPriority w:val="99"/>
    <w:rPr>
      <w:rFonts w:hAnsi="宋体"/>
      <w:sz w:val="24"/>
    </w:rPr>
  </w:style>
  <w:style w:type="character" w:customStyle="1" w:styleId="409">
    <w:name w:val="md"/>
    <w:basedOn w:val="82"/>
    <w:qFormat/>
    <w:uiPriority w:val="99"/>
    <w:rPr>
      <w:rFonts w:cs="Times New Roman"/>
    </w:rPr>
  </w:style>
  <w:style w:type="character" w:customStyle="1" w:styleId="410">
    <w:name w:val="正文首行缩进 Char"/>
    <w:basedOn w:val="109"/>
    <w:qFormat/>
    <w:uiPriority w:val="99"/>
  </w:style>
  <w:style w:type="character" w:customStyle="1" w:styleId="411">
    <w:name w:val="unnamed11"/>
    <w:qFormat/>
    <w:uiPriority w:val="99"/>
    <w:rPr>
      <w:sz w:val="20"/>
    </w:rPr>
  </w:style>
  <w:style w:type="character" w:customStyle="1" w:styleId="412">
    <w:name w:val="dectext1"/>
    <w:qFormat/>
    <w:uiPriority w:val="99"/>
    <w:rPr>
      <w:rFonts w:ascii="宋体" w:hAnsi="宋体" w:eastAsia="宋体"/>
      <w:color w:val="333333"/>
      <w:sz w:val="21"/>
      <w:u w:val="none"/>
    </w:rPr>
  </w:style>
  <w:style w:type="character" w:customStyle="1" w:styleId="413">
    <w:name w:val="正文非缩进 Char"/>
    <w:qFormat/>
    <w:uiPriority w:val="99"/>
    <w:rPr>
      <w:rFonts w:ascii="宋体" w:eastAsia="宋体"/>
      <w:snapToGrid w:val="0"/>
      <w:color w:val="000000"/>
      <w:kern w:val="28"/>
      <w:sz w:val="28"/>
      <w:lang w:val="en-US" w:eastAsia="zh-CN"/>
    </w:rPr>
  </w:style>
  <w:style w:type="character" w:customStyle="1" w:styleId="414">
    <w:name w:val="正文2 Char"/>
    <w:link w:val="134"/>
    <w:qFormat/>
    <w:locked/>
    <w:uiPriority w:val="99"/>
    <w:rPr>
      <w:rFonts w:ascii="Times New Roman" w:hAnsi="Times New Roman" w:eastAsia="宋体"/>
      <w:sz w:val="20"/>
    </w:rPr>
  </w:style>
  <w:style w:type="character" w:customStyle="1" w:styleId="415">
    <w:name w:val="h3 Char"/>
    <w:qFormat/>
    <w:uiPriority w:val="99"/>
    <w:rPr>
      <w:rFonts w:eastAsia="宋体"/>
      <w:b/>
      <w:kern w:val="2"/>
      <w:sz w:val="32"/>
      <w:lang w:val="en-US" w:eastAsia="zh-CN"/>
    </w:rPr>
  </w:style>
  <w:style w:type="character" w:customStyle="1" w:styleId="416">
    <w:name w:val="签名 Char"/>
    <w:basedOn w:val="82"/>
    <w:qFormat/>
    <w:uiPriority w:val="99"/>
    <w:rPr>
      <w:rFonts w:ascii="Times New Roman" w:hAnsi="Times New Roman" w:eastAsia="宋体" w:cs="Times New Roman"/>
      <w:sz w:val="24"/>
      <w:szCs w:val="24"/>
    </w:rPr>
  </w:style>
  <w:style w:type="character" w:customStyle="1" w:styleId="417">
    <w:name w:val="称呼 Char"/>
    <w:basedOn w:val="82"/>
    <w:qFormat/>
    <w:uiPriority w:val="99"/>
    <w:rPr>
      <w:rFonts w:ascii="Times New Roman" w:hAnsi="Times New Roman" w:eastAsia="宋体" w:cs="Times New Roman"/>
      <w:sz w:val="24"/>
      <w:szCs w:val="24"/>
    </w:rPr>
  </w:style>
  <w:style w:type="character" w:customStyle="1" w:styleId="418">
    <w:name w:val="style91"/>
    <w:qFormat/>
    <w:uiPriority w:val="99"/>
    <w:rPr>
      <w:color w:val="333333"/>
    </w:rPr>
  </w:style>
  <w:style w:type="character" w:customStyle="1" w:styleId="419">
    <w:name w:val="Normal Indent Char Char"/>
    <w:qFormat/>
    <w:uiPriority w:val="99"/>
    <w:rPr>
      <w:rFonts w:eastAsia="宋体"/>
      <w:kern w:val="2"/>
      <w:sz w:val="21"/>
      <w:lang w:val="en-US" w:eastAsia="zh-CN"/>
    </w:rPr>
  </w:style>
  <w:style w:type="character" w:customStyle="1" w:styleId="420">
    <w:name w:val="large1"/>
    <w:qFormat/>
    <w:uiPriority w:val="99"/>
    <w:rPr>
      <w:rFonts w:ascii="宋体" w:hAnsi="宋体" w:eastAsia="宋体"/>
      <w:sz w:val="21"/>
    </w:rPr>
  </w:style>
  <w:style w:type="character" w:customStyle="1" w:styleId="421">
    <w:name w:val="Char Char5"/>
    <w:qFormat/>
    <w:uiPriority w:val="99"/>
    <w:rPr>
      <w:rFonts w:ascii="宋体" w:hAnsi="Courier New" w:eastAsia="宋体"/>
      <w:kern w:val="2"/>
      <w:sz w:val="21"/>
      <w:lang w:val="en-US" w:eastAsia="zh-CN"/>
    </w:rPr>
  </w:style>
  <w:style w:type="character" w:customStyle="1" w:styleId="422">
    <w:name w:val="页眉 Char1"/>
    <w:qFormat/>
    <w:uiPriority w:val="99"/>
    <w:rPr>
      <w:rFonts w:eastAsia="宋体"/>
      <w:kern w:val="2"/>
      <w:sz w:val="18"/>
      <w:lang w:val="en-US" w:eastAsia="zh-CN"/>
    </w:rPr>
  </w:style>
  <w:style w:type="character" w:customStyle="1" w:styleId="423">
    <w:name w:val="页脚 Char1"/>
    <w:qFormat/>
    <w:uiPriority w:val="99"/>
    <w:rPr>
      <w:rFonts w:eastAsia="宋体"/>
      <w:kern w:val="2"/>
      <w:sz w:val="18"/>
      <w:lang w:val="en-US" w:eastAsia="zh-CN"/>
    </w:rPr>
  </w:style>
  <w:style w:type="character" w:customStyle="1" w:styleId="424">
    <w:name w:val="普通文字 Char1 Char"/>
    <w:qFormat/>
    <w:uiPriority w:val="99"/>
    <w:rPr>
      <w:rFonts w:ascii="宋体" w:hAnsi="Courier New" w:eastAsia="宋体"/>
      <w:kern w:val="2"/>
      <w:sz w:val="24"/>
      <w:lang w:val="en-US" w:eastAsia="zh-CN"/>
    </w:rPr>
  </w:style>
  <w:style w:type="character" w:customStyle="1" w:styleId="425">
    <w:name w:val="表格 Char Char"/>
    <w:link w:val="209"/>
    <w:qFormat/>
    <w:locked/>
    <w:uiPriority w:val="99"/>
    <w:rPr>
      <w:rFonts w:ascii="宋体" w:hAnsi="宋体" w:eastAsia="宋体"/>
    </w:rPr>
  </w:style>
  <w:style w:type="character" w:customStyle="1" w:styleId="426">
    <w:name w:val="Table Text Char1"/>
    <w:link w:val="152"/>
    <w:qFormat/>
    <w:locked/>
    <w:uiPriority w:val="99"/>
    <w:rPr>
      <w:rFonts w:ascii="Times New Roman" w:hAnsi="Times New Roman" w:eastAsia="宋体"/>
      <w:kern w:val="0"/>
      <w:sz w:val="24"/>
    </w:rPr>
  </w:style>
  <w:style w:type="character" w:customStyle="1" w:styleId="427">
    <w:name w:val="Char Char8"/>
    <w:qFormat/>
    <w:uiPriority w:val="99"/>
    <w:rPr>
      <w:rFonts w:eastAsia="宋体"/>
      <w:b/>
      <w:sz w:val="24"/>
      <w:lang w:eastAsia="zh-CN"/>
    </w:rPr>
  </w:style>
  <w:style w:type="character" w:customStyle="1" w:styleId="428">
    <w:name w:val="正文缩进 Char"/>
    <w:qFormat/>
    <w:uiPriority w:val="99"/>
    <w:rPr>
      <w:rFonts w:eastAsia="宋体"/>
      <w:kern w:val="2"/>
      <w:sz w:val="21"/>
      <w:lang w:val="en-US" w:eastAsia="zh-CN"/>
    </w:rPr>
  </w:style>
  <w:style w:type="character" w:customStyle="1" w:styleId="429">
    <w:name w:val="标准正文格式 Char"/>
    <w:link w:val="225"/>
    <w:qFormat/>
    <w:locked/>
    <w:uiPriority w:val="99"/>
    <w:rPr>
      <w:rFonts w:ascii="宋体" w:hAnsi="Times New Roman" w:eastAsia="仿宋_GB2312"/>
      <w:color w:val="000000"/>
      <w:kern w:val="0"/>
      <w:sz w:val="20"/>
    </w:rPr>
  </w:style>
  <w:style w:type="character" w:customStyle="1" w:styleId="430">
    <w:name w:val="ca-131"/>
    <w:qFormat/>
    <w:uiPriority w:val="99"/>
    <w:rPr>
      <w:rFonts w:ascii="仿宋_GB2312" w:eastAsia="仿宋_GB2312"/>
      <w:b/>
      <w:color w:val="000000"/>
      <w:spacing w:val="-20"/>
      <w:sz w:val="24"/>
    </w:rPr>
  </w:style>
  <w:style w:type="character" w:customStyle="1" w:styleId="431">
    <w:name w:val="正文1 Char"/>
    <w:link w:val="232"/>
    <w:qFormat/>
    <w:locked/>
    <w:uiPriority w:val="99"/>
    <w:rPr>
      <w:rFonts w:ascii="宋体" w:hAnsi="宋体" w:eastAsia="宋体"/>
      <w:kern w:val="0"/>
      <w:sz w:val="20"/>
    </w:rPr>
  </w:style>
  <w:style w:type="character" w:customStyle="1" w:styleId="432">
    <w:name w:val="pt141"/>
    <w:qFormat/>
    <w:uiPriority w:val="99"/>
    <w:rPr>
      <w:color w:val="330066"/>
      <w:sz w:val="22"/>
    </w:rPr>
  </w:style>
  <w:style w:type="character" w:customStyle="1" w:styleId="433">
    <w:name w:val="dandyren_title1"/>
    <w:qFormat/>
    <w:uiPriority w:val="99"/>
    <w:rPr>
      <w:b/>
      <w:color w:val="FF6633"/>
      <w:sz w:val="18"/>
    </w:rPr>
  </w:style>
  <w:style w:type="character" w:customStyle="1" w:styleId="434">
    <w:name w:val="gray6"/>
    <w:basedOn w:val="82"/>
    <w:qFormat/>
    <w:uiPriority w:val="99"/>
    <w:rPr>
      <w:rFonts w:cs="Times New Roman"/>
    </w:rPr>
  </w:style>
  <w:style w:type="character" w:customStyle="1" w:styleId="435">
    <w:name w:val="blue1"/>
    <w:basedOn w:val="82"/>
    <w:qFormat/>
    <w:uiPriority w:val="99"/>
    <w:rPr>
      <w:rFonts w:cs="Times New Roman"/>
    </w:rPr>
  </w:style>
  <w:style w:type="character" w:customStyle="1" w:styleId="436">
    <w:name w:val="font21"/>
    <w:qFormat/>
    <w:uiPriority w:val="99"/>
    <w:rPr>
      <w:rFonts w:ascii="宋体" w:hAnsi="宋体" w:eastAsia="宋体"/>
      <w:kern w:val="2"/>
      <w:sz w:val="28"/>
      <w:lang w:val="en-US" w:eastAsia="zh-CN"/>
    </w:rPr>
  </w:style>
  <w:style w:type="character" w:customStyle="1" w:styleId="437">
    <w:name w:val="style36"/>
    <w:basedOn w:val="82"/>
    <w:qFormat/>
    <w:uiPriority w:val="99"/>
    <w:rPr>
      <w:rFonts w:cs="Times New Roman"/>
    </w:rPr>
  </w:style>
  <w:style w:type="character" w:customStyle="1" w:styleId="438">
    <w:name w:val="Ò³Ã¼ Char Char"/>
    <w:qFormat/>
    <w:uiPriority w:val="99"/>
    <w:rPr>
      <w:rFonts w:eastAsia="宋体"/>
      <w:kern w:val="2"/>
      <w:sz w:val="18"/>
      <w:lang w:val="en-US" w:eastAsia="zh-CN"/>
    </w:rPr>
  </w:style>
  <w:style w:type="character" w:customStyle="1" w:styleId="439">
    <w:name w:val="Footer-Even Char"/>
    <w:qFormat/>
    <w:uiPriority w:val="99"/>
    <w:rPr>
      <w:rFonts w:eastAsia="宋体"/>
      <w:kern w:val="2"/>
      <w:sz w:val="18"/>
      <w:lang w:val="en-US" w:eastAsia="zh-CN"/>
    </w:rPr>
  </w:style>
  <w:style w:type="character" w:customStyle="1" w:styleId="440">
    <w:name w:val="hei16b1"/>
    <w:qFormat/>
    <w:uiPriority w:val="99"/>
    <w:rPr>
      <w:rFonts w:ascii="Arial" w:hAnsi="Arial"/>
      <w:b/>
      <w:color w:val="000000"/>
      <w:sz w:val="24"/>
    </w:rPr>
  </w:style>
  <w:style w:type="character" w:customStyle="1" w:styleId="441">
    <w:name w:val="style5"/>
    <w:basedOn w:val="82"/>
    <w:qFormat/>
    <w:uiPriority w:val="99"/>
    <w:rPr>
      <w:rFonts w:cs="Times New Roman"/>
    </w:rPr>
  </w:style>
  <w:style w:type="character" w:customStyle="1" w:styleId="442">
    <w:name w:val="style6"/>
    <w:basedOn w:val="82"/>
    <w:qFormat/>
    <w:uiPriority w:val="99"/>
    <w:rPr>
      <w:rFonts w:cs="Times New Roman"/>
    </w:rPr>
  </w:style>
  <w:style w:type="character" w:customStyle="1" w:styleId="443">
    <w:name w:val="无间隔 Char"/>
    <w:link w:val="263"/>
    <w:qFormat/>
    <w:locked/>
    <w:uiPriority w:val="99"/>
    <w:rPr>
      <w:rFonts w:ascii="Calibri" w:hAnsi="Calibri"/>
      <w:sz w:val="22"/>
    </w:rPr>
  </w:style>
  <w:style w:type="character" w:customStyle="1" w:styleId="444">
    <w:name w:val="样式2 Char"/>
    <w:link w:val="266"/>
    <w:qFormat/>
    <w:locked/>
    <w:uiPriority w:val="99"/>
    <w:rPr>
      <w:rFonts w:ascii="仿宋_GB2312" w:hAnsi="仿宋" w:eastAsia="仿宋_GB2312"/>
      <w:kern w:val="0"/>
      <w:sz w:val="20"/>
    </w:rPr>
  </w:style>
  <w:style w:type="character" w:customStyle="1" w:styleId="445">
    <w:name w:val="文档结构图 Char2"/>
    <w:qFormat/>
    <w:uiPriority w:val="99"/>
    <w:rPr>
      <w:rFonts w:eastAsia="宋体"/>
      <w:kern w:val="2"/>
      <w:sz w:val="24"/>
      <w:lang w:val="en-US" w:eastAsia="zh-CN"/>
    </w:rPr>
  </w:style>
  <w:style w:type="character" w:customStyle="1" w:styleId="446">
    <w:name w:val="标题 Char2"/>
    <w:qFormat/>
    <w:uiPriority w:val="99"/>
    <w:rPr>
      <w:rFonts w:eastAsia="宋体"/>
      <w:b/>
      <w:sz w:val="24"/>
      <w:lang w:eastAsia="zh-CN"/>
    </w:rPr>
  </w:style>
  <w:style w:type="character" w:customStyle="1" w:styleId="447">
    <w:name w:val="正文文本 2 Char2"/>
    <w:qFormat/>
    <w:uiPriority w:val="99"/>
    <w:rPr>
      <w:rFonts w:eastAsia="宋体"/>
      <w:kern w:val="2"/>
      <w:sz w:val="24"/>
      <w:lang w:val="en-US" w:eastAsia="zh-CN"/>
    </w:rPr>
  </w:style>
  <w:style w:type="character" w:customStyle="1" w:styleId="448">
    <w:name w:val="批注主题 Char2"/>
    <w:qFormat/>
    <w:uiPriority w:val="99"/>
    <w:rPr>
      <w:rFonts w:eastAsia="宋体"/>
      <w:b/>
      <w:kern w:val="2"/>
      <w:sz w:val="24"/>
      <w:lang w:val="en-US" w:eastAsia="zh-CN"/>
    </w:rPr>
  </w:style>
  <w:style w:type="character" w:customStyle="1" w:styleId="449">
    <w:name w:val="日期 Char2"/>
    <w:qFormat/>
    <w:uiPriority w:val="99"/>
    <w:rPr>
      <w:rFonts w:ascii="宋体"/>
      <w:kern w:val="2"/>
      <w:sz w:val="21"/>
      <w:lang w:val="zh-CN"/>
    </w:rPr>
  </w:style>
  <w:style w:type="character" w:customStyle="1" w:styleId="450">
    <w:name w:val="文档结构图 Char1"/>
    <w:qFormat/>
    <w:uiPriority w:val="99"/>
    <w:rPr>
      <w:rFonts w:eastAsia="宋体"/>
      <w:kern w:val="2"/>
      <w:sz w:val="24"/>
      <w:lang w:val="en-US" w:eastAsia="zh-CN"/>
    </w:rPr>
  </w:style>
  <w:style w:type="character" w:customStyle="1" w:styleId="451">
    <w:name w:val="标题 Char1"/>
    <w:qFormat/>
    <w:uiPriority w:val="99"/>
    <w:rPr>
      <w:rFonts w:eastAsia="宋体"/>
      <w:b/>
      <w:sz w:val="24"/>
      <w:lang w:eastAsia="zh-CN"/>
    </w:rPr>
  </w:style>
  <w:style w:type="character" w:customStyle="1" w:styleId="452">
    <w:name w:val="正文文本 2 Char1"/>
    <w:qFormat/>
    <w:uiPriority w:val="99"/>
    <w:rPr>
      <w:rFonts w:eastAsia="宋体"/>
      <w:kern w:val="2"/>
      <w:sz w:val="24"/>
      <w:lang w:val="en-US" w:eastAsia="zh-CN"/>
    </w:rPr>
  </w:style>
  <w:style w:type="character" w:customStyle="1" w:styleId="453">
    <w:name w:val="批注主题 Char1"/>
    <w:qFormat/>
    <w:uiPriority w:val="99"/>
    <w:rPr>
      <w:rFonts w:eastAsia="宋体"/>
      <w:b/>
      <w:kern w:val="2"/>
      <w:sz w:val="24"/>
      <w:lang w:val="en-US" w:eastAsia="zh-CN"/>
    </w:rPr>
  </w:style>
  <w:style w:type="character" w:customStyle="1" w:styleId="454">
    <w:name w:val="日期 Char1"/>
    <w:qFormat/>
    <w:uiPriority w:val="99"/>
    <w:rPr>
      <w:rFonts w:ascii="宋体"/>
      <w:kern w:val="2"/>
      <w:sz w:val="21"/>
      <w:lang w:val="zh-CN"/>
    </w:rPr>
  </w:style>
  <w:style w:type="character" w:customStyle="1" w:styleId="455">
    <w:name w:val="Char Char2"/>
    <w:qFormat/>
    <w:uiPriority w:val="99"/>
    <w:rPr>
      <w:rFonts w:ascii="宋体" w:hAnsi="Courier New" w:eastAsia="宋体"/>
      <w:kern w:val="2"/>
      <w:sz w:val="21"/>
      <w:lang w:val="en-US" w:eastAsia="zh-CN"/>
    </w:rPr>
  </w:style>
  <w:style w:type="character" w:customStyle="1" w:styleId="456">
    <w:name w:val="Char Char51"/>
    <w:qFormat/>
    <w:uiPriority w:val="99"/>
    <w:rPr>
      <w:rFonts w:ascii="宋体" w:hAnsi="Courier New" w:eastAsia="宋体"/>
      <w:kern w:val="2"/>
      <w:sz w:val="21"/>
      <w:lang w:val="en-US" w:eastAsia="zh-CN"/>
    </w:rPr>
  </w:style>
  <w:style w:type="character" w:customStyle="1" w:styleId="457">
    <w:name w:val="Char Char81"/>
    <w:qFormat/>
    <w:uiPriority w:val="99"/>
    <w:rPr>
      <w:rFonts w:ascii="宋体" w:hAnsi="宋体" w:eastAsia="宋体"/>
      <w:b/>
      <w:sz w:val="24"/>
      <w:lang w:eastAsia="zh-CN"/>
    </w:rPr>
  </w:style>
  <w:style w:type="character" w:customStyle="1" w:styleId="458">
    <w:name w:val="普通文字 Char4"/>
    <w:qFormat/>
    <w:uiPriority w:val="99"/>
    <w:rPr>
      <w:rFonts w:ascii="宋体" w:hAnsi="Courier New" w:eastAsia="宋体"/>
      <w:kern w:val="2"/>
      <w:sz w:val="21"/>
      <w:lang w:val="en-US" w:eastAsia="zh-CN"/>
    </w:rPr>
  </w:style>
  <w:style w:type="character" w:customStyle="1" w:styleId="459">
    <w:name w:val="font11"/>
    <w:qFormat/>
    <w:uiPriority w:val="99"/>
    <w:rPr>
      <w:rFonts w:ascii="宋体" w:hAnsi="宋体" w:eastAsia="宋体"/>
      <w:color w:val="000000"/>
      <w:sz w:val="20"/>
    </w:rPr>
  </w:style>
  <w:style w:type="character" w:customStyle="1" w:styleId="460">
    <w:name w:val="marklong"/>
    <w:basedOn w:val="82"/>
    <w:qFormat/>
    <w:uiPriority w:val="99"/>
    <w:rPr>
      <w:rFonts w:cs="Times New Roman"/>
    </w:rPr>
  </w:style>
  <w:style w:type="character" w:customStyle="1" w:styleId="461">
    <w:name w:val="Ò³Ã¼ Char Char1"/>
    <w:qFormat/>
    <w:uiPriority w:val="99"/>
    <w:rPr>
      <w:rFonts w:eastAsia="宋体"/>
      <w:kern w:val="2"/>
      <w:sz w:val="18"/>
      <w:lang w:val="en-US" w:eastAsia="zh-CN"/>
    </w:rPr>
  </w:style>
  <w:style w:type="character" w:customStyle="1" w:styleId="462">
    <w:name w:val="标准正文 Char"/>
    <w:link w:val="251"/>
    <w:qFormat/>
    <w:locked/>
    <w:uiPriority w:val="99"/>
    <w:rPr>
      <w:rFonts w:ascii="Arial" w:hAnsi="Arial" w:eastAsia="宋体"/>
      <w:b/>
      <w:sz w:val="20"/>
    </w:rPr>
  </w:style>
  <w:style w:type="character" w:customStyle="1" w:styleId="463">
    <w:name w:val="列出段落 Char"/>
    <w:link w:val="272"/>
    <w:qFormat/>
    <w:locked/>
    <w:uiPriority w:val="99"/>
    <w:rPr>
      <w:rFonts w:ascii="Times New Roman" w:hAnsi="Times New Roman" w:eastAsia="楷体_GB2312"/>
      <w:sz w:val="24"/>
    </w:rPr>
  </w:style>
  <w:style w:type="character" w:customStyle="1" w:styleId="464">
    <w:name w:val="样式1 Char"/>
    <w:link w:val="164"/>
    <w:qFormat/>
    <w:locked/>
    <w:uiPriority w:val="99"/>
    <w:rPr>
      <w:rFonts w:ascii="宋体" w:hAnsi="宋体" w:eastAsia="宋体"/>
      <w:kern w:val="0"/>
      <w:sz w:val="20"/>
    </w:rPr>
  </w:style>
  <w:style w:type="character" w:customStyle="1" w:styleId="465">
    <w:name w:val="正文2 Char Char"/>
    <w:qFormat/>
    <w:uiPriority w:val="99"/>
    <w:rPr>
      <w:rFonts w:ascii="宋体" w:hAnsi="宋体" w:eastAsia="宋体"/>
      <w:kern w:val="2"/>
      <w:sz w:val="24"/>
      <w:lang w:val="en-US" w:eastAsia="zh-CN"/>
    </w:rPr>
  </w:style>
  <w:style w:type="character" w:customStyle="1" w:styleId="466">
    <w:name w:val="Char Char12"/>
    <w:qFormat/>
    <w:uiPriority w:val="99"/>
    <w:rPr>
      <w:kern w:val="2"/>
      <w:sz w:val="24"/>
    </w:rPr>
  </w:style>
  <w:style w:type="character" w:customStyle="1" w:styleId="467">
    <w:name w:val="哈哈正文 Char"/>
    <w:link w:val="359"/>
    <w:qFormat/>
    <w:locked/>
    <w:uiPriority w:val="99"/>
    <w:rPr>
      <w:rFonts w:ascii="宋体" w:hAnsi="宋体" w:eastAsia="宋体"/>
      <w:sz w:val="24"/>
    </w:rPr>
  </w:style>
  <w:style w:type="character" w:customStyle="1" w:styleId="468">
    <w:name w:val="样式3 Char"/>
    <w:link w:val="362"/>
    <w:qFormat/>
    <w:locked/>
    <w:uiPriority w:val="99"/>
    <w:rPr>
      <w:rFonts w:ascii="仿宋_GB2312" w:hAnsi="仿宋" w:eastAsia="仿宋_GB2312"/>
      <w:b/>
      <w:color w:val="000000"/>
      <w:sz w:val="28"/>
      <w:szCs w:val="28"/>
    </w:rPr>
  </w:style>
  <w:style w:type="character" w:customStyle="1" w:styleId="469">
    <w:name w:val="ca-91"/>
    <w:qFormat/>
    <w:uiPriority w:val="99"/>
    <w:rPr>
      <w:rFonts w:ascii="宋体" w:hAnsi="宋体" w:eastAsia="宋体"/>
      <w:sz w:val="21"/>
    </w:rPr>
  </w:style>
  <w:style w:type="character" w:customStyle="1" w:styleId="470">
    <w:name w:val="正文非缩进 Char3"/>
    <w:qFormat/>
    <w:uiPriority w:val="99"/>
    <w:rPr>
      <w:rFonts w:ascii="宋体" w:eastAsia="宋体"/>
      <w:snapToGrid w:val="0"/>
      <w:color w:val="000000"/>
      <w:kern w:val="28"/>
      <w:sz w:val="28"/>
      <w:lang w:val="en-US" w:eastAsia="zh-CN"/>
    </w:rPr>
  </w:style>
  <w:style w:type="character" w:customStyle="1" w:styleId="471">
    <w:name w:val="font01"/>
    <w:basedOn w:val="82"/>
    <w:qFormat/>
    <w:uiPriority w:val="99"/>
    <w:rPr>
      <w:rFonts w:ascii="Arial" w:hAnsi="Arial"/>
      <w:color w:val="000000"/>
      <w:sz w:val="20"/>
    </w:rPr>
  </w:style>
  <w:style w:type="character" w:customStyle="1" w:styleId="472">
    <w:name w:val="test1"/>
    <w:qFormat/>
    <w:uiPriority w:val="99"/>
    <w:rPr>
      <w:rFonts w:ascii="宋体" w:hAnsi="宋体" w:eastAsia="宋体"/>
      <w:color w:val="000000"/>
      <w:sz w:val="21"/>
      <w:u w:val="none"/>
    </w:rPr>
  </w:style>
  <w:style w:type="character" w:customStyle="1" w:styleId="473">
    <w:name w:val="带编号样式 Char"/>
    <w:link w:val="366"/>
    <w:qFormat/>
    <w:locked/>
    <w:uiPriority w:val="99"/>
    <w:rPr>
      <w:rFonts w:ascii="仿宋_GB2312" w:hAnsi="Calibri" w:eastAsia="仿宋_GB2312"/>
      <w:color w:val="000000"/>
      <w:sz w:val="24"/>
    </w:rPr>
  </w:style>
  <w:style w:type="character" w:customStyle="1" w:styleId="474">
    <w:name w:val="正文文本 Char1"/>
    <w:qFormat/>
    <w:uiPriority w:val="99"/>
    <w:rPr>
      <w:rFonts w:eastAsia="宋体"/>
      <w:kern w:val="2"/>
      <w:sz w:val="21"/>
      <w:lang w:val="en-US" w:eastAsia="zh-CN"/>
    </w:rPr>
  </w:style>
  <w:style w:type="character" w:customStyle="1" w:styleId="475">
    <w:name w:val="公文正文 Char"/>
    <w:link w:val="368"/>
    <w:qFormat/>
    <w:locked/>
    <w:uiPriority w:val="99"/>
    <w:rPr>
      <w:rFonts w:ascii="仿宋_GB2312" w:eastAsia="仿宋_GB2312"/>
      <w:sz w:val="24"/>
    </w:rPr>
  </w:style>
  <w:style w:type="character" w:customStyle="1" w:styleId="476">
    <w:name w:val="font41"/>
    <w:qFormat/>
    <w:uiPriority w:val="99"/>
    <w:rPr>
      <w:rFonts w:ascii="Calibri" w:hAnsi="Calibri"/>
      <w:color w:val="000000"/>
      <w:sz w:val="20"/>
    </w:rPr>
  </w:style>
  <w:style w:type="character" w:customStyle="1" w:styleId="477">
    <w:name w:val="h Char Char"/>
    <w:qFormat/>
    <w:uiPriority w:val="99"/>
    <w:rPr>
      <w:rFonts w:eastAsia="宋体"/>
      <w:kern w:val="2"/>
      <w:sz w:val="18"/>
      <w:lang w:val="en-US" w:eastAsia="zh-CN"/>
    </w:rPr>
  </w:style>
  <w:style w:type="character" w:customStyle="1" w:styleId="478">
    <w:name w:val="列出段落字符"/>
    <w:qFormat/>
    <w:uiPriority w:val="99"/>
    <w:rPr>
      <w:rFonts w:ascii="Calibri" w:hAnsi="Calibri"/>
      <w:kern w:val="2"/>
      <w:sz w:val="22"/>
    </w:rPr>
  </w:style>
  <w:style w:type="character" w:customStyle="1" w:styleId="479">
    <w:name w:val="正文首行缩进（ACK） Char Char"/>
    <w:link w:val="376"/>
    <w:qFormat/>
    <w:locked/>
    <w:uiPriority w:val="99"/>
    <w:rPr>
      <w:rFonts w:ascii="Arial" w:hAnsi="Arial" w:eastAsia="宋体"/>
      <w:sz w:val="21"/>
    </w:rPr>
  </w:style>
  <w:style w:type="character" w:customStyle="1" w:styleId="480">
    <w:name w:val="apple-converted-space"/>
    <w:qFormat/>
    <w:uiPriority w:val="99"/>
  </w:style>
  <w:style w:type="character" w:customStyle="1" w:styleId="481">
    <w:name w:val="副标题 Char1"/>
    <w:basedOn w:val="82"/>
    <w:qFormat/>
    <w:uiPriority w:val="99"/>
    <w:rPr>
      <w:rFonts w:ascii="Calibri Light" w:hAnsi="Calibri Light" w:eastAsia="宋体" w:cs="黑体"/>
      <w:b/>
      <w:bCs/>
      <w:kern w:val="28"/>
      <w:sz w:val="32"/>
      <w:szCs w:val="32"/>
    </w:rPr>
  </w:style>
  <w:style w:type="table" w:customStyle="1" w:styleId="482">
    <w:name w:val="网格型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83">
    <w:name w:val="Char Char2 Char"/>
    <w:basedOn w:val="1"/>
    <w:qFormat/>
    <w:uiPriority w:val="99"/>
    <w:pPr>
      <w:keepNext/>
      <w:keepLines/>
      <w:pageBreakBefore/>
      <w:tabs>
        <w:tab w:val="left" w:pos="845"/>
      </w:tabs>
      <w:spacing w:line="240" w:lineRule="auto"/>
      <w:ind w:left="845" w:hanging="420"/>
    </w:pPr>
    <w:rPr>
      <w:rFonts w:ascii="Tahoma" w:hAnsi="Tahoma"/>
      <w:sz w:val="24"/>
      <w:szCs w:val="20"/>
    </w:rPr>
  </w:style>
  <w:style w:type="character" w:customStyle="1" w:styleId="484">
    <w:name w:val="tpc_content1"/>
    <w:qFormat/>
    <w:uiPriority w:val="99"/>
    <w:rPr>
      <w:sz w:val="20"/>
    </w:rPr>
  </w:style>
  <w:style w:type="paragraph" w:customStyle="1" w:styleId="485">
    <w:name w:val="智业正文"/>
    <w:basedOn w:val="1"/>
    <w:link w:val="486"/>
    <w:qFormat/>
    <w:uiPriority w:val="99"/>
    <w:pPr>
      <w:ind w:firstLine="200" w:firstLineChars="200"/>
    </w:pPr>
    <w:rPr>
      <w:rFonts w:ascii="仿宋_GB2312" w:eastAsia="仿宋_GB2312"/>
      <w:sz w:val="28"/>
      <w:szCs w:val="20"/>
      <w:lang w:val="zh-CN"/>
    </w:rPr>
  </w:style>
  <w:style w:type="character" w:customStyle="1" w:styleId="486">
    <w:name w:val="智业正文 Char"/>
    <w:link w:val="485"/>
    <w:qFormat/>
    <w:locked/>
    <w:uiPriority w:val="99"/>
    <w:rPr>
      <w:rFonts w:ascii="仿宋_GB2312" w:eastAsia="仿宋_GB2312"/>
      <w:kern w:val="2"/>
      <w:sz w:val="28"/>
      <w:lang w:val="zh-CN" w:eastAsia="zh-CN"/>
    </w:rPr>
  </w:style>
  <w:style w:type="paragraph" w:customStyle="1" w:styleId="487">
    <w:name w:val="列出段落2"/>
    <w:basedOn w:val="1"/>
    <w:qFormat/>
    <w:uiPriority w:val="99"/>
    <w:pPr>
      <w:ind w:firstLine="420" w:firstLineChars="200"/>
    </w:pPr>
    <w:rPr>
      <w:rFonts w:eastAsia="微软雅黑"/>
    </w:rPr>
  </w:style>
  <w:style w:type="paragraph" w:customStyle="1" w:styleId="488">
    <w:name w:val="列出段落3"/>
    <w:basedOn w:val="1"/>
    <w:link w:val="570"/>
    <w:qFormat/>
    <w:uiPriority w:val="99"/>
    <w:pPr>
      <w:ind w:firstLine="420" w:firstLineChars="200"/>
    </w:pPr>
  </w:style>
  <w:style w:type="paragraph" w:customStyle="1" w:styleId="489">
    <w:name w:val="样式 正文缩进 + 首行缩进:  2 字符"/>
    <w:basedOn w:val="17"/>
    <w:qFormat/>
    <w:uiPriority w:val="99"/>
    <w:pPr>
      <w:widowControl w:val="0"/>
      <w:spacing w:line="360" w:lineRule="auto"/>
      <w:ind w:firstLine="200" w:firstLineChars="200"/>
    </w:pPr>
    <w:rPr>
      <w:rFonts w:ascii="Times New Roman" w:cs="宋体"/>
      <w:color w:val="auto"/>
      <w:kern w:val="2"/>
      <w:sz w:val="24"/>
    </w:rPr>
  </w:style>
  <w:style w:type="paragraph" w:customStyle="1" w:styleId="490">
    <w:name w:val="RFI Heading 3rd Level"/>
    <w:basedOn w:val="1"/>
    <w:qFormat/>
    <w:uiPriority w:val="99"/>
    <w:pPr>
      <w:widowControl/>
      <w:numPr>
        <w:ilvl w:val="0"/>
        <w:numId w:val="18"/>
      </w:numPr>
      <w:adjustRightInd w:val="0"/>
      <w:snapToGrid w:val="0"/>
      <w:jc w:val="left"/>
    </w:pPr>
    <w:rPr>
      <w:rFonts w:ascii="Arial (W1)" w:hAnsi="Arial (W1)"/>
      <w:color w:val="000000"/>
      <w:kern w:val="0"/>
      <w:sz w:val="24"/>
      <w:lang w:val="en-GB" w:eastAsia="en-US"/>
    </w:rPr>
  </w:style>
  <w:style w:type="paragraph" w:customStyle="1" w:styleId="491">
    <w:name w:val="RFI Heading 2nd Level"/>
    <w:basedOn w:val="1"/>
    <w:qFormat/>
    <w:uiPriority w:val="99"/>
    <w:pPr>
      <w:widowControl/>
      <w:numPr>
        <w:ilvl w:val="1"/>
        <w:numId w:val="18"/>
      </w:numPr>
      <w:adjustRightInd w:val="0"/>
      <w:snapToGrid w:val="0"/>
      <w:jc w:val="left"/>
    </w:pPr>
    <w:rPr>
      <w:rFonts w:ascii="Arial (W1)" w:hAnsi="Arial (W1)"/>
      <w:b/>
      <w:bCs/>
      <w:color w:val="0000FF"/>
      <w:kern w:val="0"/>
      <w:sz w:val="28"/>
      <w:lang w:val="en-GB" w:eastAsia="en-US"/>
    </w:rPr>
  </w:style>
  <w:style w:type="paragraph" w:customStyle="1" w:styleId="492">
    <w:name w:val="Char1 Char Char Char Char Char Char"/>
    <w:basedOn w:val="1"/>
    <w:qFormat/>
    <w:uiPriority w:val="99"/>
    <w:pPr>
      <w:adjustRightInd w:val="0"/>
      <w:snapToGrid w:val="0"/>
    </w:pPr>
    <w:rPr>
      <w:rFonts w:ascii="Tahoma" w:hAnsi="Tahoma"/>
      <w:sz w:val="24"/>
      <w:szCs w:val="20"/>
    </w:rPr>
  </w:style>
  <w:style w:type="character" w:customStyle="1" w:styleId="493">
    <w:name w:val="正文缩进 Char1"/>
    <w:qFormat/>
    <w:uiPriority w:val="99"/>
    <w:rPr>
      <w:kern w:val="2"/>
      <w:sz w:val="21"/>
    </w:rPr>
  </w:style>
  <w:style w:type="paragraph" w:customStyle="1" w:styleId="494">
    <w:name w:val="样式 宋体 首行缩进:  0.74 厘米 行距: 1.5 倍行距"/>
    <w:basedOn w:val="1"/>
    <w:qFormat/>
    <w:uiPriority w:val="99"/>
    <w:pPr>
      <w:adjustRightInd w:val="0"/>
      <w:snapToGrid w:val="0"/>
      <w:ind w:firstLine="420"/>
    </w:pPr>
    <w:rPr>
      <w:rFonts w:ascii="宋体" w:hAnsi="宋体" w:cs="宋体"/>
      <w:sz w:val="24"/>
      <w:szCs w:val="20"/>
    </w:rPr>
  </w:style>
  <w:style w:type="paragraph" w:customStyle="1" w:styleId="495">
    <w:name w:val="1.1 Header2"/>
    <w:basedOn w:val="1"/>
    <w:qFormat/>
    <w:uiPriority w:val="99"/>
    <w:pPr>
      <w:widowControl/>
      <w:adjustRightInd w:val="0"/>
      <w:snapToGrid w:val="0"/>
      <w:jc w:val="left"/>
    </w:pPr>
    <w:rPr>
      <w:rFonts w:ascii="宋体" w:hAnsi="宋体"/>
      <w:color w:val="000000"/>
      <w:kern w:val="0"/>
      <w:sz w:val="24"/>
      <w:szCs w:val="21"/>
    </w:rPr>
  </w:style>
  <w:style w:type="paragraph" w:customStyle="1" w:styleId="496">
    <w:name w:val="1.1.1Head2"/>
    <w:qFormat/>
    <w:uiPriority w:val="99"/>
    <w:pPr>
      <w:numPr>
        <w:ilvl w:val="2"/>
        <w:numId w:val="19"/>
      </w:numPr>
      <w:spacing w:before="28" w:after="28"/>
      <w:outlineLvl w:val="2"/>
    </w:pPr>
    <w:rPr>
      <w:rFonts w:ascii="Arial" w:hAnsi="Arial" w:eastAsia="宋体" w:cs="Times New Roman"/>
      <w:b/>
      <w:kern w:val="0"/>
      <w:sz w:val="20"/>
      <w:szCs w:val="20"/>
      <w:lang w:val="en-US" w:eastAsia="en-US" w:bidi="ar-SA"/>
    </w:rPr>
  </w:style>
  <w:style w:type="paragraph" w:customStyle="1" w:styleId="497">
    <w:name w:val="1.1.1.1Heading3"/>
    <w:basedOn w:val="5"/>
    <w:qFormat/>
    <w:uiPriority w:val="99"/>
    <w:pPr>
      <w:keepLines w:val="0"/>
      <w:widowControl/>
      <w:numPr>
        <w:ilvl w:val="2"/>
        <w:numId w:val="20"/>
      </w:numPr>
      <w:tabs>
        <w:tab w:val="clear" w:pos="2160"/>
      </w:tabs>
      <w:adjustRightInd w:val="0"/>
      <w:snapToGrid w:val="0"/>
      <w:spacing w:before="120" w:after="120" w:line="240" w:lineRule="auto"/>
      <w:ind w:left="2292" w:leftChars="236" w:right="-156"/>
      <w:jc w:val="left"/>
    </w:pPr>
    <w:rPr>
      <w:rFonts w:ascii="Arial" w:hAnsi="Arial" w:eastAsia="黑体" w:cs="Arial"/>
      <w:kern w:val="0"/>
      <w:sz w:val="24"/>
      <w:szCs w:val="16"/>
    </w:rPr>
  </w:style>
  <w:style w:type="paragraph" w:customStyle="1" w:styleId="498">
    <w:name w:val="RFI text from 3rd Level"/>
    <w:basedOn w:val="499"/>
    <w:qFormat/>
    <w:uiPriority w:val="99"/>
    <w:pPr>
      <w:numPr>
        <w:ilvl w:val="0"/>
        <w:numId w:val="0"/>
      </w:numPr>
      <w:tabs>
        <w:tab w:val="left" w:pos="360"/>
        <w:tab w:val="left" w:pos="720"/>
        <w:tab w:val="left" w:pos="1080"/>
        <w:tab w:val="left" w:pos="1620"/>
      </w:tabs>
    </w:pPr>
    <w:rPr>
      <w:b w:val="0"/>
      <w:lang w:eastAsia="zh-CN"/>
    </w:rPr>
  </w:style>
  <w:style w:type="paragraph" w:customStyle="1" w:styleId="499">
    <w:name w:val="RFI text from 2nd Level"/>
    <w:basedOn w:val="490"/>
    <w:qFormat/>
    <w:uiPriority w:val="99"/>
    <w:pPr>
      <w:numPr>
        <w:ilvl w:val="1"/>
        <w:numId w:val="21"/>
      </w:numPr>
      <w:tabs>
        <w:tab w:val="left" w:pos="1620"/>
        <w:tab w:val="clear" w:pos="1440"/>
      </w:tabs>
      <w:ind w:left="1620" w:hanging="360"/>
    </w:pPr>
    <w:rPr>
      <w:b/>
      <w:bCs/>
      <w:color w:val="auto"/>
    </w:rPr>
  </w:style>
  <w:style w:type="paragraph" w:customStyle="1" w:styleId="500">
    <w:name w:val="RFI Bullet 1st Level"/>
    <w:basedOn w:val="1"/>
    <w:qFormat/>
    <w:uiPriority w:val="99"/>
    <w:pPr>
      <w:widowControl/>
      <w:adjustRightInd w:val="0"/>
      <w:snapToGrid w:val="0"/>
      <w:spacing w:before="60" w:after="60"/>
      <w:ind w:left="1440" w:hanging="360"/>
    </w:pPr>
    <w:rPr>
      <w:rFonts w:ascii="Arial (W1)" w:hAnsi="Arial (W1)"/>
      <w:kern w:val="0"/>
      <w:sz w:val="24"/>
      <w:lang w:val="en-GB" w:eastAsia="en-US"/>
    </w:rPr>
  </w:style>
  <w:style w:type="paragraph" w:customStyle="1" w:styleId="501">
    <w:name w:val="RFI Heading 1st Level"/>
    <w:basedOn w:val="1"/>
    <w:qFormat/>
    <w:uiPriority w:val="99"/>
    <w:pPr>
      <w:widowControl/>
      <w:adjustRightInd w:val="0"/>
      <w:snapToGrid w:val="0"/>
      <w:spacing w:before="120" w:after="240"/>
      <w:jc w:val="left"/>
    </w:pPr>
    <w:rPr>
      <w:rFonts w:ascii="Arial (W1)" w:hAnsi="Arial (W1)"/>
      <w:b/>
      <w:bCs/>
      <w:color w:val="0000FF"/>
      <w:kern w:val="0"/>
      <w:sz w:val="32"/>
      <w:lang w:val="en-GB"/>
    </w:rPr>
  </w:style>
  <w:style w:type="paragraph" w:customStyle="1" w:styleId="502">
    <w:name w:val="RFI abc 1st Level"/>
    <w:basedOn w:val="1"/>
    <w:qFormat/>
    <w:uiPriority w:val="99"/>
    <w:pPr>
      <w:widowControl/>
      <w:numPr>
        <w:ilvl w:val="0"/>
        <w:numId w:val="22"/>
      </w:numPr>
      <w:tabs>
        <w:tab w:val="clear" w:pos="720"/>
      </w:tabs>
      <w:adjustRightInd w:val="0"/>
      <w:snapToGrid w:val="0"/>
      <w:ind w:left="1440"/>
    </w:pPr>
    <w:rPr>
      <w:rFonts w:ascii="Arial (W1)" w:hAnsi="Arial (W1)"/>
      <w:kern w:val="0"/>
      <w:sz w:val="24"/>
      <w:lang w:val="en-GB" w:eastAsia="en-US"/>
    </w:rPr>
  </w:style>
  <w:style w:type="paragraph" w:customStyle="1" w:styleId="503">
    <w:name w:val="Content Bullet"/>
    <w:basedOn w:val="1"/>
    <w:qFormat/>
    <w:uiPriority w:val="99"/>
    <w:pPr>
      <w:widowControl/>
      <w:tabs>
        <w:tab w:val="left" w:pos="420"/>
        <w:tab w:val="left" w:pos="696"/>
        <w:tab w:val="left" w:pos="3060"/>
        <w:tab w:val="left" w:pos="3600"/>
      </w:tabs>
      <w:adjustRightInd w:val="0"/>
      <w:snapToGrid w:val="0"/>
      <w:spacing w:after="120"/>
      <w:ind w:left="720" w:hanging="720"/>
      <w:jc w:val="left"/>
    </w:pPr>
    <w:rPr>
      <w:rFonts w:ascii="Book Antiqua" w:hAnsi="Book Antiqua"/>
      <w:kern w:val="0"/>
      <w:sz w:val="22"/>
      <w:szCs w:val="20"/>
      <w:lang w:val="en-GB" w:eastAsia="en-US"/>
    </w:rPr>
  </w:style>
  <w:style w:type="paragraph" w:customStyle="1" w:styleId="504">
    <w:name w:val="Head1"/>
    <w:qFormat/>
    <w:uiPriority w:val="99"/>
    <w:pPr>
      <w:numPr>
        <w:ilvl w:val="1"/>
        <w:numId w:val="23"/>
      </w:numPr>
      <w:pBdr>
        <w:top w:val="single" w:color="auto" w:sz="6" w:space="1"/>
      </w:pBdr>
      <w:spacing w:before="28" w:after="28"/>
      <w:outlineLvl w:val="1"/>
    </w:pPr>
    <w:rPr>
      <w:rFonts w:ascii="Arial" w:hAnsi="Arial" w:eastAsia="宋体" w:cs="Times New Roman"/>
      <w:b/>
      <w:kern w:val="0"/>
      <w:sz w:val="22"/>
      <w:szCs w:val="20"/>
      <w:lang w:val="en-US" w:eastAsia="en-US" w:bidi="ar-SA"/>
    </w:rPr>
  </w:style>
  <w:style w:type="paragraph" w:customStyle="1" w:styleId="505">
    <w:name w:val="Head2"/>
    <w:qFormat/>
    <w:uiPriority w:val="99"/>
    <w:pPr>
      <w:numPr>
        <w:ilvl w:val="2"/>
        <w:numId w:val="23"/>
      </w:numPr>
      <w:spacing w:before="28" w:after="28"/>
      <w:outlineLvl w:val="2"/>
    </w:pPr>
    <w:rPr>
      <w:rFonts w:ascii="Arial" w:hAnsi="Arial" w:eastAsia="宋体" w:cs="Times New Roman"/>
      <w:b/>
      <w:kern w:val="0"/>
      <w:sz w:val="20"/>
      <w:szCs w:val="20"/>
      <w:lang w:val="en-US" w:eastAsia="en-US" w:bidi="ar-SA"/>
    </w:rPr>
  </w:style>
  <w:style w:type="paragraph" w:customStyle="1" w:styleId="506">
    <w:name w:val="Level 1: a."/>
    <w:qFormat/>
    <w:uiPriority w:val="99"/>
    <w:pPr>
      <w:numPr>
        <w:ilvl w:val="3"/>
        <w:numId w:val="23"/>
      </w:numPr>
      <w:tabs>
        <w:tab w:val="clear" w:pos="720"/>
      </w:tabs>
      <w:spacing w:before="72" w:after="72"/>
      <w:jc w:val="both"/>
      <w:outlineLvl w:val="3"/>
    </w:pPr>
    <w:rPr>
      <w:rFonts w:ascii="Arial" w:hAnsi="Arial" w:eastAsia="宋体" w:cs="Times New Roman"/>
      <w:kern w:val="0"/>
      <w:sz w:val="20"/>
      <w:szCs w:val="20"/>
      <w:lang w:val="en-US" w:eastAsia="en-US" w:bidi="ar-SA"/>
    </w:rPr>
  </w:style>
  <w:style w:type="paragraph" w:customStyle="1" w:styleId="507">
    <w:name w:val="Level 2: 1."/>
    <w:qFormat/>
    <w:uiPriority w:val="99"/>
    <w:pPr>
      <w:numPr>
        <w:ilvl w:val="4"/>
        <w:numId w:val="23"/>
      </w:numPr>
      <w:spacing w:before="72" w:after="72"/>
      <w:jc w:val="both"/>
      <w:outlineLvl w:val="4"/>
    </w:pPr>
    <w:rPr>
      <w:rFonts w:ascii="Arial" w:hAnsi="Arial" w:eastAsia="宋体" w:cs="Times New Roman"/>
      <w:kern w:val="0"/>
      <w:sz w:val="20"/>
      <w:szCs w:val="20"/>
      <w:lang w:val="en-US" w:eastAsia="en-US" w:bidi="ar-SA"/>
    </w:rPr>
  </w:style>
  <w:style w:type="paragraph" w:customStyle="1" w:styleId="508">
    <w:name w:val="Level 3: (a)"/>
    <w:basedOn w:val="1"/>
    <w:qFormat/>
    <w:uiPriority w:val="99"/>
    <w:pPr>
      <w:widowControl/>
      <w:numPr>
        <w:ilvl w:val="5"/>
        <w:numId w:val="23"/>
      </w:numPr>
      <w:tabs>
        <w:tab w:val="left" w:pos="1080"/>
      </w:tabs>
      <w:adjustRightInd w:val="0"/>
      <w:snapToGrid w:val="0"/>
      <w:spacing w:before="72" w:after="72"/>
      <w:outlineLvl w:val="5"/>
    </w:pPr>
    <w:rPr>
      <w:rFonts w:ascii="Arial" w:hAnsi="Arial"/>
      <w:kern w:val="0"/>
      <w:sz w:val="20"/>
      <w:szCs w:val="20"/>
      <w:lang w:eastAsia="en-US"/>
    </w:rPr>
  </w:style>
  <w:style w:type="paragraph" w:customStyle="1" w:styleId="509">
    <w:name w:val="Level 4: (i)"/>
    <w:basedOn w:val="1"/>
    <w:qFormat/>
    <w:uiPriority w:val="99"/>
    <w:pPr>
      <w:widowControl/>
      <w:numPr>
        <w:ilvl w:val="6"/>
        <w:numId w:val="23"/>
      </w:numPr>
      <w:tabs>
        <w:tab w:val="left" w:pos="1440"/>
      </w:tabs>
      <w:adjustRightInd w:val="0"/>
      <w:snapToGrid w:val="0"/>
      <w:spacing w:before="72" w:after="72"/>
      <w:outlineLvl w:val="6"/>
    </w:pPr>
    <w:rPr>
      <w:rFonts w:ascii="Arial" w:hAnsi="Arial"/>
      <w:kern w:val="0"/>
      <w:sz w:val="20"/>
      <w:szCs w:val="20"/>
      <w:lang w:eastAsia="en-US"/>
    </w:rPr>
  </w:style>
  <w:style w:type="paragraph" w:customStyle="1" w:styleId="510">
    <w:name w:val="Level 5: (1)"/>
    <w:basedOn w:val="1"/>
    <w:qFormat/>
    <w:uiPriority w:val="99"/>
    <w:pPr>
      <w:widowControl/>
      <w:numPr>
        <w:ilvl w:val="7"/>
        <w:numId w:val="23"/>
      </w:numPr>
      <w:adjustRightInd w:val="0"/>
      <w:snapToGrid w:val="0"/>
      <w:spacing w:before="72" w:after="72"/>
      <w:outlineLvl w:val="7"/>
    </w:pPr>
    <w:rPr>
      <w:rFonts w:ascii="Arial" w:hAnsi="Arial"/>
      <w:kern w:val="0"/>
      <w:sz w:val="20"/>
      <w:szCs w:val="20"/>
      <w:lang w:eastAsia="en-US"/>
    </w:rPr>
  </w:style>
  <w:style w:type="paragraph" w:customStyle="1" w:styleId="511">
    <w:name w:val="Level 6: (i)"/>
    <w:basedOn w:val="1"/>
    <w:qFormat/>
    <w:uiPriority w:val="99"/>
    <w:pPr>
      <w:widowControl/>
      <w:numPr>
        <w:ilvl w:val="8"/>
        <w:numId w:val="23"/>
      </w:numPr>
      <w:tabs>
        <w:tab w:val="left" w:pos="2160"/>
      </w:tabs>
      <w:adjustRightInd w:val="0"/>
      <w:snapToGrid w:val="0"/>
      <w:spacing w:before="72" w:after="72"/>
      <w:outlineLvl w:val="8"/>
    </w:pPr>
    <w:rPr>
      <w:rFonts w:ascii="Arial" w:hAnsi="Arial"/>
      <w:kern w:val="0"/>
      <w:sz w:val="20"/>
      <w:szCs w:val="20"/>
      <w:lang w:eastAsia="en-US"/>
    </w:rPr>
  </w:style>
  <w:style w:type="paragraph" w:customStyle="1" w:styleId="512">
    <w:name w:val="Reset levels"/>
    <w:basedOn w:val="1"/>
    <w:qFormat/>
    <w:uiPriority w:val="99"/>
    <w:pPr>
      <w:widowControl/>
      <w:numPr>
        <w:ilvl w:val="0"/>
        <w:numId w:val="23"/>
      </w:numPr>
      <w:adjustRightInd w:val="0"/>
      <w:snapToGrid w:val="0"/>
      <w:jc w:val="left"/>
    </w:pPr>
    <w:rPr>
      <w:rFonts w:ascii="Arial" w:hAnsi="Arial"/>
      <w:b/>
      <w:kern w:val="0"/>
      <w:sz w:val="24"/>
      <w:szCs w:val="20"/>
      <w:lang w:eastAsia="en-US"/>
    </w:rPr>
  </w:style>
  <w:style w:type="paragraph" w:customStyle="1" w:styleId="513">
    <w:name w:val="Tabletext"/>
    <w:basedOn w:val="1"/>
    <w:qFormat/>
    <w:uiPriority w:val="99"/>
    <w:pPr>
      <w:keepLines/>
      <w:adjustRightInd w:val="0"/>
      <w:snapToGrid w:val="0"/>
      <w:spacing w:after="120" w:line="240" w:lineRule="atLeast"/>
      <w:jc w:val="left"/>
    </w:pPr>
    <w:rPr>
      <w:kern w:val="0"/>
      <w:sz w:val="24"/>
      <w:szCs w:val="20"/>
      <w:lang w:eastAsia="en-US"/>
    </w:rPr>
  </w:style>
  <w:style w:type="paragraph" w:customStyle="1" w:styleId="514">
    <w:name w:val="RFI List 1"/>
    <w:basedOn w:val="490"/>
    <w:qFormat/>
    <w:uiPriority w:val="99"/>
    <w:pPr>
      <w:numPr>
        <w:numId w:val="0"/>
      </w:numPr>
      <w:tabs>
        <w:tab w:val="left" w:pos="360"/>
        <w:tab w:val="left" w:pos="1800"/>
      </w:tabs>
      <w:spacing w:before="240" w:after="160"/>
      <w:ind w:left="720" w:hanging="720"/>
      <w:outlineLvl w:val="0"/>
    </w:pPr>
    <w:rPr>
      <w:b/>
      <w:color w:val="auto"/>
    </w:rPr>
  </w:style>
  <w:style w:type="paragraph" w:customStyle="1" w:styleId="515">
    <w:name w:val="RFI Heading 4th Level"/>
    <w:basedOn w:val="490"/>
    <w:qFormat/>
    <w:uiPriority w:val="99"/>
    <w:pPr>
      <w:numPr>
        <w:ilvl w:val="3"/>
        <w:numId w:val="21"/>
      </w:numPr>
      <w:tabs>
        <w:tab w:val="left" w:pos="1620"/>
        <w:tab w:val="clear" w:pos="1440"/>
      </w:tabs>
      <w:spacing w:before="240" w:after="160"/>
      <w:ind w:left="1152" w:hanging="1152"/>
      <w:jc w:val="both"/>
      <w:outlineLvl w:val="2"/>
    </w:pPr>
    <w:rPr>
      <w:bCs/>
      <w:color w:val="auto"/>
    </w:rPr>
  </w:style>
  <w:style w:type="paragraph" w:customStyle="1" w:styleId="516">
    <w:name w:val="RFI List 2"/>
    <w:basedOn w:val="514"/>
    <w:qFormat/>
    <w:uiPriority w:val="99"/>
    <w:pPr>
      <w:numPr>
        <w:numId w:val="24"/>
      </w:numPr>
      <w:tabs>
        <w:tab w:val="left" w:pos="2304"/>
      </w:tabs>
      <w:ind w:left="720" w:hanging="720"/>
    </w:pPr>
    <w:rPr>
      <w:b w:val="0"/>
      <w:bCs/>
    </w:rPr>
  </w:style>
  <w:style w:type="paragraph" w:customStyle="1" w:styleId="517">
    <w:name w:val="RFI Heading 2nd Level Char"/>
    <w:basedOn w:val="1"/>
    <w:qFormat/>
    <w:uiPriority w:val="99"/>
    <w:pPr>
      <w:widowControl/>
      <w:tabs>
        <w:tab w:val="left" w:pos="1152"/>
      </w:tabs>
      <w:adjustRightInd w:val="0"/>
      <w:snapToGrid w:val="0"/>
      <w:spacing w:before="240" w:after="240"/>
      <w:ind w:left="1152" w:hanging="1152"/>
      <w:jc w:val="left"/>
      <w:outlineLvl w:val="1"/>
    </w:pPr>
    <w:rPr>
      <w:rFonts w:ascii="Arial (W1)" w:hAnsi="Arial (W1)"/>
      <w:b/>
      <w:bCs/>
      <w:color w:val="3366FF"/>
      <w:kern w:val="0"/>
      <w:sz w:val="24"/>
      <w:lang w:val="en-GB" w:eastAsia="en-US"/>
    </w:rPr>
  </w:style>
  <w:style w:type="paragraph" w:customStyle="1" w:styleId="518">
    <w:name w:val="项目符号2"/>
    <w:basedOn w:val="1"/>
    <w:qFormat/>
    <w:uiPriority w:val="99"/>
    <w:pPr>
      <w:tabs>
        <w:tab w:val="left" w:pos="2591"/>
      </w:tabs>
      <w:adjustRightInd w:val="0"/>
      <w:snapToGrid w:val="0"/>
      <w:spacing w:line="300" w:lineRule="auto"/>
      <w:ind w:left="2155" w:hanging="284"/>
    </w:pPr>
    <w:rPr>
      <w:rFonts w:ascii="宋体"/>
      <w:sz w:val="24"/>
      <w:szCs w:val="20"/>
    </w:rPr>
  </w:style>
  <w:style w:type="paragraph" w:customStyle="1" w:styleId="519">
    <w:name w:val="Normal 0.51"/>
    <w:basedOn w:val="1"/>
    <w:qFormat/>
    <w:uiPriority w:val="99"/>
    <w:pPr>
      <w:keepNext/>
      <w:keepLines/>
      <w:widowControl/>
      <w:adjustRightInd w:val="0"/>
      <w:snapToGrid w:val="0"/>
      <w:spacing w:before="180" w:after="120"/>
      <w:ind w:left="720"/>
    </w:pPr>
    <w:rPr>
      <w:kern w:val="0"/>
      <w:sz w:val="24"/>
      <w:szCs w:val="20"/>
      <w:lang w:val="en-GB" w:eastAsia="en-US"/>
    </w:rPr>
  </w:style>
  <w:style w:type="paragraph" w:customStyle="1" w:styleId="520">
    <w:name w:val="Default Text:1"/>
    <w:basedOn w:val="1"/>
    <w:qFormat/>
    <w:uiPriority w:val="99"/>
    <w:pPr>
      <w:widowControl/>
      <w:adjustRightInd w:val="0"/>
      <w:snapToGrid w:val="0"/>
      <w:jc w:val="left"/>
    </w:pPr>
    <w:rPr>
      <w:rFonts w:ascii="Tahoma" w:hAnsi="Tahoma" w:cs="Tahoma"/>
      <w:kern w:val="0"/>
      <w:sz w:val="24"/>
      <w:lang w:eastAsia="en-US"/>
    </w:rPr>
  </w:style>
  <w:style w:type="paragraph" w:customStyle="1" w:styleId="521">
    <w:name w:val="Default Text"/>
    <w:basedOn w:val="1"/>
    <w:qFormat/>
    <w:uiPriority w:val="99"/>
    <w:pPr>
      <w:widowControl/>
      <w:adjustRightInd w:val="0"/>
      <w:snapToGrid w:val="0"/>
      <w:jc w:val="left"/>
    </w:pPr>
    <w:rPr>
      <w:rFonts w:ascii="Tahoma" w:hAnsi="Tahoma" w:cs="Tahoma"/>
      <w:kern w:val="0"/>
      <w:sz w:val="24"/>
      <w:lang w:eastAsia="en-US"/>
    </w:rPr>
  </w:style>
  <w:style w:type="paragraph" w:customStyle="1" w:styleId="522">
    <w:name w:val="Normal 1.0"/>
    <w:basedOn w:val="1"/>
    <w:qFormat/>
    <w:uiPriority w:val="99"/>
    <w:pPr>
      <w:keepLines/>
      <w:widowControl/>
      <w:adjustRightInd w:val="0"/>
      <w:snapToGrid w:val="0"/>
      <w:spacing w:before="180" w:after="120"/>
      <w:ind w:left="1440"/>
    </w:pPr>
    <w:rPr>
      <w:kern w:val="0"/>
      <w:sz w:val="24"/>
      <w:lang w:val="en-GB" w:eastAsia="en-US"/>
    </w:rPr>
  </w:style>
  <w:style w:type="paragraph" w:customStyle="1" w:styleId="523">
    <w:name w:val="Style Left:  0.81&quot; First line:  0&quot; Line spacing:  1.5 lines Char"/>
    <w:basedOn w:val="1"/>
    <w:qFormat/>
    <w:uiPriority w:val="99"/>
    <w:pPr>
      <w:widowControl/>
      <w:adjustRightInd w:val="0"/>
      <w:snapToGrid w:val="0"/>
      <w:ind w:left="1152"/>
    </w:pPr>
    <w:rPr>
      <w:kern w:val="0"/>
      <w:sz w:val="24"/>
      <w:szCs w:val="20"/>
      <w:lang w:eastAsia="en-US"/>
    </w:rPr>
  </w:style>
  <w:style w:type="paragraph" w:customStyle="1" w:styleId="524">
    <w:name w:val="小条目 Char Char"/>
    <w:basedOn w:val="1"/>
    <w:qFormat/>
    <w:uiPriority w:val="99"/>
    <w:pPr>
      <w:tabs>
        <w:tab w:val="left" w:pos="360"/>
        <w:tab w:val="left" w:pos="2160"/>
      </w:tabs>
      <w:adjustRightInd w:val="0"/>
      <w:snapToGrid w:val="0"/>
      <w:ind w:left="6" w:firstLine="420"/>
    </w:pPr>
    <w:rPr>
      <w:rFonts w:ascii="宋体" w:hAnsi="Arial" w:cs="Arial"/>
      <w:b/>
      <w:bCs/>
      <w:caps/>
      <w:kern w:val="44"/>
      <w:sz w:val="24"/>
      <w:szCs w:val="44"/>
    </w:rPr>
  </w:style>
  <w:style w:type="paragraph" w:customStyle="1" w:styleId="525">
    <w:name w:val="批注框文本1"/>
    <w:basedOn w:val="1"/>
    <w:qFormat/>
    <w:uiPriority w:val="99"/>
    <w:pPr>
      <w:widowControl/>
      <w:adjustRightInd w:val="0"/>
      <w:snapToGrid w:val="0"/>
      <w:spacing w:before="120"/>
      <w:jc w:val="left"/>
    </w:pPr>
    <w:rPr>
      <w:rFonts w:ascii="Tahoma" w:hAnsi="Tahoma" w:cs="Tahoma"/>
      <w:kern w:val="0"/>
      <w:sz w:val="16"/>
      <w:szCs w:val="16"/>
      <w:lang w:val="en-GB" w:eastAsia="en-US"/>
    </w:rPr>
  </w:style>
  <w:style w:type="paragraph" w:customStyle="1" w:styleId="526">
    <w:name w:val="Style Body Text Indent 2 + 11 pt Line spacing:  1.5 lines"/>
    <w:basedOn w:val="44"/>
    <w:qFormat/>
    <w:uiPriority w:val="99"/>
    <w:pPr>
      <w:widowControl/>
      <w:tabs>
        <w:tab w:val="left" w:pos="900"/>
      </w:tabs>
      <w:snapToGrid w:val="0"/>
      <w:ind w:firstLine="0"/>
      <w:textAlignment w:val="auto"/>
    </w:pPr>
    <w:rPr>
      <w:rFonts w:hAnsi="宋体" w:eastAsia="仿宋"/>
      <w:sz w:val="22"/>
      <w:lang w:val="en-GB"/>
    </w:rPr>
  </w:style>
  <w:style w:type="paragraph" w:customStyle="1" w:styleId="527">
    <w:name w:val="Style Heading 3 + Line spacing:  1.5 lines"/>
    <w:basedOn w:val="5"/>
    <w:qFormat/>
    <w:uiPriority w:val="99"/>
    <w:pPr>
      <w:keepLines w:val="0"/>
      <w:widowControl/>
      <w:numPr>
        <w:ilvl w:val="2"/>
        <w:numId w:val="25"/>
      </w:numPr>
      <w:tabs>
        <w:tab w:val="clear" w:pos="432"/>
      </w:tabs>
      <w:adjustRightInd w:val="0"/>
      <w:snapToGrid w:val="0"/>
      <w:spacing w:before="0" w:after="0" w:line="360" w:lineRule="auto"/>
      <w:ind w:left="236" w:leftChars="236"/>
    </w:pPr>
    <w:rPr>
      <w:rFonts w:ascii="Calibri" w:hAnsi="Calibri" w:eastAsia="黑体"/>
      <w:b w:val="0"/>
      <w:kern w:val="0"/>
      <w:sz w:val="28"/>
      <w:szCs w:val="20"/>
    </w:rPr>
  </w:style>
  <w:style w:type="paragraph" w:customStyle="1" w:styleId="528">
    <w:name w:val="Achievement"/>
    <w:basedOn w:val="27"/>
    <w:qFormat/>
    <w:uiPriority w:val="99"/>
    <w:pPr>
      <w:widowControl/>
      <w:numPr>
        <w:ilvl w:val="0"/>
        <w:numId w:val="26"/>
      </w:numPr>
      <w:autoSpaceDE/>
      <w:autoSpaceDN/>
      <w:snapToGrid w:val="0"/>
      <w:spacing w:after="60" w:line="220" w:lineRule="atLeast"/>
    </w:pPr>
    <w:rPr>
      <w:rFonts w:ascii="Arial" w:hAnsi="Arial" w:eastAsia="仿宋"/>
      <w:spacing w:val="-5"/>
      <w:kern w:val="0"/>
      <w:sz w:val="20"/>
      <w:szCs w:val="20"/>
      <w:lang w:val="en-US"/>
    </w:rPr>
  </w:style>
  <w:style w:type="paragraph" w:customStyle="1" w:styleId="529">
    <w:name w:val="Style Heading 3 + 11 pt Line spacing:  1.5 lines"/>
    <w:basedOn w:val="5"/>
    <w:qFormat/>
    <w:uiPriority w:val="99"/>
    <w:pPr>
      <w:keepLines w:val="0"/>
      <w:widowControl/>
      <w:tabs>
        <w:tab w:val="clear" w:pos="432"/>
        <w:tab w:val="clear" w:pos="720"/>
      </w:tabs>
      <w:adjustRightInd w:val="0"/>
      <w:snapToGrid w:val="0"/>
      <w:spacing w:before="0" w:after="0" w:line="360" w:lineRule="auto"/>
      <w:ind w:left="236" w:leftChars="236"/>
    </w:pPr>
    <w:rPr>
      <w:rFonts w:ascii="Calibri" w:hAnsi="Calibri" w:eastAsia="黑体"/>
      <w:kern w:val="0"/>
      <w:sz w:val="28"/>
      <w:szCs w:val="20"/>
    </w:rPr>
  </w:style>
  <w:style w:type="paragraph" w:customStyle="1" w:styleId="530">
    <w:name w:val="Bullet 1"/>
    <w:basedOn w:val="1"/>
    <w:qFormat/>
    <w:uiPriority w:val="99"/>
    <w:pPr>
      <w:widowControl/>
      <w:adjustRightInd w:val="0"/>
      <w:snapToGrid w:val="0"/>
      <w:jc w:val="left"/>
    </w:pPr>
    <w:rPr>
      <w:rFonts w:ascii="Tahoma" w:hAnsi="Tahoma" w:cs="Tahoma"/>
      <w:kern w:val="0"/>
      <w:sz w:val="24"/>
      <w:lang w:eastAsia="en-US"/>
    </w:rPr>
  </w:style>
  <w:style w:type="paragraph" w:customStyle="1" w:styleId="531">
    <w:name w:val="条目2"/>
    <w:basedOn w:val="39"/>
    <w:qFormat/>
    <w:uiPriority w:val="99"/>
    <w:pPr>
      <w:numPr>
        <w:ilvl w:val="0"/>
        <w:numId w:val="27"/>
      </w:numPr>
      <w:adjustRightInd w:val="0"/>
      <w:snapToGrid w:val="0"/>
    </w:pPr>
    <w:rPr>
      <w:rFonts w:eastAsia="仿宋" w:cs="Courier New"/>
      <w:color w:val="000000"/>
      <w:sz w:val="24"/>
      <w:szCs w:val="21"/>
    </w:rPr>
  </w:style>
  <w:style w:type="paragraph" w:customStyle="1" w:styleId="532">
    <w:name w:val="水印"/>
    <w:basedOn w:val="1"/>
    <w:qFormat/>
    <w:uiPriority w:val="99"/>
    <w:pPr>
      <w:adjustRightInd w:val="0"/>
      <w:snapToGrid w:val="0"/>
      <w:spacing w:line="240" w:lineRule="atLeast"/>
      <w:textAlignment w:val="baseline"/>
    </w:pPr>
    <w:rPr>
      <w:kern w:val="0"/>
      <w:szCs w:val="20"/>
    </w:rPr>
  </w:style>
  <w:style w:type="paragraph" w:customStyle="1" w:styleId="533">
    <w:name w:val="项目1"/>
    <w:basedOn w:val="17"/>
    <w:next w:val="17"/>
    <w:qFormat/>
    <w:uiPriority w:val="99"/>
    <w:pPr>
      <w:widowControl w:val="0"/>
      <w:tabs>
        <w:tab w:val="left" w:pos="360"/>
      </w:tabs>
      <w:spacing w:beforeLines="50" w:afterLines="50" w:line="360" w:lineRule="auto"/>
      <w:ind w:left="-4" w:leftChars="-2" w:firstLine="468" w:firstLineChars="195"/>
      <w:jc w:val="left"/>
    </w:pPr>
    <w:rPr>
      <w:rFonts w:hAnsi="宋体"/>
      <w:bCs/>
      <w:color w:val="auto"/>
      <w:kern w:val="2"/>
      <w:sz w:val="24"/>
      <w:szCs w:val="24"/>
    </w:rPr>
  </w:style>
  <w:style w:type="paragraph" w:customStyle="1" w:styleId="534">
    <w:name w:val="项目"/>
    <w:basedOn w:val="27"/>
    <w:next w:val="27"/>
    <w:qFormat/>
    <w:uiPriority w:val="99"/>
    <w:pPr>
      <w:numPr>
        <w:ilvl w:val="0"/>
        <w:numId w:val="28"/>
      </w:numPr>
      <w:autoSpaceDE/>
      <w:autoSpaceDN/>
      <w:snapToGrid w:val="0"/>
    </w:pPr>
    <w:rPr>
      <w:rFonts w:ascii="Times New Roman" w:eastAsia="仿宋"/>
      <w:kern w:val="0"/>
      <w:szCs w:val="20"/>
      <w:lang w:val="en-US"/>
    </w:rPr>
  </w:style>
  <w:style w:type="paragraph" w:customStyle="1" w:styleId="535">
    <w:name w:val="www序号1)"/>
    <w:basedOn w:val="1"/>
    <w:link w:val="537"/>
    <w:qFormat/>
    <w:uiPriority w:val="99"/>
    <w:pPr>
      <w:tabs>
        <w:tab w:val="left" w:pos="2160"/>
      </w:tabs>
      <w:adjustRightInd w:val="0"/>
      <w:snapToGrid w:val="0"/>
      <w:ind w:left="2160" w:hanging="420"/>
    </w:pPr>
    <w:rPr>
      <w:rFonts w:eastAsia="仿宋"/>
      <w:kern w:val="0"/>
      <w:sz w:val="24"/>
    </w:rPr>
  </w:style>
  <w:style w:type="paragraph" w:customStyle="1" w:styleId="536">
    <w:name w:val="www正文"/>
    <w:basedOn w:val="1"/>
    <w:qFormat/>
    <w:uiPriority w:val="99"/>
    <w:pPr>
      <w:adjustRightInd w:val="0"/>
      <w:snapToGrid w:val="0"/>
      <w:ind w:firstLine="480" w:firstLineChars="200"/>
    </w:pPr>
    <w:rPr>
      <w:sz w:val="24"/>
    </w:rPr>
  </w:style>
  <w:style w:type="character" w:customStyle="1" w:styleId="537">
    <w:name w:val="www序号1) Char"/>
    <w:link w:val="535"/>
    <w:qFormat/>
    <w:locked/>
    <w:uiPriority w:val="99"/>
    <w:rPr>
      <w:rFonts w:eastAsia="仿宋"/>
      <w:sz w:val="24"/>
    </w:rPr>
  </w:style>
  <w:style w:type="paragraph" w:customStyle="1" w:styleId="538">
    <w:name w:val="样式 小四 首行缩进:  0.74 厘米 行距: 1.5 倍行距"/>
    <w:basedOn w:val="1"/>
    <w:qFormat/>
    <w:uiPriority w:val="99"/>
    <w:pPr>
      <w:tabs>
        <w:tab w:val="left" w:pos="840"/>
      </w:tabs>
      <w:adjustRightInd w:val="0"/>
      <w:snapToGrid w:val="0"/>
      <w:spacing w:before="100" w:beforeAutospacing="1" w:after="100" w:afterAutospacing="1" w:line="300" w:lineRule="auto"/>
      <w:ind w:firstLine="454"/>
    </w:pPr>
    <w:rPr>
      <w:rFonts w:ascii="Arial" w:hAnsi="Arial"/>
      <w:sz w:val="24"/>
    </w:rPr>
  </w:style>
  <w:style w:type="paragraph" w:customStyle="1" w:styleId="539">
    <w:name w:val="样式 正文文本缩进 + 左侧:  2 字符 首行缩进:  2 字符"/>
    <w:basedOn w:val="29"/>
    <w:qFormat/>
    <w:uiPriority w:val="99"/>
    <w:pPr>
      <w:tabs>
        <w:tab w:val="left" w:pos="360"/>
        <w:tab w:val="left" w:pos="540"/>
      </w:tabs>
      <w:adjustRightInd w:val="0"/>
      <w:snapToGrid w:val="0"/>
      <w:spacing w:line="520" w:lineRule="exact"/>
      <w:ind w:left="200" w:firstLine="560"/>
    </w:pPr>
    <w:rPr>
      <w:rFonts w:ascii="仿宋_GB2312" w:hAnsi="Times New Roman" w:eastAsia="仿宋_GB2312"/>
      <w:sz w:val="28"/>
      <w:szCs w:val="20"/>
    </w:rPr>
  </w:style>
  <w:style w:type="paragraph" w:customStyle="1" w:styleId="540">
    <w:name w:val="图中文字"/>
    <w:basedOn w:val="1"/>
    <w:qFormat/>
    <w:uiPriority w:val="99"/>
    <w:pPr>
      <w:adjustRightInd w:val="0"/>
      <w:snapToGrid w:val="0"/>
      <w:spacing w:line="240" w:lineRule="atLeast"/>
      <w:jc w:val="center"/>
    </w:pPr>
    <w:rPr>
      <w:sz w:val="24"/>
      <w:szCs w:val="20"/>
    </w:rPr>
  </w:style>
  <w:style w:type="paragraph" w:customStyle="1" w:styleId="541">
    <w:name w:val="正文格式"/>
    <w:basedOn w:val="1"/>
    <w:qFormat/>
    <w:uiPriority w:val="99"/>
    <w:pPr>
      <w:widowControl/>
      <w:autoSpaceDE w:val="0"/>
      <w:autoSpaceDN w:val="0"/>
      <w:adjustRightInd w:val="0"/>
      <w:snapToGrid w:val="0"/>
      <w:spacing w:line="360" w:lineRule="atLeast"/>
      <w:textAlignment w:val="baseline"/>
    </w:pPr>
    <w:rPr>
      <w:kern w:val="0"/>
      <w:sz w:val="24"/>
      <w:szCs w:val="20"/>
    </w:rPr>
  </w:style>
  <w:style w:type="paragraph" w:customStyle="1" w:styleId="542">
    <w:name w:val="CSS1级正文 Char"/>
    <w:basedOn w:val="27"/>
    <w:qFormat/>
    <w:uiPriority w:val="99"/>
    <w:pPr>
      <w:autoSpaceDE/>
      <w:autoSpaceDN/>
      <w:snapToGrid w:val="0"/>
      <w:ind w:firstLine="480"/>
    </w:pPr>
    <w:rPr>
      <w:rFonts w:ascii="Times New Roman" w:eastAsia="仿宋"/>
      <w:kern w:val="0"/>
      <w:szCs w:val="24"/>
      <w:lang w:val="en-US"/>
    </w:rPr>
  </w:style>
  <w:style w:type="character" w:customStyle="1" w:styleId="543">
    <w:name w:val="链接"/>
    <w:qFormat/>
    <w:uiPriority w:val="99"/>
    <w:rPr>
      <w:color w:val="0000FF"/>
      <w:sz w:val="21"/>
      <w:u w:val="single"/>
    </w:rPr>
  </w:style>
  <w:style w:type="paragraph" w:customStyle="1" w:styleId="544">
    <w:name w:val="目录2"/>
    <w:basedOn w:val="1"/>
    <w:qFormat/>
    <w:uiPriority w:val="99"/>
    <w:pPr>
      <w:tabs>
        <w:tab w:val="left" w:leader="dot" w:pos="7370"/>
      </w:tabs>
      <w:autoSpaceDE w:val="0"/>
      <w:autoSpaceDN w:val="0"/>
      <w:adjustRightInd w:val="0"/>
      <w:snapToGrid w:val="0"/>
      <w:spacing w:line="317" w:lineRule="atLeast"/>
      <w:ind w:firstLine="209"/>
    </w:pPr>
    <w:rPr>
      <w:color w:val="000000"/>
      <w:kern w:val="0"/>
      <w:szCs w:val="21"/>
    </w:rPr>
  </w:style>
  <w:style w:type="paragraph" w:customStyle="1" w:styleId="545">
    <w:name w:val="目录3"/>
    <w:basedOn w:val="1"/>
    <w:qFormat/>
    <w:uiPriority w:val="99"/>
    <w:pPr>
      <w:tabs>
        <w:tab w:val="left" w:leader="dot" w:pos="7370"/>
      </w:tabs>
      <w:autoSpaceDE w:val="0"/>
      <w:autoSpaceDN w:val="0"/>
      <w:adjustRightInd w:val="0"/>
      <w:snapToGrid w:val="0"/>
      <w:spacing w:line="317" w:lineRule="atLeast"/>
      <w:ind w:firstLine="419"/>
    </w:pPr>
    <w:rPr>
      <w:color w:val="000000"/>
      <w:kern w:val="0"/>
      <w:szCs w:val="21"/>
    </w:rPr>
  </w:style>
  <w:style w:type="paragraph" w:customStyle="1" w:styleId="546">
    <w:name w:val="目录4"/>
    <w:basedOn w:val="1"/>
    <w:qFormat/>
    <w:uiPriority w:val="99"/>
    <w:pPr>
      <w:tabs>
        <w:tab w:val="left" w:leader="dot" w:pos="7370"/>
      </w:tabs>
      <w:autoSpaceDE w:val="0"/>
      <w:autoSpaceDN w:val="0"/>
      <w:adjustRightInd w:val="0"/>
      <w:snapToGrid w:val="0"/>
      <w:spacing w:line="317" w:lineRule="atLeast"/>
      <w:ind w:firstLine="629"/>
    </w:pPr>
    <w:rPr>
      <w:color w:val="000000"/>
      <w:kern w:val="0"/>
      <w:szCs w:val="21"/>
    </w:rPr>
  </w:style>
  <w:style w:type="paragraph" w:customStyle="1" w:styleId="547">
    <w:name w:val="目录1"/>
    <w:basedOn w:val="1"/>
    <w:qFormat/>
    <w:uiPriority w:val="99"/>
    <w:pPr>
      <w:tabs>
        <w:tab w:val="left" w:leader="dot" w:pos="8503"/>
      </w:tabs>
      <w:autoSpaceDE w:val="0"/>
      <w:autoSpaceDN w:val="0"/>
      <w:adjustRightInd w:val="0"/>
      <w:snapToGrid w:val="0"/>
      <w:spacing w:after="136" w:line="289" w:lineRule="atLeast"/>
      <w:jc w:val="left"/>
    </w:pPr>
    <w:rPr>
      <w:rFonts w:ascii="Arial" w:hAnsi="Arial"/>
      <w:color w:val="000000"/>
      <w:kern w:val="0"/>
      <w:sz w:val="28"/>
      <w:szCs w:val="28"/>
    </w:rPr>
  </w:style>
  <w:style w:type="paragraph" w:customStyle="1" w:styleId="548">
    <w:name w:val="目录标题1"/>
    <w:basedOn w:val="1"/>
    <w:qFormat/>
    <w:uiPriority w:val="99"/>
    <w:pPr>
      <w:autoSpaceDE w:val="0"/>
      <w:autoSpaceDN w:val="0"/>
      <w:adjustRightInd w:val="0"/>
      <w:snapToGrid w:val="0"/>
      <w:spacing w:before="566" w:after="544" w:line="566" w:lineRule="atLeast"/>
      <w:ind w:firstLine="419"/>
      <w:jc w:val="center"/>
    </w:pPr>
    <w:rPr>
      <w:rFonts w:ascii="Arial" w:hAnsi="Arial"/>
      <w:color w:val="000000"/>
      <w:spacing w:val="565"/>
      <w:kern w:val="0"/>
      <w:sz w:val="54"/>
      <w:szCs w:val="54"/>
    </w:rPr>
  </w:style>
  <w:style w:type="paragraph" w:customStyle="1" w:styleId="549">
    <w:name w:val="文章总标题"/>
    <w:basedOn w:val="1"/>
    <w:qFormat/>
    <w:uiPriority w:val="99"/>
    <w:pPr>
      <w:autoSpaceDE w:val="0"/>
      <w:autoSpaceDN w:val="0"/>
      <w:adjustRightInd w:val="0"/>
      <w:snapToGrid w:val="0"/>
      <w:spacing w:before="566" w:after="544" w:line="566" w:lineRule="atLeast"/>
      <w:jc w:val="center"/>
    </w:pPr>
    <w:rPr>
      <w:rFonts w:ascii="Arial" w:hAnsi="Arial"/>
      <w:color w:val="000000"/>
      <w:kern w:val="0"/>
      <w:sz w:val="54"/>
      <w:szCs w:val="54"/>
    </w:rPr>
  </w:style>
  <w:style w:type="paragraph" w:customStyle="1" w:styleId="550">
    <w:name w:val="文章附标题"/>
    <w:basedOn w:val="1"/>
    <w:qFormat/>
    <w:uiPriority w:val="99"/>
    <w:pPr>
      <w:autoSpaceDE w:val="0"/>
      <w:autoSpaceDN w:val="0"/>
      <w:adjustRightInd w:val="0"/>
      <w:snapToGrid w:val="0"/>
      <w:spacing w:before="187" w:after="175" w:line="374" w:lineRule="atLeast"/>
      <w:jc w:val="center"/>
    </w:pPr>
    <w:rPr>
      <w:color w:val="000000"/>
      <w:kern w:val="0"/>
      <w:sz w:val="36"/>
      <w:szCs w:val="36"/>
    </w:rPr>
  </w:style>
  <w:style w:type="paragraph" w:customStyle="1" w:styleId="551">
    <w:name w:val="小节标题"/>
    <w:basedOn w:val="1"/>
    <w:qFormat/>
    <w:uiPriority w:val="99"/>
    <w:pPr>
      <w:autoSpaceDE w:val="0"/>
      <w:autoSpaceDN w:val="0"/>
      <w:adjustRightInd w:val="0"/>
      <w:snapToGrid w:val="0"/>
      <w:spacing w:before="175" w:after="102" w:line="351" w:lineRule="atLeast"/>
    </w:pPr>
    <w:rPr>
      <w:color w:val="000000"/>
      <w:kern w:val="0"/>
      <w:szCs w:val="21"/>
    </w:rPr>
  </w:style>
  <w:style w:type="paragraph" w:customStyle="1" w:styleId="552">
    <w:name w:val="节标题"/>
    <w:basedOn w:val="1"/>
    <w:qFormat/>
    <w:uiPriority w:val="99"/>
    <w:pPr>
      <w:autoSpaceDE w:val="0"/>
      <w:autoSpaceDN w:val="0"/>
      <w:adjustRightInd w:val="0"/>
      <w:snapToGrid w:val="0"/>
      <w:spacing w:line="289" w:lineRule="atLeast"/>
      <w:jc w:val="center"/>
    </w:pPr>
    <w:rPr>
      <w:color w:val="000000"/>
      <w:kern w:val="0"/>
      <w:sz w:val="28"/>
      <w:szCs w:val="28"/>
    </w:rPr>
  </w:style>
  <w:style w:type="paragraph" w:customStyle="1" w:styleId="553">
    <w:name w:val="批注框文本2"/>
    <w:basedOn w:val="1"/>
    <w:qFormat/>
    <w:uiPriority w:val="99"/>
    <w:pPr>
      <w:autoSpaceDE w:val="0"/>
      <w:autoSpaceDN w:val="0"/>
      <w:adjustRightInd w:val="0"/>
      <w:snapToGrid w:val="0"/>
      <w:spacing w:line="351" w:lineRule="atLeast"/>
      <w:ind w:firstLine="419"/>
    </w:pPr>
    <w:rPr>
      <w:color w:val="000000"/>
      <w:kern w:val="0"/>
      <w:sz w:val="18"/>
      <w:szCs w:val="18"/>
    </w:rPr>
  </w:style>
  <w:style w:type="paragraph" w:customStyle="1" w:styleId="554">
    <w:name w:val="小项目标题"/>
    <w:basedOn w:val="1"/>
    <w:qFormat/>
    <w:uiPriority w:val="99"/>
    <w:pPr>
      <w:tabs>
        <w:tab w:val="left" w:pos="1440"/>
      </w:tabs>
      <w:adjustRightInd w:val="0"/>
      <w:snapToGrid w:val="0"/>
      <w:spacing w:before="100" w:beforeAutospacing="1" w:after="100" w:afterAutospacing="1"/>
      <w:ind w:left="480" w:leftChars="200"/>
      <w:jc w:val="left"/>
    </w:pPr>
    <w:rPr>
      <w:sz w:val="24"/>
    </w:rPr>
  </w:style>
  <w:style w:type="paragraph" w:customStyle="1" w:styleId="555">
    <w:name w:val="样式 标题 1章节第一层h1H"/>
    <w:basedOn w:val="3"/>
    <w:qFormat/>
    <w:uiPriority w:val="99"/>
    <w:pPr>
      <w:keepNext w:val="0"/>
      <w:keepLines w:val="0"/>
      <w:numPr>
        <w:ilvl w:val="0"/>
        <w:numId w:val="0"/>
      </w:numPr>
      <w:tabs>
        <w:tab w:val="clear" w:pos="432"/>
      </w:tabs>
      <w:autoSpaceDE w:val="0"/>
      <w:autoSpaceDN w:val="0"/>
      <w:adjustRightInd w:val="0"/>
      <w:snapToGrid w:val="0"/>
      <w:spacing w:before="0" w:after="0" w:line="240" w:lineRule="auto"/>
      <w:jc w:val="left"/>
      <w:outlineLvl w:val="9"/>
    </w:pPr>
    <w:rPr>
      <w:rFonts w:ascii="Calibri" w:hAnsi="Calibri"/>
      <w:kern w:val="0"/>
      <w:sz w:val="52"/>
      <w:szCs w:val="52"/>
      <w:lang w:val="zh-CN"/>
    </w:rPr>
  </w:style>
  <w:style w:type="paragraph" w:customStyle="1" w:styleId="556">
    <w:name w:val="金宏发行正文 Char"/>
    <w:basedOn w:val="1"/>
    <w:qFormat/>
    <w:uiPriority w:val="99"/>
    <w:pPr>
      <w:adjustRightInd w:val="0"/>
      <w:snapToGrid w:val="0"/>
      <w:spacing w:line="500" w:lineRule="exact"/>
      <w:ind w:firstLine="560" w:firstLineChars="200"/>
    </w:pPr>
    <w:rPr>
      <w:rFonts w:eastAsia="仿宋_GB2312"/>
      <w:sz w:val="28"/>
      <w:szCs w:val="20"/>
    </w:rPr>
  </w:style>
  <w:style w:type="paragraph" w:customStyle="1" w:styleId="557">
    <w:name w:val="普通正文"/>
    <w:basedOn w:val="1"/>
    <w:qFormat/>
    <w:uiPriority w:val="99"/>
    <w:pPr>
      <w:tabs>
        <w:tab w:val="left" w:pos="2880"/>
      </w:tabs>
      <w:adjustRightInd w:val="0"/>
      <w:snapToGrid w:val="0"/>
      <w:spacing w:before="120" w:after="120"/>
      <w:ind w:firstLine="480"/>
      <w:jc w:val="left"/>
      <w:textAlignment w:val="baseline"/>
    </w:pPr>
    <w:rPr>
      <w:rFonts w:ascii="Arial" w:hAnsi="Arial"/>
      <w:kern w:val="0"/>
      <w:sz w:val="24"/>
    </w:rPr>
  </w:style>
  <w:style w:type="paragraph" w:customStyle="1" w:styleId="558">
    <w:name w:val="金宏发行正文"/>
    <w:basedOn w:val="1"/>
    <w:qFormat/>
    <w:uiPriority w:val="99"/>
    <w:pPr>
      <w:adjustRightInd w:val="0"/>
      <w:snapToGrid w:val="0"/>
      <w:spacing w:line="500" w:lineRule="exact"/>
      <w:ind w:firstLine="560" w:firstLineChars="200"/>
    </w:pPr>
    <w:rPr>
      <w:rFonts w:eastAsia="仿宋_GB2312"/>
      <w:sz w:val="28"/>
      <w:szCs w:val="20"/>
    </w:rPr>
  </w:style>
  <w:style w:type="paragraph" w:customStyle="1" w:styleId="559">
    <w:name w:val="标1"/>
    <w:basedOn w:val="1"/>
    <w:qFormat/>
    <w:uiPriority w:val="99"/>
    <w:pPr>
      <w:widowControl/>
      <w:adjustRightInd w:val="0"/>
      <w:snapToGrid w:val="0"/>
      <w:spacing w:beforeLines="100"/>
      <w:jc w:val="left"/>
      <w:outlineLvl w:val="0"/>
    </w:pPr>
    <w:rPr>
      <w:rFonts w:ascii="Arial Narrow" w:hAnsi="Arial Narrow" w:eastAsia="仿宋_GB2312"/>
      <w:b/>
      <w:spacing w:val="20"/>
      <w:kern w:val="0"/>
      <w:sz w:val="24"/>
    </w:rPr>
  </w:style>
  <w:style w:type="character" w:customStyle="1" w:styleId="560">
    <w:name w:val="javascript"/>
    <w:basedOn w:val="82"/>
    <w:qFormat/>
    <w:uiPriority w:val="99"/>
    <w:rPr>
      <w:rFonts w:cs="Times New Roman"/>
    </w:rPr>
  </w:style>
  <w:style w:type="paragraph" w:customStyle="1" w:styleId="561">
    <w:name w:val="bt_content"/>
    <w:basedOn w:val="1"/>
    <w:qFormat/>
    <w:uiPriority w:val="99"/>
    <w:pPr>
      <w:widowControl/>
      <w:adjustRightInd w:val="0"/>
      <w:snapToGrid w:val="0"/>
      <w:spacing w:before="100" w:beforeAutospacing="1" w:after="100" w:afterAutospacing="1"/>
      <w:jc w:val="left"/>
    </w:pPr>
    <w:rPr>
      <w:rFonts w:ascii="宋体" w:hAnsi="宋体" w:cs="宋体"/>
      <w:kern w:val="0"/>
      <w:sz w:val="24"/>
    </w:rPr>
  </w:style>
  <w:style w:type="character" w:customStyle="1" w:styleId="562">
    <w:name w:val="para1"/>
    <w:qFormat/>
    <w:uiPriority w:val="99"/>
    <w:rPr>
      <w:rFonts w:ascii="Arial" w:hAnsi="Arial"/>
      <w:sz w:val="18"/>
    </w:rPr>
  </w:style>
  <w:style w:type="paragraph" w:customStyle="1" w:styleId="563">
    <w:name w:val="图"/>
    <w:basedOn w:val="1"/>
    <w:qFormat/>
    <w:uiPriority w:val="99"/>
    <w:pPr>
      <w:keepNext/>
      <w:adjustRightInd w:val="0"/>
      <w:snapToGrid w:val="0"/>
      <w:spacing w:before="60" w:after="60" w:line="300" w:lineRule="auto"/>
      <w:jc w:val="center"/>
      <w:textAlignment w:val="center"/>
    </w:pPr>
    <w:rPr>
      <w:spacing w:val="20"/>
      <w:kern w:val="0"/>
      <w:sz w:val="24"/>
      <w:szCs w:val="20"/>
    </w:rPr>
  </w:style>
  <w:style w:type="paragraph" w:customStyle="1" w:styleId="564">
    <w:name w:val="表格标题"/>
    <w:basedOn w:val="1"/>
    <w:qFormat/>
    <w:uiPriority w:val="99"/>
    <w:pPr>
      <w:adjustRightInd w:val="0"/>
      <w:snapToGrid w:val="0"/>
      <w:jc w:val="center"/>
    </w:pPr>
    <w:rPr>
      <w:rFonts w:eastAsia="仿宋"/>
      <w:b/>
    </w:rPr>
  </w:style>
  <w:style w:type="paragraph" w:customStyle="1" w:styleId="565">
    <w:name w:val="表格文字"/>
    <w:basedOn w:val="1"/>
    <w:qFormat/>
    <w:uiPriority w:val="99"/>
    <w:pPr>
      <w:adjustRightInd w:val="0"/>
      <w:snapToGrid w:val="0"/>
      <w:jc w:val="left"/>
      <w:textAlignment w:val="top"/>
    </w:pPr>
    <w:rPr>
      <w:rFonts w:eastAsia="仿宋"/>
      <w:sz w:val="18"/>
    </w:rPr>
  </w:style>
  <w:style w:type="paragraph" w:customStyle="1" w:styleId="566">
    <w:name w:val="style18"/>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7">
    <w:name w:val="pic-info"/>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8">
    <w:name w:val="普通(网站)1"/>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9">
    <w:name w:val="列表1"/>
    <w:basedOn w:val="1"/>
    <w:qFormat/>
    <w:uiPriority w:val="99"/>
    <w:pPr>
      <w:widowControl/>
      <w:adjustRightInd w:val="0"/>
      <w:snapToGrid w:val="0"/>
      <w:spacing w:beforeLines="50" w:after="200"/>
      <w:ind w:left="480"/>
      <w:jc w:val="left"/>
    </w:pPr>
    <w:rPr>
      <w:rFonts w:ascii="微软雅黑" w:hAnsi="微软雅黑" w:eastAsia="仿宋"/>
      <w:bCs/>
      <w:kern w:val="0"/>
      <w:sz w:val="22"/>
      <w:szCs w:val="21"/>
    </w:rPr>
  </w:style>
  <w:style w:type="character" w:customStyle="1" w:styleId="570">
    <w:name w:val="列出段落 字符1"/>
    <w:link w:val="488"/>
    <w:qFormat/>
    <w:locked/>
    <w:uiPriority w:val="99"/>
    <w:rPr>
      <w:kern w:val="2"/>
      <w:sz w:val="24"/>
    </w:rPr>
  </w:style>
  <w:style w:type="paragraph" w:customStyle="1" w:styleId="571">
    <w:name w:val="顺序编号1"/>
    <w:basedOn w:val="1"/>
    <w:qFormat/>
    <w:uiPriority w:val="99"/>
    <w:pPr>
      <w:adjustRightInd w:val="0"/>
      <w:snapToGrid w:val="0"/>
      <w:spacing w:afterLines="50"/>
    </w:pPr>
  </w:style>
  <w:style w:type="paragraph" w:customStyle="1" w:styleId="572">
    <w:name w:val="No Spacing1"/>
    <w:qFormat/>
    <w:uiPriority w:val="99"/>
    <w:pPr>
      <w:widowControl w:val="0"/>
      <w:spacing w:line="360" w:lineRule="auto"/>
      <w:jc w:val="both"/>
    </w:pPr>
    <w:rPr>
      <w:rFonts w:ascii="Calibri" w:hAnsi="Calibri" w:eastAsia="宋体" w:cs="黑体"/>
      <w:kern w:val="2"/>
      <w:sz w:val="24"/>
      <w:szCs w:val="22"/>
      <w:lang w:val="en-US" w:eastAsia="zh-CN" w:bidi="ar-SA"/>
    </w:rPr>
  </w:style>
  <w:style w:type="paragraph" w:customStyle="1" w:styleId="573">
    <w:name w:val="图例"/>
    <w:basedOn w:val="1"/>
    <w:next w:val="44"/>
    <w:qFormat/>
    <w:uiPriority w:val="99"/>
    <w:pPr>
      <w:spacing w:line="300" w:lineRule="auto"/>
      <w:ind w:firstLine="200" w:firstLineChars="200"/>
      <w:jc w:val="center"/>
    </w:pPr>
    <w:rPr>
      <w:rFonts w:ascii="宋体" w:hAnsi="Calibri" w:cs="黑体"/>
      <w:sz w:val="18"/>
      <w:szCs w:val="18"/>
    </w:rPr>
  </w:style>
  <w:style w:type="paragraph" w:customStyle="1" w:styleId="574">
    <w:name w:val="表格数据"/>
    <w:qFormat/>
    <w:uiPriority w:val="99"/>
    <w:rPr>
      <w:rFonts w:ascii="Times New Roman" w:hAnsi="Times New Roman" w:eastAsia="宋体" w:cs="宋体"/>
      <w:kern w:val="0"/>
      <w:sz w:val="20"/>
      <w:szCs w:val="20"/>
      <w:lang w:val="en-US" w:eastAsia="zh-CN" w:bidi="ar-SA"/>
    </w:rPr>
  </w:style>
  <w:style w:type="paragraph" w:customStyle="1" w:styleId="575">
    <w:name w:val="TOC 标题2"/>
    <w:basedOn w:val="3"/>
    <w:next w:val="1"/>
    <w:qFormat/>
    <w:uiPriority w:val="99"/>
    <w:pPr>
      <w:widowControl/>
      <w:numPr>
        <w:numId w:val="0"/>
      </w:numPr>
      <w:tabs>
        <w:tab w:val="clear" w:pos="432"/>
      </w:tabs>
      <w:spacing w:before="480" w:after="0" w:line="276" w:lineRule="auto"/>
      <w:jc w:val="left"/>
      <w:outlineLvl w:val="9"/>
    </w:pPr>
    <w:rPr>
      <w:rFonts w:ascii="Cambria" w:hAnsi="Cambria" w:cs="宋体"/>
      <w:color w:val="366091"/>
      <w:kern w:val="0"/>
      <w:sz w:val="28"/>
      <w:szCs w:val="28"/>
    </w:rPr>
  </w:style>
  <w:style w:type="character" w:customStyle="1" w:styleId="576">
    <w:name w:val="标题 4 Char1"/>
    <w:qFormat/>
    <w:uiPriority w:val="99"/>
    <w:rPr>
      <w:rFonts w:ascii="Arial" w:hAnsi="Arial" w:eastAsia="黑体"/>
      <w:b/>
      <w:kern w:val="2"/>
      <w:sz w:val="28"/>
      <w:lang w:val="en-US" w:eastAsia="zh-CN"/>
    </w:rPr>
  </w:style>
  <w:style w:type="character" w:customStyle="1" w:styleId="577">
    <w:name w:val="px1233"/>
    <w:basedOn w:val="82"/>
    <w:qFormat/>
    <w:uiPriority w:val="99"/>
    <w:rPr>
      <w:rFonts w:cs="Times New Roman"/>
    </w:rPr>
  </w:style>
  <w:style w:type="character" w:customStyle="1" w:styleId="578">
    <w:name w:val="outputtext"/>
    <w:basedOn w:val="82"/>
    <w:qFormat/>
    <w:uiPriority w:val="99"/>
    <w:rPr>
      <w:rFonts w:cs="Times New Roman"/>
    </w:rPr>
  </w:style>
  <w:style w:type="character" w:customStyle="1" w:styleId="579">
    <w:name w:val="txt"/>
    <w:basedOn w:val="82"/>
    <w:qFormat/>
    <w:uiPriority w:val="99"/>
    <w:rPr>
      <w:rFonts w:cs="Times New Roman"/>
    </w:rPr>
  </w:style>
  <w:style w:type="paragraph" w:customStyle="1" w:styleId="580">
    <w:name w:val="页脚1"/>
    <w:basedOn w:val="1"/>
    <w:qFormat/>
    <w:uiPriority w:val="99"/>
    <w:pPr>
      <w:tabs>
        <w:tab w:val="center" w:pos="4153"/>
        <w:tab w:val="right" w:pos="8306"/>
      </w:tabs>
      <w:snapToGrid w:val="0"/>
      <w:spacing w:line="240" w:lineRule="auto"/>
      <w:jc w:val="left"/>
    </w:pPr>
    <w:rPr>
      <w:sz w:val="18"/>
      <w:szCs w:val="18"/>
    </w:rPr>
  </w:style>
  <w:style w:type="paragraph" w:customStyle="1" w:styleId="581">
    <w:name w:val="文档结构图1"/>
    <w:basedOn w:val="1"/>
    <w:qFormat/>
    <w:uiPriority w:val="99"/>
    <w:pPr>
      <w:spacing w:line="240" w:lineRule="auto"/>
    </w:pPr>
    <w:rPr>
      <w:rFonts w:ascii="宋体"/>
      <w:sz w:val="18"/>
      <w:szCs w:val="18"/>
    </w:rPr>
  </w:style>
  <w:style w:type="character" w:customStyle="1" w:styleId="582">
    <w:name w:val="标题 1 Char Char"/>
    <w:qFormat/>
    <w:uiPriority w:val="99"/>
    <w:rPr>
      <w:rFonts w:eastAsia="宋体"/>
      <w:b/>
      <w:spacing w:val="-2"/>
      <w:sz w:val="24"/>
      <w:lang w:val="en-US" w:eastAsia="zh-CN"/>
    </w:rPr>
  </w:style>
  <w:style w:type="character" w:customStyle="1" w:styleId="583">
    <w:name w:val="纯文本 Char Char Char Char Char Char Char Char Char Char"/>
    <w:qFormat/>
    <w:uiPriority w:val="99"/>
    <w:rPr>
      <w:rFonts w:ascii="宋体" w:hAnsi="Courier New" w:eastAsia="宋体"/>
      <w:kern w:val="2"/>
      <w:sz w:val="21"/>
      <w:lang w:val="en-US" w:eastAsia="zh-CN"/>
    </w:rPr>
  </w:style>
  <w:style w:type="paragraph" w:customStyle="1" w:styleId="584">
    <w:name w:val="f1"/>
    <w:basedOn w:val="1"/>
    <w:qFormat/>
    <w:uiPriority w:val="99"/>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585">
    <w:name w:val="无间隔2"/>
    <w:link w:val="586"/>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86">
    <w:name w:val="无间隔 字符"/>
    <w:link w:val="585"/>
    <w:qFormat/>
    <w:locked/>
    <w:uiPriority w:val="99"/>
    <w:rPr>
      <w:rFonts w:ascii="Calibri" w:hAnsi="Calibri"/>
      <w:kern w:val="2"/>
      <w:sz w:val="22"/>
    </w:rPr>
  </w:style>
  <w:style w:type="paragraph" w:customStyle="1" w:styleId="587">
    <w:name w:val="默认段落字体 Para Char Char Char Char Char Char Char Char Char1 Char Char Char Char"/>
    <w:basedOn w:val="1"/>
    <w:qFormat/>
    <w:uiPriority w:val="99"/>
    <w:pPr>
      <w:spacing w:line="240" w:lineRule="auto"/>
    </w:pPr>
    <w:rPr>
      <w:rFonts w:ascii="Tahoma" w:hAnsi="Tahoma"/>
      <w:sz w:val="24"/>
      <w:szCs w:val="20"/>
    </w:rPr>
  </w:style>
  <w:style w:type="paragraph" w:customStyle="1" w:styleId="588">
    <w:name w:val="03"/>
    <w:basedOn w:val="1"/>
    <w:qFormat/>
    <w:uiPriority w:val="99"/>
    <w:pPr>
      <w:spacing w:line="500" w:lineRule="exact"/>
      <w:ind w:firstLine="567"/>
    </w:pPr>
    <w:rPr>
      <w:spacing w:val="20"/>
      <w:sz w:val="28"/>
      <w:szCs w:val="20"/>
    </w:rPr>
  </w:style>
  <w:style w:type="paragraph" w:customStyle="1" w:styleId="589">
    <w:name w:val="正文首缩"/>
    <w:basedOn w:val="1"/>
    <w:next w:val="6"/>
    <w:qFormat/>
    <w:uiPriority w:val="99"/>
    <w:pPr>
      <w:adjustRightInd w:val="0"/>
      <w:spacing w:line="324" w:lineRule="auto"/>
      <w:ind w:firstLine="425"/>
      <w:textAlignment w:val="baseline"/>
    </w:pPr>
    <w:rPr>
      <w:kern w:val="0"/>
      <w:sz w:val="28"/>
      <w:szCs w:val="20"/>
    </w:rPr>
  </w:style>
  <w:style w:type="paragraph" w:customStyle="1" w:styleId="590">
    <w:name w:val="样式6"/>
    <w:basedOn w:val="1"/>
    <w:qFormat/>
    <w:uiPriority w:val="99"/>
    <w:pPr>
      <w:spacing w:before="249" w:after="249" w:line="240" w:lineRule="auto"/>
    </w:pPr>
    <w:rPr>
      <w:rFonts w:ascii="华文中宋" w:eastAsia="华文中宋"/>
      <w:b/>
      <w:sz w:val="32"/>
      <w:szCs w:val="20"/>
    </w:rPr>
  </w:style>
  <w:style w:type="paragraph" w:customStyle="1" w:styleId="591">
    <w:name w:val="s2"/>
    <w:basedOn w:val="1"/>
    <w:qFormat/>
    <w:uiPriority w:val="99"/>
    <w:pPr>
      <w:widowControl/>
      <w:spacing w:before="100" w:beforeAutospacing="1" w:after="100" w:afterAutospacing="1" w:line="240" w:lineRule="auto"/>
      <w:jc w:val="left"/>
    </w:pPr>
    <w:rPr>
      <w:kern w:val="0"/>
      <w:sz w:val="24"/>
    </w:rPr>
  </w:style>
  <w:style w:type="character" w:customStyle="1" w:styleId="592">
    <w:name w:val="cucd-0 Char1"/>
    <w:link w:val="593"/>
    <w:qFormat/>
    <w:locked/>
    <w:uiPriority w:val="99"/>
    <w:rPr>
      <w:sz w:val="24"/>
      <w:lang w:val="en-US" w:eastAsia="zh-CN"/>
    </w:rPr>
  </w:style>
  <w:style w:type="paragraph" w:customStyle="1" w:styleId="593">
    <w:name w:val="cucd-0"/>
    <w:link w:val="592"/>
    <w:qFormat/>
    <w:uiPriority w:val="99"/>
    <w:pPr>
      <w:spacing w:line="360" w:lineRule="auto"/>
      <w:ind w:firstLine="480" w:firstLineChars="200"/>
    </w:pPr>
    <w:rPr>
      <w:rFonts w:ascii="Times New Roman" w:hAnsi="Times New Roman" w:eastAsia="宋体" w:cs="Times New Roman"/>
      <w:kern w:val="0"/>
      <w:sz w:val="24"/>
      <w:szCs w:val="24"/>
      <w:lang w:val="en-US" w:eastAsia="zh-CN" w:bidi="ar-SA"/>
    </w:rPr>
  </w:style>
  <w:style w:type="paragraph" w:customStyle="1" w:styleId="594">
    <w:name w:val="GP正文(首行缩进)"/>
    <w:basedOn w:val="1"/>
    <w:qFormat/>
    <w:uiPriority w:val="99"/>
    <w:pPr>
      <w:ind w:firstLine="200" w:firstLineChars="200"/>
      <w:jc w:val="left"/>
    </w:pPr>
    <w:rPr>
      <w:kern w:val="0"/>
      <w:sz w:val="24"/>
      <w:szCs w:val="20"/>
    </w:rPr>
  </w:style>
  <w:style w:type="paragraph" w:customStyle="1" w:styleId="595">
    <w:name w:val="标书正文"/>
    <w:basedOn w:val="1"/>
    <w:qFormat/>
    <w:uiPriority w:val="99"/>
    <w:pPr>
      <w:ind w:firstLine="480" w:firstLineChars="200"/>
    </w:pPr>
    <w:rPr>
      <w:rFonts w:ascii="宋体" w:cs="宋体"/>
      <w:sz w:val="24"/>
    </w:rPr>
  </w:style>
  <w:style w:type="character" w:customStyle="1" w:styleId="596">
    <w:name w:val="标题2 Char Char"/>
    <w:link w:val="597"/>
    <w:qFormat/>
    <w:locked/>
    <w:uiPriority w:val="99"/>
    <w:rPr>
      <w:rFonts w:ascii="Arial" w:hAnsi="Arial"/>
      <w:b/>
      <w:bCs/>
      <w:spacing w:val="20"/>
      <w:kern w:val="28"/>
      <w:sz w:val="28"/>
      <w:szCs w:val="28"/>
      <w:lang w:eastAsia="en-US"/>
    </w:rPr>
  </w:style>
  <w:style w:type="paragraph" w:customStyle="1" w:styleId="597">
    <w:name w:val="标题2"/>
    <w:basedOn w:val="4"/>
    <w:link w:val="596"/>
    <w:qFormat/>
    <w:uiPriority w:val="99"/>
    <w:pPr>
      <w:keepLines w:val="0"/>
      <w:widowControl/>
      <w:numPr>
        <w:ilvl w:val="1"/>
        <w:numId w:val="29"/>
      </w:numPr>
      <w:spacing w:before="320" w:after="160" w:line="240" w:lineRule="auto"/>
      <w:jc w:val="left"/>
    </w:pPr>
    <w:rPr>
      <w:rFonts w:ascii="Arial" w:hAnsi="Arial"/>
      <w:spacing w:val="20"/>
      <w:kern w:val="28"/>
      <w:sz w:val="28"/>
      <w:szCs w:val="28"/>
      <w:lang w:val="en-US" w:eastAsia="en-US"/>
    </w:rPr>
  </w:style>
  <w:style w:type="character" w:customStyle="1" w:styleId="598">
    <w:name w:val="页脚 Char Char"/>
    <w:qFormat/>
    <w:uiPriority w:val="99"/>
    <w:rPr>
      <w:rFonts w:eastAsia="宋体"/>
      <w:sz w:val="18"/>
    </w:rPr>
  </w:style>
  <w:style w:type="character" w:customStyle="1" w:styleId="599">
    <w:name w:val="Char Char Char Char Char"/>
    <w:qFormat/>
    <w:uiPriority w:val="99"/>
    <w:rPr>
      <w:rFonts w:ascii="Arial" w:hAnsi="Arial" w:eastAsia="黑体"/>
      <w:b/>
      <w:kern w:val="2"/>
      <w:sz w:val="28"/>
      <w:lang w:val="en-US" w:eastAsia="zh-CN"/>
    </w:rPr>
  </w:style>
  <w:style w:type="character" w:customStyle="1" w:styleId="600">
    <w:name w:val="标题 4 Char Char"/>
    <w:qFormat/>
    <w:uiPriority w:val="99"/>
    <w:rPr>
      <w:rFonts w:ascii="Arial" w:hAnsi="Arial" w:eastAsia="黑体"/>
      <w:b/>
      <w:kern w:val="2"/>
      <w:sz w:val="28"/>
      <w:lang w:val="en-US" w:eastAsia="zh-CN"/>
    </w:rPr>
  </w:style>
  <w:style w:type="character" w:customStyle="1" w:styleId="601">
    <w:name w:val="正文缩进 Char Char"/>
    <w:qFormat/>
    <w:uiPriority w:val="99"/>
    <w:rPr>
      <w:rFonts w:ascii="Calibri" w:hAnsi="Calibri" w:eastAsia="宋体"/>
      <w:kern w:val="2"/>
      <w:sz w:val="22"/>
      <w:lang w:val="en-US" w:eastAsia="zh-CN"/>
    </w:rPr>
  </w:style>
  <w:style w:type="character" w:customStyle="1" w:styleId="602">
    <w:name w:val="文档结构图 Char Char"/>
    <w:qFormat/>
    <w:uiPriority w:val="99"/>
    <w:rPr>
      <w:rFonts w:ascii="宋体" w:eastAsia="宋体"/>
      <w:sz w:val="18"/>
    </w:rPr>
  </w:style>
  <w:style w:type="paragraph" w:customStyle="1" w:styleId="603">
    <w:name w:val="style8"/>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customStyle="1" w:styleId="604">
    <w:name w:val="bt"/>
    <w:basedOn w:val="82"/>
    <w:qFormat/>
    <w:uiPriority w:val="99"/>
    <w:rPr>
      <w:rFonts w:cs="Times New Roman"/>
    </w:rPr>
  </w:style>
  <w:style w:type="paragraph" w:customStyle="1" w:styleId="605">
    <w:name w:val="正文 项目"/>
    <w:basedOn w:val="1"/>
    <w:qFormat/>
    <w:uiPriority w:val="99"/>
    <w:pPr>
      <w:widowControl/>
      <w:numPr>
        <w:ilvl w:val="0"/>
        <w:numId w:val="30"/>
      </w:numPr>
      <w:spacing w:after="120" w:line="440" w:lineRule="exact"/>
      <w:jc w:val="left"/>
    </w:pPr>
    <w:rPr>
      <w:rFonts w:ascii="仿宋_GB2312" w:hAnsi="仿宋_GB2312" w:eastAsia="仿宋_GB2312"/>
      <w:sz w:val="24"/>
      <w:szCs w:val="20"/>
    </w:rPr>
  </w:style>
  <w:style w:type="character" w:customStyle="1" w:styleId="606">
    <w:name w:val="批注文字 Char1"/>
    <w:basedOn w:val="82"/>
    <w:qFormat/>
    <w:uiPriority w:val="99"/>
    <w:rPr>
      <w:rFonts w:ascii="Times New Roman" w:hAnsi="Times New Roman" w:cs="Times New Roman"/>
      <w:color w:val="auto"/>
      <w:kern w:val="2"/>
      <w:sz w:val="21"/>
    </w:rPr>
  </w:style>
  <w:style w:type="character" w:customStyle="1" w:styleId="607">
    <w:name w:val="Caption Char"/>
    <w:basedOn w:val="82"/>
    <w:link w:val="18"/>
    <w:qFormat/>
    <w:locked/>
    <w:uiPriority w:val="99"/>
    <w:rPr>
      <w:rFonts w:cs="Times New Roman"/>
      <w:b/>
      <w:kern w:val="2"/>
      <w:sz w:val="28"/>
    </w:rPr>
  </w:style>
  <w:style w:type="character" w:customStyle="1" w:styleId="608">
    <w:name w:val="正文文本缩进 Char1"/>
    <w:basedOn w:val="82"/>
    <w:qFormat/>
    <w:uiPriority w:val="99"/>
    <w:rPr>
      <w:rFonts w:ascii="方正书宋简体" w:hAnsi="Times New Roman" w:eastAsia="方正书宋简体" w:cs="Times New Roman"/>
      <w:color w:val="auto"/>
      <w:sz w:val="28"/>
      <w:szCs w:val="28"/>
    </w:rPr>
  </w:style>
  <w:style w:type="character" w:customStyle="1" w:styleId="609">
    <w:name w:val="正文首行缩进 Char1"/>
    <w:basedOn w:val="82"/>
    <w:qFormat/>
    <w:uiPriority w:val="99"/>
    <w:rPr>
      <w:rFonts w:ascii="Times New Roman" w:hAnsi="Times New Roman" w:cs="Times New Roman"/>
      <w:color w:val="auto"/>
      <w:kern w:val="2"/>
      <w:sz w:val="24"/>
      <w:szCs w:val="24"/>
    </w:rPr>
  </w:style>
  <w:style w:type="character" w:customStyle="1" w:styleId="610">
    <w:name w:val="正文首行缩进 2 Char1"/>
    <w:basedOn w:val="608"/>
    <w:qFormat/>
    <w:uiPriority w:val="99"/>
    <w:rPr>
      <w:rFonts w:ascii="Times New Roman"/>
      <w:kern w:val="2"/>
      <w:sz w:val="21"/>
      <w:szCs w:val="21"/>
    </w:rPr>
  </w:style>
  <w:style w:type="character" w:customStyle="1" w:styleId="611">
    <w:name w:val="正文文本缩进 2 Char1"/>
    <w:basedOn w:val="82"/>
    <w:qFormat/>
    <w:uiPriority w:val="99"/>
    <w:rPr>
      <w:rFonts w:ascii="楷体_GB2312" w:hAnsi="Times New Roman" w:eastAsia="楷体_GB2312" w:cs="Times New Roman"/>
      <w:color w:val="auto"/>
      <w:sz w:val="32"/>
      <w:szCs w:val="32"/>
    </w:rPr>
  </w:style>
  <w:style w:type="character" w:customStyle="1" w:styleId="612">
    <w:name w:val="正文文本缩进 3 Char1"/>
    <w:basedOn w:val="82"/>
    <w:qFormat/>
    <w:uiPriority w:val="99"/>
    <w:rPr>
      <w:rFonts w:ascii="Times New Roman" w:hAnsi="Times New Roman" w:cs="Times New Roman"/>
      <w:color w:val="auto"/>
      <w:sz w:val="32"/>
      <w:szCs w:val="32"/>
    </w:rPr>
  </w:style>
  <w:style w:type="character" w:customStyle="1" w:styleId="613">
    <w:name w:val="纯文本 Char1"/>
    <w:basedOn w:val="82"/>
    <w:qFormat/>
    <w:uiPriority w:val="99"/>
    <w:rPr>
      <w:rFonts w:ascii="宋体" w:hAnsi="Courier New" w:eastAsia="宋体" w:cs="Courier New"/>
      <w:sz w:val="21"/>
      <w:szCs w:val="21"/>
    </w:rPr>
  </w:style>
  <w:style w:type="character" w:customStyle="1" w:styleId="614">
    <w:name w:val="批注框文本 Char1"/>
    <w:basedOn w:val="82"/>
    <w:qFormat/>
    <w:uiPriority w:val="99"/>
    <w:rPr>
      <w:rFonts w:ascii="Times New Roman" w:hAnsi="Times New Roman" w:cs="Times New Roman"/>
      <w:color w:val="auto"/>
      <w:kern w:val="2"/>
      <w:sz w:val="18"/>
      <w:szCs w:val="18"/>
    </w:rPr>
  </w:style>
  <w:style w:type="paragraph" w:customStyle="1" w:styleId="615">
    <w:name w:val="样式 标题 1 + 四号 居中"/>
    <w:basedOn w:val="3"/>
    <w:qFormat/>
    <w:uiPriority w:val="99"/>
    <w:pPr>
      <w:numPr>
        <w:ilvl w:val="0"/>
        <w:numId w:val="0"/>
      </w:numPr>
      <w:tabs>
        <w:tab w:val="clear" w:pos="432"/>
      </w:tabs>
      <w:autoSpaceDE w:val="0"/>
      <w:autoSpaceDN w:val="0"/>
      <w:adjustRightInd w:val="0"/>
      <w:spacing w:before="240" w:after="240" w:line="240" w:lineRule="auto"/>
      <w:ind w:firstLine="288"/>
      <w:jc w:val="center"/>
      <w:outlineLvl w:val="9"/>
    </w:pPr>
    <w:rPr>
      <w:kern w:val="0"/>
      <w:sz w:val="28"/>
      <w:szCs w:val="28"/>
    </w:rPr>
  </w:style>
  <w:style w:type="paragraph" w:customStyle="1" w:styleId="616">
    <w:name w:val="样式 样式 样式 样式 标题"/>
    <w:basedOn w:val="1"/>
    <w:qFormat/>
    <w:uiPriority w:val="99"/>
    <w:pPr>
      <w:keepNext/>
      <w:keepLines/>
      <w:tabs>
        <w:tab w:val="left" w:pos="709"/>
      </w:tabs>
      <w:autoSpaceDE w:val="0"/>
      <w:autoSpaceDN w:val="0"/>
      <w:adjustRightInd w:val="0"/>
      <w:spacing w:before="240" w:line="240" w:lineRule="auto"/>
      <w:ind w:left="709" w:hanging="709"/>
      <w:jc w:val="left"/>
    </w:pPr>
    <w:rPr>
      <w:rFonts w:ascii="宋体"/>
      <w:b/>
      <w:bCs/>
      <w:color w:val="000000"/>
      <w:kern w:val="0"/>
      <w:szCs w:val="21"/>
    </w:rPr>
  </w:style>
  <w:style w:type="paragraph" w:customStyle="1" w:styleId="617">
    <w:name w:val="Char Char Char Char Char Char Char Char Char Char Char Char Char Char"/>
    <w:basedOn w:val="1"/>
    <w:qFormat/>
    <w:uiPriority w:val="99"/>
    <w:pPr>
      <w:spacing w:line="240" w:lineRule="auto"/>
    </w:pPr>
    <w:rPr>
      <w:rFonts w:ascii="Tahoma" w:hAnsi="Tahoma"/>
      <w:sz w:val="24"/>
    </w:rPr>
  </w:style>
  <w:style w:type="character" w:customStyle="1" w:styleId="618">
    <w:name w:val="表题/图题 Char"/>
    <w:basedOn w:val="82"/>
    <w:link w:val="619"/>
    <w:qFormat/>
    <w:locked/>
    <w:uiPriority w:val="99"/>
    <w:rPr>
      <w:rFonts w:hAnsi="宋体" w:cs="Times New Roman"/>
      <w:b/>
      <w:sz w:val="24"/>
      <w:szCs w:val="24"/>
    </w:rPr>
  </w:style>
  <w:style w:type="paragraph" w:customStyle="1" w:styleId="619">
    <w:name w:val="表题/图题"/>
    <w:basedOn w:val="1"/>
    <w:next w:val="1"/>
    <w:link w:val="618"/>
    <w:qFormat/>
    <w:uiPriority w:val="99"/>
    <w:pPr>
      <w:tabs>
        <w:tab w:val="left" w:pos="720"/>
      </w:tabs>
      <w:spacing w:line="240" w:lineRule="auto"/>
      <w:ind w:left="720" w:hanging="720"/>
      <w:jc w:val="center"/>
    </w:pPr>
    <w:rPr>
      <w:rFonts w:hAnsi="宋体"/>
      <w:b/>
      <w:kern w:val="0"/>
      <w:sz w:val="24"/>
    </w:rPr>
  </w:style>
  <w:style w:type="paragraph" w:customStyle="1" w:styleId="620">
    <w:name w:val="Char Char Char Char Char Char Char Char Char"/>
    <w:basedOn w:val="1"/>
    <w:qFormat/>
    <w:uiPriority w:val="99"/>
    <w:pPr>
      <w:widowControl/>
      <w:spacing w:after="160" w:line="240" w:lineRule="exact"/>
      <w:jc w:val="left"/>
    </w:pPr>
    <w:rPr>
      <w:rFonts w:ascii="Verdana" w:hAnsi="Verdana" w:eastAsia="仿宋_GB2312"/>
      <w:b/>
      <w:i/>
      <w:kern w:val="0"/>
      <w:sz w:val="24"/>
      <w:lang w:eastAsia="en-US"/>
    </w:rPr>
  </w:style>
  <w:style w:type="character" w:customStyle="1" w:styleId="621">
    <w:name w:val="段落正文 Char"/>
    <w:basedOn w:val="82"/>
    <w:link w:val="622"/>
    <w:qFormat/>
    <w:locked/>
    <w:uiPriority w:val="99"/>
    <w:rPr>
      <w:rFonts w:hAnsi="宋体" w:cs="Times New Roman"/>
      <w:sz w:val="24"/>
      <w:szCs w:val="24"/>
    </w:rPr>
  </w:style>
  <w:style w:type="paragraph" w:customStyle="1" w:styleId="622">
    <w:name w:val="段落正文"/>
    <w:basedOn w:val="1"/>
    <w:link w:val="621"/>
    <w:qFormat/>
    <w:uiPriority w:val="99"/>
    <w:pPr>
      <w:spacing w:beforeLines="50" w:line="300" w:lineRule="auto"/>
      <w:ind w:firstLine="480" w:firstLineChars="200"/>
      <w:jc w:val="left"/>
    </w:pPr>
    <w:rPr>
      <w:rFonts w:hAnsi="宋体"/>
      <w:kern w:val="0"/>
      <w:sz w:val="24"/>
    </w:rPr>
  </w:style>
  <w:style w:type="paragraph" w:customStyle="1" w:styleId="623">
    <w:name w:val="实施日期"/>
    <w:basedOn w:val="1"/>
    <w:qFormat/>
    <w:uiPriority w:val="99"/>
    <w:pPr>
      <w:framePr w:w="4000" w:h="473" w:vSpace="180" w:wrap="around" w:vAnchor="margin" w:hAnchor="margin" w:xAlign="right" w:y="13511" w:anchorLock="1"/>
      <w:widowControl/>
      <w:tabs>
        <w:tab w:val="left" w:pos="1125"/>
      </w:tabs>
      <w:spacing w:line="240" w:lineRule="auto"/>
      <w:ind w:left="1125" w:hanging="480"/>
      <w:jc w:val="right"/>
    </w:pPr>
    <w:rPr>
      <w:rFonts w:eastAsia="黑体"/>
      <w:kern w:val="0"/>
      <w:sz w:val="28"/>
      <w:szCs w:val="20"/>
    </w:rPr>
  </w:style>
  <w:style w:type="paragraph" w:customStyle="1" w:styleId="624">
    <w:name w:val="图表脚注"/>
    <w:next w:val="187"/>
    <w:qFormat/>
    <w:uiPriority w:val="99"/>
    <w:pPr>
      <w:tabs>
        <w:tab w:val="left" w:pos="1125"/>
      </w:tabs>
      <w:ind w:left="1125" w:hanging="480"/>
      <w:jc w:val="both"/>
    </w:pPr>
    <w:rPr>
      <w:rFonts w:ascii="宋体" w:hAnsi="Times New Roman" w:eastAsia="宋体" w:cs="Times New Roman"/>
      <w:kern w:val="0"/>
      <w:sz w:val="18"/>
      <w:szCs w:val="20"/>
      <w:lang w:val="en-US" w:eastAsia="zh-CN" w:bidi="ar-SA"/>
    </w:rPr>
  </w:style>
  <w:style w:type="paragraph" w:customStyle="1" w:styleId="625">
    <w:name w:val="标题1"/>
    <w:basedOn w:val="75"/>
    <w:qFormat/>
    <w:uiPriority w:val="99"/>
    <w:pPr>
      <w:autoSpaceDE/>
      <w:autoSpaceDN/>
      <w:adjustRightInd/>
      <w:spacing w:line="240" w:lineRule="auto"/>
      <w:ind w:firstLine="0"/>
    </w:pPr>
    <w:rPr>
      <w:rFonts w:ascii="楷体_GB2312" w:eastAsia="楷体_GB2312"/>
      <w:b/>
      <w:sz w:val="28"/>
      <w:szCs w:val="28"/>
      <w:lang w:val="en-US"/>
    </w:rPr>
  </w:style>
  <w:style w:type="paragraph" w:customStyle="1" w:styleId="626">
    <w:name w:val="我的正文"/>
    <w:basedOn w:val="1"/>
    <w:qFormat/>
    <w:uiPriority w:val="99"/>
    <w:pPr>
      <w:adjustRightInd w:val="0"/>
      <w:snapToGrid w:val="0"/>
      <w:spacing w:line="360" w:lineRule="exact"/>
      <w:ind w:right="210" w:rightChars="100"/>
      <w:jc w:val="left"/>
    </w:pPr>
    <w:rPr>
      <w:b/>
      <w:color w:val="000000"/>
    </w:rPr>
  </w:style>
  <w:style w:type="paragraph" w:customStyle="1" w:styleId="627">
    <w:name w:val="（空）多级符号 Char Char"/>
    <w:basedOn w:val="1"/>
    <w:qFormat/>
    <w:uiPriority w:val="99"/>
    <w:pPr>
      <w:adjustRightInd w:val="0"/>
      <w:snapToGrid w:val="0"/>
      <w:ind w:firstLine="540" w:firstLineChars="225"/>
    </w:pPr>
    <w:rPr>
      <w:rFonts w:ascii="宋体" w:hAnsi="宋体"/>
      <w:sz w:val="24"/>
    </w:rPr>
  </w:style>
  <w:style w:type="paragraph" w:customStyle="1" w:styleId="628">
    <w:name w:val="1.1 多级符号 Char Char"/>
    <w:basedOn w:val="1"/>
    <w:qFormat/>
    <w:uiPriority w:val="99"/>
    <w:pPr>
      <w:tabs>
        <w:tab w:val="left" w:pos="1440"/>
      </w:tabs>
      <w:spacing w:beforeLines="50" w:line="480" w:lineRule="auto"/>
      <w:outlineLvl w:val="1"/>
    </w:pPr>
    <w:rPr>
      <w:rFonts w:ascii="宋体" w:hAnsi="宋体"/>
      <w:b/>
      <w:sz w:val="28"/>
      <w:szCs w:val="28"/>
    </w:rPr>
  </w:style>
  <w:style w:type="paragraph" w:customStyle="1" w:styleId="629">
    <w:name w:val="yiv2047259363msonormal"/>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customStyle="1" w:styleId="630">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sz w:val="28"/>
      <w:szCs w:val="20"/>
    </w:rPr>
  </w:style>
  <w:style w:type="character" w:customStyle="1" w:styleId="631">
    <w:name w:val="正文样式 Char"/>
    <w:basedOn w:val="82"/>
    <w:link w:val="632"/>
    <w:qFormat/>
    <w:locked/>
    <w:uiPriority w:val="99"/>
    <w:rPr>
      <w:rFonts w:hAnsi="宋体" w:cs="Times New Roman"/>
      <w:sz w:val="24"/>
      <w:szCs w:val="24"/>
    </w:rPr>
  </w:style>
  <w:style w:type="paragraph" w:customStyle="1" w:styleId="632">
    <w:name w:val="正文样式"/>
    <w:basedOn w:val="1"/>
    <w:link w:val="631"/>
    <w:qFormat/>
    <w:uiPriority w:val="99"/>
    <w:pPr>
      <w:ind w:firstLine="480" w:firstLineChars="200"/>
    </w:pPr>
    <w:rPr>
      <w:rFonts w:hAnsi="宋体"/>
      <w:kern w:val="0"/>
      <w:sz w:val="24"/>
    </w:rPr>
  </w:style>
  <w:style w:type="paragraph" w:customStyle="1" w:styleId="633">
    <w:name w:val="??"/>
    <w:qFormat/>
    <w:uiPriority w:val="99"/>
    <w:pPr>
      <w:widowControl w:val="0"/>
      <w:overflowPunct w:val="0"/>
      <w:autoSpaceDE w:val="0"/>
      <w:autoSpaceDN w:val="0"/>
      <w:adjustRightInd w:val="0"/>
      <w:spacing w:line="360" w:lineRule="atLeast"/>
      <w:jc w:val="both"/>
    </w:pPr>
    <w:rPr>
      <w:rFonts w:ascii="Times New Roman" w:hAnsi="Times New Roman" w:eastAsia="宋体" w:cs="Times New Roman"/>
      <w:kern w:val="2"/>
      <w:sz w:val="21"/>
      <w:szCs w:val="20"/>
      <w:lang w:val="en-US" w:eastAsia="en-US" w:bidi="ar-SA"/>
    </w:rPr>
  </w:style>
  <w:style w:type="paragraph" w:customStyle="1" w:styleId="634">
    <w:name w:val="Default Paragraph Char Char Char Char"/>
    <w:basedOn w:val="1"/>
    <w:next w:val="1"/>
    <w:qFormat/>
    <w:uiPriority w:val="99"/>
    <w:pPr>
      <w:widowControl/>
      <w:jc w:val="left"/>
    </w:pPr>
    <w:rPr>
      <w:kern w:val="0"/>
      <w:szCs w:val="20"/>
      <w:lang w:eastAsia="en-US"/>
    </w:rPr>
  </w:style>
  <w:style w:type="paragraph" w:customStyle="1" w:styleId="635">
    <w:name w:val="样式 标题 2 + 段前: 1 行 段后: 1 行"/>
    <w:basedOn w:val="1"/>
    <w:next w:val="21"/>
    <w:qFormat/>
    <w:uiPriority w:val="99"/>
    <w:pPr>
      <w:keepNext/>
      <w:keepLines/>
      <w:tabs>
        <w:tab w:val="left" w:pos="1260"/>
      </w:tabs>
      <w:ind w:left="1260" w:hanging="420"/>
      <w:outlineLvl w:val="1"/>
    </w:pPr>
    <w:rPr>
      <w:rFonts w:ascii="宋体" w:hAnsi="宋体" w:cs="Arial"/>
      <w:color w:val="000000"/>
      <w:spacing w:val="10"/>
      <w:kern w:val="0"/>
      <w:sz w:val="28"/>
      <w:szCs w:val="32"/>
    </w:rPr>
  </w:style>
  <w:style w:type="paragraph" w:customStyle="1" w:styleId="636">
    <w:name w:val="xl54"/>
    <w:basedOn w:val="1"/>
    <w:qFormat/>
    <w:uiPriority w:val="99"/>
    <w:pPr>
      <w:widowControl/>
      <w:pBdr>
        <w:left w:val="single" w:color="auto" w:sz="4" w:space="0"/>
        <w:right w:val="single" w:color="auto" w:sz="4" w:space="0"/>
      </w:pBdr>
      <w:spacing w:before="100" w:beforeAutospacing="1" w:after="100" w:afterAutospacing="1" w:line="240" w:lineRule="auto"/>
      <w:jc w:val="center"/>
    </w:pPr>
    <w:rPr>
      <w:rFonts w:ascii="Arial" w:hAnsi="Arial" w:cs="Arial"/>
      <w:b/>
      <w:bCs/>
      <w:kern w:val="0"/>
      <w:sz w:val="20"/>
      <w:szCs w:val="20"/>
    </w:rPr>
  </w:style>
  <w:style w:type="character" w:customStyle="1" w:styleId="637">
    <w:name w:val="样式 楷体_GB2312 悬挂缩进: 1.5 字符 行距: 固定值 24 磅 Char Char Char Char Char"/>
    <w:link w:val="638"/>
    <w:qFormat/>
    <w:locked/>
    <w:uiPriority w:val="99"/>
    <w:rPr>
      <w:rFonts w:ascii="楷体_GB2312" w:hAnsi="Tahoma" w:eastAsia="楷体_GB2312"/>
      <w:sz w:val="28"/>
    </w:rPr>
  </w:style>
  <w:style w:type="paragraph" w:customStyle="1" w:styleId="638">
    <w:name w:val="样式 楷体_GB2312 悬挂缩进: 1.5 字符 行距: 固定值 24 磅 Char Char"/>
    <w:basedOn w:val="1"/>
    <w:link w:val="637"/>
    <w:qFormat/>
    <w:uiPriority w:val="99"/>
    <w:pPr>
      <w:ind w:firstLine="599" w:firstLineChars="214"/>
    </w:pPr>
    <w:rPr>
      <w:rFonts w:ascii="楷体_GB2312" w:hAnsi="Tahoma" w:eastAsia="楷体_GB2312"/>
      <w:kern w:val="0"/>
      <w:sz w:val="28"/>
      <w:szCs w:val="28"/>
    </w:rPr>
  </w:style>
  <w:style w:type="paragraph" w:customStyle="1" w:styleId="639">
    <w:name w:val="Paragraph Text"/>
    <w:basedOn w:val="1"/>
    <w:qFormat/>
    <w:uiPriority w:val="99"/>
    <w:pPr>
      <w:widowControl/>
      <w:spacing w:line="320" w:lineRule="exact"/>
      <w:jc w:val="left"/>
    </w:pPr>
    <w:rPr>
      <w:rFonts w:ascii="Beijing" w:eastAsia="Times New Roman"/>
      <w:kern w:val="0"/>
      <w:sz w:val="18"/>
      <w:szCs w:val="18"/>
    </w:rPr>
  </w:style>
  <w:style w:type="paragraph" w:customStyle="1" w:styleId="640">
    <w:name w:val="正文_1"/>
    <w:qFormat/>
    <w:uiPriority w:val="99"/>
    <w:pPr>
      <w:widowControl w:val="0"/>
      <w:jc w:val="both"/>
    </w:pPr>
    <w:rPr>
      <w:rFonts w:ascii="Times New Roman" w:hAnsi="Times New Roman" w:eastAsia="宋体" w:cs="Times New Roman"/>
      <w:kern w:val="2"/>
      <w:sz w:val="21"/>
      <w:szCs w:val="20"/>
      <w:lang w:val="en-US" w:eastAsia="zh-CN" w:bidi="ar-SA"/>
    </w:rPr>
  </w:style>
  <w:style w:type="character" w:customStyle="1" w:styleId="641">
    <w:name w:val="artcontent"/>
    <w:basedOn w:val="82"/>
    <w:qFormat/>
    <w:uiPriority w:val="99"/>
    <w:rPr>
      <w:rFonts w:ascii="Tahoma" w:hAnsi="Tahoma" w:eastAsia="宋体" w:cs="Tahoma"/>
      <w:kern w:val="2"/>
      <w:sz w:val="28"/>
      <w:szCs w:val="28"/>
      <w:lang w:val="en-US" w:eastAsia="zh-CN" w:bidi="ar-SA"/>
    </w:rPr>
  </w:style>
  <w:style w:type="character" w:customStyle="1" w:styleId="642">
    <w:name w:val="title_emph1"/>
    <w:basedOn w:val="82"/>
    <w:qFormat/>
    <w:uiPriority w:val="99"/>
    <w:rPr>
      <w:rFonts w:ascii="Arial" w:hAnsi="Arial" w:cs="Arial"/>
      <w:b/>
      <w:bCs/>
      <w:sz w:val="20"/>
      <w:szCs w:val="20"/>
    </w:rPr>
  </w:style>
  <w:style w:type="character" w:customStyle="1" w:styleId="643">
    <w:name w:val="style1"/>
    <w:basedOn w:val="82"/>
    <w:qFormat/>
    <w:uiPriority w:val="99"/>
    <w:rPr>
      <w:rFonts w:cs="Times New Roman"/>
    </w:rPr>
  </w:style>
  <w:style w:type="character" w:customStyle="1" w:styleId="644">
    <w:name w:val="spantable1"/>
    <w:basedOn w:val="82"/>
    <w:qFormat/>
    <w:uiPriority w:val="99"/>
    <w:rPr>
      <w:rFonts w:ascii="??" w:hAnsi="??" w:cs="Times New Roman"/>
      <w:sz w:val="18"/>
      <w:szCs w:val="18"/>
    </w:rPr>
  </w:style>
  <w:style w:type="character" w:customStyle="1" w:styleId="645">
    <w:name w:val="表格内容"/>
    <w:basedOn w:val="82"/>
    <w:qFormat/>
    <w:uiPriority w:val="99"/>
    <w:rPr>
      <w:rFonts w:cs="Times New Roman"/>
      <w:sz w:val="24"/>
    </w:rPr>
  </w:style>
  <w:style w:type="character" w:customStyle="1" w:styleId="646">
    <w:name w:val="param-name"/>
    <w:basedOn w:val="82"/>
    <w:qFormat/>
    <w:uiPriority w:val="99"/>
    <w:rPr>
      <w:rFonts w:cs="Times New Roman"/>
    </w:rPr>
  </w:style>
  <w:style w:type="paragraph" w:customStyle="1" w:styleId="647">
    <w:name w:val="常规正文"/>
    <w:basedOn w:val="1"/>
    <w:qFormat/>
    <w:uiPriority w:val="99"/>
    <w:pPr>
      <w:ind w:firstLine="200" w:firstLineChars="200"/>
    </w:pPr>
    <w:rPr>
      <w:sz w:val="24"/>
    </w:rPr>
  </w:style>
  <w:style w:type="paragraph" w:customStyle="1" w:styleId="648">
    <w:name w:val="1 Char Char Char Char"/>
    <w:basedOn w:val="1"/>
    <w:qFormat/>
    <w:uiPriority w:val="99"/>
    <w:pPr>
      <w:spacing w:line="240" w:lineRule="auto"/>
    </w:pPr>
    <w:rPr>
      <w:rFonts w:ascii="宋体" w:hAnsi="宋体"/>
      <w:sz w:val="24"/>
    </w:rPr>
  </w:style>
  <w:style w:type="character" w:customStyle="1" w:styleId="649">
    <w:name w:val="正文（首行缩进2字符） Char"/>
    <w:basedOn w:val="82"/>
    <w:link w:val="93"/>
    <w:qFormat/>
    <w:locked/>
    <w:uiPriority w:val="99"/>
    <w:rPr>
      <w:rFonts w:cs="Times New Roman"/>
      <w:kern w:val="2"/>
      <w:sz w:val="24"/>
    </w:rPr>
  </w:style>
  <w:style w:type="paragraph" w:customStyle="1" w:styleId="650">
    <w:name w:val="F00"/>
    <w:basedOn w:val="1"/>
    <w:qFormat/>
    <w:uiPriority w:val="99"/>
    <w:pPr>
      <w:tabs>
        <w:tab w:val="left" w:pos="2235"/>
      </w:tabs>
      <w:spacing w:line="500" w:lineRule="exact"/>
      <w:ind w:firstLine="353" w:firstLineChars="147"/>
    </w:pPr>
    <w:rPr>
      <w:rFonts w:ascii="宋体" w:hAnsi="宋体"/>
      <w:sz w:val="24"/>
    </w:rPr>
  </w:style>
  <w:style w:type="table" w:customStyle="1" w:styleId="651">
    <w:name w:val="浅色列表1"/>
    <w:qFormat/>
    <w:uiPriority w:val="99"/>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000000"/>
      </w:tcPr>
    </w:tblStylePr>
    <w:tblStylePr w:type="lastRow">
      <w:pPr>
        <w:spacing w:before="0" w:after="0"/>
      </w:pPr>
      <w:rPr>
        <w:rFonts w:cs="Times New Roman"/>
        <w:b/>
        <w:bCs/>
      </w:rPr>
      <w:tcPr>
        <w:tcBorders>
          <w:top w:val="double" w:color="000000" w:sz="6" w:space="0"/>
          <w:left w:val="single" w:color="000000" w:sz="8" w:space="0"/>
          <w:bottom w:val="single" w:color="000000" w:sz="8" w:space="0"/>
          <w:right w:val="single" w:color="000000"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000000" w:sz="8" w:space="0"/>
          <w:left w:val="single" w:color="000000" w:sz="8" w:space="0"/>
          <w:bottom w:val="single" w:color="000000" w:sz="8" w:space="0"/>
          <w:right w:val="single" w:color="000000" w:sz="8" w:space="0"/>
        </w:tcBorders>
      </w:tcPr>
    </w:tblStylePr>
    <w:tblStylePr w:type="band1Horz">
      <w:rPr>
        <w:rFonts w:cs="Times New Roman"/>
      </w:rPr>
      <w:tcPr>
        <w:tcBorders>
          <w:top w:val="single" w:color="000000" w:sz="8" w:space="0"/>
          <w:left w:val="single" w:color="000000" w:sz="8" w:space="0"/>
          <w:bottom w:val="single" w:color="000000" w:sz="8" w:space="0"/>
          <w:right w:val="single" w:color="000000" w:sz="8" w:space="0"/>
        </w:tcBorders>
      </w:tcPr>
    </w:tblStylePr>
  </w:style>
  <w:style w:type="paragraph" w:customStyle="1" w:styleId="652">
    <w:name w:val="TableTextLeft"/>
    <w:qFormat/>
    <w:uiPriority w:val="99"/>
    <w:rPr>
      <w:rFonts w:ascii="Century Gothic" w:hAnsi="Century Gothic" w:eastAsia="宋体" w:cs="Times New Roman"/>
      <w:kern w:val="0"/>
      <w:sz w:val="20"/>
      <w:szCs w:val="18"/>
      <w:lang w:val="en-US" w:eastAsia="en-US" w:bidi="ar-SA"/>
    </w:rPr>
  </w:style>
  <w:style w:type="paragraph" w:customStyle="1" w:styleId="653">
    <w:name w:val="正文，首行缩进:"/>
    <w:basedOn w:val="1"/>
    <w:qFormat/>
    <w:uiPriority w:val="99"/>
    <w:pPr>
      <w:ind w:firstLine="420" w:firstLineChars="175"/>
      <w:jc w:val="left"/>
    </w:pPr>
    <w:rPr>
      <w:rFonts w:ascii="宋体" w:hAnsi="宋体" w:cs="宋体"/>
      <w:sz w:val="24"/>
      <w:szCs w:val="20"/>
    </w:rPr>
  </w:style>
  <w:style w:type="paragraph" w:customStyle="1" w:styleId="654">
    <w:name w:val="È¡ÀÊ¡ÎÄ¡À¾:1"/>
    <w:basedOn w:val="1"/>
    <w:qFormat/>
    <w:uiPriority w:val="99"/>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655">
    <w:name w:val="正文缩进2"/>
    <w:basedOn w:val="1"/>
    <w:qFormat/>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656">
    <w:name w:val="style22"/>
    <w:basedOn w:val="1"/>
    <w:qFormat/>
    <w:uiPriority w:val="99"/>
    <w:pPr>
      <w:widowControl/>
      <w:spacing w:before="100" w:beforeAutospacing="1" w:after="100" w:afterAutospacing="1" w:line="240" w:lineRule="auto"/>
      <w:jc w:val="left"/>
    </w:pPr>
    <w:rPr>
      <w:rFonts w:ascii="Arial" w:hAnsi="Arial"/>
      <w:kern w:val="0"/>
      <w:sz w:val="24"/>
      <w:szCs w:val="20"/>
    </w:rPr>
  </w:style>
  <w:style w:type="paragraph" w:customStyle="1" w:styleId="657">
    <w:name w:val="正文应用"/>
    <w:basedOn w:val="1"/>
    <w:qFormat/>
    <w:uiPriority w:val="99"/>
    <w:pPr>
      <w:ind w:firstLine="480" w:firstLineChars="200"/>
      <w:jc w:val="left"/>
    </w:pPr>
    <w:rPr>
      <w:sz w:val="24"/>
      <w:szCs w:val="20"/>
    </w:rPr>
  </w:style>
  <w:style w:type="paragraph" w:customStyle="1" w:styleId="658">
    <w:name w:val="lh-1_5em"/>
    <w:basedOn w:val="1"/>
    <w:qFormat/>
    <w:uiPriority w:val="99"/>
    <w:pPr>
      <w:widowControl/>
      <w:spacing w:before="100" w:beforeAutospacing="1" w:after="100" w:afterAutospacing="1" w:line="360" w:lineRule="atLeast"/>
      <w:jc w:val="left"/>
    </w:pPr>
    <w:rPr>
      <w:rFonts w:ascii="Arial Unicode MS" w:hAnsi="Arial Unicode MS"/>
      <w:kern w:val="0"/>
      <w:sz w:val="18"/>
      <w:szCs w:val="20"/>
    </w:rPr>
  </w:style>
  <w:style w:type="paragraph" w:customStyle="1" w:styleId="659">
    <w:name w:val="标二"/>
    <w:next w:val="1"/>
    <w:qFormat/>
    <w:uiPriority w:val="99"/>
    <w:pPr>
      <w:widowControl w:val="0"/>
      <w:outlineLvl w:val="1"/>
    </w:pPr>
    <w:rPr>
      <w:rFonts w:ascii="宋体" w:hAnsi="宋体" w:eastAsia="宋体" w:cs="Times New Roman"/>
      <w:b/>
      <w:color w:val="000000"/>
      <w:kern w:val="2"/>
      <w:sz w:val="24"/>
      <w:szCs w:val="20"/>
      <w:lang w:val="en-US" w:eastAsia="zh-CN" w:bidi="ar-SA"/>
    </w:rPr>
  </w:style>
  <w:style w:type="paragraph" w:customStyle="1" w:styleId="660">
    <w:name w:val="正文文字缩进2字"/>
    <w:basedOn w:val="27"/>
    <w:qFormat/>
    <w:uiPriority w:val="99"/>
    <w:pPr>
      <w:autoSpaceDE/>
      <w:autoSpaceDN/>
      <w:adjustRightInd/>
      <w:spacing w:after="60" w:line="240" w:lineRule="auto"/>
      <w:ind w:left="420" w:leftChars="200"/>
      <w:jc w:val="center"/>
    </w:pPr>
    <w:rPr>
      <w:rFonts w:ascii="Times New Roman"/>
      <w:szCs w:val="20"/>
      <w:lang w:val="en-US"/>
    </w:rPr>
  </w:style>
  <w:style w:type="paragraph" w:customStyle="1" w:styleId="661">
    <w:name w:val="正文3"/>
    <w:basedOn w:val="1"/>
    <w:qFormat/>
    <w:uiPriority w:val="99"/>
    <w:pPr>
      <w:widowControl/>
      <w:spacing w:before="100" w:beforeAutospacing="1" w:after="100" w:afterAutospacing="1" w:line="330" w:lineRule="atLeast"/>
      <w:jc w:val="left"/>
    </w:pPr>
    <w:rPr>
      <w:rFonts w:ascii="Arial Unicode MS" w:hAnsi="Arial Unicode MS"/>
      <w:kern w:val="0"/>
      <w:sz w:val="18"/>
      <w:szCs w:val="20"/>
    </w:rPr>
  </w:style>
  <w:style w:type="paragraph" w:customStyle="1" w:styleId="662">
    <w:name w:val="style7"/>
    <w:basedOn w:val="1"/>
    <w:qFormat/>
    <w:uiPriority w:val="99"/>
    <w:pPr>
      <w:widowControl/>
      <w:spacing w:before="100" w:beforeAutospacing="1" w:after="100" w:afterAutospacing="1" w:line="240" w:lineRule="auto"/>
      <w:jc w:val="left"/>
    </w:pPr>
    <w:rPr>
      <w:rFonts w:ascii="宋体" w:hAnsi="宋体"/>
      <w:kern w:val="0"/>
      <w:sz w:val="18"/>
      <w:szCs w:val="20"/>
    </w:rPr>
  </w:style>
  <w:style w:type="paragraph" w:customStyle="1" w:styleId="663">
    <w:name w:val="样式 段落缩进2 小四 + 段前: 15.6 磅"/>
    <w:basedOn w:val="1"/>
    <w:qFormat/>
    <w:uiPriority w:val="99"/>
    <w:pPr>
      <w:spacing w:before="312"/>
    </w:pPr>
    <w:rPr>
      <w:rFonts w:ascii="宋体" w:hAnsi="宋体"/>
      <w:sz w:val="24"/>
      <w:szCs w:val="20"/>
    </w:rPr>
  </w:style>
  <w:style w:type="paragraph" w:customStyle="1" w:styleId="664">
    <w:name w:val="小标题 1"/>
    <w:basedOn w:val="1"/>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665">
    <w:name w:val="表项"/>
    <w:next w:val="666"/>
    <w:qFormat/>
    <w:uiPriority w:val="99"/>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666">
    <w:name w:val="表身（左）"/>
    <w:qFormat/>
    <w:uiPriority w:val="99"/>
    <w:pPr>
      <w:adjustRightInd w:val="0"/>
      <w:snapToGrid w:val="0"/>
      <w:spacing w:line="300" w:lineRule="auto"/>
      <w:textAlignment w:val="center"/>
    </w:pPr>
    <w:rPr>
      <w:rFonts w:ascii="Times New Roman" w:hAnsi="Times New Roman" w:eastAsia="宋体" w:cs="Times New Roman"/>
      <w:kern w:val="0"/>
      <w:sz w:val="16"/>
      <w:szCs w:val="20"/>
      <w:lang w:val="en-US" w:eastAsia="zh-CN" w:bidi="ar-SA"/>
    </w:rPr>
  </w:style>
  <w:style w:type="paragraph" w:customStyle="1" w:styleId="667">
    <w:name w:val="表身（中）"/>
    <w:basedOn w:val="666"/>
    <w:qFormat/>
    <w:uiPriority w:val="99"/>
    <w:pPr>
      <w:jc w:val="center"/>
    </w:pPr>
  </w:style>
  <w:style w:type="paragraph" w:customStyle="1" w:styleId="668">
    <w:name w:val="框下空行"/>
    <w:basedOn w:val="1"/>
    <w:next w:val="1"/>
    <w:qFormat/>
    <w:uiPriority w:val="99"/>
    <w:pPr>
      <w:widowControl/>
      <w:adjustRightInd w:val="0"/>
      <w:snapToGrid w:val="0"/>
      <w:spacing w:line="200" w:lineRule="exact"/>
      <w:ind w:left="680"/>
    </w:pPr>
    <w:rPr>
      <w:sz w:val="18"/>
      <w:szCs w:val="20"/>
    </w:rPr>
  </w:style>
  <w:style w:type="paragraph" w:customStyle="1" w:styleId="669">
    <w:name w:val="正文文字左对齐"/>
    <w:basedOn w:val="27"/>
    <w:qFormat/>
    <w:uiPriority w:val="99"/>
    <w:pPr>
      <w:autoSpaceDE/>
      <w:autoSpaceDN/>
      <w:adjustRightInd/>
    </w:pPr>
    <w:rPr>
      <w:rFonts w:hAnsi="宋体"/>
      <w:bCs/>
      <w:szCs w:val="20"/>
      <w:lang w:val="en-GB"/>
    </w:rPr>
  </w:style>
  <w:style w:type="character" w:customStyle="1" w:styleId="670">
    <w:name w:val="txtcontent11"/>
    <w:basedOn w:val="82"/>
    <w:qFormat/>
    <w:uiPriority w:val="99"/>
    <w:rPr>
      <w:rFonts w:ascii="??" w:hAnsi="??" w:cs="Times New Roman"/>
      <w:color w:val="000000"/>
      <w:sz w:val="19"/>
      <w:szCs w:val="19"/>
    </w:rPr>
  </w:style>
  <w:style w:type="paragraph" w:customStyle="1" w:styleId="671">
    <w:name w:val="样式 标题 2 + 宋体 小四"/>
    <w:basedOn w:val="4"/>
    <w:qFormat/>
    <w:uiPriority w:val="99"/>
    <w:pPr>
      <w:widowControl/>
      <w:tabs>
        <w:tab w:val="left" w:pos="567"/>
      </w:tabs>
      <w:autoSpaceDE w:val="0"/>
      <w:autoSpaceDN w:val="0"/>
      <w:adjustRightInd w:val="0"/>
      <w:spacing w:after="120" w:line="480" w:lineRule="auto"/>
      <w:ind w:left="567" w:right="6" w:hanging="567"/>
      <w:jc w:val="both"/>
      <w:textAlignment w:val="bottom"/>
    </w:pPr>
    <w:rPr>
      <w:caps/>
      <w:szCs w:val="24"/>
      <w:lang w:val="en-US"/>
    </w:rPr>
  </w:style>
  <w:style w:type="character" w:customStyle="1" w:styleId="672">
    <w:name w:val="f9"/>
    <w:basedOn w:val="82"/>
    <w:qFormat/>
    <w:uiPriority w:val="99"/>
    <w:rPr>
      <w:rFonts w:cs="Times New Roman"/>
    </w:rPr>
  </w:style>
  <w:style w:type="character" w:customStyle="1" w:styleId="673">
    <w:name w:val="style11"/>
    <w:basedOn w:val="82"/>
    <w:qFormat/>
    <w:uiPriority w:val="99"/>
    <w:rPr>
      <w:rFonts w:cs="Times New Roman"/>
      <w:color w:val="3399FF"/>
    </w:rPr>
  </w:style>
  <w:style w:type="character" w:customStyle="1" w:styleId="674">
    <w:name w:val="Char Char26"/>
    <w:qFormat/>
    <w:uiPriority w:val="99"/>
    <w:rPr>
      <w:rFonts w:ascii="宋体" w:eastAsia="宋体"/>
      <w:snapToGrid w:val="0"/>
      <w:color w:val="000000"/>
      <w:kern w:val="28"/>
      <w:sz w:val="28"/>
      <w:lang w:val="en-US" w:eastAsia="zh-CN"/>
    </w:rPr>
  </w:style>
  <w:style w:type="character" w:customStyle="1" w:styleId="675">
    <w:name w:val="列出段落 字符"/>
    <w:link w:val="255"/>
    <w:qFormat/>
    <w:locked/>
    <w:uiPriority w:val="99"/>
    <w:rPr>
      <w:kern w:val="2"/>
      <w:sz w:val="24"/>
    </w:rPr>
  </w:style>
  <w:style w:type="paragraph" w:customStyle="1" w:styleId="676">
    <w:name w:val="公开招标文件"/>
    <w:basedOn w:val="1"/>
    <w:qFormat/>
    <w:uiPriority w:val="99"/>
    <w:pPr>
      <w:spacing w:line="1000" w:lineRule="exact"/>
      <w:jc w:val="center"/>
    </w:pPr>
    <w:rPr>
      <w:rFonts w:ascii="宋体" w:hAnsi="宋体" w:cs="宋体"/>
      <w:b/>
      <w:bCs/>
      <w:sz w:val="92"/>
      <w:szCs w:val="20"/>
    </w:rPr>
  </w:style>
  <w:style w:type="paragraph" w:customStyle="1" w:styleId="677">
    <w:name w:val="封面第一行"/>
    <w:basedOn w:val="1"/>
    <w:qFormat/>
    <w:uiPriority w:val="99"/>
    <w:pPr>
      <w:jc w:val="center"/>
    </w:pPr>
    <w:rPr>
      <w:rFonts w:ascii="黑体" w:hAnsi="宋体" w:eastAsia="黑体" w:cs="宋体"/>
      <w:sz w:val="56"/>
      <w:szCs w:val="20"/>
    </w:rPr>
  </w:style>
  <w:style w:type="paragraph" w:customStyle="1" w:styleId="678">
    <w:name w:val="列出段落4"/>
    <w:basedOn w:val="1"/>
    <w:qFormat/>
    <w:uiPriority w:val="99"/>
    <w:pPr>
      <w:spacing w:line="240" w:lineRule="auto"/>
      <w:ind w:firstLine="420" w:firstLineChars="200"/>
    </w:pPr>
  </w:style>
  <w:style w:type="paragraph" w:customStyle="1" w:styleId="679">
    <w:name w:val="封面编号"/>
    <w:basedOn w:val="1"/>
    <w:qFormat/>
    <w:uiPriority w:val="99"/>
    <w:pPr>
      <w:jc w:val="center"/>
    </w:pPr>
    <w:rPr>
      <w:rFonts w:ascii="黑体" w:hAnsi="宋体" w:eastAsia="黑体" w:cs="宋体"/>
      <w:b/>
      <w:bCs/>
      <w:sz w:val="38"/>
      <w:szCs w:val="20"/>
    </w:rPr>
  </w:style>
  <w:style w:type="paragraph" w:customStyle="1" w:styleId="680">
    <w:name w:val="正文（宋体，小四，1.5倍行距）"/>
    <w:basedOn w:val="1"/>
    <w:qFormat/>
    <w:uiPriority w:val="99"/>
    <w:pPr>
      <w:ind w:firstLine="480" w:firstLineChars="200"/>
    </w:pPr>
    <w:rPr>
      <w:rFonts w:ascii="宋体" w:hAnsi="宋体"/>
    </w:rPr>
  </w:style>
  <w:style w:type="paragraph" w:customStyle="1" w:styleId="681">
    <w:name w:val="段落文字"/>
    <w:basedOn w:val="1"/>
    <w:qFormat/>
    <w:uiPriority w:val="99"/>
    <w:pPr>
      <w:spacing w:line="398" w:lineRule="auto"/>
      <w:ind w:firstLine="480" w:firstLineChars="200"/>
    </w:pPr>
    <w:rPr>
      <w:rFonts w:cs="宋体"/>
    </w:rPr>
  </w:style>
  <w:style w:type="paragraph" w:customStyle="1" w:styleId="682">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83">
    <w:name w:val="正文文本缩进_0"/>
    <w:basedOn w:val="682"/>
    <w:qFormat/>
    <w:uiPriority w:val="99"/>
    <w:pPr>
      <w:autoSpaceDE w:val="0"/>
      <w:autoSpaceDN w:val="0"/>
      <w:spacing w:line="360" w:lineRule="auto"/>
      <w:ind w:left="181" w:firstLine="539"/>
    </w:pPr>
    <w:rPr>
      <w:sz w:val="24"/>
      <w:szCs w:val="20"/>
    </w:rPr>
  </w:style>
  <w:style w:type="paragraph" w:customStyle="1" w:styleId="684">
    <w:name w:val="标题4"/>
    <w:basedOn w:val="5"/>
    <w:qFormat/>
    <w:uiPriority w:val="99"/>
    <w:pPr>
      <w:outlineLvl w:val="3"/>
    </w:pPr>
  </w:style>
  <w:style w:type="paragraph" w:customStyle="1" w:styleId="685">
    <w:name w:val="正文缩进_0"/>
    <w:basedOn w:val="682"/>
    <w:qFormat/>
    <w:uiPriority w:val="99"/>
    <w:pPr>
      <w:ind w:firstLine="420"/>
    </w:pPr>
  </w:style>
  <w:style w:type="character" w:customStyle="1" w:styleId="686">
    <w:name w:val="16"/>
    <w:qFormat/>
    <w:uiPriority w:val="99"/>
    <w:rPr>
      <w:rFonts w:ascii="Times New Roman" w:hAnsi="Times New Roman"/>
      <w:sz w:val="21"/>
    </w:rPr>
  </w:style>
  <w:style w:type="paragraph" w:customStyle="1" w:styleId="687">
    <w:name w:val="表内文字"/>
    <w:basedOn w:val="1"/>
    <w:qFormat/>
    <w:uiPriority w:val="99"/>
    <w:pPr>
      <w:tabs>
        <w:tab w:val="left" w:pos="1418"/>
      </w:tabs>
      <w:jc w:val="center"/>
    </w:pPr>
    <w:rPr>
      <w:rFonts w:ascii="仿宋_GB2312" w:eastAsia="仿宋_GB2312"/>
      <w:spacing w:val="-20"/>
      <w:kern w:val="0"/>
      <w:sz w:val="24"/>
    </w:rPr>
  </w:style>
  <w:style w:type="paragraph" w:customStyle="1" w:styleId="688">
    <w:name w:val="_Style 2"/>
    <w:basedOn w:val="1"/>
    <w:qFormat/>
    <w:uiPriority w:val="99"/>
    <w:pPr>
      <w:ind w:firstLine="420" w:firstLineChars="200"/>
    </w:pPr>
  </w:style>
  <w:style w:type="paragraph" w:customStyle="1" w:styleId="689">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690">
    <w:name w:val="List Paragraph"/>
    <w:basedOn w:val="1"/>
    <w:qFormat/>
    <w:uiPriority w:val="34"/>
    <w:pPr>
      <w:ind w:firstLine="420" w:firstLineChars="200"/>
    </w:pPr>
    <w:rPr>
      <w:rFonts w:asciiTheme="minorHAnsi" w:hAnsiTheme="minorHAnsi" w:eastAsiaTheme="minorEastAsia" w:cstheme="minorBidi"/>
      <w:sz w:val="28"/>
      <w:szCs w:val="22"/>
    </w:rPr>
  </w:style>
  <w:style w:type="character" w:customStyle="1" w:styleId="691">
    <w:name w:val="font31"/>
    <w:basedOn w:val="82"/>
    <w:qFormat/>
    <w:uiPriority w:val="0"/>
    <w:rPr>
      <w:rFonts w:hint="eastAsia" w:ascii="微软雅黑" w:hAnsi="微软雅黑" w:eastAsia="微软雅黑" w:cs="微软雅黑"/>
      <w:color w:val="000000"/>
      <w:sz w:val="16"/>
      <w:szCs w:val="16"/>
      <w:u w:val="none"/>
    </w:rPr>
  </w:style>
  <w:style w:type="paragraph" w:customStyle="1" w:styleId="692">
    <w:name w:val="Table Paragraph"/>
    <w:basedOn w:val="1"/>
    <w:unhideWhenUsed/>
    <w:qFormat/>
    <w:uiPriority w:val="1"/>
    <w:rPr>
      <w:rFonts w:hint="default"/>
      <w:sz w:val="24"/>
    </w:rPr>
  </w:style>
  <w:style w:type="paragraph" w:customStyle="1" w:styleId="69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696">
    <w:name w:val="正文_14"/>
    <w:qFormat/>
    <w:uiPriority w:val="99"/>
    <w:rPr>
      <w:rFonts w:ascii="Times New Roman" w:hAnsi="Times New Roman" w:eastAsia="宋体" w:cs="Times New Roman"/>
      <w:sz w:val="21"/>
      <w:szCs w:val="22"/>
      <w:lang w:val="en-US" w:eastAsia="zh-CN" w:bidi="ar-SA"/>
    </w:rPr>
  </w:style>
  <w:style w:type="table" w:customStyle="1" w:styleId="697">
    <w:name w:val="Table Normal"/>
    <w:semiHidden/>
    <w:unhideWhenUsed/>
    <w:qFormat/>
    <w:uiPriority w:val="0"/>
    <w:tblPr>
      <w:tblCellMar>
        <w:top w:w="0" w:type="dxa"/>
        <w:left w:w="0" w:type="dxa"/>
        <w:bottom w:w="0" w:type="dxa"/>
        <w:right w:w="0" w:type="dxa"/>
      </w:tblCellMar>
    </w:tblPr>
  </w:style>
  <w:style w:type="character" w:customStyle="1" w:styleId="698">
    <w:name w:val="font71"/>
    <w:basedOn w:val="82"/>
    <w:qFormat/>
    <w:uiPriority w:val="0"/>
    <w:rPr>
      <w:rFonts w:hint="eastAsia" w:ascii="宋体" w:hAnsi="宋体" w:eastAsia="宋体" w:cs="宋体"/>
      <w:color w:val="000000"/>
      <w:sz w:val="21"/>
      <w:szCs w:val="21"/>
      <w:u w:val="none"/>
    </w:rPr>
  </w:style>
  <w:style w:type="character" w:customStyle="1" w:styleId="699">
    <w:name w:val="font91"/>
    <w:basedOn w:val="82"/>
    <w:qFormat/>
    <w:uiPriority w:val="0"/>
    <w:rPr>
      <w:rFonts w:hint="eastAsia" w:ascii="宋体" w:hAnsi="宋体" w:eastAsia="宋体" w:cs="宋体"/>
      <w:color w:val="000000"/>
      <w:sz w:val="20"/>
      <w:szCs w:val="20"/>
      <w:u w:val="none"/>
    </w:rPr>
  </w:style>
  <w:style w:type="character" w:customStyle="1" w:styleId="700">
    <w:name w:val="font51"/>
    <w:basedOn w:val="82"/>
    <w:qFormat/>
    <w:uiPriority w:val="0"/>
    <w:rPr>
      <w:rFonts w:hint="default" w:ascii="Wingdings 2" w:hAnsi="Wingdings 2" w:eastAsia="Wingdings 2" w:cs="Wingdings 2"/>
      <w:color w:val="000000"/>
      <w:sz w:val="21"/>
      <w:szCs w:val="21"/>
      <w:u w:val="none"/>
    </w:rPr>
  </w:style>
  <w:style w:type="paragraph" w:customStyle="1" w:styleId="701">
    <w:name w:val="WPS Plain"/>
    <w:qFormat/>
    <w:uiPriority w:val="0"/>
    <w:rPr>
      <w:rFonts w:ascii="Times New Roman" w:hAnsi="Times New Roman" w:eastAsia="宋体" w:cs="Times New Roman"/>
      <w:lang w:val="en-US" w:eastAsia="zh-CN" w:bidi="ar-SA"/>
    </w:rPr>
  </w:style>
  <w:style w:type="paragraph" w:customStyle="1" w:styleId="702">
    <w:name w:val="正文文本-表格"/>
    <w:basedOn w:val="33"/>
    <w:next w:val="76"/>
    <w:qFormat/>
    <w:uiPriority w:val="0"/>
    <w:pPr>
      <w:spacing w:line="240" w:lineRule="auto"/>
      <w:ind w:left="0" w:leftChars="0" w:rightChars="0" w:firstLine="0" w:firstLineChars="0"/>
      <w:jc w:val="left"/>
    </w:pPr>
    <w:rPr>
      <w:rFonts w:ascii="Calibri" w:hAnsi="Calibri" w:eastAsia="宋体" w:cs="Calibri"/>
      <w:kern w:val="2"/>
      <w:sz w:val="24"/>
      <w:szCs w:val="21"/>
      <w:lang w:val="en-US" w:eastAsia="zh-CN" w:bidi="ar-SA"/>
    </w:rPr>
  </w:style>
  <w:style w:type="paragraph" w:customStyle="1" w:styleId="703">
    <w:name w:val="正文文本缩进 21"/>
    <w:basedOn w:val="1"/>
    <w:qFormat/>
    <w:uiPriority w:val="0"/>
    <w:pPr>
      <w:autoSpaceDE w:val="0"/>
      <w:autoSpaceDN w:val="0"/>
      <w:adjustRightInd w:val="0"/>
      <w:ind w:firstLine="540"/>
      <w:textAlignment w:val="baseline"/>
    </w:pPr>
    <w:rPr>
      <w:szCs w:val="20"/>
    </w:rPr>
  </w:style>
  <w:style w:type="character" w:customStyle="1" w:styleId="704">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64</Pages>
  <Words>5327</Words>
  <Characters>5944</Characters>
  <Lines>0</Lines>
  <Paragraphs>0</Paragraphs>
  <TotalTime>4</TotalTime>
  <ScaleCrop>false</ScaleCrop>
  <LinksUpToDate>false</LinksUpToDate>
  <CharactersWithSpaces>6090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2017-05-11T01:35:00Z</dcterms:created>
  <dc:creator>鲁中伦</dc:creator>
  <cp:lastModifiedBy>Administrator</cp:lastModifiedBy>
  <cp:lastPrinted>2024-11-28T07:02:00Z</cp:lastPrinted>
  <dcterms:modified xsi:type="dcterms:W3CDTF">2024-12-05T01:41:44Z</dcterms:modified>
  <dc:title>杭州市公安局大江东产业集聚区分局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60A568BF31884DF68A9D770EB8791C39_13</vt:lpwstr>
  </property>
</Properties>
</file>