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3780"/>
          <w:tab w:val="left" w:pos="4320"/>
          <w:tab w:val="left" w:pos="5040"/>
          <w:tab w:val="left" w:pos="5760"/>
        </w:tabs>
        <w:autoSpaceDE w:val="0"/>
        <w:autoSpaceDN w:val="0"/>
        <w:adjustRightInd w:val="0"/>
        <w:spacing w:line="360" w:lineRule="auto"/>
        <w:ind w:left="540" w:right="924" w:firstLine="355"/>
        <w:jc w:val="center"/>
        <w:rPr>
          <w:rFonts w:ascii="宋体" w:hAnsi="宋体" w:cs="宋体"/>
          <w:b/>
          <w:color w:val="auto"/>
          <w:kern w:val="0"/>
          <w:sz w:val="24"/>
          <w:highlight w:val="none"/>
        </w:rPr>
      </w:pPr>
    </w:p>
    <w:p>
      <w:pPr>
        <w:pStyle w:val="2"/>
        <w:rPr>
          <w:rFonts w:ascii="宋体" w:hAnsi="宋体" w:cs="宋体"/>
          <w:b/>
          <w:color w:val="auto"/>
          <w:kern w:val="0"/>
          <w:sz w:val="24"/>
          <w:szCs w:val="24"/>
          <w:highlight w:val="none"/>
        </w:rPr>
      </w:pPr>
    </w:p>
    <w:p>
      <w:pPr>
        <w:pStyle w:val="2"/>
        <w:rPr>
          <w:rFonts w:ascii="宋体" w:hAnsi="宋体" w:cs="宋体"/>
          <w:b/>
          <w:color w:val="auto"/>
          <w:kern w:val="0"/>
          <w:sz w:val="24"/>
          <w:szCs w:val="24"/>
          <w:highlight w:val="none"/>
        </w:rPr>
      </w:pPr>
    </w:p>
    <w:p>
      <w:pPr>
        <w:pStyle w:val="2"/>
        <w:rPr>
          <w:rFonts w:ascii="宋体" w:hAnsi="宋体" w:cs="宋体"/>
          <w:b/>
          <w:color w:val="auto"/>
          <w:kern w:val="0"/>
          <w:sz w:val="24"/>
          <w:szCs w:val="24"/>
          <w:highlight w:val="none"/>
        </w:rPr>
      </w:pPr>
    </w:p>
    <w:p>
      <w:pPr>
        <w:pStyle w:val="2"/>
        <w:rPr>
          <w:rFonts w:ascii="宋体" w:hAnsi="宋体" w:cs="宋体"/>
          <w:b/>
          <w:color w:val="auto"/>
          <w:kern w:val="0"/>
          <w:sz w:val="24"/>
          <w:szCs w:val="24"/>
          <w:highlight w:val="none"/>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hAnsi="宋体" w:cs="宋体"/>
          <w:b/>
          <w:color w:val="auto"/>
          <w:kern w:val="0"/>
          <w:sz w:val="24"/>
          <w:highlight w:val="none"/>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30"/>
        <w:jc w:val="center"/>
        <w:rPr>
          <w:rFonts w:ascii="宋体" w:hAnsi="宋体" w:cs="宋体"/>
          <w:b/>
          <w:color w:val="auto"/>
          <w:kern w:val="0"/>
          <w:sz w:val="52"/>
          <w:szCs w:val="52"/>
          <w:highlight w:val="none"/>
        </w:rPr>
      </w:pPr>
      <w:r>
        <w:rPr>
          <w:rFonts w:hint="eastAsia" w:ascii="宋体" w:hAnsi="宋体" w:cs="宋体"/>
          <w:b/>
          <w:color w:val="auto"/>
          <w:kern w:val="0"/>
          <w:sz w:val="52"/>
          <w:szCs w:val="52"/>
          <w:highlight w:val="none"/>
        </w:rPr>
        <w:t>台州市政府采购招标文件</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30"/>
        <w:jc w:val="center"/>
        <w:rPr>
          <w:rFonts w:hint="eastAsia" w:ascii="宋体" w:hAnsi="宋体" w:eastAsia="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t>TZTX-2025-GK005</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24"/>
          <w:highlight w:val="none"/>
        </w:rPr>
      </w:pPr>
    </w:p>
    <w:p>
      <w:pPr>
        <w:autoSpaceDE w:val="0"/>
        <w:autoSpaceDN w:val="0"/>
        <w:adjustRightInd w:val="0"/>
        <w:spacing w:line="360" w:lineRule="auto"/>
        <w:jc w:val="center"/>
        <w:rPr>
          <w:rFonts w:ascii="宋体" w:hAnsi="宋体" w:cs="宋体"/>
          <w:b/>
          <w:color w:val="auto"/>
          <w:kern w:val="0"/>
          <w:sz w:val="24"/>
          <w:highlight w:val="none"/>
        </w:rPr>
      </w:pPr>
    </w:p>
    <w:p>
      <w:pPr>
        <w:autoSpaceDE w:val="0"/>
        <w:autoSpaceDN w:val="0"/>
        <w:adjustRightInd w:val="0"/>
        <w:spacing w:line="360" w:lineRule="auto"/>
        <w:ind w:firstLine="1540" w:firstLineChars="642"/>
        <w:jc w:val="center"/>
        <w:rPr>
          <w:rFonts w:ascii="宋体" w:hAnsi="宋体" w:cs="宋体"/>
          <w:color w:val="auto"/>
          <w:kern w:val="0"/>
          <w:sz w:val="24"/>
          <w:highlight w:val="none"/>
        </w:rPr>
      </w:pPr>
    </w:p>
    <w:p>
      <w:pPr>
        <w:pStyle w:val="2"/>
        <w:jc w:val="center"/>
        <w:rPr>
          <w:rFonts w:ascii="宋体" w:hAnsi="宋体" w:cs="宋体"/>
          <w:color w:val="auto"/>
          <w:kern w:val="0"/>
          <w:sz w:val="24"/>
          <w:szCs w:val="24"/>
          <w:highlight w:val="none"/>
        </w:rPr>
      </w:pPr>
    </w:p>
    <w:p>
      <w:pPr>
        <w:pStyle w:val="2"/>
        <w:jc w:val="center"/>
        <w:rPr>
          <w:rFonts w:ascii="宋体" w:hAnsi="宋体" w:cs="宋体"/>
          <w:color w:val="auto"/>
          <w:kern w:val="0"/>
          <w:sz w:val="24"/>
          <w:szCs w:val="24"/>
          <w:highlight w:val="none"/>
        </w:rPr>
      </w:pPr>
    </w:p>
    <w:p>
      <w:pPr>
        <w:pStyle w:val="2"/>
        <w:jc w:val="center"/>
        <w:rPr>
          <w:color w:val="auto"/>
          <w:highlight w:val="none"/>
        </w:rPr>
      </w:pPr>
    </w:p>
    <w:p>
      <w:pPr>
        <w:autoSpaceDE w:val="0"/>
        <w:autoSpaceDN w:val="0"/>
        <w:adjustRightInd w:val="0"/>
        <w:spacing w:line="360" w:lineRule="auto"/>
        <w:ind w:firstLine="1540" w:firstLineChars="642"/>
        <w:jc w:val="center"/>
        <w:rPr>
          <w:rFonts w:ascii="宋体" w:hAnsi="宋体" w:cs="宋体"/>
          <w:color w:val="auto"/>
          <w:kern w:val="0"/>
          <w:sz w:val="24"/>
          <w:highlight w:val="none"/>
        </w:rPr>
      </w:pPr>
    </w:p>
    <w:p>
      <w:pPr>
        <w:autoSpaceDE w:val="0"/>
        <w:autoSpaceDN w:val="0"/>
        <w:adjustRightInd w:val="0"/>
        <w:spacing w:line="360" w:lineRule="auto"/>
        <w:jc w:val="center"/>
        <w:rPr>
          <w:rFonts w:hint="eastAsia" w:ascii="宋体" w:hAnsi="宋体" w:eastAsia="宋体" w:cs="宋体"/>
          <w:color w:val="auto"/>
          <w:kern w:val="0"/>
          <w:sz w:val="28"/>
          <w:szCs w:val="28"/>
          <w:highlight w:val="none"/>
          <w:lang w:eastAsia="zh-CN"/>
        </w:rPr>
      </w:pPr>
      <w:r>
        <w:rPr>
          <w:rFonts w:hint="eastAsia" w:ascii="宋体" w:hAnsi="宋体" w:cs="宋体"/>
          <w:color w:val="auto"/>
          <w:kern w:val="0"/>
          <w:sz w:val="28"/>
          <w:szCs w:val="28"/>
          <w:highlight w:val="none"/>
        </w:rPr>
        <w:t>采购项目：</w:t>
      </w:r>
      <w:r>
        <w:rPr>
          <w:rFonts w:hint="eastAsia" w:ascii="宋体" w:hAnsi="宋体" w:cs="宋体"/>
          <w:color w:val="auto"/>
          <w:kern w:val="0"/>
          <w:sz w:val="28"/>
          <w:szCs w:val="28"/>
          <w:highlight w:val="none"/>
          <w:lang w:eastAsia="zh-CN"/>
        </w:rPr>
        <w:t>台州市沿海平原地面沉降监测项目</w:t>
      </w:r>
    </w:p>
    <w:p>
      <w:pPr>
        <w:autoSpaceDE w:val="0"/>
        <w:autoSpaceDN w:val="0"/>
        <w:adjustRightInd w:val="0"/>
        <w:spacing w:line="360" w:lineRule="auto"/>
        <w:jc w:val="center"/>
        <w:rPr>
          <w:rFonts w:hint="eastAsia" w:ascii="宋体" w:hAnsi="宋体" w:eastAsia="宋体" w:cs="宋体"/>
          <w:color w:val="auto"/>
          <w:kern w:val="0"/>
          <w:sz w:val="28"/>
          <w:szCs w:val="28"/>
          <w:highlight w:val="none"/>
          <w:lang w:eastAsia="zh-CN"/>
        </w:rPr>
      </w:pPr>
      <w:r>
        <w:rPr>
          <w:rFonts w:hint="eastAsia" w:ascii="宋体" w:hAnsi="宋体" w:cs="宋体"/>
          <w:color w:val="auto"/>
          <w:kern w:val="0"/>
          <w:sz w:val="28"/>
          <w:szCs w:val="28"/>
          <w:highlight w:val="none"/>
        </w:rPr>
        <w:t>采 购 人：</w:t>
      </w:r>
      <w:r>
        <w:rPr>
          <w:rFonts w:hint="eastAsia" w:ascii="宋体" w:hAnsi="宋体" w:cs="宋体"/>
          <w:color w:val="auto"/>
          <w:kern w:val="0"/>
          <w:sz w:val="28"/>
          <w:szCs w:val="28"/>
          <w:highlight w:val="none"/>
          <w:lang w:eastAsia="zh-CN"/>
        </w:rPr>
        <w:t>台州市地质环境监测站</w:t>
      </w:r>
    </w:p>
    <w:p>
      <w:pPr>
        <w:autoSpaceDE w:val="0"/>
        <w:autoSpaceDN w:val="0"/>
        <w:adjustRightInd w:val="0"/>
        <w:spacing w:line="360" w:lineRule="auto"/>
        <w:jc w:val="center"/>
        <w:rPr>
          <w:rFonts w:ascii="宋体" w:hAnsi="宋体" w:cs="宋体"/>
          <w:color w:val="auto"/>
          <w:kern w:val="0"/>
          <w:sz w:val="24"/>
          <w:highlight w:val="none"/>
        </w:rPr>
      </w:pPr>
    </w:p>
    <w:p>
      <w:pPr>
        <w:autoSpaceDE w:val="0"/>
        <w:autoSpaceDN w:val="0"/>
        <w:adjustRightInd w:val="0"/>
        <w:spacing w:line="360" w:lineRule="auto"/>
        <w:jc w:val="center"/>
        <w:rPr>
          <w:rFonts w:ascii="宋体" w:hAnsi="宋体" w:cs="宋体"/>
          <w:color w:val="auto"/>
          <w:kern w:val="0"/>
          <w:sz w:val="24"/>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24"/>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24"/>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hAnsi="宋体" w:cs="宋体"/>
          <w:color w:val="auto"/>
          <w:kern w:val="0"/>
          <w:sz w:val="24"/>
          <w:highlight w:val="none"/>
        </w:rPr>
      </w:pPr>
    </w:p>
    <w:p>
      <w:pPr>
        <w:pStyle w:val="2"/>
        <w:jc w:val="center"/>
        <w:rPr>
          <w:rFonts w:ascii="宋体" w:hAnsi="宋体" w:cs="宋体"/>
          <w:color w:val="auto"/>
          <w:kern w:val="0"/>
          <w:sz w:val="24"/>
          <w:szCs w:val="24"/>
          <w:highlight w:val="none"/>
        </w:rPr>
      </w:pPr>
    </w:p>
    <w:p>
      <w:pPr>
        <w:pStyle w:val="2"/>
        <w:jc w:val="center"/>
        <w:rPr>
          <w:rFonts w:ascii="宋体" w:hAnsi="宋体" w:cs="宋体"/>
          <w:color w:val="auto"/>
          <w:kern w:val="0"/>
          <w:sz w:val="24"/>
          <w:szCs w:val="24"/>
          <w:highlight w:val="none"/>
        </w:rPr>
      </w:pPr>
    </w:p>
    <w:p>
      <w:pPr>
        <w:pStyle w:val="2"/>
        <w:jc w:val="center"/>
        <w:rPr>
          <w:rFonts w:ascii="宋体" w:hAnsi="宋体" w:cs="宋体"/>
          <w:color w:val="auto"/>
          <w:kern w:val="0"/>
          <w:sz w:val="24"/>
          <w:szCs w:val="24"/>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jc w:val="center"/>
        <w:rPr>
          <w:rFonts w:ascii="宋体" w:hAnsi="宋体" w:cs="宋体"/>
          <w:color w:val="auto"/>
          <w:kern w:val="0"/>
          <w:sz w:val="24"/>
          <w:highlight w:val="none"/>
        </w:rPr>
      </w:pPr>
    </w:p>
    <w:p>
      <w:pPr>
        <w:tabs>
          <w:tab w:val="left" w:pos="0"/>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台州天兴工程管理咨询有限公司</w:t>
      </w:r>
    </w:p>
    <w:p>
      <w:pPr>
        <w:tabs>
          <w:tab w:val="left" w:pos="0"/>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hint="eastAsia" w:ascii="宋体" w:hAnsi="宋体" w:eastAsia="宋体" w:cs="宋体"/>
          <w:color w:val="auto"/>
          <w:sz w:val="28"/>
          <w:szCs w:val="28"/>
          <w:highlight w:val="none"/>
          <w:lang w:eastAsia="zh-CN"/>
        </w:rPr>
      </w:pPr>
      <w:r>
        <w:rPr>
          <w:rFonts w:hint="eastAsia" w:ascii="宋体" w:hAnsi="宋体" w:cs="宋体"/>
          <w:color w:val="auto"/>
          <w:kern w:val="0"/>
          <w:sz w:val="28"/>
          <w:szCs w:val="28"/>
          <w:highlight w:val="none"/>
          <w:lang w:eastAsia="zh-CN"/>
        </w:rPr>
        <w:t>2025年0</w:t>
      </w:r>
      <w:r>
        <w:rPr>
          <w:rFonts w:hint="eastAsia" w:ascii="宋体" w:hAnsi="宋体" w:cs="宋体"/>
          <w:color w:val="auto"/>
          <w:kern w:val="0"/>
          <w:sz w:val="28"/>
          <w:szCs w:val="28"/>
          <w:highlight w:val="none"/>
          <w:lang w:val="en-US" w:eastAsia="zh-CN"/>
        </w:rPr>
        <w:t>3</w:t>
      </w:r>
      <w:r>
        <w:rPr>
          <w:rFonts w:hint="eastAsia" w:ascii="宋体" w:hAnsi="宋体" w:cs="宋体"/>
          <w:color w:val="auto"/>
          <w:kern w:val="0"/>
          <w:sz w:val="28"/>
          <w:szCs w:val="28"/>
          <w:highlight w:val="none"/>
          <w:lang w:eastAsia="zh-CN"/>
        </w:rPr>
        <w:t>月</w:t>
      </w:r>
    </w:p>
    <w:p>
      <w:pPr>
        <w:rPr>
          <w:color w:val="auto"/>
          <w:highlight w:val="none"/>
        </w:rPr>
      </w:pPr>
      <w:r>
        <w:rPr>
          <w:rFonts w:hint="eastAsia" w:ascii="宋体" w:hAnsi="宋体" w:cs="宋体"/>
          <w:b/>
          <w:bCs/>
          <w:color w:val="auto"/>
          <w:sz w:val="24"/>
          <w:highlight w:val="none"/>
        </w:rPr>
        <w:br w:type="page"/>
      </w:r>
    </w:p>
    <w:p>
      <w:pPr>
        <w:rPr>
          <w:rFonts w:ascii="宋体" w:hAnsi="宋体" w:cs="宋体"/>
          <w:color w:val="auto"/>
          <w:sz w:val="24"/>
          <w:highlight w:val="none"/>
        </w:rPr>
      </w:pPr>
      <w:bookmarkStart w:id="0" w:name="_Toc25017_WPSOffice_Type1"/>
    </w:p>
    <w:p>
      <w:pPr>
        <w:pStyle w:val="18"/>
        <w:rPr>
          <w:rFonts w:ascii="宋体" w:hAnsi="宋体" w:cs="宋体"/>
          <w:color w:val="auto"/>
          <w:sz w:val="24"/>
          <w:highlight w:val="none"/>
        </w:rPr>
      </w:pPr>
    </w:p>
    <w:p>
      <w:pPr>
        <w:rPr>
          <w:rFonts w:ascii="宋体" w:hAnsi="宋体" w:cs="宋体"/>
          <w:color w:val="auto"/>
          <w:sz w:val="24"/>
          <w:highlight w:val="none"/>
        </w:rPr>
      </w:pPr>
    </w:p>
    <w:p>
      <w:pPr>
        <w:pStyle w:val="18"/>
        <w:rPr>
          <w:color w:val="auto"/>
          <w:highlight w:val="none"/>
        </w:rPr>
      </w:pPr>
    </w:p>
    <w:p>
      <w:pPr>
        <w:spacing w:line="480" w:lineRule="auto"/>
        <w:jc w:val="center"/>
        <w:rPr>
          <w:rFonts w:ascii="宋体" w:hAnsi="宋体" w:cs="宋体"/>
          <w:color w:val="auto"/>
          <w:sz w:val="28"/>
          <w:szCs w:val="28"/>
          <w:highlight w:val="none"/>
        </w:rPr>
      </w:pPr>
      <w:r>
        <w:rPr>
          <w:rFonts w:hint="eastAsia" w:ascii="宋体" w:hAnsi="宋体" w:cs="宋体"/>
          <w:b/>
          <w:bCs/>
          <w:color w:val="auto"/>
          <w:sz w:val="28"/>
          <w:szCs w:val="28"/>
          <w:highlight w:val="none"/>
        </w:rPr>
        <w:t>目  录</w:t>
      </w:r>
    </w:p>
    <w:p>
      <w:pPr>
        <w:pStyle w:val="48"/>
        <w:tabs>
          <w:tab w:val="right" w:leader="dot" w:pos="8300"/>
        </w:tabs>
        <w:spacing w:line="480" w:lineRule="auto"/>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"_Toc4350_WPSOffice_Level1" </w:instrText>
      </w:r>
      <w:r>
        <w:rPr>
          <w:color w:val="auto"/>
          <w:highlight w:val="none"/>
        </w:rPr>
        <w:fldChar w:fldCharType="separate"/>
      </w:r>
      <w:r>
        <w:rPr>
          <w:rFonts w:hint="eastAsia" w:ascii="宋体" w:hAnsi="宋体" w:cs="宋体"/>
          <w:color w:val="auto"/>
          <w:sz w:val="28"/>
          <w:szCs w:val="28"/>
          <w:highlight w:val="none"/>
        </w:rPr>
        <w:t>第一章 投标邀请</w:t>
      </w:r>
      <w:r>
        <w:rPr>
          <w:rFonts w:hint="eastAsia" w:ascii="宋体" w:hAnsi="宋体" w:cs="宋体"/>
          <w:color w:val="auto"/>
          <w:sz w:val="28"/>
          <w:szCs w:val="28"/>
          <w:highlight w:val="none"/>
        </w:rPr>
        <w:tab/>
      </w:r>
      <w:bookmarkStart w:id="1" w:name="_Toc4350_WPSOffice_Level1Page"/>
      <w:r>
        <w:rPr>
          <w:rFonts w:hint="eastAsia" w:ascii="宋体" w:hAnsi="宋体" w:cs="宋体"/>
          <w:color w:val="auto"/>
          <w:sz w:val="28"/>
          <w:szCs w:val="28"/>
          <w:highlight w:val="none"/>
        </w:rPr>
        <w:t>3</w:t>
      </w:r>
      <w:bookmarkEnd w:id="1"/>
      <w:r>
        <w:rPr>
          <w:rFonts w:hint="eastAsia" w:ascii="宋体" w:hAnsi="宋体" w:cs="宋体"/>
          <w:color w:val="auto"/>
          <w:sz w:val="28"/>
          <w:szCs w:val="28"/>
          <w:highlight w:val="none"/>
        </w:rPr>
        <w:fldChar w:fldCharType="end"/>
      </w:r>
    </w:p>
    <w:p>
      <w:pPr>
        <w:pStyle w:val="48"/>
        <w:tabs>
          <w:tab w:val="right" w:leader="dot" w:pos="8300"/>
        </w:tabs>
        <w:spacing w:line="480" w:lineRule="auto"/>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"_Toc25017_WPSOffice_Level1" </w:instrText>
      </w:r>
      <w:r>
        <w:rPr>
          <w:color w:val="auto"/>
          <w:highlight w:val="none"/>
        </w:rPr>
        <w:fldChar w:fldCharType="separate"/>
      </w:r>
      <w:r>
        <w:rPr>
          <w:rFonts w:hint="eastAsia" w:ascii="宋体" w:hAnsi="宋体" w:cs="宋体"/>
          <w:color w:val="auto"/>
          <w:sz w:val="28"/>
          <w:szCs w:val="28"/>
          <w:highlight w:val="none"/>
        </w:rPr>
        <w:t>第二章 投标人须知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t>6</w:t>
      </w:r>
      <w:r>
        <w:rPr>
          <w:rFonts w:hint="eastAsia" w:ascii="宋体" w:hAnsi="宋体" w:cs="宋体"/>
          <w:color w:val="auto"/>
          <w:sz w:val="28"/>
          <w:szCs w:val="28"/>
          <w:highlight w:val="none"/>
        </w:rPr>
        <w:fldChar w:fldCharType="end"/>
      </w:r>
    </w:p>
    <w:p>
      <w:pPr>
        <w:pStyle w:val="48"/>
        <w:tabs>
          <w:tab w:val="right" w:leader="dot" w:pos="8300"/>
        </w:tabs>
        <w:spacing w:line="480" w:lineRule="auto"/>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"_Toc13072_WPSOffice_Level1" </w:instrText>
      </w:r>
      <w:r>
        <w:rPr>
          <w:color w:val="auto"/>
          <w:highlight w:val="none"/>
        </w:rPr>
        <w:fldChar w:fldCharType="separate"/>
      </w:r>
      <w:r>
        <w:rPr>
          <w:rFonts w:hint="eastAsia" w:ascii="宋体" w:hAnsi="宋体" w:cs="宋体"/>
          <w:color w:val="auto"/>
          <w:sz w:val="28"/>
          <w:szCs w:val="28"/>
          <w:highlight w:val="none"/>
        </w:rPr>
        <w:t>第三章 招标需求</w:t>
      </w:r>
      <w:r>
        <w:rPr>
          <w:rFonts w:hint="eastAsia" w:ascii="宋体" w:hAnsi="宋体" w:cs="宋体"/>
          <w:color w:val="auto"/>
          <w:sz w:val="28"/>
          <w:szCs w:val="28"/>
          <w:highlight w:val="none"/>
        </w:rPr>
        <w:tab/>
      </w:r>
      <w:r>
        <w:rPr>
          <w:rFonts w:hint="eastAsia" w:ascii="宋体" w:hAnsi="宋体" w:cs="宋体"/>
          <w:color w:val="auto"/>
          <w:sz w:val="28"/>
          <w:szCs w:val="28"/>
          <w:highlight w:val="none"/>
        </w:rPr>
        <w:t>1</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t>4</w:t>
      </w:r>
    </w:p>
    <w:p>
      <w:pPr>
        <w:pStyle w:val="48"/>
        <w:tabs>
          <w:tab w:val="right" w:leader="dot" w:pos="8300"/>
        </w:tabs>
        <w:spacing w:line="480" w:lineRule="auto"/>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"_Toc31173_WPSOffice_Level1" </w:instrText>
      </w:r>
      <w:r>
        <w:rPr>
          <w:color w:val="auto"/>
          <w:highlight w:val="none"/>
        </w:rPr>
        <w:fldChar w:fldCharType="separate"/>
      </w:r>
      <w:r>
        <w:rPr>
          <w:rFonts w:hint="eastAsia" w:ascii="宋体" w:hAnsi="宋体" w:cs="宋体"/>
          <w:color w:val="auto"/>
          <w:sz w:val="28"/>
          <w:szCs w:val="28"/>
          <w:highlight w:val="none"/>
        </w:rPr>
        <w:t>第四章 评标</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t>16</w:t>
      </w:r>
    </w:p>
    <w:p>
      <w:pPr>
        <w:pStyle w:val="48"/>
        <w:tabs>
          <w:tab w:val="right" w:leader="dot" w:pos="8300"/>
        </w:tabs>
        <w:spacing w:line="480" w:lineRule="auto"/>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"_Toc27944_WPSOffice_Level1" </w:instrText>
      </w:r>
      <w:r>
        <w:rPr>
          <w:color w:val="auto"/>
          <w:highlight w:val="none"/>
        </w:rPr>
        <w:fldChar w:fldCharType="separate"/>
      </w:r>
      <w:r>
        <w:rPr>
          <w:rFonts w:hint="eastAsia" w:ascii="宋体" w:hAnsi="宋体" w:cs="宋体"/>
          <w:color w:val="auto"/>
          <w:sz w:val="28"/>
          <w:szCs w:val="28"/>
          <w:highlight w:val="none"/>
        </w:rPr>
        <w:t>第五章 拟签订的合同文本</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t>23</w:t>
      </w:r>
    </w:p>
    <w:p>
      <w:pPr>
        <w:pStyle w:val="48"/>
        <w:tabs>
          <w:tab w:val="right" w:leader="dot" w:pos="8300"/>
        </w:tabs>
        <w:spacing w:line="480" w:lineRule="auto"/>
        <w:rPr>
          <w:rFonts w:hint="eastAsia" w:ascii="宋体" w:hAnsi="宋体" w:eastAsia="宋体" w:cs="宋体"/>
          <w:color w:val="auto"/>
          <w:sz w:val="28"/>
          <w:szCs w:val="28"/>
          <w:highlight w:val="none"/>
          <w:lang w:eastAsia="zh-CN"/>
        </w:rPr>
      </w:pPr>
      <w:r>
        <w:rPr>
          <w:color w:val="auto"/>
          <w:highlight w:val="none"/>
        </w:rPr>
        <w:fldChar w:fldCharType="begin"/>
      </w:r>
      <w:r>
        <w:rPr>
          <w:color w:val="auto"/>
          <w:highlight w:val="none"/>
        </w:rPr>
        <w:instrText xml:space="preserve"> HYPERLINK \l "_Toc5481_WPSOffice_Level1" </w:instrText>
      </w:r>
      <w:r>
        <w:rPr>
          <w:color w:val="auto"/>
          <w:highlight w:val="none"/>
        </w:rPr>
        <w:fldChar w:fldCharType="separate"/>
      </w:r>
      <w:r>
        <w:rPr>
          <w:rFonts w:hint="eastAsia" w:ascii="宋体" w:hAnsi="宋体" w:cs="宋体"/>
          <w:color w:val="auto"/>
          <w:sz w:val="28"/>
          <w:szCs w:val="28"/>
          <w:highlight w:val="none"/>
        </w:rPr>
        <w:t>第六章 投标文件格式</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t>2</w:t>
      </w:r>
      <w:r>
        <w:rPr>
          <w:rFonts w:hint="eastAsia" w:ascii="宋体" w:hAnsi="宋体" w:cs="宋体"/>
          <w:color w:val="auto"/>
          <w:sz w:val="28"/>
          <w:szCs w:val="28"/>
          <w:highlight w:val="none"/>
          <w:lang w:val="en-US" w:eastAsia="zh-CN"/>
        </w:rPr>
        <w:t>7</w:t>
      </w:r>
      <w:bookmarkStart w:id="90" w:name="_GoBack"/>
      <w:bookmarkEnd w:id="90"/>
    </w:p>
    <w:bookmarkEnd w:id="0"/>
    <w:p>
      <w:pPr>
        <w:rPr>
          <w:rFonts w:ascii="宋体" w:hAnsi="宋体" w:cs="宋体"/>
          <w:b/>
          <w:color w:val="auto"/>
          <w:kern w:val="0"/>
          <w:sz w:val="24"/>
          <w:highlight w:val="none"/>
        </w:rPr>
      </w:pPr>
    </w:p>
    <w:p>
      <w:pPr>
        <w:rPr>
          <w:rFonts w:ascii="宋体" w:hAnsi="宋体" w:cs="宋体"/>
          <w:b/>
          <w:color w:val="auto"/>
          <w:sz w:val="24"/>
          <w:highlight w:val="none"/>
        </w:rPr>
      </w:pPr>
      <w:r>
        <w:rPr>
          <w:rFonts w:hint="eastAsia" w:ascii="宋体" w:hAnsi="宋体" w:cs="宋体"/>
          <w:b/>
          <w:color w:val="auto"/>
          <w:kern w:val="0"/>
          <w:sz w:val="24"/>
          <w:highlight w:val="none"/>
        </w:rPr>
        <w:br w:type="page"/>
      </w:r>
    </w:p>
    <w:p>
      <w:pPr>
        <w:pStyle w:val="3"/>
        <w:numPr>
          <w:ilvl w:val="0"/>
          <w:numId w:val="0"/>
        </w:numPr>
        <w:rPr>
          <w:color w:val="auto"/>
          <w:sz w:val="36"/>
          <w:szCs w:val="36"/>
          <w:highlight w:val="none"/>
        </w:rPr>
      </w:pPr>
      <w:bookmarkStart w:id="2" w:name="_Toc4350_WPSOffice_Level1"/>
      <w:r>
        <w:rPr>
          <w:rFonts w:hint="eastAsia"/>
          <w:color w:val="auto"/>
          <w:sz w:val="36"/>
          <w:szCs w:val="36"/>
          <w:highlight w:val="none"/>
        </w:rPr>
        <w:t>第一章</w:t>
      </w:r>
      <w:r>
        <w:rPr>
          <w:rFonts w:hint="eastAsia"/>
          <w:color w:val="auto"/>
          <w:sz w:val="36"/>
          <w:szCs w:val="36"/>
          <w:highlight w:val="none"/>
          <w:lang w:val="en-US" w:eastAsia="zh-CN"/>
        </w:rPr>
        <w:t xml:space="preserve"> </w:t>
      </w:r>
      <w:r>
        <w:rPr>
          <w:rFonts w:hint="eastAsia"/>
          <w:color w:val="auto"/>
          <w:sz w:val="36"/>
          <w:szCs w:val="36"/>
          <w:highlight w:val="none"/>
        </w:rPr>
        <w:t>投标邀请</w:t>
      </w:r>
      <w:bookmarkEnd w:id="2"/>
    </w:p>
    <w:p>
      <w:pPr>
        <w:rPr>
          <w:color w:val="auto"/>
          <w:highlight w:val="none"/>
        </w:rPr>
      </w:pPr>
    </w:p>
    <w:p>
      <w:pPr>
        <w:pStyle w:val="4"/>
        <w:ind w:firstLine="480" w:firstLineChars="200"/>
        <w:rPr>
          <w:rFonts w:cs="宋体"/>
          <w:b w:val="0"/>
          <w:color w:val="auto"/>
          <w:sz w:val="24"/>
          <w:szCs w:val="24"/>
          <w:highlight w:val="none"/>
        </w:rPr>
      </w:pPr>
      <w:bookmarkStart w:id="3" w:name="_Toc28359079"/>
      <w:bookmarkStart w:id="4" w:name="_Toc35393790"/>
      <w:bookmarkStart w:id="5" w:name="_Toc28359002"/>
      <w:bookmarkStart w:id="6" w:name="_Toc35393621"/>
      <w:bookmarkStart w:id="7" w:name="_Hlk24379207"/>
      <w:r>
        <w:rPr>
          <w:rFonts w:hint="eastAsia" w:cs="宋体"/>
          <w:b w:val="0"/>
          <w:color w:val="auto"/>
          <w:sz w:val="24"/>
          <w:szCs w:val="24"/>
          <w:highlight w:val="none"/>
        </w:rPr>
        <w:t>台州天兴工程管理咨询有限公司受</w:t>
      </w:r>
      <w:r>
        <w:rPr>
          <w:rFonts w:hint="eastAsia" w:cs="宋体"/>
          <w:b w:val="0"/>
          <w:color w:val="auto"/>
          <w:sz w:val="24"/>
          <w:szCs w:val="24"/>
          <w:highlight w:val="none"/>
          <w:lang w:eastAsia="zh-CN"/>
        </w:rPr>
        <w:t>台州市地质环境监测站</w:t>
      </w:r>
      <w:r>
        <w:rPr>
          <w:rFonts w:hint="eastAsia" w:cs="宋体"/>
          <w:b w:val="0"/>
          <w:color w:val="auto"/>
          <w:sz w:val="24"/>
          <w:szCs w:val="24"/>
          <w:highlight w:val="none"/>
        </w:rPr>
        <w:t>委托，</w:t>
      </w:r>
      <w:r>
        <w:rPr>
          <w:rFonts w:ascii="宋体" w:hAnsi="宋体" w:eastAsia="宋体" w:cs="宋体"/>
          <w:b w:val="0"/>
          <w:color w:val="auto"/>
          <w:kern w:val="2"/>
          <w:sz w:val="24"/>
          <w:szCs w:val="24"/>
          <w:highlight w:val="none"/>
          <w:lang w:val="en-US" w:eastAsia="zh-CN" w:bidi="ar-SA"/>
        </w:rPr>
        <w:t>根据</w:t>
      </w:r>
      <w:r>
        <w:rPr>
          <w:rFonts w:hint="eastAsia" w:cs="宋体"/>
          <w:b w:val="0"/>
          <w:color w:val="auto"/>
          <w:kern w:val="2"/>
          <w:sz w:val="24"/>
          <w:szCs w:val="24"/>
          <w:highlight w:val="none"/>
          <w:lang w:val="en-US" w:eastAsia="zh-CN" w:bidi="ar-SA"/>
        </w:rPr>
        <w:t>台州市</w:t>
      </w:r>
      <w:r>
        <w:rPr>
          <w:rFonts w:ascii="宋体" w:hAnsi="宋体" w:eastAsia="宋体" w:cs="宋体"/>
          <w:b w:val="0"/>
          <w:color w:val="auto"/>
          <w:kern w:val="2"/>
          <w:sz w:val="24"/>
          <w:szCs w:val="24"/>
          <w:highlight w:val="none"/>
          <w:lang w:val="en-US" w:eastAsia="zh-CN" w:bidi="ar-SA"/>
        </w:rPr>
        <w:t>政府采购（分散采购）预算执行确认书（</w:t>
      </w:r>
      <w:r>
        <w:rPr>
          <w:rFonts w:hint="eastAsia" w:ascii="宋体" w:hAnsi="宋体" w:eastAsia="宋体" w:cs="宋体"/>
          <w:b w:val="0"/>
          <w:color w:val="auto"/>
          <w:kern w:val="2"/>
          <w:sz w:val="24"/>
          <w:szCs w:val="24"/>
          <w:highlight w:val="none"/>
          <w:lang w:val="en-US" w:eastAsia="zh-CN" w:bidi="ar-SA"/>
        </w:rPr>
        <w:t>台财采确[2025]1026号</w:t>
      </w:r>
      <w:r>
        <w:rPr>
          <w:rFonts w:ascii="宋体" w:hAnsi="宋体" w:eastAsia="宋体" w:cs="宋体"/>
          <w:b w:val="0"/>
          <w:color w:val="auto"/>
          <w:kern w:val="2"/>
          <w:sz w:val="24"/>
          <w:szCs w:val="24"/>
          <w:highlight w:val="none"/>
          <w:lang w:val="en-US" w:eastAsia="zh-CN" w:bidi="ar-SA"/>
        </w:rPr>
        <w:t>）确认</w:t>
      </w:r>
      <w:r>
        <w:rPr>
          <w:rFonts w:hint="eastAsia" w:ascii="宋体" w:hAnsi="宋体" w:eastAsia="宋体" w:cs="宋体"/>
          <w:b w:val="0"/>
          <w:color w:val="auto"/>
          <w:kern w:val="2"/>
          <w:sz w:val="24"/>
          <w:szCs w:val="24"/>
          <w:highlight w:val="none"/>
          <w:lang w:val="en-US" w:eastAsia="zh-CN" w:bidi="ar-SA"/>
        </w:rPr>
        <w:t>，现</w:t>
      </w:r>
      <w:r>
        <w:rPr>
          <w:rFonts w:hint="eastAsia" w:cs="宋体"/>
          <w:b w:val="0"/>
          <w:color w:val="auto"/>
          <w:sz w:val="24"/>
          <w:szCs w:val="24"/>
          <w:highlight w:val="none"/>
        </w:rPr>
        <w:t>就</w:t>
      </w:r>
      <w:r>
        <w:rPr>
          <w:rFonts w:hint="eastAsia" w:cs="宋体"/>
          <w:b w:val="0"/>
          <w:color w:val="auto"/>
          <w:sz w:val="24"/>
          <w:szCs w:val="24"/>
          <w:highlight w:val="none"/>
          <w:lang w:eastAsia="zh-CN"/>
        </w:rPr>
        <w:t>台州市沿海平原地面沉降监测项目</w:t>
      </w:r>
      <w:r>
        <w:rPr>
          <w:rFonts w:hint="eastAsia" w:cs="宋体"/>
          <w:b w:val="0"/>
          <w:color w:val="auto"/>
          <w:sz w:val="24"/>
          <w:szCs w:val="24"/>
          <w:highlight w:val="none"/>
        </w:rPr>
        <w:t>进行公开招标，欢迎符合资格条件的国内投标人参加投标。</w:t>
      </w:r>
    </w:p>
    <w:p>
      <w:pPr>
        <w:pStyle w:val="4"/>
        <w:ind w:firstLine="482" w:firstLineChars="200"/>
        <w:rPr>
          <w:rFonts w:cs="宋体"/>
          <w:bCs/>
          <w:color w:val="auto"/>
          <w:sz w:val="24"/>
          <w:szCs w:val="24"/>
          <w:highlight w:val="none"/>
        </w:rPr>
      </w:pPr>
      <w:r>
        <w:rPr>
          <w:rFonts w:hint="eastAsia" w:cs="宋体"/>
          <w:bCs/>
          <w:color w:val="auto"/>
          <w:sz w:val="24"/>
          <w:szCs w:val="24"/>
          <w:highlight w:val="none"/>
        </w:rPr>
        <w:t>一、项目基本情况</w:t>
      </w:r>
      <w:bookmarkEnd w:id="3"/>
      <w:bookmarkEnd w:id="4"/>
      <w:bookmarkEnd w:id="5"/>
      <w:bookmarkEnd w:id="6"/>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TZTX-2025-GK005</w:t>
      </w:r>
    </w:p>
    <w:bookmarkEnd w:id="7"/>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台州市沿海平原地面沉降监测项目</w:t>
      </w:r>
    </w:p>
    <w:tbl>
      <w:tblPr>
        <w:tblStyle w:val="25"/>
        <w:tblW w:w="854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1002"/>
        <w:gridCol w:w="4110"/>
        <w:gridCol w:w="585"/>
        <w:gridCol w:w="690"/>
        <w:gridCol w:w="1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0" w:hRule="atLeast"/>
          <w:jc w:val="center"/>
        </w:trPr>
        <w:tc>
          <w:tcPr>
            <w:tcW w:w="10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标项号</w:t>
            </w:r>
          </w:p>
        </w:tc>
        <w:tc>
          <w:tcPr>
            <w:tcW w:w="100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firstLine="120" w:firstLineChars="50"/>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4110"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简要技术要求</w:t>
            </w:r>
          </w:p>
        </w:tc>
        <w:tc>
          <w:tcPr>
            <w:tcW w:w="585"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kern w:val="0"/>
                <w:sz w:val="24"/>
                <w:highlight w:val="none"/>
              </w:rPr>
              <w:t>数量</w:t>
            </w:r>
          </w:p>
        </w:tc>
        <w:tc>
          <w:tcPr>
            <w:tcW w:w="690"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114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预算</w:t>
            </w:r>
          </w:p>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0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100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Cs/>
                <w:color w:val="auto"/>
                <w:sz w:val="24"/>
                <w:highlight w:val="none"/>
                <w:lang w:eastAsia="zh-CN"/>
              </w:rPr>
            </w:pPr>
            <w:r>
              <w:rPr>
                <w:rFonts w:hint="eastAsia" w:ascii="宋体" w:hAnsi="宋体" w:cs="宋体"/>
                <w:color w:val="auto"/>
                <w:sz w:val="24"/>
                <w:highlight w:val="none"/>
                <w:lang w:eastAsia="zh-CN"/>
              </w:rPr>
              <w:t>台州市沿海平原地面沉降监测项目</w:t>
            </w:r>
          </w:p>
        </w:tc>
        <w:tc>
          <w:tcPr>
            <w:tcW w:w="4110"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rPr>
              <w:t>结合沿海平原地面沉降状况及现有地面沉降监测网络，以继续查明区域地面沉降现状及优化完善现有地面沉降监测站网为目标，积极实施2024年度</w:t>
            </w:r>
            <w:r>
              <w:rPr>
                <w:rFonts w:hint="eastAsia" w:ascii="宋体" w:hAnsi="宋体" w:cs="宋体"/>
                <w:color w:val="auto"/>
                <w:sz w:val="24"/>
                <w:szCs w:val="24"/>
                <w:lang w:eastAsia="zh-CN"/>
              </w:rPr>
              <w:t>沿海</w:t>
            </w:r>
            <w:r>
              <w:rPr>
                <w:rFonts w:hint="eastAsia" w:ascii="宋体" w:hAnsi="宋体" w:eastAsia="宋体" w:cs="宋体"/>
                <w:color w:val="auto"/>
                <w:sz w:val="24"/>
                <w:szCs w:val="24"/>
              </w:rPr>
              <w:t>平原水准测量路线400km（110个水准点）地面沉降监测，为全面做好沿海平原地面沉降防治工作提供数据支撑。</w:t>
            </w:r>
          </w:p>
        </w:tc>
        <w:tc>
          <w:tcPr>
            <w:tcW w:w="585"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690"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项</w:t>
            </w:r>
          </w:p>
        </w:tc>
        <w:tc>
          <w:tcPr>
            <w:tcW w:w="114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25"/>
              <w:jc w:val="center"/>
              <w:rPr>
                <w:rFonts w:ascii="宋体" w:hAnsi="宋体" w:cs="宋体"/>
                <w:bCs/>
                <w:color w:val="auto"/>
                <w:sz w:val="24"/>
                <w:highlight w:val="none"/>
              </w:rPr>
            </w:pPr>
            <w:r>
              <w:rPr>
                <w:rFonts w:hint="eastAsia" w:ascii="宋体" w:hAnsi="宋体" w:cs="宋体"/>
                <w:bCs/>
                <w:color w:val="auto"/>
                <w:sz w:val="24"/>
                <w:highlight w:val="none"/>
              </w:rPr>
              <w:t>115.00</w:t>
            </w:r>
          </w:p>
        </w:tc>
      </w:tr>
    </w:tbl>
    <w:p>
      <w:pPr>
        <w:pStyle w:val="4"/>
        <w:ind w:right="0" w:firstLine="482" w:firstLineChars="200"/>
        <w:rPr>
          <w:rFonts w:cs="宋体"/>
          <w:bCs/>
          <w:color w:val="auto"/>
          <w:sz w:val="24"/>
          <w:szCs w:val="24"/>
          <w:highlight w:val="none"/>
        </w:rPr>
      </w:pPr>
      <w:bookmarkStart w:id="8" w:name="_Toc35393622"/>
      <w:bookmarkStart w:id="9" w:name="_Toc28359003"/>
      <w:bookmarkStart w:id="10" w:name="_Toc28359080"/>
      <w:bookmarkStart w:id="11" w:name="_Toc35393791"/>
      <w:r>
        <w:rPr>
          <w:rFonts w:hint="eastAsia" w:cs="宋体"/>
          <w:bCs/>
          <w:color w:val="auto"/>
          <w:sz w:val="24"/>
          <w:szCs w:val="24"/>
          <w:highlight w:val="none"/>
        </w:rPr>
        <w:t>二、投标人的资格要求</w:t>
      </w:r>
      <w:bookmarkEnd w:id="8"/>
      <w:bookmarkEnd w:id="9"/>
      <w:bookmarkEnd w:id="10"/>
      <w:bookmarkEnd w:id="11"/>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（一）满足《中华人民共和国政府采购法》第二十二条规定</w:t>
      </w:r>
    </w:p>
    <w:p>
      <w:pPr>
        <w:spacing w:line="360" w:lineRule="auto"/>
        <w:ind w:left="479" w:leftChars="228"/>
        <w:rPr>
          <w:rFonts w:ascii="宋体" w:hAnsi="宋体" w:cs="宋体"/>
          <w:color w:val="auto"/>
          <w:sz w:val="24"/>
          <w:highlight w:val="none"/>
        </w:rPr>
      </w:pPr>
      <w:bookmarkStart w:id="12" w:name="_Toc35393792"/>
      <w:bookmarkStart w:id="13" w:name="_Toc28359081"/>
      <w:bookmarkStart w:id="14" w:name="_Toc28359004"/>
      <w:bookmarkStart w:id="15" w:name="_Toc35393623"/>
      <w:r>
        <w:rPr>
          <w:rFonts w:hint="eastAsia" w:ascii="宋体" w:hAnsi="宋体" w:cs="宋体"/>
          <w:color w:val="auto"/>
          <w:sz w:val="24"/>
          <w:highlight w:val="none"/>
        </w:rPr>
        <w:t>（二）本项目的特定资格要求：同时具备测绘甲级和地质灾害危险性评估甲级资质（三）本项目</w:t>
      </w:r>
      <w:r>
        <w:rPr>
          <w:rFonts w:hint="eastAsia" w:ascii="宋体" w:hAnsi="宋体" w:cs="宋体"/>
          <w:b/>
          <w:bCs/>
          <w:color w:val="auto"/>
          <w:sz w:val="24"/>
          <w:highlight w:val="none"/>
        </w:rPr>
        <w:t>（☑ 不接受/□ 接受）</w:t>
      </w:r>
      <w:r>
        <w:rPr>
          <w:rFonts w:hint="eastAsia" w:ascii="宋体" w:hAnsi="宋体" w:cs="宋体"/>
          <w:color w:val="auto"/>
          <w:sz w:val="24"/>
          <w:highlight w:val="none"/>
        </w:rPr>
        <w:t>联合体投标</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（四）本项目</w:t>
      </w:r>
      <w:r>
        <w:rPr>
          <w:rFonts w:hint="eastAsia" w:ascii="宋体" w:hAnsi="宋体" w:cs="宋体"/>
          <w:b/>
          <w:bCs/>
          <w:color w:val="auto"/>
          <w:sz w:val="24"/>
          <w:highlight w:val="none"/>
        </w:rPr>
        <w:t>（</w:t>
      </w:r>
      <w:r>
        <w:rPr>
          <w:rFonts w:hint="eastAsia" w:ascii="宋体" w:hAnsi="宋体" w:cs="宋体"/>
          <w:b/>
          <w:bCs/>
          <w:color w:val="auto"/>
          <w:sz w:val="24"/>
          <w:highlight w:val="none"/>
        </w:rPr>
        <w:sym w:font="Wingdings 2" w:char="00A3"/>
      </w:r>
      <w:r>
        <w:rPr>
          <w:rFonts w:hint="eastAsia" w:ascii="宋体" w:hAnsi="宋体" w:cs="宋体"/>
          <w:b/>
          <w:bCs/>
          <w:color w:val="auto"/>
          <w:sz w:val="24"/>
          <w:highlight w:val="none"/>
        </w:rPr>
        <w:t xml:space="preserve"> 是/☑ 否）</w:t>
      </w:r>
      <w:r>
        <w:rPr>
          <w:rFonts w:hint="eastAsia" w:ascii="宋体" w:hAnsi="宋体" w:cs="宋体"/>
          <w:color w:val="auto"/>
          <w:sz w:val="24"/>
          <w:highlight w:val="none"/>
        </w:rPr>
        <w:t>针对为中小企业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（五）信用记录：未被列入“信用中国”失信被执行人或重大税收违法案件当事人名单；未处于“中国政府采购网”</w:t>
      </w:r>
      <w:r>
        <w:rPr>
          <w:color w:val="auto"/>
          <w:highlight w:val="none"/>
        </w:rPr>
        <w:fldChar w:fldCharType="begin"/>
      </w:r>
      <w:r>
        <w:rPr>
          <w:color w:val="auto"/>
          <w:highlight w:val="none"/>
        </w:rPr>
        <w:instrText xml:space="preserve"> HYPERLINK "http://www.ccgp.gov.cn）政府采购严重违法失信行为信息记录中的禁止参加政府采购活动期间。" </w:instrText>
      </w:r>
      <w:r>
        <w:rPr>
          <w:color w:val="auto"/>
          <w:highlight w:val="none"/>
        </w:rPr>
        <w:fldChar w:fldCharType="separate"/>
      </w:r>
      <w:r>
        <w:rPr>
          <w:rFonts w:hint="eastAsia" w:ascii="宋体" w:hAnsi="宋体" w:cs="宋体"/>
          <w:color w:val="auto"/>
          <w:sz w:val="24"/>
          <w:highlight w:val="none"/>
        </w:rPr>
        <w:t>政府采购严重违法失信行为信息记录中的禁止参加政府采购活动期间。</w:t>
      </w:r>
      <w:r>
        <w:rPr>
          <w:rFonts w:hint="eastAsia" w:ascii="宋体" w:hAnsi="宋体" w:cs="宋体"/>
          <w:color w:val="auto"/>
          <w:sz w:val="24"/>
          <w:highlight w:val="none"/>
        </w:rPr>
        <w:fldChar w:fldCharType="end"/>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（六）法律、行政法规规定的其他条件：单位负责人为同一人或者存在直接控股、管理关系的不同供应商，不得同时参加同一项目投标。</w:t>
      </w:r>
    </w:p>
    <w:p>
      <w:pPr>
        <w:pStyle w:val="4"/>
        <w:ind w:right="0" w:firstLine="482" w:firstLineChars="200"/>
        <w:rPr>
          <w:rFonts w:cs="宋体"/>
          <w:bCs/>
          <w:color w:val="auto"/>
          <w:sz w:val="24"/>
          <w:szCs w:val="24"/>
          <w:highlight w:val="none"/>
        </w:rPr>
      </w:pPr>
      <w:r>
        <w:rPr>
          <w:rFonts w:hint="eastAsia" w:cs="宋体"/>
          <w:bCs/>
          <w:color w:val="auto"/>
          <w:sz w:val="24"/>
          <w:szCs w:val="24"/>
          <w:highlight w:val="none"/>
        </w:rPr>
        <w:t>三、获取招标文件</w:t>
      </w:r>
      <w:bookmarkEnd w:id="12"/>
      <w:bookmarkEnd w:id="13"/>
      <w:bookmarkEnd w:id="14"/>
      <w:bookmarkEnd w:id="15"/>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（一）时间：公告发布时间至投标截止时间。</w:t>
      </w:r>
    </w:p>
    <w:p>
      <w:pPr>
        <w:pStyle w:val="27"/>
        <w:spacing w:line="360" w:lineRule="auto"/>
        <w:ind w:firstLine="480" w:firstLineChars="200"/>
        <w:jc w:val="both"/>
        <w:rPr>
          <w:rFonts w:ascii="宋体" w:hAnsi="宋体" w:eastAsia="宋体"/>
          <w:color w:val="auto"/>
          <w:sz w:val="24"/>
          <w:szCs w:val="24"/>
          <w:highlight w:val="none"/>
        </w:rPr>
      </w:pPr>
      <w:r>
        <w:rPr>
          <w:rFonts w:hint="eastAsia" w:ascii="宋体" w:hAnsi="宋体" w:eastAsia="宋体"/>
          <w:color w:val="auto"/>
          <w:sz w:val="24"/>
          <w:szCs w:val="24"/>
          <w:highlight w:val="none"/>
        </w:rPr>
        <w:t>（二）方式：浙江政府采购网</w:t>
      </w:r>
      <w:r>
        <w:rPr>
          <w:rFonts w:hint="eastAsia" w:ascii="宋体" w:hAnsi="宋体" w:eastAsia="宋体"/>
          <w:color w:val="auto"/>
          <w:kern w:val="2"/>
          <w:sz w:val="24"/>
          <w:szCs w:val="24"/>
          <w:highlight w:val="none"/>
        </w:rPr>
        <w:t>（https://zfcg.czt.zj.gov.cn）</w:t>
      </w:r>
      <w:r>
        <w:rPr>
          <w:rFonts w:hint="eastAsia" w:ascii="宋体" w:hAnsi="宋体" w:eastAsia="宋体"/>
          <w:color w:val="auto"/>
          <w:sz w:val="24"/>
          <w:szCs w:val="24"/>
          <w:highlight w:val="none"/>
        </w:rPr>
        <w:t>免费下载</w:t>
      </w:r>
    </w:p>
    <w:p>
      <w:pPr>
        <w:pStyle w:val="4"/>
        <w:ind w:right="0" w:firstLine="482" w:firstLineChars="200"/>
        <w:rPr>
          <w:rFonts w:cs="宋体"/>
          <w:bCs/>
          <w:color w:val="auto"/>
          <w:sz w:val="24"/>
          <w:szCs w:val="24"/>
          <w:highlight w:val="none"/>
        </w:rPr>
      </w:pPr>
      <w:bookmarkStart w:id="16" w:name="_Toc28359082"/>
      <w:bookmarkStart w:id="17" w:name="_Toc28359005"/>
      <w:bookmarkStart w:id="18" w:name="_Toc35393624"/>
      <w:bookmarkStart w:id="19" w:name="_Toc35393793"/>
      <w:r>
        <w:rPr>
          <w:rFonts w:hint="eastAsia" w:cs="宋体"/>
          <w:bCs/>
          <w:color w:val="auto"/>
          <w:sz w:val="24"/>
          <w:szCs w:val="24"/>
          <w:highlight w:val="none"/>
        </w:rPr>
        <w:t>四、提交投标文件</w:t>
      </w:r>
      <w:bookmarkEnd w:id="16"/>
      <w:bookmarkEnd w:id="17"/>
      <w:bookmarkEnd w:id="18"/>
      <w:bookmarkEnd w:id="19"/>
    </w:p>
    <w:p>
      <w:pPr>
        <w:spacing w:line="360" w:lineRule="auto"/>
        <w:ind w:firstLine="480" w:firstLineChars="200"/>
        <w:rPr>
          <w:rFonts w:ascii="宋体" w:hAnsi="宋体" w:cs="宋体"/>
          <w:iCs/>
          <w:color w:val="000000" w:themeColor="text1"/>
          <w:sz w:val="24"/>
          <w:highlight w:val="none"/>
          <w:u w:val="single"/>
          <w14:textFill>
            <w14:solidFill>
              <w14:schemeClr w14:val="tx1"/>
            </w14:solidFill>
          </w14:textFill>
        </w:rPr>
      </w:pPr>
      <w:bookmarkStart w:id="20" w:name="_Toc35393625"/>
      <w:bookmarkStart w:id="21" w:name="_Toc28359007"/>
      <w:bookmarkStart w:id="22" w:name="_Toc28359084"/>
      <w:bookmarkStart w:id="23" w:name="_Toc35393794"/>
      <w:r>
        <w:rPr>
          <w:rFonts w:hint="eastAsia" w:ascii="宋体" w:hAnsi="宋体" w:cs="宋体"/>
          <w:color w:val="000000" w:themeColor="text1"/>
          <w:sz w:val="24"/>
          <w:highlight w:val="none"/>
          <w14:textFill>
            <w14:solidFill>
              <w14:schemeClr w14:val="tx1"/>
            </w14:solidFill>
          </w14:textFill>
        </w:rPr>
        <w:t>（一）截止时间（开标时间）：</w:t>
      </w:r>
      <w:r>
        <w:rPr>
          <w:rFonts w:hint="eastAsia" w:ascii="宋体" w:hAnsi="宋体" w:cs="宋体"/>
          <w:bCs/>
          <w:color w:val="000000" w:themeColor="text1"/>
          <w:sz w:val="24"/>
          <w:highlight w:val="none"/>
          <w:u w:val="single"/>
          <w14:textFill>
            <w14:solidFill>
              <w14:schemeClr w14:val="tx1"/>
            </w14:solidFill>
          </w14:textFill>
        </w:rPr>
        <w:t>202</w:t>
      </w:r>
      <w:r>
        <w:rPr>
          <w:rFonts w:hint="eastAsia" w:ascii="宋体" w:hAnsi="宋体" w:cs="宋体"/>
          <w:bCs/>
          <w:color w:val="000000" w:themeColor="text1"/>
          <w:sz w:val="24"/>
          <w:highlight w:val="none"/>
          <w:u w:val="single"/>
          <w:lang w:val="en-US" w:eastAsia="zh-CN"/>
          <w14:textFill>
            <w14:solidFill>
              <w14:schemeClr w14:val="tx1"/>
            </w14:solidFill>
          </w14:textFill>
        </w:rPr>
        <w:t>5</w:t>
      </w:r>
      <w:r>
        <w:rPr>
          <w:rFonts w:hint="eastAsia" w:ascii="宋体" w:hAnsi="宋体" w:cs="宋体"/>
          <w:bCs/>
          <w:color w:val="000000" w:themeColor="text1"/>
          <w:sz w:val="24"/>
          <w:highlight w:val="none"/>
          <w:u w:val="single"/>
          <w14:textFill>
            <w14:solidFill>
              <w14:schemeClr w14:val="tx1"/>
            </w14:solidFill>
          </w14:textFill>
        </w:rPr>
        <w:t>年</w:t>
      </w:r>
      <w:r>
        <w:rPr>
          <w:rFonts w:hint="eastAsia" w:ascii="宋体" w:hAnsi="宋体" w:cs="宋体"/>
          <w:bCs/>
          <w:color w:val="000000" w:themeColor="text1"/>
          <w:sz w:val="24"/>
          <w:highlight w:val="none"/>
          <w:u w:val="single"/>
          <w:lang w:val="en-US" w:eastAsia="zh-CN"/>
          <w14:textFill>
            <w14:solidFill>
              <w14:schemeClr w14:val="tx1"/>
            </w14:solidFill>
          </w14:textFill>
        </w:rPr>
        <w:t>04</w:t>
      </w:r>
      <w:r>
        <w:rPr>
          <w:rFonts w:hint="eastAsia" w:ascii="宋体" w:hAnsi="宋体" w:cs="宋体"/>
          <w:bCs/>
          <w:color w:val="000000" w:themeColor="text1"/>
          <w:sz w:val="24"/>
          <w:highlight w:val="none"/>
          <w:u w:val="single"/>
          <w14:textFill>
            <w14:solidFill>
              <w14:schemeClr w14:val="tx1"/>
            </w14:solidFill>
          </w14:textFill>
        </w:rPr>
        <w:t>月</w:t>
      </w:r>
      <w:r>
        <w:rPr>
          <w:rFonts w:hint="eastAsia" w:ascii="宋体" w:hAnsi="宋体" w:cs="宋体"/>
          <w:bCs/>
          <w:color w:val="000000" w:themeColor="text1"/>
          <w:sz w:val="24"/>
          <w:highlight w:val="none"/>
          <w:u w:val="single"/>
          <w:lang w:val="en-US" w:eastAsia="zh-CN"/>
          <w14:textFill>
            <w14:solidFill>
              <w14:schemeClr w14:val="tx1"/>
            </w14:solidFill>
          </w14:textFill>
        </w:rPr>
        <w:t>22</w:t>
      </w:r>
      <w:r>
        <w:rPr>
          <w:rFonts w:hint="eastAsia" w:ascii="宋体" w:hAnsi="宋体" w:cs="宋体"/>
          <w:bCs/>
          <w:color w:val="000000" w:themeColor="text1"/>
          <w:sz w:val="24"/>
          <w:highlight w:val="none"/>
          <w:u w:val="single"/>
          <w14:textFill>
            <w14:solidFill>
              <w14:schemeClr w14:val="tx1"/>
            </w14:solidFill>
          </w14:textFill>
        </w:rPr>
        <w:t>日09</w:t>
      </w:r>
      <w:r>
        <w:rPr>
          <w:rFonts w:hint="eastAsia" w:ascii="宋体" w:hAnsi="宋体" w:cs="宋体"/>
          <w:bCs/>
          <w:color w:val="000000" w:themeColor="text1"/>
          <w:sz w:val="24"/>
          <w:highlight w:val="none"/>
          <w:u w:val="single"/>
          <w:lang w:val="en-US" w:eastAsia="zh-CN"/>
          <w14:textFill>
            <w14:solidFill>
              <w14:schemeClr w14:val="tx1"/>
            </w14:solidFill>
          </w14:textFill>
        </w:rPr>
        <w:t>:</w:t>
      </w:r>
      <w:r>
        <w:rPr>
          <w:rFonts w:hint="eastAsia" w:ascii="宋体" w:hAnsi="宋体" w:cs="宋体"/>
          <w:bCs/>
          <w:color w:val="000000" w:themeColor="text1"/>
          <w:sz w:val="24"/>
          <w:highlight w:val="none"/>
          <w:u w:val="single"/>
          <w14:textFill>
            <w14:solidFill>
              <w14:schemeClr w14:val="tx1"/>
            </w14:solidFill>
          </w14:textFill>
        </w:rPr>
        <w:t>00</w:t>
      </w:r>
      <w:r>
        <w:rPr>
          <w:rFonts w:hint="eastAsia" w:ascii="宋体" w:hAnsi="宋体" w:cs="宋体"/>
          <w:bCs/>
          <w:color w:val="000000" w:themeColor="text1"/>
          <w:sz w:val="24"/>
          <w:highlight w:val="none"/>
          <w14:textFill>
            <w14:solidFill>
              <w14:schemeClr w14:val="tx1"/>
            </w14:solidFill>
          </w14:textFill>
        </w:rPr>
        <w:t>（北京时间）</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（二）投标网址：浙江政府采购云平台（http://www.zcygov.cn）</w:t>
      </w:r>
    </w:p>
    <w:bookmarkEnd w:id="20"/>
    <w:bookmarkEnd w:id="21"/>
    <w:bookmarkEnd w:id="22"/>
    <w:bookmarkEnd w:id="23"/>
    <w:p>
      <w:pPr>
        <w:pStyle w:val="18"/>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五、发布公告</w:t>
      </w:r>
    </w:p>
    <w:p>
      <w:pPr>
        <w:pStyle w:val="18"/>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（一）公告网址：浙江政府采购网（https://zfcg.czt.zj.gov.cn）。</w:t>
      </w:r>
    </w:p>
    <w:p>
      <w:pPr>
        <w:pStyle w:val="18"/>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（二）公告期限：</w:t>
      </w:r>
      <w:r>
        <w:rPr>
          <w:rFonts w:hint="eastAsia" w:ascii="宋体" w:hAnsi="宋体" w:cs="宋体"/>
          <w:color w:val="auto"/>
          <w:kern w:val="0"/>
          <w:sz w:val="24"/>
          <w:highlight w:val="none"/>
        </w:rPr>
        <w:t>本公告期限自发布之日起五个工作日。</w:t>
      </w:r>
    </w:p>
    <w:p>
      <w:pPr>
        <w:pStyle w:val="4"/>
        <w:ind w:right="0" w:firstLine="482" w:firstLineChars="200"/>
        <w:rPr>
          <w:rFonts w:cs="宋体"/>
          <w:bCs/>
          <w:color w:val="auto"/>
          <w:sz w:val="24"/>
          <w:szCs w:val="24"/>
          <w:highlight w:val="none"/>
        </w:rPr>
      </w:pPr>
      <w:bookmarkStart w:id="24" w:name="_Toc35393626"/>
      <w:bookmarkStart w:id="25" w:name="_Toc35393795"/>
      <w:r>
        <w:rPr>
          <w:rFonts w:hint="eastAsia" w:cs="宋体"/>
          <w:bCs/>
          <w:color w:val="auto"/>
          <w:sz w:val="24"/>
          <w:szCs w:val="24"/>
          <w:highlight w:val="none"/>
        </w:rPr>
        <w:t>六、</w:t>
      </w:r>
      <w:bookmarkEnd w:id="24"/>
      <w:bookmarkEnd w:id="25"/>
      <w:r>
        <w:rPr>
          <w:rFonts w:hint="eastAsia" w:cs="宋体"/>
          <w:bCs/>
          <w:color w:val="auto"/>
          <w:sz w:val="24"/>
          <w:szCs w:val="24"/>
          <w:highlight w:val="none"/>
        </w:rPr>
        <w:t>注册报名</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投标人需登录浙江省政府采购网（https://zfcg.czt.zj.gov.cn/）进行注册后报名。</w:t>
      </w:r>
    </w:p>
    <w:p>
      <w:pPr>
        <w:tabs>
          <w:tab w:val="left" w:pos="180"/>
          <w:tab w:val="left" w:pos="360"/>
          <w:tab w:val="left" w:pos="540"/>
          <w:tab w:val="left" w:pos="8280"/>
        </w:tabs>
        <w:autoSpaceDE w:val="0"/>
        <w:autoSpaceDN w:val="0"/>
        <w:adjustRightInd w:val="0"/>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七、相关注意事项：</w:t>
      </w:r>
    </w:p>
    <w:p>
      <w:pPr>
        <w:pStyle w:val="20"/>
        <w:widowControl w:val="0"/>
        <w:spacing w:before="0" w:beforeAutospacing="0" w:after="0" w:afterAutospacing="0" w:line="360" w:lineRule="auto"/>
        <w:ind w:firstLine="480" w:firstLineChars="200"/>
        <w:jc w:val="both"/>
        <w:rPr>
          <w:rFonts w:hint="default"/>
          <w:color w:val="auto"/>
          <w:highlight w:val="none"/>
        </w:rPr>
      </w:pPr>
      <w:r>
        <w:rPr>
          <w:color w:val="auto"/>
          <w:highlight w:val="none"/>
        </w:rPr>
        <w:t>（一）供应商认为采购文件使自己的权益受到损害的，可以自收到采购文件之日（获取/发售截止日之后收到采购文件的，以获取/发售截止日为准）起7个工作日内且应当在采购响应截止时间之前，以书面形式一次性向采购人和采购代理机构提出同一环节的质疑。否则，被质疑人可不予受理、答复。质疑供应商对采购人、采购代理机构的答复不满意或者采购人、采购代理机构未在规定的时间内作出答复的，可以在答复期满后十五个工作日内向采购单位监督管理部门投诉。</w:t>
      </w:r>
    </w:p>
    <w:p>
      <w:pPr>
        <w:pStyle w:val="18"/>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二）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pPr>
        <w:pStyle w:val="18"/>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（三）其他补充事宜</w:t>
      </w:r>
    </w:p>
    <w:p>
      <w:pPr>
        <w:pStyle w:val="18"/>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18"/>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4"/>
        <w:ind w:right="0" w:firstLine="482" w:firstLineChars="200"/>
        <w:rPr>
          <w:rFonts w:cs="宋体"/>
          <w:bCs/>
          <w:color w:val="auto"/>
          <w:sz w:val="24"/>
          <w:szCs w:val="24"/>
          <w:highlight w:val="none"/>
        </w:rPr>
      </w:pPr>
      <w:bookmarkStart w:id="26" w:name="_Toc28359085"/>
      <w:bookmarkStart w:id="27" w:name="_Toc35393796"/>
      <w:bookmarkStart w:id="28" w:name="_Toc28359008"/>
      <w:bookmarkStart w:id="29" w:name="_Toc35393627"/>
      <w:r>
        <w:rPr>
          <w:rFonts w:hint="eastAsia" w:cs="宋体"/>
          <w:bCs/>
          <w:color w:val="auto"/>
          <w:sz w:val="24"/>
          <w:szCs w:val="24"/>
          <w:highlight w:val="none"/>
        </w:rPr>
        <w:t>八、联系</w:t>
      </w:r>
      <w:bookmarkEnd w:id="26"/>
      <w:bookmarkEnd w:id="27"/>
      <w:bookmarkEnd w:id="28"/>
      <w:bookmarkEnd w:id="29"/>
      <w:r>
        <w:rPr>
          <w:rFonts w:hint="eastAsia" w:cs="宋体"/>
          <w:bCs/>
          <w:color w:val="auto"/>
          <w:sz w:val="24"/>
          <w:szCs w:val="24"/>
          <w:highlight w:val="none"/>
        </w:rPr>
        <w:t>方式</w:t>
      </w:r>
    </w:p>
    <w:p>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（一）采购人（受理招标文件相关质疑及答复） </w:t>
      </w:r>
    </w:p>
    <w:p>
      <w:pPr>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u w:val="single"/>
          <w:lang w:eastAsia="zh-CN"/>
        </w:rPr>
        <w:t>台州市地质环境监测站</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台州市椒江区市府大道</w:t>
      </w:r>
      <w:r>
        <w:rPr>
          <w:rFonts w:hint="eastAsia" w:ascii="宋体" w:hAnsi="宋体" w:cs="宋体"/>
          <w:color w:val="auto"/>
          <w:sz w:val="24"/>
          <w:highlight w:val="none"/>
          <w:u w:val="single"/>
          <w:lang w:val="en-US" w:eastAsia="zh-CN"/>
        </w:rPr>
        <w:t>468</w:t>
      </w:r>
      <w:r>
        <w:rPr>
          <w:rFonts w:hint="eastAsia" w:ascii="宋体" w:hAnsi="宋体" w:cs="宋体"/>
          <w:color w:val="auto"/>
          <w:sz w:val="24"/>
          <w:highlight w:val="none"/>
          <w:u w:val="single"/>
        </w:rPr>
        <w:t>号</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询问联系人：</w:t>
      </w:r>
      <w:r>
        <w:rPr>
          <w:rFonts w:hint="eastAsia" w:ascii="宋体" w:hAnsi="宋体" w:cs="宋体"/>
          <w:color w:val="auto"/>
          <w:sz w:val="24"/>
          <w:highlight w:val="none"/>
          <w:u w:val="single"/>
        </w:rPr>
        <w:t>严先生</w:t>
      </w:r>
    </w:p>
    <w:p>
      <w:p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询问联系电话：</w:t>
      </w:r>
      <w:r>
        <w:rPr>
          <w:rFonts w:hint="eastAsia" w:ascii="宋体" w:hAnsi="宋体" w:cs="宋体"/>
          <w:color w:val="auto"/>
          <w:sz w:val="24"/>
          <w:highlight w:val="none"/>
          <w:u w:val="single"/>
        </w:rPr>
        <w:t>0576-</w:t>
      </w:r>
      <w:r>
        <w:rPr>
          <w:rFonts w:hint="eastAsia" w:ascii="宋体" w:hAnsi="宋体" w:cs="宋体"/>
          <w:color w:val="auto"/>
          <w:sz w:val="24"/>
          <w:highlight w:val="none"/>
          <w:u w:val="single"/>
          <w:lang w:val="en-US" w:eastAsia="zh-CN"/>
        </w:rPr>
        <w:t>89063270</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质疑联系人：</w:t>
      </w:r>
      <w:bookmarkStart w:id="30" w:name="_Toc28359086"/>
      <w:bookmarkStart w:id="31" w:name="_Toc28359009"/>
      <w:r>
        <w:rPr>
          <w:rFonts w:hint="eastAsia" w:ascii="宋体" w:hAnsi="宋体" w:cs="宋体"/>
          <w:color w:val="auto"/>
          <w:sz w:val="24"/>
          <w:highlight w:val="none"/>
          <w:u w:val="single"/>
        </w:rPr>
        <w:t>陈老师</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质疑联系电话：</w:t>
      </w:r>
      <w:r>
        <w:rPr>
          <w:rFonts w:hint="eastAsia" w:ascii="宋体" w:hAnsi="宋体" w:cs="宋体"/>
          <w:color w:val="auto"/>
          <w:sz w:val="24"/>
          <w:highlight w:val="none"/>
          <w:u w:val="single"/>
        </w:rPr>
        <w:t>0576-88521005</w:t>
      </w:r>
    </w:p>
    <w:bookmarkEnd w:id="30"/>
    <w:bookmarkEnd w:id="31"/>
    <w:p>
      <w:pPr>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（二）采购组织机构</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台州天兴工程管理咨询有限公司</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浙江省台州市椒江区海门街道建设路105-16号</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项目联系人：</w:t>
      </w:r>
      <w:bookmarkStart w:id="32" w:name="_Toc28359010"/>
      <w:bookmarkStart w:id="33" w:name="_Toc28359087"/>
      <w:r>
        <w:rPr>
          <w:rFonts w:hint="eastAsia" w:ascii="宋体" w:hAnsi="宋体" w:cs="宋体"/>
          <w:color w:val="auto"/>
          <w:sz w:val="24"/>
          <w:highlight w:val="none"/>
          <w:u w:val="single"/>
        </w:rPr>
        <w:t>徐女士</w:t>
      </w:r>
    </w:p>
    <w:p>
      <w:pPr>
        <w:spacing w:line="360" w:lineRule="auto"/>
        <w:ind w:firstLine="480" w:firstLineChars="200"/>
        <w:jc w:val="left"/>
        <w:rPr>
          <w:rFonts w:hint="eastAsia" w:ascii="宋体" w:hAnsi="宋体" w:cs="宋体"/>
          <w:color w:val="auto"/>
          <w:sz w:val="24"/>
          <w:highlight w:val="none"/>
          <w:u w:val="single"/>
          <w:lang w:val="en-US" w:eastAsia="zh-CN"/>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val="en-US" w:eastAsia="zh-CN"/>
        </w:rPr>
        <w:t>0576-88322665</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受理联系人：</w:t>
      </w:r>
      <w:r>
        <w:rPr>
          <w:rFonts w:hint="eastAsia" w:ascii="宋体" w:hAnsi="宋体" w:cs="宋体"/>
          <w:color w:val="auto"/>
          <w:sz w:val="24"/>
          <w:highlight w:val="none"/>
          <w:u w:val="single"/>
        </w:rPr>
        <w:t>洪先生（受理注册、中标结果相关质疑及答复）</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0576-88322665</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技术人员：</w:t>
      </w:r>
      <w:r>
        <w:rPr>
          <w:rFonts w:hint="eastAsia" w:ascii="宋体" w:hAnsi="宋体" w:cs="宋体"/>
          <w:color w:val="auto"/>
          <w:sz w:val="24"/>
          <w:highlight w:val="none"/>
          <w:u w:val="single"/>
        </w:rPr>
        <w:t>洪先生</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0576-88322665</w:t>
      </w:r>
    </w:p>
    <w:p>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（三）同级政府采购监管机构</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台州市财政局政府采购监管处</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台州市纬一路66号</w:t>
      </w:r>
    </w:p>
    <w:p>
      <w:pPr>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single"/>
        </w:rPr>
        <w:t>陈工</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0576-88206705</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single"/>
        </w:rPr>
        <w:t>李工</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0576-88206731</w:t>
      </w:r>
    </w:p>
    <w:p>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（四）政采云平台：联系电话：4008817190</w:t>
      </w:r>
    </w:p>
    <w:p>
      <w:pPr>
        <w:pStyle w:val="18"/>
        <w:ind w:firstLine="0"/>
        <w:rPr>
          <w:color w:val="auto"/>
          <w:highlight w:val="none"/>
        </w:rPr>
      </w:pP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539"/>
        <w:jc w:val="right"/>
        <w:rPr>
          <w:rFonts w:ascii="宋体" w:hAnsi="宋体" w:cs="宋体"/>
          <w:color w:val="auto"/>
          <w:sz w:val="24"/>
          <w:highlight w:val="none"/>
        </w:rPr>
      </w:pPr>
      <w:r>
        <w:rPr>
          <w:rFonts w:hint="eastAsia" w:ascii="宋体" w:hAnsi="宋体" w:cs="宋体"/>
          <w:color w:val="auto"/>
          <w:sz w:val="24"/>
          <w:highlight w:val="none"/>
          <w:shd w:val="clear" w:color="auto" w:fill="FFFFFF"/>
        </w:rPr>
        <w:t>台州天兴工程管理咨询有限公司</w:t>
      </w:r>
    </w:p>
    <w:p>
      <w:pPr>
        <w:widowControl/>
        <w:spacing w:line="360" w:lineRule="auto"/>
        <w:jc w:val="righ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eastAsia="zh-CN"/>
        </w:rPr>
        <w:t>2025年0</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eastAsia="zh-CN"/>
        </w:rPr>
        <w:t>月</w:t>
      </w:r>
    </w:p>
    <w:p>
      <w:pPr>
        <w:pStyle w:val="18"/>
        <w:rPr>
          <w:color w:val="auto"/>
          <w:highlight w:val="none"/>
        </w:rPr>
      </w:pPr>
    </w:p>
    <w:p>
      <w:pPr>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bookmarkEnd w:id="32"/>
    <w:bookmarkEnd w:id="33"/>
    <w:p>
      <w:pPr>
        <w:pStyle w:val="3"/>
        <w:numPr>
          <w:ilvl w:val="0"/>
          <w:numId w:val="0"/>
        </w:numPr>
        <w:rPr>
          <w:color w:val="auto"/>
          <w:sz w:val="36"/>
          <w:szCs w:val="36"/>
          <w:highlight w:val="none"/>
        </w:rPr>
      </w:pPr>
      <w:bookmarkStart w:id="34" w:name="_Toc25017_WPSOffice_Level1"/>
      <w:r>
        <w:rPr>
          <w:rFonts w:hint="eastAsia"/>
          <w:color w:val="auto"/>
          <w:sz w:val="36"/>
          <w:szCs w:val="36"/>
          <w:highlight w:val="none"/>
        </w:rPr>
        <w:t>第二章</w:t>
      </w:r>
      <w:r>
        <w:rPr>
          <w:rFonts w:hint="eastAsia"/>
          <w:color w:val="auto"/>
          <w:sz w:val="36"/>
          <w:szCs w:val="36"/>
          <w:highlight w:val="none"/>
          <w:lang w:val="en-US" w:eastAsia="zh-CN"/>
        </w:rPr>
        <w:t xml:space="preserve"> </w:t>
      </w:r>
      <w:r>
        <w:rPr>
          <w:rFonts w:hint="eastAsia"/>
          <w:color w:val="auto"/>
          <w:sz w:val="36"/>
          <w:szCs w:val="36"/>
          <w:highlight w:val="none"/>
        </w:rPr>
        <w:t>投标人须知</w:t>
      </w:r>
      <w:bookmarkEnd w:id="34"/>
    </w:p>
    <w:p>
      <w:pPr>
        <w:spacing w:line="360" w:lineRule="auto"/>
        <w:rPr>
          <w:rFonts w:ascii="宋体" w:hAnsi="宋体" w:cs="宋体"/>
          <w:b/>
          <w:color w:val="auto"/>
          <w:sz w:val="24"/>
          <w:highlight w:val="none"/>
        </w:rPr>
      </w:pPr>
      <w:r>
        <w:rPr>
          <w:rFonts w:hint="eastAsia" w:ascii="宋体" w:hAnsi="宋体" w:cs="宋体"/>
          <w:b/>
          <w:color w:val="auto"/>
          <w:sz w:val="24"/>
          <w:highlight w:val="none"/>
        </w:rPr>
        <w:t>一、前附表</w:t>
      </w:r>
    </w:p>
    <w:tbl>
      <w:tblPr>
        <w:tblStyle w:val="25"/>
        <w:tblW w:w="921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008"/>
        <w:gridCol w:w="6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napToGrid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napToGrid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napToGrid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是否允许联合体</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不接受/□ 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是否允许分包</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不允许/□ 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是否包含政府强制采购节能产品</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否/□ 是，具体清单见招标需求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答疑会或</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现场踏勘</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供应商自行至相关场地进行踏勘。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投标文件的制作和投标</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请投标人在投标前仔细阅读“政府采购项目电子交易操作指南”。</w:t>
            </w:r>
          </w:p>
          <w:p>
            <w:pPr>
              <w:keepNext w:val="0"/>
              <w:keepLines w:val="0"/>
              <w:suppressLineNumbers w:val="0"/>
              <w:wordWrap w:val="0"/>
              <w:autoSpaceDE w:val="0"/>
              <w:autoSpaceDN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1.投标文件的制作：投标人按照本项目招标文件和政采云平台的要求,通过“政采云电子交易客户端”编制、加密并递交投标文件（下载网址：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asciiTheme="minorEastAsia" w:hAnsiTheme="minorEastAsia" w:eastAsiaTheme="minorEastAsia" w:cstheme="minorEastAsia"/>
                <w:color w:val="auto"/>
                <w:sz w:val="24"/>
                <w:highlight w:val="none"/>
              </w:rPr>
              <w:t>https://zfcg.czt.zj.gov.cn/download/index.html）。</w:t>
            </w:r>
            <w:r>
              <w:rPr>
                <w:rFonts w:hint="eastAsia" w:asciiTheme="minorEastAsia" w:hAnsiTheme="minorEastAsia" w:eastAsiaTheme="minorEastAsia" w:cstheme="minorEastAsia"/>
                <w:color w:val="auto"/>
                <w:sz w:val="24"/>
                <w:highlight w:val="none"/>
              </w:rPr>
              <w:fldChar w:fldCharType="end"/>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投标：投标人应当在投标截止时间前（开标当天北京时间09:00）完成投标文件的传输递交，逾期上传的投标文件恕不接受。补充或者修改投标文件的，应当先行撤回原文件，补充、修改后重新传输递交。投标截止时间前未完成上传的，视为撤回投标文件。</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3.投标文件解密：投标人应在开标当天北京时间09:00至09:30完成解密。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6</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备份</w:t>
            </w:r>
            <w:r>
              <w:rPr>
                <w:rFonts w:hint="eastAsia" w:ascii="宋体" w:hAnsi="宋体" w:cs="Arial"/>
                <w:color w:val="auto"/>
                <w:sz w:val="24"/>
                <w:highlight w:val="none"/>
              </w:rPr>
              <w:t>投标</w:t>
            </w:r>
            <w:r>
              <w:rPr>
                <w:rFonts w:hint="eastAsia" w:ascii="宋体" w:hAnsi="宋体" w:cs="宋体"/>
                <w:color w:val="auto"/>
                <w:sz w:val="24"/>
                <w:highlight w:val="none"/>
              </w:rPr>
              <w:t>文件的递交</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宋体" w:hAnsi="宋体" w:cs="宋体"/>
                <w:color w:val="auto"/>
                <w:sz w:val="24"/>
                <w:highlight w:val="none"/>
              </w:rPr>
            </w:pPr>
            <w:r>
              <w:rPr>
                <w:rFonts w:hint="eastAsia" w:ascii="宋体" w:hAnsi="宋体" w:cs="宋体"/>
                <w:color w:val="auto"/>
                <w:sz w:val="24"/>
                <w:highlight w:val="none"/>
              </w:rPr>
              <w:t>备份投标文件是通过“政采云电子交易客户端”制做投标文件产生的备份文件，请投标人自行妥善保管。</w:t>
            </w:r>
          </w:p>
          <w:p>
            <w:pPr>
              <w:keepNext w:val="0"/>
              <w:keepLines w:val="0"/>
              <w:suppressLineNumbers w:val="0"/>
              <w:spacing w:before="0" w:beforeAutospacing="0" w:after="0" w:afterAutospacing="0"/>
              <w:ind w:left="0" w:right="0"/>
              <w:rPr>
                <w:rFonts w:ascii="宋体" w:hAnsi="宋体" w:cs="宋体"/>
                <w:color w:val="auto"/>
                <w:sz w:val="24"/>
                <w:highlight w:val="none"/>
              </w:rPr>
            </w:pPr>
            <w:r>
              <w:rPr>
                <w:rFonts w:hint="eastAsia" w:ascii="宋体" w:hAnsi="宋体" w:cs="宋体"/>
                <w:color w:val="auto"/>
                <w:sz w:val="24"/>
                <w:highlight w:val="none"/>
              </w:rPr>
              <w:t>1.使用前提：投标人自行在线解密操作失败无法按时寻求技术人员帮助解密，或者寻求技术人员帮助仍无法按时完成解密。</w:t>
            </w:r>
          </w:p>
          <w:p>
            <w:pPr>
              <w:keepNext w:val="0"/>
              <w:keepLines w:val="0"/>
              <w:suppressLineNumbers w:val="0"/>
              <w:spacing w:before="0" w:beforeAutospacing="0" w:after="0" w:afterAutospacing="0"/>
              <w:ind w:left="0" w:right="0"/>
              <w:rPr>
                <w:rFonts w:ascii="宋体" w:hAnsi="宋体" w:cs="宋体"/>
                <w:color w:val="auto"/>
                <w:sz w:val="24"/>
                <w:highlight w:val="none"/>
              </w:rPr>
            </w:pPr>
            <w:r>
              <w:rPr>
                <w:rFonts w:hint="eastAsia" w:ascii="宋体" w:hAnsi="宋体" w:cs="宋体"/>
                <w:color w:val="auto"/>
                <w:sz w:val="24"/>
                <w:highlight w:val="none"/>
              </w:rPr>
              <w:t>2.递交截止时间：</w:t>
            </w:r>
            <w:r>
              <w:rPr>
                <w:rFonts w:hint="eastAsia" w:ascii="宋体" w:hAnsi="宋体" w:cs="Arial"/>
                <w:color w:val="auto"/>
                <w:sz w:val="24"/>
                <w:highlight w:val="none"/>
              </w:rPr>
              <w:t>开标</w:t>
            </w:r>
            <w:r>
              <w:rPr>
                <w:rFonts w:hint="eastAsia" w:ascii="宋体" w:hAnsi="宋体" w:cs="宋体"/>
                <w:color w:val="auto"/>
                <w:sz w:val="24"/>
                <w:highlight w:val="none"/>
              </w:rPr>
              <w:t>当天</w:t>
            </w:r>
            <w:r>
              <w:rPr>
                <w:rFonts w:hint="eastAsia" w:ascii="宋体" w:hAnsi="宋体" w:cs="宋体"/>
                <w:color w:val="auto"/>
                <w:sz w:val="24"/>
                <w:highlight w:val="none"/>
                <w:u w:val="single"/>
              </w:rPr>
              <w:t>09:00</w:t>
            </w:r>
            <w:r>
              <w:rPr>
                <w:rFonts w:hint="eastAsia" w:ascii="宋体" w:hAnsi="宋体" w:cs="宋体"/>
                <w:color w:val="auto"/>
                <w:sz w:val="24"/>
                <w:highlight w:val="none"/>
              </w:rPr>
              <w:t>（北京时间）。</w:t>
            </w:r>
          </w:p>
          <w:p>
            <w:pPr>
              <w:pStyle w:val="20"/>
              <w:keepNext w:val="0"/>
              <w:keepLines w:val="0"/>
              <w:widowControl w:val="0"/>
              <w:suppressLineNumbers w:val="0"/>
              <w:spacing w:before="0" w:beforeAutospacing="0" w:after="0" w:afterAutospacing="0"/>
              <w:ind w:left="0" w:right="0"/>
              <w:jc w:val="both"/>
              <w:rPr>
                <w:rFonts w:hint="default" w:cs="宋体"/>
                <w:color w:val="auto"/>
                <w:highlight w:val="none"/>
              </w:rPr>
            </w:pPr>
            <w:r>
              <w:rPr>
                <w:rFonts w:cs="宋体"/>
                <w:color w:val="auto"/>
                <w:kern w:val="2"/>
                <w:highlight w:val="none"/>
              </w:rPr>
              <w:t>3.投递邮箱：3059023954@qq.com。</w:t>
            </w:r>
          </w:p>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4.未按上述要求递交备份投标文件或所提供的备份投标文件不符合要求的视同放弃投标，仅提交备份投标文件的，投标无效。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2008" w:type="dxa"/>
            <w:tcBorders>
              <w:top w:val="single" w:color="auto" w:sz="4" w:space="0"/>
              <w:left w:val="single" w:color="auto" w:sz="4" w:space="0"/>
              <w:bottom w:val="single" w:color="auto" w:sz="4" w:space="0"/>
              <w:right w:val="single" w:color="auto" w:sz="4" w:space="0"/>
            </w:tcBorders>
            <w:vAlign w:val="center"/>
          </w:tcPr>
          <w:p>
            <w:pPr>
              <w:pStyle w:val="18"/>
              <w:keepNext w:val="0"/>
              <w:keepLines w:val="0"/>
              <w:suppressLineNumbers w:val="0"/>
              <w:spacing w:before="0" w:beforeAutospacing="0" w:after="0" w:afterAutospacing="0"/>
              <w:ind w:left="0" w:leftChars="0" w:right="0" w:firstLine="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中标人存档纸质投标文件的要求</w:t>
            </w:r>
          </w:p>
        </w:tc>
        <w:tc>
          <w:tcPr>
            <w:tcW w:w="6501" w:type="dxa"/>
            <w:tcBorders>
              <w:top w:val="single" w:color="auto" w:sz="4" w:space="0"/>
              <w:left w:val="single" w:color="auto" w:sz="4" w:space="0"/>
              <w:bottom w:val="single" w:color="auto" w:sz="4" w:space="0"/>
              <w:right w:val="single" w:color="auto" w:sz="4" w:space="0"/>
            </w:tcBorders>
            <w:vAlign w:val="center"/>
          </w:tcPr>
          <w:p>
            <w:pPr>
              <w:pStyle w:val="18"/>
              <w:keepNext w:val="0"/>
              <w:keepLines w:val="0"/>
              <w:suppressLineNumbers w:val="0"/>
              <w:spacing w:before="0" w:beforeAutospacing="0" w:after="0" w:afterAutospacing="0"/>
              <w:ind w:left="0" w:leftChars="0" w:right="0" w:firstLine="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1.存档纸质投标文件是中标人中标后提供给采购组织机构的用于本项目纸质存档备案用途的文件。</w:t>
            </w:r>
          </w:p>
          <w:p>
            <w:pPr>
              <w:pStyle w:val="18"/>
              <w:keepNext w:val="0"/>
              <w:keepLines w:val="0"/>
              <w:suppressLineNumbers w:val="0"/>
              <w:spacing w:before="0" w:beforeAutospacing="0" w:after="0" w:afterAutospacing="0"/>
              <w:ind w:left="0" w:leftChars="0" w:right="0" w:firstLine="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2.存档纸质投标文件的装订要求：政采云电子投标文件复印件合计贰份，正副本各一份，正本须在封面标注“正本”字样并加盖公章及骑缝章，副本可以采用正本的复印件。如有不同标项，请按标项号分别装订。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2008" w:type="dxa"/>
            <w:tcBorders>
              <w:top w:val="single" w:color="auto" w:sz="4" w:space="0"/>
              <w:left w:val="single" w:color="auto" w:sz="4" w:space="0"/>
              <w:bottom w:val="single" w:color="auto" w:sz="4" w:space="0"/>
              <w:right w:val="single" w:color="auto" w:sz="4" w:space="0"/>
            </w:tcBorders>
            <w:vAlign w:val="center"/>
          </w:tcPr>
          <w:p>
            <w:pPr>
              <w:pStyle w:val="2"/>
              <w:keepNext w:val="0"/>
              <w:keepLines w:val="0"/>
              <w:suppressLineNumbers w:val="0"/>
              <w:spacing w:before="0" w:beforeAutospacing="0" w:after="0" w:afterAutospacing="0"/>
              <w:ind w:left="0" w:right="0" w:firstLine="0"/>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不见面开标</w:t>
            </w:r>
          </w:p>
        </w:tc>
        <w:tc>
          <w:tcPr>
            <w:tcW w:w="6501" w:type="dxa"/>
            <w:tcBorders>
              <w:top w:val="single" w:color="auto" w:sz="4" w:space="0"/>
              <w:left w:val="single" w:color="auto" w:sz="4" w:space="0"/>
              <w:bottom w:val="single" w:color="auto" w:sz="4" w:space="0"/>
              <w:right w:val="single" w:color="auto" w:sz="4" w:space="0"/>
            </w:tcBorders>
            <w:vAlign w:val="center"/>
          </w:tcPr>
          <w:p>
            <w:pPr>
              <w:pStyle w:val="20"/>
              <w:keepNext w:val="0"/>
              <w:keepLines w:val="0"/>
              <w:suppressLineNumbers w:val="0"/>
              <w:spacing w:before="0" w:beforeAutospacing="0" w:after="0" w:afterAutospacing="0"/>
              <w:ind w:left="0" w:right="0"/>
              <w:jc w:val="both"/>
              <w:rPr>
                <w:rFonts w:hint="default" w:asciiTheme="minorEastAsia" w:hAnsiTheme="minorEastAsia" w:eastAsiaTheme="minorEastAsia" w:cstheme="minorEastAsia"/>
                <w:color w:val="auto"/>
                <w:highlight w:val="none"/>
              </w:rPr>
            </w:pPr>
            <w:r>
              <w:rPr>
                <w:rFonts w:asciiTheme="minorEastAsia" w:hAnsiTheme="minorEastAsia" w:eastAsiaTheme="minorEastAsia" w:cstheme="minorEastAsia"/>
                <w:color w:val="auto"/>
                <w:highlight w:val="none"/>
              </w:rPr>
              <w:t>采购组织机构按照招标文件规定的时间通过“政采云平台”组织开标，所有投标人均应当准时在线参加。如未参加，</w:t>
            </w:r>
            <w:r>
              <w:rPr>
                <w:rFonts w:asciiTheme="minorEastAsia" w:hAnsiTheme="minorEastAsia" w:eastAsiaTheme="minorEastAsia" w:cstheme="minorEastAsia"/>
                <w:bCs/>
                <w:color w:val="auto"/>
                <w:highlight w:val="none"/>
              </w:rPr>
              <w:t>造成无法投标、投标失败等后果由投标人自行承担。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样品递交要求</w:t>
            </w:r>
          </w:p>
        </w:tc>
        <w:tc>
          <w:tcPr>
            <w:tcW w:w="6501" w:type="dxa"/>
            <w:tcBorders>
              <w:top w:val="single" w:color="auto" w:sz="4" w:space="0"/>
              <w:left w:val="single" w:color="auto" w:sz="4" w:space="0"/>
              <w:bottom w:val="single" w:color="auto" w:sz="4" w:space="0"/>
              <w:right w:val="single" w:color="auto" w:sz="4" w:space="0"/>
            </w:tcBorders>
            <w:vAlign w:val="center"/>
          </w:tcPr>
          <w:p>
            <w:pPr>
              <w:pStyle w:val="11"/>
              <w:keepNext w:val="0"/>
              <w:keepLines w:val="0"/>
              <w:suppressLineNumbers w:val="0"/>
              <w:spacing w:before="0" w:beforeAutospacing="0" w:after="0" w:afterAutospacing="0"/>
              <w:ind w:left="0" w:right="0"/>
              <w:jc w:val="both"/>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在线演示要求</w:t>
            </w:r>
          </w:p>
        </w:tc>
        <w:tc>
          <w:tcPr>
            <w:tcW w:w="6501" w:type="dxa"/>
            <w:tcBorders>
              <w:top w:val="single" w:color="auto" w:sz="4" w:space="0"/>
              <w:left w:val="single" w:color="auto" w:sz="4" w:space="0"/>
              <w:bottom w:val="single" w:color="auto" w:sz="4" w:space="0"/>
              <w:right w:val="single" w:color="auto" w:sz="4" w:space="0"/>
            </w:tcBorders>
            <w:vAlign w:val="center"/>
          </w:tcPr>
          <w:p>
            <w:pPr>
              <w:pStyle w:val="11"/>
              <w:keepNext w:val="0"/>
              <w:keepLines w:val="0"/>
              <w:suppressLineNumbers w:val="0"/>
              <w:spacing w:before="0" w:beforeAutospacing="0" w:after="0" w:afterAutospacing="0"/>
              <w:ind w:left="0" w:right="0"/>
              <w:jc w:val="both"/>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节能产品要求</w:t>
            </w:r>
          </w:p>
        </w:tc>
        <w:tc>
          <w:tcPr>
            <w:tcW w:w="6501" w:type="dxa"/>
            <w:tcBorders>
              <w:top w:val="single" w:color="auto" w:sz="4" w:space="0"/>
              <w:left w:val="single" w:color="auto" w:sz="4" w:space="0"/>
              <w:bottom w:val="single" w:color="auto" w:sz="4" w:space="0"/>
              <w:right w:val="single" w:color="auto" w:sz="4" w:space="0"/>
            </w:tcBorders>
            <w:vAlign w:val="center"/>
          </w:tcPr>
          <w:p>
            <w:pPr>
              <w:pStyle w:val="11"/>
              <w:keepNext w:val="0"/>
              <w:keepLines w:val="0"/>
              <w:suppressLineNumbers w:val="0"/>
              <w:spacing w:before="0" w:beforeAutospacing="0" w:after="0" w:afterAutospacing="0"/>
              <w:ind w:left="0" w:right="0"/>
              <w:jc w:val="both"/>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12</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环保产品要求</w:t>
            </w:r>
          </w:p>
        </w:tc>
        <w:tc>
          <w:tcPr>
            <w:tcW w:w="6501" w:type="dxa"/>
            <w:tcBorders>
              <w:top w:val="single" w:color="auto" w:sz="4" w:space="0"/>
              <w:left w:val="single" w:color="auto" w:sz="4" w:space="0"/>
              <w:bottom w:val="single" w:color="auto" w:sz="4" w:space="0"/>
              <w:right w:val="single" w:color="auto" w:sz="4" w:space="0"/>
            </w:tcBorders>
            <w:vAlign w:val="center"/>
          </w:tcPr>
          <w:p>
            <w:pPr>
              <w:pStyle w:val="11"/>
              <w:keepNext w:val="0"/>
              <w:keepLines w:val="0"/>
              <w:suppressLineNumbers w:val="0"/>
              <w:spacing w:before="0" w:beforeAutospacing="0" w:after="0" w:afterAutospacing="0"/>
              <w:ind w:left="0" w:right="0"/>
              <w:jc w:val="both"/>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13</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投标与开标注意事项</w:t>
            </w:r>
          </w:p>
        </w:tc>
        <w:tc>
          <w:tcPr>
            <w:tcW w:w="6501" w:type="dxa"/>
            <w:tcBorders>
              <w:top w:val="single" w:color="auto" w:sz="4" w:space="0"/>
              <w:left w:val="single" w:color="auto" w:sz="4" w:space="0"/>
              <w:bottom w:val="single" w:color="auto" w:sz="4" w:space="0"/>
              <w:right w:val="single" w:color="auto" w:sz="4" w:space="0"/>
            </w:tcBorders>
            <w:vAlign w:val="center"/>
          </w:tcPr>
          <w:p>
            <w:pPr>
              <w:pStyle w:val="13"/>
              <w:keepNext w:val="0"/>
              <w:keepLines w:val="0"/>
              <w:suppressLineNumbers w:val="0"/>
              <w:adjustRightInd w:val="0"/>
              <w:snapToGrid w:val="0"/>
              <w:spacing w:before="0" w:beforeAutospacing="0" w:after="0" w:afterAutospacing="0"/>
              <w:ind w:left="0" w:right="0"/>
              <w:rPr>
                <w:rFonts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1.本项目实行电子投标，投标人自行承担投标一切费用。</w:t>
            </w:r>
          </w:p>
          <w:p>
            <w:pPr>
              <w:pStyle w:val="13"/>
              <w:keepNext w:val="0"/>
              <w:keepLines w:val="0"/>
              <w:suppressLineNumbers w:val="0"/>
              <w:adjustRightInd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14</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信用信息查询渠道</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Theme="minorEastAsia" w:hAnsiTheme="minorEastAsia" w:eastAsiaTheme="minorEastAsia" w:cstheme="minorEastAsia"/>
                <w:color w:val="auto"/>
                <w:sz w:val="24"/>
                <w:highlight w:val="none"/>
              </w:rPr>
              <w:t>http://www.creditchina.gov.cn</w:t>
            </w:r>
            <w:r>
              <w:rPr>
                <w:rFonts w:hint="eastAsia" w:asciiTheme="minorEastAsia" w:hAnsiTheme="minorEastAsia" w:eastAsiaTheme="minorEastAsia" w:cstheme="minorEastAsia"/>
                <w:color w:val="auto"/>
                <w:sz w:val="24"/>
                <w:highlight w:val="none"/>
              </w:rPr>
              <w:fldChar w:fldCharType="end"/>
            </w:r>
            <w:r>
              <w:rPr>
                <w:rFonts w:hint="eastAsia" w:asciiTheme="minorEastAsia" w:hAnsiTheme="minorEastAsia" w:eastAsiaTheme="minorEastAsia" w:cstheme="minorEastAsia"/>
                <w:color w:val="auto"/>
                <w:sz w:val="24"/>
                <w:highlight w:val="none"/>
              </w:rPr>
              <w:t>）</w:t>
            </w:r>
          </w:p>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中国政府采购网（网址：http://www.ccgp.gov.cn）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中小企业预留份额情况</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shd w:val="clear" w:color="auto" w:fill="FFFFFF"/>
              </w:rPr>
            </w:pPr>
            <w:r>
              <w:rPr>
                <w:rFonts w:hint="eastAsia" w:asciiTheme="minorEastAsia" w:hAnsiTheme="minorEastAsia" w:eastAsiaTheme="minorEastAsia" w:cstheme="minorEastAsia"/>
                <w:color w:val="auto"/>
                <w:sz w:val="24"/>
                <w:highlight w:val="none"/>
              </w:rPr>
              <w:t>根据《政府采购促进中小企业发展管理办法》财库〔2020〕46号文件的规定，本项目</w:t>
            </w:r>
            <w:r>
              <w:rPr>
                <w:rFonts w:hint="eastAsia" w:ascii="宋体" w:hAnsi="宋体" w:cs="宋体" w:eastAsiaTheme="minorEastAsia"/>
                <w:b/>
                <w:bCs/>
                <w:color w:val="auto"/>
                <w:sz w:val="24"/>
                <w:highlight w:val="none"/>
              </w:rPr>
              <w:t>不</w:t>
            </w:r>
            <w:r>
              <w:rPr>
                <w:rFonts w:hint="eastAsia" w:asciiTheme="minorEastAsia" w:hAnsiTheme="minorEastAsia" w:eastAsiaTheme="minorEastAsia" w:cstheme="minorEastAsia"/>
                <w:color w:val="auto"/>
                <w:sz w:val="24"/>
                <w:highlight w:val="none"/>
              </w:rPr>
              <w:t>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16</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中小企业优惠措施</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1.项目属性（服务类）</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2.中小企业划分标准所属行业（具体根据《中小企业划型标准规定》执行）</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采购标的：</w:t>
            </w:r>
            <w:r>
              <w:rPr>
                <w:rFonts w:hint="eastAsia" w:asciiTheme="minorEastAsia" w:hAnsiTheme="minorEastAsia" w:eastAsiaTheme="minorEastAsia" w:cstheme="minorEastAsia"/>
                <w:bCs/>
                <w:color w:val="auto"/>
                <w:sz w:val="24"/>
                <w:highlight w:val="none"/>
              </w:rPr>
              <w:t>台州市沿海平原地面沉降监测</w:t>
            </w:r>
            <w:r>
              <w:rPr>
                <w:rFonts w:hint="eastAsia" w:asciiTheme="minorEastAsia" w:hAnsiTheme="minorEastAsia" w:eastAsiaTheme="minorEastAsia" w:cstheme="minorEastAsia"/>
                <w:color w:val="auto"/>
                <w:sz w:val="24"/>
                <w:highlight w:val="none"/>
              </w:rPr>
              <w:t>，</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所属行业：（十六）其他未列明行业。</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划分标准如下：从业人员300人以下的为中小微型企业。其中，从业人员100人及以上的为中型企业；从业人员10人及以上的为小型企业；从业人员10人以下的为微型企业。</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3.根据财库</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2017〕141号的相关规定，在政府采购活动中，残疾人福利性单位视同小型、微型企业，享受评审中价格扣除政策。属于享受政府采购支持政策的残疾人福利性单位，应满足财库</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2017〕141号文件第一条的规定，并在投标文件中提供残疾人福利性单位声明函（见附件）。</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4.根据财库</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suppressLineNumbers w:val="0"/>
              <w:spacing w:before="0" w:beforeAutospacing="0" w:after="0" w:afterAutospacing="0"/>
              <w:ind w:left="0" w:right="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(注：未提供以上材料或未填写必要内容的，均不给予价格扣除）。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履约保证金</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Theme="minorEastAsia" w:hAnsiTheme="minorEastAsia" w:eastAsiaTheme="minorEastAsia" w:cstheme="minorEastAsia"/>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18</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采购代理机构代理费用的收取标准和方式</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根据国家发改委发改价格</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2015〕299号通知，本次采购项目采购代理服务费：收取人民币</w:t>
            </w:r>
            <w:r>
              <w:rPr>
                <w:rFonts w:hint="eastAsia" w:asciiTheme="minorEastAsia" w:hAnsiTheme="minorEastAsia" w:eastAsiaTheme="minorEastAsia" w:cstheme="minorEastAsia"/>
                <w:b/>
                <w:color w:val="auto"/>
                <w:sz w:val="24"/>
                <w:highlight w:val="none"/>
                <w:u w:val="single"/>
              </w:rPr>
              <w:t>捌仟壹佰元整</w:t>
            </w:r>
            <w:r>
              <w:rPr>
                <w:rFonts w:hint="eastAsia" w:asciiTheme="minorEastAsia" w:hAnsiTheme="minorEastAsia" w:eastAsiaTheme="minorEastAsia" w:cstheme="minorEastAsia"/>
                <w:color w:val="auto"/>
                <w:sz w:val="24"/>
                <w:highlight w:val="none"/>
              </w:rPr>
              <w:t>，由中标供应商在领取中标通知书之前支付给采购代理机构。</w:t>
            </w:r>
          </w:p>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服务费缴纳账户信息：</w:t>
            </w:r>
          </w:p>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开户行：台州银行椒江支行    账号：540017383000015</w:t>
            </w:r>
          </w:p>
          <w:p>
            <w:pPr>
              <w:keepNext w:val="0"/>
              <w:keepLines w:val="0"/>
              <w:suppressLineNumbers w:val="0"/>
              <w:snapToGri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开户名：台州天兴工程管理咨询有限公司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19</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zh-CN"/>
              </w:rPr>
              <w:t>实质性条款</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带“</w:t>
            </w:r>
            <w:r>
              <w:rPr>
                <w:rFonts w:hint="eastAsia" w:asciiTheme="minorEastAsia" w:hAnsiTheme="minorEastAsia" w:eastAsiaTheme="minorEastAsia" w:cstheme="minorEastAsia"/>
                <w:bCs/>
                <w:color w:val="auto"/>
                <w:sz w:val="24"/>
                <w:highlight w:val="none"/>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20</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主要性能参数</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带“★”的条款是主要性能参数。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书面形式</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包括电子邮件、信函、传真。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w:t>
            </w:r>
          </w:p>
        </w:tc>
        <w:tc>
          <w:tcPr>
            <w:tcW w:w="200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解释权</w:t>
            </w:r>
          </w:p>
        </w:tc>
        <w:tc>
          <w:tcPr>
            <w:tcW w:w="65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ind w:left="0" w:right="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本招标文件解释权属于采购人和采购组织机构</w:t>
            </w:r>
          </w:p>
        </w:tc>
      </w:tr>
    </w:tbl>
    <w:p>
      <w:pPr>
        <w:pStyle w:val="13"/>
        <w:snapToGrid w:val="0"/>
        <w:spacing w:line="312" w:lineRule="auto"/>
        <w:ind w:firstLine="482" w:firstLineChars="200"/>
        <w:rPr>
          <w:rFonts w:hAnsi="宋体"/>
          <w:b/>
          <w:color w:val="auto"/>
          <w:sz w:val="24"/>
          <w:highlight w:val="none"/>
        </w:rPr>
      </w:pPr>
      <w:r>
        <w:rPr>
          <w:rFonts w:hint="eastAsia" w:hAnsi="宋体"/>
          <w:b/>
          <w:color w:val="auto"/>
          <w:sz w:val="24"/>
          <w:highlight w:val="none"/>
        </w:rPr>
        <w:t>二、说 明</w:t>
      </w:r>
    </w:p>
    <w:p>
      <w:pPr>
        <w:pStyle w:val="13"/>
        <w:snapToGrid w:val="0"/>
        <w:spacing w:line="312" w:lineRule="auto"/>
        <w:ind w:firstLine="482" w:firstLineChars="200"/>
        <w:rPr>
          <w:rFonts w:hAnsi="宋体"/>
          <w:b/>
          <w:color w:val="auto"/>
          <w:sz w:val="24"/>
          <w:highlight w:val="none"/>
        </w:rPr>
      </w:pPr>
      <w:r>
        <w:rPr>
          <w:rFonts w:hint="eastAsia" w:hAnsi="宋体"/>
          <w:b/>
          <w:color w:val="auto"/>
          <w:sz w:val="24"/>
          <w:highlight w:val="none"/>
        </w:rPr>
        <w:t>（一）总则</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招标文件依据《中华人民共和国政府采购法》、《中华人民共和国政府采购法实施条例》（国务院令第658号）和《政府采购货物和服务招标投标管理办法》（财政部令第87号）及国家和浙江省有关法律、法规、规章编制。</w:t>
      </w:r>
    </w:p>
    <w:p>
      <w:pPr>
        <w:tabs>
          <w:tab w:val="left" w:pos="7980"/>
        </w:tabs>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应仔细阅读本项目招标公告及招标文件的所有内容（包括补充、澄清以及修改等，且均为招标文件的组成部分），按照招标文件要求以及格式编制投标文件，并保证其真实性，否则由此引起的一切后果应由投标人承担。</w:t>
      </w:r>
    </w:p>
    <w:p>
      <w:pPr>
        <w:snapToGrid w:val="0"/>
        <w:spacing w:line="312" w:lineRule="auto"/>
        <w:ind w:firstLine="482" w:firstLineChars="200"/>
        <w:outlineLvl w:val="1"/>
        <w:rPr>
          <w:rFonts w:ascii="宋体" w:hAnsi="宋体" w:cs="宋体"/>
          <w:b/>
          <w:color w:val="auto"/>
          <w:sz w:val="24"/>
          <w:highlight w:val="none"/>
        </w:rPr>
      </w:pPr>
      <w:r>
        <w:rPr>
          <w:rFonts w:hint="eastAsia" w:ascii="宋体" w:hAnsi="宋体" w:cs="宋体"/>
          <w:b/>
          <w:color w:val="auto"/>
          <w:sz w:val="24"/>
          <w:highlight w:val="none"/>
        </w:rPr>
        <w:t>（二）适用范围</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本招标文件适用于</w:t>
      </w:r>
      <w:r>
        <w:rPr>
          <w:rFonts w:hint="eastAsia" w:ascii="宋体" w:hAnsi="宋体" w:cs="宋体"/>
          <w:bCs/>
          <w:color w:val="auto"/>
          <w:sz w:val="24"/>
          <w:highlight w:val="none"/>
        </w:rPr>
        <w:t>本次</w:t>
      </w:r>
      <w:r>
        <w:rPr>
          <w:rFonts w:hint="eastAsia" w:ascii="宋体" w:hAnsi="宋体" w:cs="宋体"/>
          <w:color w:val="auto"/>
          <w:sz w:val="24"/>
          <w:highlight w:val="none"/>
        </w:rPr>
        <w:t>项目的招标、投标、评标、定标、验收、合同履约、付款等行为（法律、法规另有规定的，从其规定）。</w:t>
      </w:r>
    </w:p>
    <w:p>
      <w:pPr>
        <w:pStyle w:val="9"/>
        <w:spacing w:line="312" w:lineRule="auto"/>
        <w:ind w:firstLine="480" w:firstLineChars="200"/>
        <w:rPr>
          <w:rFonts w:ascii="宋体" w:hAnsi="宋体" w:cs="宋体"/>
          <w:color w:val="auto"/>
          <w:highlight w:val="none"/>
        </w:rPr>
      </w:pPr>
      <w:r>
        <w:rPr>
          <w:rFonts w:hint="eastAsia" w:ascii="宋体" w:hAnsi="宋体" w:cs="宋体"/>
          <w:color w:val="auto"/>
          <w:highlight w:val="none"/>
        </w:rPr>
        <w:t>本招标文件仅适用于本次招标公告中所涉及的项目和内容。</w:t>
      </w:r>
    </w:p>
    <w:p>
      <w:pPr>
        <w:snapToGrid w:val="0"/>
        <w:spacing w:line="312" w:lineRule="auto"/>
        <w:ind w:firstLine="482" w:firstLineChars="200"/>
        <w:outlineLvl w:val="1"/>
        <w:rPr>
          <w:rFonts w:ascii="宋体" w:hAnsi="宋体" w:cs="宋体"/>
          <w:b/>
          <w:color w:val="auto"/>
          <w:sz w:val="24"/>
          <w:highlight w:val="none"/>
        </w:rPr>
      </w:pPr>
      <w:r>
        <w:rPr>
          <w:rFonts w:hint="eastAsia" w:ascii="宋体" w:hAnsi="宋体" w:cs="宋体"/>
          <w:b/>
          <w:color w:val="auto"/>
          <w:sz w:val="24"/>
          <w:highlight w:val="none"/>
        </w:rPr>
        <w:t>（三）当事人</w:t>
      </w:r>
    </w:p>
    <w:p>
      <w:pPr>
        <w:pStyle w:val="5"/>
        <w:keepNext w:val="0"/>
        <w:keepLines w:val="0"/>
        <w:tabs>
          <w:tab w:val="left" w:pos="0"/>
          <w:tab w:val="left" w:pos="851"/>
        </w:tabs>
        <w:snapToGrid w:val="0"/>
        <w:spacing w:before="0" w:after="0" w:line="312" w:lineRule="auto"/>
        <w:ind w:firstLine="480" w:firstLineChars="200"/>
        <w:rPr>
          <w:rFonts w:ascii="宋体" w:hAnsi="宋体" w:cs="宋体"/>
          <w:bCs w:val="0"/>
          <w:color w:val="auto"/>
          <w:sz w:val="24"/>
          <w:szCs w:val="24"/>
          <w:highlight w:val="none"/>
        </w:rPr>
      </w:pPr>
      <w:r>
        <w:rPr>
          <w:rFonts w:hint="eastAsia" w:ascii="宋体" w:hAnsi="宋体" w:cs="宋体"/>
          <w:color w:val="auto"/>
          <w:sz w:val="24"/>
          <w:szCs w:val="24"/>
          <w:highlight w:val="none"/>
        </w:rPr>
        <w:t>1.</w:t>
      </w:r>
      <w:r>
        <w:rPr>
          <w:rFonts w:hint="eastAsia" w:ascii="宋体" w:hAnsi="宋体" w:cs="宋体"/>
          <w:bCs w:val="0"/>
          <w:color w:val="auto"/>
          <w:sz w:val="24"/>
          <w:szCs w:val="24"/>
          <w:highlight w:val="none"/>
          <w:lang w:val="zh-CN"/>
        </w:rPr>
        <w:t>采购组织机构：</w:t>
      </w:r>
      <w:r>
        <w:rPr>
          <w:rFonts w:hint="eastAsia" w:ascii="宋体" w:hAnsi="宋体" w:cs="宋体"/>
          <w:bCs w:val="0"/>
          <w:color w:val="auto"/>
          <w:sz w:val="24"/>
          <w:szCs w:val="24"/>
          <w:highlight w:val="none"/>
        </w:rPr>
        <w:t>是</w:t>
      </w:r>
      <w:r>
        <w:rPr>
          <w:rFonts w:hint="eastAsia" w:ascii="宋体" w:hAnsi="宋体" w:cs="宋体"/>
          <w:bCs w:val="0"/>
          <w:color w:val="auto"/>
          <w:sz w:val="24"/>
          <w:szCs w:val="24"/>
          <w:highlight w:val="none"/>
          <w:lang w:val="zh-CN"/>
        </w:rPr>
        <w:t>指采购人委托组织招标的集中采购机构</w:t>
      </w:r>
      <w:r>
        <w:rPr>
          <w:rFonts w:hint="eastAsia" w:ascii="宋体" w:hAnsi="宋体" w:cs="宋体"/>
          <w:bCs w:val="0"/>
          <w:color w:val="auto"/>
          <w:sz w:val="24"/>
          <w:szCs w:val="24"/>
          <w:highlight w:val="none"/>
        </w:rPr>
        <w:t>或</w:t>
      </w:r>
      <w:r>
        <w:rPr>
          <w:rFonts w:hint="eastAsia" w:ascii="宋体" w:hAnsi="宋体" w:cs="宋体"/>
          <w:bCs w:val="0"/>
          <w:color w:val="auto"/>
          <w:sz w:val="24"/>
          <w:szCs w:val="24"/>
          <w:highlight w:val="none"/>
          <w:lang w:val="zh-CN"/>
        </w:rPr>
        <w:t>采购代理机构。</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2.采购人：是指依法进行政府采购的国家机关、事业单位和团体组织。</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3.投标人：是指响应招标、参加投标竞争的法人、其他组织或者自然人。</w:t>
      </w:r>
    </w:p>
    <w:p>
      <w:pPr>
        <w:snapToGrid w:val="0"/>
        <w:spacing w:line="312"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4.</w:t>
      </w:r>
      <w:r>
        <w:rPr>
          <w:rFonts w:hint="eastAsia" w:ascii="宋体" w:hAnsi="宋体" w:cs="宋体"/>
          <w:color w:val="auto"/>
          <w:sz w:val="24"/>
          <w:highlight w:val="none"/>
          <w:lang w:val="zh-CN"/>
        </w:rPr>
        <w:t>中标</w:t>
      </w:r>
      <w:r>
        <w:rPr>
          <w:rFonts w:hint="eastAsia" w:ascii="宋体" w:hAnsi="宋体" w:cs="宋体"/>
          <w:color w:val="auto"/>
          <w:sz w:val="24"/>
          <w:highlight w:val="none"/>
        </w:rPr>
        <w:t>人</w:t>
      </w:r>
      <w:r>
        <w:rPr>
          <w:rFonts w:hint="eastAsia" w:ascii="宋体" w:hAnsi="宋体" w:cs="宋体"/>
          <w:color w:val="auto"/>
          <w:sz w:val="24"/>
          <w:highlight w:val="none"/>
          <w:lang w:val="zh-CN"/>
        </w:rPr>
        <w:t>：是指经评</w:t>
      </w:r>
      <w:r>
        <w:rPr>
          <w:rFonts w:hint="eastAsia" w:ascii="宋体" w:hAnsi="宋体" w:cs="宋体"/>
          <w:color w:val="auto"/>
          <w:sz w:val="24"/>
          <w:highlight w:val="none"/>
        </w:rPr>
        <w:t>标</w:t>
      </w:r>
      <w:r>
        <w:rPr>
          <w:rFonts w:hint="eastAsia" w:ascii="宋体" w:hAnsi="宋体" w:cs="宋体"/>
          <w:color w:val="auto"/>
          <w:sz w:val="24"/>
          <w:highlight w:val="none"/>
          <w:lang w:val="zh-CN"/>
        </w:rPr>
        <w:t>委员会评审确定的对招标文件</w:t>
      </w:r>
      <w:r>
        <w:rPr>
          <w:rFonts w:hint="eastAsia" w:ascii="宋体" w:hAnsi="宋体" w:cs="宋体"/>
          <w:color w:val="auto"/>
          <w:sz w:val="24"/>
          <w:highlight w:val="none"/>
        </w:rPr>
        <w:t>作</w:t>
      </w:r>
      <w:r>
        <w:rPr>
          <w:rFonts w:hint="eastAsia" w:ascii="宋体" w:hAnsi="宋体" w:cs="宋体"/>
          <w:color w:val="auto"/>
          <w:sz w:val="24"/>
          <w:highlight w:val="none"/>
          <w:lang w:val="zh-CN"/>
        </w:rPr>
        <w:t>出实质性响应，经采购人按照规定在评</w:t>
      </w:r>
      <w:r>
        <w:rPr>
          <w:rFonts w:hint="eastAsia" w:ascii="宋体" w:hAnsi="宋体" w:cs="宋体"/>
          <w:color w:val="auto"/>
          <w:sz w:val="24"/>
          <w:highlight w:val="none"/>
        </w:rPr>
        <w:t>标</w:t>
      </w:r>
      <w:r>
        <w:rPr>
          <w:rFonts w:hint="eastAsia" w:ascii="宋体" w:hAnsi="宋体" w:cs="宋体"/>
          <w:color w:val="auto"/>
          <w:sz w:val="24"/>
          <w:highlight w:val="none"/>
          <w:lang w:val="zh-CN"/>
        </w:rPr>
        <w:t>委员会推荐的中标候选人中确定的或受采购人委托直接确认的，与采购人签订合同资格的投标</w:t>
      </w:r>
      <w:r>
        <w:rPr>
          <w:rFonts w:hint="eastAsia" w:ascii="宋体" w:hAnsi="宋体" w:cs="宋体"/>
          <w:color w:val="auto"/>
          <w:sz w:val="24"/>
          <w:highlight w:val="none"/>
        </w:rPr>
        <w:t>人</w:t>
      </w:r>
      <w:r>
        <w:rPr>
          <w:rFonts w:hint="eastAsia" w:ascii="宋体" w:hAnsi="宋体" w:cs="宋体"/>
          <w:color w:val="auto"/>
          <w:sz w:val="24"/>
          <w:highlight w:val="none"/>
          <w:lang w:val="zh-CN"/>
        </w:rPr>
        <w:t>。</w:t>
      </w:r>
    </w:p>
    <w:p>
      <w:pPr>
        <w:snapToGrid w:val="0"/>
        <w:spacing w:line="312"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（四）语言文字以及度量衡单位</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文件以及投标人与采购代理机构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2.所有计量均采用中国法定的计量单位。</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3.所有报价一律使用人民币，货币单位：元。</w:t>
      </w:r>
    </w:p>
    <w:p>
      <w:pPr>
        <w:pStyle w:val="28"/>
        <w:tabs>
          <w:tab w:val="left" w:pos="437"/>
        </w:tabs>
        <w:spacing w:line="312" w:lineRule="auto"/>
        <w:ind w:firstLine="482"/>
        <w:rPr>
          <w:rFonts w:ascii="宋体" w:hAnsi="宋体" w:cs="宋体"/>
          <w:b/>
          <w:bCs/>
          <w:color w:val="auto"/>
          <w:sz w:val="24"/>
          <w:szCs w:val="24"/>
          <w:highlight w:val="none"/>
        </w:rPr>
      </w:pPr>
      <w:r>
        <w:rPr>
          <w:rFonts w:hint="eastAsia" w:ascii="宋体" w:hAnsi="宋体" w:cs="宋体"/>
          <w:b/>
          <w:bCs/>
          <w:color w:val="auto"/>
          <w:sz w:val="24"/>
          <w:szCs w:val="24"/>
          <w:highlight w:val="none"/>
        </w:rPr>
        <w:t>（五）现场踏勘</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1.招标文件规定组织踏勘现场的，采购人按招标文件规定的时间、地点组织投标人踏勘项目现场。</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2.投标人自行承担踏勘现场发生的责任、风险和自身费用。</w:t>
      </w:r>
    </w:p>
    <w:p>
      <w:pPr>
        <w:snapToGri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3.采购人在踏勘现场中介绍的资料和数据等，不构成对招标文件的修改或不作为投标人编制投标文件的依据。</w:t>
      </w:r>
    </w:p>
    <w:p>
      <w:pPr>
        <w:pStyle w:val="13"/>
        <w:snapToGrid w:val="0"/>
        <w:spacing w:line="312" w:lineRule="auto"/>
        <w:ind w:firstLine="482" w:firstLineChars="200"/>
        <w:rPr>
          <w:rFonts w:hAnsi="宋体"/>
          <w:b/>
          <w:color w:val="auto"/>
          <w:sz w:val="24"/>
          <w:highlight w:val="none"/>
        </w:rPr>
      </w:pPr>
      <w:r>
        <w:rPr>
          <w:rFonts w:hint="eastAsia" w:hAnsi="宋体"/>
          <w:b/>
          <w:color w:val="auto"/>
          <w:sz w:val="24"/>
          <w:highlight w:val="none"/>
        </w:rPr>
        <w:t>（六）特别说明</w:t>
      </w:r>
    </w:p>
    <w:p>
      <w:pPr>
        <w:pStyle w:val="13"/>
        <w:snapToGrid w:val="0"/>
        <w:spacing w:line="312" w:lineRule="auto"/>
        <w:ind w:firstLine="480" w:firstLineChars="200"/>
        <w:rPr>
          <w:rFonts w:hAnsi="宋体"/>
          <w:color w:val="auto"/>
          <w:sz w:val="24"/>
          <w:highlight w:val="none"/>
        </w:rPr>
      </w:pPr>
      <w:r>
        <w:rPr>
          <w:rFonts w:hint="eastAsia" w:hAnsi="宋体"/>
          <w:color w:val="auto"/>
          <w:sz w:val="24"/>
          <w:highlight w:val="none"/>
        </w:rPr>
        <w:t>1.投标人投标所使用的资格、信誉、荣誉、业绩与企业认证必须为本法人所拥有且所提供的资料都是真实有效的。投标人投标所使用的采购项目实施人员必须为本法人员工。</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2.投标人所投产品除招标文件中明确规定要求“提供官网截图或相应检测报告的证明材料”以外，所有技术参数描述均以投标文件为准。投标人对所投产品技术参数的真实性承担法律责任。项目招标结束后且在质疑期限内，如有投标人认为中标人所投产品、投标文件技术参数与招标需求存在重大偏离、错误，甚至造假的情况，如招标文件中未明确规定要求“提供官网截图或相应检测报告的证明材料”的，应提供其他具体有效的证明材料。</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3.本招标文件中关于电子招投标内容、流程如与政采云系统中最新的内容、操作不一致的，以政采云系统中的要求为准。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12"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三、招标文件</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（一）招标文件由招标文件总目录所列内容组成。</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（二）投标人在规定的时间内未对招标文件提出疑问、质疑或要求澄清的，将视其为无异议。</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三）对招标文件中描述有歧义或前后不一致的地方，评标委员会有权进行评判，但对同一条款的评判应适用于每个投标人。评标委员会发现招标文件存在歧义、重大缺陷导致评标工作无法进行，或者招标文件内容违反国家强制性规定的，应当停止评标工作，与采购人或者采购代理机构沟通并做书面记录。采购人或者采购代理机构确认后，应当修改招标文件，重新组织采购活动。</w:t>
      </w:r>
    </w:p>
    <w:p>
      <w:pPr>
        <w:pStyle w:val="28"/>
        <w:snapToGrid w:val="0"/>
        <w:spacing w:line="31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pPr>
        <w:tabs>
          <w:tab w:val="left" w:pos="1418"/>
        </w:tabs>
        <w:autoSpaceDE w:val="0"/>
        <w:autoSpaceDN w:val="0"/>
        <w:adjustRightInd w:val="0"/>
        <w:spacing w:line="312"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四、投标文件</w:t>
      </w:r>
    </w:p>
    <w:p>
      <w:pPr>
        <w:pStyle w:val="2"/>
        <w:spacing w:line="312" w:lineRule="auto"/>
        <w:ind w:firstLine="482" w:firstLineChars="200"/>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（一）投标文件的编制</w:t>
      </w:r>
    </w:p>
    <w:p>
      <w:pPr>
        <w:pStyle w:val="2"/>
        <w:spacing w:line="312" w:lineRule="auto"/>
        <w:ind w:firstLine="480" w:firstLineChars="200"/>
        <w:rPr>
          <w:rFonts w:ascii="宋体" w:hAnsi="宋体" w:cs="宋体"/>
          <w:bCs/>
          <w:color w:val="auto"/>
          <w:kern w:val="0"/>
          <w:sz w:val="24"/>
          <w:szCs w:val="24"/>
          <w:highlight w:val="none"/>
        </w:rPr>
      </w:pPr>
      <w:r>
        <w:rPr>
          <w:rFonts w:hint="eastAsia" w:ascii="宋体" w:hAnsi="宋体" w:cs="宋体"/>
          <w:color w:val="auto"/>
          <w:kern w:val="0"/>
          <w:sz w:val="24"/>
          <w:szCs w:val="24"/>
          <w:highlight w:val="none"/>
        </w:rPr>
        <w:t xml:space="preserve"> 投标人接到招标文件后，按照采购组织机构的要求提供：资格证明文件、商务与技术文件和报价</w:t>
      </w:r>
      <w:r>
        <w:rPr>
          <w:rFonts w:hint="eastAsia" w:ascii="宋体" w:hAnsi="宋体" w:cs="宋体"/>
          <w:color w:val="auto"/>
          <w:kern w:val="0"/>
          <w:sz w:val="24"/>
          <w:szCs w:val="24"/>
          <w:highlight w:val="none"/>
          <w:lang w:val="zh-CN"/>
        </w:rPr>
        <w:t>文件。【特别提示：如在投标时有要求提供资料原件的，将原件扫描放入投标文件。】本招标文件中若有多标项的，若参与多标项投标的，则按每个标项分别独立编制投标文件。</w:t>
      </w:r>
    </w:p>
    <w:p>
      <w:pPr>
        <w:snapToGrid w:val="0"/>
        <w:spacing w:line="312" w:lineRule="auto"/>
        <w:ind w:firstLine="482" w:firstLineChars="200"/>
        <w:rPr>
          <w:rFonts w:ascii="宋体" w:hAnsi="宋体" w:cs="宋体"/>
          <w:color w:val="auto"/>
          <w:kern w:val="0"/>
          <w:sz w:val="24"/>
          <w:highlight w:val="none"/>
        </w:rPr>
      </w:pPr>
      <w:r>
        <w:rPr>
          <w:rFonts w:hint="eastAsia" w:ascii="宋体" w:hAnsi="宋体" w:cs="宋体"/>
          <w:b/>
          <w:color w:val="auto"/>
          <w:sz w:val="24"/>
          <w:highlight w:val="none"/>
        </w:rPr>
        <w:t>▲1、资格证明文件的组成：</w:t>
      </w:r>
    </w:p>
    <w:p>
      <w:pPr>
        <w:widowControl/>
        <w:numPr>
          <w:ilvl w:val="0"/>
          <w:numId w:val="4"/>
        </w:numPr>
        <w:spacing w:line="312"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投标声明书；</w:t>
      </w:r>
    </w:p>
    <w:p>
      <w:pPr>
        <w:widowControl/>
        <w:numPr>
          <w:ilvl w:val="0"/>
          <w:numId w:val="4"/>
        </w:numPr>
        <w:spacing w:line="312"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授权委托书（法定代表人亲自办理投标事宜的，则无需提交）；</w:t>
      </w:r>
    </w:p>
    <w:p>
      <w:pPr>
        <w:widowControl/>
        <w:numPr>
          <w:ilvl w:val="0"/>
          <w:numId w:val="4"/>
        </w:numPr>
        <w:spacing w:line="312"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法人或者其他组织的营业执照等证明文件，自然人的身份证明；</w:t>
      </w:r>
    </w:p>
    <w:p>
      <w:pPr>
        <w:widowControl/>
        <w:numPr>
          <w:ilvl w:val="0"/>
          <w:numId w:val="4"/>
        </w:numPr>
        <w:spacing w:line="312" w:lineRule="auto"/>
        <w:ind w:right="60" w:firstLine="472" w:firstLineChars="197"/>
        <w:jc w:val="left"/>
        <w:outlineLvl w:val="0"/>
        <w:rPr>
          <w:rFonts w:ascii="宋体" w:hAnsi="宋体" w:cs="宋体"/>
          <w:color w:val="auto"/>
          <w:sz w:val="24"/>
          <w:highlight w:val="none"/>
        </w:rPr>
      </w:pPr>
      <w:r>
        <w:rPr>
          <w:rFonts w:hint="eastAsia" w:ascii="宋体" w:hAnsi="宋体" w:cs="宋体"/>
          <w:color w:val="auto"/>
          <w:sz w:val="24"/>
          <w:highlight w:val="none"/>
        </w:rPr>
        <w:t>财务状况报告，依法缴纳税收和社会保障资金的相关材料；</w:t>
      </w:r>
    </w:p>
    <w:p>
      <w:pPr>
        <w:pStyle w:val="18"/>
        <w:spacing w:line="312"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（5）具备履行合同所必需的设备和专业技术能力的承诺函（根据项目性质提供）；</w:t>
      </w:r>
    </w:p>
    <w:p>
      <w:pPr>
        <w:widowControl/>
        <w:spacing w:line="312" w:lineRule="auto"/>
        <w:ind w:right="60" w:firstLine="480" w:firstLineChars="200"/>
        <w:jc w:val="left"/>
        <w:outlineLvl w:val="0"/>
        <w:rPr>
          <w:rFonts w:ascii="宋体" w:hAnsi="宋体" w:cs="宋体"/>
          <w:color w:val="auto"/>
          <w:sz w:val="24"/>
          <w:highlight w:val="none"/>
        </w:rPr>
      </w:pPr>
      <w:r>
        <w:rPr>
          <w:rFonts w:hint="eastAsia" w:ascii="宋体" w:hAnsi="宋体" w:cs="宋体"/>
          <w:color w:val="auto"/>
          <w:sz w:val="24"/>
          <w:highlight w:val="none"/>
        </w:rPr>
        <w:t>（6）提供采购公告中符合供应商特定条件的有效资质证书扫描件（投标供应商特定条件中有要求的必须提供），以及需要说明的其他资料；</w:t>
      </w:r>
    </w:p>
    <w:p>
      <w:pPr>
        <w:widowControl/>
        <w:spacing w:line="312" w:lineRule="auto"/>
        <w:ind w:right="60" w:firstLine="482" w:firstLineChars="200"/>
        <w:jc w:val="left"/>
        <w:outlineLvl w:val="0"/>
        <w:rPr>
          <w:rFonts w:ascii="宋体" w:hAnsi="宋体" w:cs="宋体"/>
          <w:b/>
          <w:bCs/>
          <w:color w:val="auto"/>
          <w:sz w:val="24"/>
          <w:highlight w:val="none"/>
        </w:rPr>
      </w:pPr>
      <w:r>
        <w:rPr>
          <w:rFonts w:hint="eastAsia" w:ascii="宋体" w:hAnsi="宋体" w:cs="宋体"/>
          <w:b/>
          <w:bCs/>
          <w:color w:val="auto"/>
          <w:sz w:val="24"/>
          <w:highlight w:val="none"/>
        </w:rPr>
        <w:t>注：根据《浙江省财政厅关于进一步加大政府采购支持中小企业力度助力扎实稳住经济的通知》（浙财采监〔2022〕8号）中“简化对政府采购供应商资格条件的形式审查，供应商书面承诺符合参与政府采购活动资格条件的，不需要再提供财务状况报告、依法缴纳税收和社会保障资金记录、无重大违法记录等证明材料。”本项目投标供应商属于中小企业范畴的，可以以书面承诺代替相关证明材料。</w:t>
      </w:r>
    </w:p>
    <w:p>
      <w:pPr>
        <w:widowControl/>
        <w:spacing w:line="312" w:lineRule="auto"/>
        <w:ind w:right="60" w:firstLine="482" w:firstLineChars="200"/>
        <w:jc w:val="left"/>
        <w:outlineLvl w:val="0"/>
        <w:rPr>
          <w:rFonts w:ascii="宋体" w:hAnsi="宋体" w:cs="宋体"/>
          <w:b/>
          <w:bCs/>
          <w:color w:val="auto"/>
          <w:sz w:val="24"/>
          <w:highlight w:val="none"/>
        </w:rPr>
      </w:pPr>
      <w:r>
        <w:rPr>
          <w:rFonts w:hint="eastAsia" w:ascii="宋体" w:hAnsi="宋体" w:cs="宋体"/>
          <w:b/>
          <w:bCs/>
          <w:color w:val="auto"/>
          <w:sz w:val="24"/>
          <w:highlight w:val="none"/>
        </w:rPr>
        <w:t>2、商务与技术文件的组成：</w:t>
      </w:r>
    </w:p>
    <w:p>
      <w:pPr>
        <w:pStyle w:val="2"/>
        <w:widowControl/>
        <w:adjustRightInd w:val="0"/>
        <w:snapToGrid w:val="0"/>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（1）技术方案描述部分</w:t>
      </w:r>
    </w:p>
    <w:p>
      <w:pPr>
        <w:pStyle w:val="2"/>
        <w:widowControl/>
        <w:numPr>
          <w:ilvl w:val="0"/>
          <w:numId w:val="5"/>
        </w:numPr>
        <w:adjustRightInd w:val="0"/>
        <w:snapToGrid w:val="0"/>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投标人情况介绍（人员与技术力量、企业规模、经营业绩等）。</w:t>
      </w:r>
    </w:p>
    <w:p>
      <w:pPr>
        <w:pStyle w:val="2"/>
        <w:widowControl/>
        <w:numPr>
          <w:ilvl w:val="0"/>
          <w:numId w:val="5"/>
        </w:numPr>
        <w:adjustRightInd w:val="0"/>
        <w:snapToGrid w:val="0"/>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pPr>
        <w:pStyle w:val="2"/>
        <w:widowControl/>
        <w:numPr>
          <w:ilvl w:val="0"/>
          <w:numId w:val="5"/>
        </w:numPr>
        <w:adjustRightInd w:val="0"/>
        <w:snapToGrid w:val="0"/>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总体设计（技术、服务）方案。</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质量保证方案。</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项目实施方案（包括项目工期、确保项目进行的措施或方案、项目实施进度安排、项目实施人员及项目负责人的资质、类似经验及社保证明等）。</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技术需求响应表。</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项目实施人员一览表；</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项目负责人资格情况表；</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ascii="Calibri" w:hAnsi="Calibri" w:cs="Calibri"/>
          <w:color w:val="auto"/>
          <w:sz w:val="24"/>
          <w:szCs w:val="24"/>
          <w:highlight w:val="none"/>
        </w:rPr>
        <w:t>实施服务与保障的能力及方案（包括服务方式、服务网点、技术培训、实施期与运维期服务的内容和措施等）；</w:t>
      </w:r>
    </w:p>
    <w:p>
      <w:pPr>
        <w:pStyle w:val="2"/>
        <w:widowControl/>
        <w:numPr>
          <w:ilvl w:val="0"/>
          <w:numId w:val="5"/>
        </w:numPr>
        <w:adjustRightInd w:val="0"/>
        <w:snapToGrid w:val="0"/>
        <w:spacing w:line="312" w:lineRule="auto"/>
        <w:ind w:firstLine="480" w:firstLineChars="200"/>
        <w:rPr>
          <w:rFonts w:ascii="Calibri" w:hAnsi="Calibri" w:cs="Calibri"/>
          <w:color w:val="auto"/>
          <w:sz w:val="24"/>
          <w:szCs w:val="24"/>
          <w:highlight w:val="none"/>
        </w:rPr>
      </w:pPr>
      <w:r>
        <w:rPr>
          <w:rFonts w:hint="eastAsia"/>
          <w:color w:val="auto"/>
          <w:sz w:val="24"/>
          <w:highlight w:val="none"/>
        </w:rPr>
        <w:t>投标人需要说明的其他内容；（包括可能影响投标人技术性能评分项的各类证明材料）</w:t>
      </w:r>
    </w:p>
    <w:p>
      <w:pPr>
        <w:autoSpaceDE w:val="0"/>
        <w:autoSpaceDN w:val="0"/>
        <w:adjustRightInd w:val="0"/>
        <w:spacing w:line="312" w:lineRule="auto"/>
        <w:ind w:firstLine="424" w:firstLineChars="177"/>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（2）商务及其他部分</w:t>
      </w:r>
    </w:p>
    <w:p>
      <w:pPr>
        <w:numPr>
          <w:ilvl w:val="0"/>
          <w:numId w:val="6"/>
        </w:numPr>
        <w:autoSpaceDE w:val="0"/>
        <w:autoSpaceDN w:val="0"/>
        <w:adjustRightInd w:val="0"/>
        <w:spacing w:line="312" w:lineRule="auto"/>
        <w:ind w:firstLine="480" w:firstLineChars="200"/>
        <w:rPr>
          <w:rFonts w:ascii="宋体" w:hAnsi="宋体" w:cs="宋体"/>
          <w:color w:val="auto"/>
          <w:sz w:val="24"/>
          <w:highlight w:val="none"/>
        </w:rPr>
      </w:pPr>
      <w:r>
        <w:rPr>
          <w:rFonts w:hint="eastAsia"/>
          <w:color w:val="auto"/>
          <w:sz w:val="24"/>
          <w:highlight w:val="none"/>
        </w:rPr>
        <w:t>证书一览表（</w:t>
      </w:r>
      <w:r>
        <w:rPr>
          <w:rFonts w:asciiTheme="minorEastAsia" w:hAnsiTheme="minorEastAsia" w:eastAsiaTheme="minorEastAsia"/>
          <w:color w:val="auto"/>
          <w:kern w:val="0"/>
          <w:sz w:val="24"/>
          <w:highlight w:val="none"/>
        </w:rPr>
        <w:t>投标人通过的</w:t>
      </w:r>
      <w:r>
        <w:rPr>
          <w:rFonts w:hint="eastAsia" w:asciiTheme="minorEastAsia" w:hAnsiTheme="minorEastAsia" w:eastAsiaTheme="minorEastAsia"/>
          <w:color w:val="auto"/>
          <w:kern w:val="0"/>
          <w:sz w:val="24"/>
          <w:highlight w:val="none"/>
        </w:rPr>
        <w:t>质量管理和</w:t>
      </w:r>
      <w:r>
        <w:rPr>
          <w:rFonts w:asciiTheme="minorEastAsia" w:hAnsiTheme="minorEastAsia" w:eastAsiaTheme="minorEastAsia"/>
          <w:color w:val="auto"/>
          <w:kern w:val="0"/>
          <w:sz w:val="24"/>
          <w:highlight w:val="none"/>
        </w:rPr>
        <w:t>质量</w:t>
      </w:r>
      <w:r>
        <w:rPr>
          <w:rFonts w:hint="eastAsia" w:asciiTheme="minorEastAsia" w:hAnsiTheme="minorEastAsia" w:eastAsiaTheme="minorEastAsia"/>
          <w:color w:val="auto"/>
          <w:kern w:val="0"/>
          <w:sz w:val="24"/>
          <w:highlight w:val="none"/>
        </w:rPr>
        <w:t>保证</w:t>
      </w:r>
      <w:r>
        <w:rPr>
          <w:rFonts w:asciiTheme="minorEastAsia" w:hAnsiTheme="minorEastAsia" w:eastAsiaTheme="minorEastAsia"/>
          <w:color w:val="auto"/>
          <w:kern w:val="0"/>
          <w:sz w:val="24"/>
          <w:highlight w:val="none"/>
        </w:rPr>
        <w:t>体系、环保体系、</w:t>
      </w:r>
      <w:r>
        <w:rPr>
          <w:rFonts w:hint="eastAsia" w:asciiTheme="minorEastAsia" w:hAnsiTheme="minorEastAsia" w:eastAsiaTheme="minorEastAsia"/>
          <w:color w:val="auto"/>
          <w:sz w:val="24"/>
          <w:highlight w:val="none"/>
        </w:rPr>
        <w:t>自主创新相关证书、软件著作权证等等与本项目相关</w:t>
      </w:r>
      <w:r>
        <w:rPr>
          <w:rFonts w:asciiTheme="minorEastAsia" w:hAnsiTheme="minorEastAsia" w:eastAsiaTheme="minorEastAsia"/>
          <w:color w:val="auto"/>
          <w:kern w:val="0"/>
          <w:sz w:val="24"/>
          <w:highlight w:val="none"/>
        </w:rPr>
        <w:t>的认证证书</w:t>
      </w:r>
      <w:r>
        <w:rPr>
          <w:rFonts w:hint="eastAsia" w:asciiTheme="minorEastAsia" w:hAnsiTheme="minorEastAsia" w:eastAsiaTheme="minorEastAsia"/>
          <w:color w:val="auto"/>
          <w:kern w:val="0"/>
          <w:sz w:val="24"/>
          <w:highlight w:val="none"/>
        </w:rPr>
        <w:t>或文件；</w:t>
      </w:r>
      <w:r>
        <w:rPr>
          <w:rFonts w:hint="eastAsia"/>
          <w:color w:val="auto"/>
          <w:sz w:val="24"/>
          <w:highlight w:val="none"/>
        </w:rPr>
        <w:t>）</w:t>
      </w:r>
    </w:p>
    <w:p>
      <w:pPr>
        <w:pStyle w:val="2"/>
        <w:widowControl/>
        <w:numPr>
          <w:ilvl w:val="0"/>
          <w:numId w:val="6"/>
        </w:numPr>
        <w:adjustRightInd w:val="0"/>
        <w:snapToGrid w:val="0"/>
        <w:spacing w:line="312" w:lineRule="auto"/>
        <w:ind w:firstLine="480" w:firstLineChars="200"/>
        <w:rPr>
          <w:rFonts w:ascii="宋体" w:hAnsi="宋体" w:cs="宋体"/>
          <w:color w:val="auto"/>
          <w:sz w:val="24"/>
          <w:szCs w:val="24"/>
          <w:highlight w:val="none"/>
        </w:rPr>
      </w:pPr>
      <w:r>
        <w:rPr>
          <w:rFonts w:hint="eastAsia" w:asciiTheme="minorEastAsia" w:hAnsiTheme="minorEastAsia" w:eastAsiaTheme="minorEastAsia"/>
          <w:color w:val="auto"/>
          <w:kern w:val="0"/>
          <w:sz w:val="24"/>
          <w:szCs w:val="24"/>
          <w:highlight w:val="none"/>
        </w:rPr>
        <w:t>近三年来类似项目的成功案例（投标人类似项目实施情况一览表、合同复印件及其相应的发票、用户验收报告等；</w:t>
      </w:r>
    </w:p>
    <w:p>
      <w:pPr>
        <w:pStyle w:val="2"/>
        <w:widowControl/>
        <w:numPr>
          <w:ilvl w:val="0"/>
          <w:numId w:val="6"/>
        </w:numPr>
        <w:adjustRightInd w:val="0"/>
        <w:snapToGrid w:val="0"/>
        <w:spacing w:line="312" w:lineRule="auto"/>
        <w:ind w:firstLine="480" w:firstLineChars="200"/>
        <w:rPr>
          <w:rFonts w:ascii="宋体" w:hAnsi="宋体" w:cs="宋体"/>
          <w:color w:val="auto"/>
          <w:sz w:val="24"/>
          <w:szCs w:val="24"/>
          <w:highlight w:val="none"/>
        </w:rPr>
      </w:pPr>
      <w:r>
        <w:rPr>
          <w:rFonts w:hint="eastAsia"/>
          <w:color w:val="auto"/>
          <w:sz w:val="24"/>
          <w:szCs w:val="24"/>
          <w:highlight w:val="none"/>
        </w:rPr>
        <w:t>商务需求响应表。</w:t>
      </w:r>
    </w:p>
    <w:p>
      <w:pPr>
        <w:autoSpaceDE w:val="0"/>
        <w:autoSpaceDN w:val="0"/>
        <w:adjustRightInd w:val="0"/>
        <w:spacing w:line="312" w:lineRule="auto"/>
        <w:ind w:left="426" w:firstLine="65" w:firstLineChars="27"/>
        <w:rPr>
          <w:rFonts w:ascii="宋体" w:hAnsi="宋体" w:cs="宋体"/>
          <w:b/>
          <w:color w:val="auto"/>
          <w:kern w:val="0"/>
          <w:sz w:val="24"/>
          <w:highlight w:val="none"/>
        </w:rPr>
      </w:pPr>
      <w:r>
        <w:rPr>
          <w:rFonts w:hint="eastAsia" w:ascii="宋体" w:hAnsi="宋体" w:cs="宋体"/>
          <w:b/>
          <w:color w:val="auto"/>
          <w:kern w:val="0"/>
          <w:sz w:val="24"/>
          <w:highlight w:val="none"/>
        </w:rPr>
        <w:t>3、报价文件的组成</w:t>
      </w:r>
    </w:p>
    <w:p>
      <w:pPr>
        <w:autoSpaceDE w:val="0"/>
        <w:autoSpaceDN w:val="0"/>
        <w:adjustRightIn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（1）开标一览表</w:t>
      </w:r>
    </w:p>
    <w:p>
      <w:pPr>
        <w:autoSpaceDE w:val="0"/>
        <w:autoSpaceDN w:val="0"/>
        <w:adjustRightIn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（2）报价明细表</w:t>
      </w:r>
    </w:p>
    <w:p>
      <w:pPr>
        <w:autoSpaceDE w:val="0"/>
        <w:autoSpaceDN w:val="0"/>
        <w:adjustRightIn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（3）中小企业等声明函、残疾人福利性单位声明函</w:t>
      </w:r>
    </w:p>
    <w:p>
      <w:pPr>
        <w:autoSpaceDE w:val="0"/>
        <w:autoSpaceDN w:val="0"/>
        <w:adjustRightInd w:val="0"/>
        <w:spacing w:line="312"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（4）针对报价投标人认为其他需要说明的</w:t>
      </w:r>
    </w:p>
    <w:p>
      <w:pPr>
        <w:pStyle w:val="2"/>
        <w:spacing w:line="312" w:lineRule="auto"/>
        <w:ind w:firstLine="482" w:firstLineChars="200"/>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（二）投标报价</w:t>
      </w:r>
    </w:p>
    <w:p>
      <w:pPr>
        <w:pStyle w:val="2"/>
        <w:spacing w:line="312"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投标人应按照招标需求内容、责任范围以及合同条款进行报价。并按“开标一览表”和“报价明细表”规定的格式报出总价和分项价格。投标总价中不得包含招标文件要求以外的内容，否则，在评标时不予核减。</w:t>
      </w:r>
    </w:p>
    <w:p>
      <w:pPr>
        <w:pStyle w:val="2"/>
        <w:spacing w:line="360"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2.投标报价包括本项目采购需求和投入使用的所有费用，包括但不限于本项目投入使用的服务费，包含现场调研、数据收集、测试分析、建设方案的编制费等项目过程中发生的食宿、交通、服务、人工、保险、劳保、各种税费、技术支持、成本、评审会务、招标代理服务费、税金以及相应的利润等以及完成本项目的其他一切等费用。</w:t>
      </w:r>
    </w:p>
    <w:p>
      <w:pPr>
        <w:pStyle w:val="2"/>
        <w:spacing w:line="312"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3.投标报价不得为选择性报价和附有条件的报价。</w:t>
      </w:r>
    </w:p>
    <w:p>
      <w:pPr>
        <w:pStyle w:val="2"/>
        <w:spacing w:line="312" w:lineRule="auto"/>
        <w:ind w:firstLine="482" w:firstLineChars="200"/>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（三）投标文件的有效期</w:t>
      </w:r>
    </w:p>
    <w:p>
      <w:pPr>
        <w:pStyle w:val="2"/>
        <w:spacing w:line="312" w:lineRule="auto"/>
        <w:ind w:firstLine="480" w:firstLineChars="200"/>
        <w:rPr>
          <w:rFonts w:ascii="宋体" w:hAnsi="宋体" w:cs="宋体"/>
          <w:color w:val="auto"/>
          <w:sz w:val="24"/>
          <w:szCs w:val="24"/>
          <w:highlight w:val="none"/>
          <w:lang w:val="en-GB"/>
        </w:rPr>
      </w:pPr>
      <w:r>
        <w:rPr>
          <w:rFonts w:hint="eastAsia" w:ascii="宋体" w:hAnsi="宋体" w:cs="宋体"/>
          <w:color w:val="auto"/>
          <w:sz w:val="24"/>
          <w:szCs w:val="24"/>
          <w:highlight w:val="none"/>
        </w:rPr>
        <w:t>1.投标文件有效期为</w:t>
      </w:r>
      <w:r>
        <w:rPr>
          <w:rFonts w:hint="eastAsia" w:ascii="宋体" w:hAnsi="宋体" w:cs="宋体"/>
          <w:color w:val="auto"/>
          <w:sz w:val="24"/>
          <w:szCs w:val="24"/>
          <w:highlight w:val="none"/>
          <w:lang w:val="en-GB"/>
        </w:rPr>
        <w:t>投标截止日起90天。</w:t>
      </w:r>
    </w:p>
    <w:p>
      <w:pPr>
        <w:pStyle w:val="2"/>
        <w:spacing w:line="312" w:lineRule="auto"/>
        <w:ind w:firstLine="480" w:firstLineChars="200"/>
        <w:rPr>
          <w:rFonts w:ascii="宋体" w:hAnsi="宋体" w:cs="宋体"/>
          <w:color w:val="auto"/>
          <w:sz w:val="24"/>
          <w:szCs w:val="24"/>
          <w:highlight w:val="none"/>
          <w:lang w:val="en-GB"/>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GB"/>
        </w:rPr>
        <w:t>在特殊情况下，采购人可与投标人协商延长投标文件的有效期，这种要求和答复均以书面形式进行。</w:t>
      </w:r>
    </w:p>
    <w:p>
      <w:pPr>
        <w:snapToGrid w:val="0"/>
        <w:spacing w:line="312"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3.中标人的投标文件自开标之日起至合同履行完毕均应保持有效。</w:t>
      </w:r>
    </w:p>
    <w:p>
      <w:pPr>
        <w:snapToGrid w:val="0"/>
        <w:spacing w:line="312" w:lineRule="auto"/>
        <w:ind w:firstLine="482" w:firstLineChars="200"/>
        <w:outlineLvl w:val="0"/>
        <w:rPr>
          <w:rFonts w:ascii="宋体" w:hAnsi="宋体" w:cs="宋体"/>
          <w:b/>
          <w:color w:val="auto"/>
          <w:kern w:val="0"/>
          <w:sz w:val="24"/>
          <w:highlight w:val="none"/>
        </w:rPr>
      </w:pPr>
      <w:r>
        <w:rPr>
          <w:rFonts w:hint="eastAsia" w:ascii="宋体" w:hAnsi="宋体" w:cs="宋体"/>
          <w:b/>
          <w:color w:val="auto"/>
          <w:kern w:val="0"/>
          <w:sz w:val="24"/>
          <w:highlight w:val="none"/>
        </w:rPr>
        <w:t>（四）投标文件的签署</w:t>
      </w:r>
    </w:p>
    <w:p>
      <w:pPr>
        <w:pStyle w:val="2"/>
        <w:spacing w:line="312"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1.投标文件需由法定代表人或授权委托代理人签字或盖章。授权委托代理人须出具书面授权证明，其《法定代表人授权书》应附在投标文件中。</w:t>
      </w:r>
    </w:p>
    <w:p>
      <w:pPr>
        <w:pStyle w:val="2"/>
        <w:spacing w:line="312"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2.投标文件中所有的插字、涂改和增删，必须由法定代表人或经其正式授权的代表在旁边签字或盖章才有效。</w:t>
      </w:r>
    </w:p>
    <w:p>
      <w:pPr>
        <w:autoSpaceDE w:val="0"/>
        <w:autoSpaceDN w:val="0"/>
        <w:adjustRightInd w:val="0"/>
        <w:spacing w:line="312"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（五）投标文件的递交要求</w:t>
      </w:r>
    </w:p>
    <w:p>
      <w:pPr>
        <w:tabs>
          <w:tab w:val="left" w:pos="1418"/>
        </w:tabs>
        <w:autoSpaceDE w:val="0"/>
        <w:autoSpaceDN w:val="0"/>
        <w:adjustRightInd w:val="0"/>
        <w:spacing w:line="312"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按照前附表要求提交，</w:t>
      </w:r>
      <w:r>
        <w:rPr>
          <w:rFonts w:hint="eastAsia" w:ascii="宋体" w:hAnsi="宋体" w:cs="宋体"/>
          <w:color w:val="auto"/>
          <w:kern w:val="0"/>
          <w:sz w:val="24"/>
          <w:highlight w:val="none"/>
        </w:rPr>
        <w:t>如采购组织机构延长截止时间和开标时间，采购组织机构和投标人的权利和义务将受到新的截止时间和开标时间的约束。</w:t>
      </w:r>
    </w:p>
    <w:p>
      <w:pPr>
        <w:autoSpaceDE w:val="0"/>
        <w:autoSpaceDN w:val="0"/>
        <w:adjustRightInd w:val="0"/>
        <w:spacing w:line="312"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（六）中标人存档纸质投标文件的要求</w:t>
      </w:r>
    </w:p>
    <w:p>
      <w:pPr>
        <w:tabs>
          <w:tab w:val="left" w:pos="1418"/>
        </w:tabs>
        <w:autoSpaceDE w:val="0"/>
        <w:autoSpaceDN w:val="0"/>
        <w:adjustRightIn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1.存档纸质投标文件是中标人中标后提供给采购组织机构的用于本项目纸质存档备案用途的文件。</w:t>
      </w:r>
    </w:p>
    <w:p>
      <w:pPr>
        <w:tabs>
          <w:tab w:val="left" w:pos="1418"/>
        </w:tabs>
        <w:autoSpaceDE w:val="0"/>
        <w:autoSpaceDN w:val="0"/>
        <w:adjustRightInd w:val="0"/>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2.存档纸质投标文件的装订要求：政采云电子投标文件复印件合计贰份，正副本各一份，正本须在封面标注“正本”字样并加盖公章及骑缝章，副本可以采用正本的复印件。如有不同标项，请按标项号分别装订。</w:t>
      </w:r>
    </w:p>
    <w:p>
      <w:pPr>
        <w:snapToGrid w:val="0"/>
        <w:spacing w:line="312"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五、开标</w:t>
      </w:r>
    </w:p>
    <w:p>
      <w:pPr>
        <w:autoSpaceDE w:val="0"/>
        <w:autoSpaceDN w:val="0"/>
        <w:adjustRightInd w:val="0"/>
        <w:spacing w:line="312"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（一）开标程序</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1.开标时间到后，主持人准时组织开标；</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2.宣布开标纪律；</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3.宣布采购组织机构工作人员；</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4.投标人登录政采云平台，用“项目采购-开标评标”功能对电子投标文件进行在线解密。在线解密时间为开标时间起半个小时内；</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5.采购组织机构工作人员当众宣布投标人名称、投标价格和招标文件规定的需要宣布的其他内容；（以开标一览表要求为准）</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6.公布开标结果。</w:t>
      </w:r>
    </w:p>
    <w:p>
      <w:pPr>
        <w:pStyle w:val="2"/>
        <w:spacing w:line="312"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（二）开标异议</w:t>
      </w:r>
    </w:p>
    <w:p>
      <w:pPr>
        <w:pStyle w:val="2"/>
        <w:spacing w:line="312"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投标人代表对开标过程和开标记录有疑义，以及认为采购人、采购组织机构相关工作人员有需要回避的情形的，应当场提出询问或者回避申请，开标会议结束后不再接受相关询问、质疑或者回避申请。</w:t>
      </w:r>
    </w:p>
    <w:p>
      <w:pPr>
        <w:pStyle w:val="2"/>
        <w:spacing w:line="312" w:lineRule="auto"/>
        <w:ind w:firstLine="482" w:firstLineChars="200"/>
        <w:rPr>
          <w:rFonts w:ascii="宋体" w:hAnsi="宋体" w:cs="宋体"/>
          <w:color w:val="auto"/>
          <w:sz w:val="24"/>
          <w:szCs w:val="24"/>
          <w:highlight w:val="none"/>
        </w:rPr>
      </w:pPr>
      <w:r>
        <w:rPr>
          <w:rFonts w:hint="eastAsia" w:ascii="宋体" w:hAnsi="宋体" w:cs="宋体"/>
          <w:b/>
          <w:bCs/>
          <w:color w:val="auto"/>
          <w:sz w:val="24"/>
          <w:szCs w:val="24"/>
          <w:highlight w:val="none"/>
        </w:rPr>
        <w:t>（三）</w:t>
      </w:r>
      <w:r>
        <w:rPr>
          <w:rFonts w:hint="eastAsia" w:ascii="宋体" w:hAnsi="宋体" w:cs="宋体"/>
          <w:color w:val="auto"/>
          <w:sz w:val="24"/>
          <w:szCs w:val="24"/>
          <w:highlight w:val="none"/>
        </w:rPr>
        <w:t>投标人不足三家，不得开标。</w:t>
      </w:r>
    </w:p>
    <w:p>
      <w:pPr>
        <w:pStyle w:val="13"/>
        <w:snapToGrid w:val="0"/>
        <w:spacing w:line="312" w:lineRule="auto"/>
        <w:ind w:firstLine="482" w:firstLineChars="200"/>
        <w:outlineLvl w:val="1"/>
        <w:rPr>
          <w:rFonts w:hAnsi="宋体"/>
          <w:b/>
          <w:color w:val="auto"/>
          <w:sz w:val="24"/>
          <w:highlight w:val="none"/>
        </w:rPr>
      </w:pPr>
      <w:r>
        <w:rPr>
          <w:rFonts w:hint="eastAsia" w:hAnsi="宋体"/>
          <w:b/>
          <w:color w:val="auto"/>
          <w:sz w:val="24"/>
          <w:highlight w:val="none"/>
        </w:rPr>
        <w:t>六、评标（详见第四章）</w:t>
      </w:r>
    </w:p>
    <w:p>
      <w:pPr>
        <w:pStyle w:val="20"/>
        <w:spacing w:before="0" w:beforeAutospacing="0" w:after="0" w:afterAutospacing="0" w:line="312" w:lineRule="auto"/>
        <w:ind w:firstLine="482" w:firstLineChars="200"/>
        <w:jc w:val="both"/>
        <w:rPr>
          <w:rFonts w:hint="default" w:cs="宋体"/>
          <w:b/>
          <w:color w:val="auto"/>
          <w:highlight w:val="none"/>
        </w:rPr>
      </w:pPr>
      <w:r>
        <w:rPr>
          <w:rFonts w:cs="宋体"/>
          <w:b/>
          <w:color w:val="auto"/>
          <w:highlight w:val="none"/>
        </w:rPr>
        <w:t>七、定标</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（一）确定</w:t>
      </w:r>
      <w:r>
        <w:rPr>
          <w:rFonts w:hint="eastAsia" w:cs="宋体"/>
          <w:color w:val="auto"/>
          <w:highlight w:val="none"/>
          <w:lang w:val="en-US" w:eastAsia="zh-CN"/>
        </w:rPr>
        <w:t>一名</w:t>
      </w:r>
      <w:r>
        <w:rPr>
          <w:rFonts w:cs="宋体"/>
          <w:color w:val="auto"/>
          <w:highlight w:val="none"/>
        </w:rPr>
        <w:t>中标人。评标委员会根据采购单位的《授权意见确认书》，推荐</w:t>
      </w:r>
      <w:r>
        <w:rPr>
          <w:rFonts w:hint="eastAsia" w:cs="宋体"/>
          <w:color w:val="auto"/>
          <w:highlight w:val="none"/>
          <w:lang w:val="en-US" w:eastAsia="zh-CN"/>
        </w:rPr>
        <w:t>一名</w:t>
      </w:r>
      <w:r>
        <w:rPr>
          <w:rFonts w:cs="宋体"/>
          <w:color w:val="auto"/>
          <w:highlight w:val="none"/>
        </w:rPr>
        <w:t>中标候选人或确定</w:t>
      </w:r>
      <w:r>
        <w:rPr>
          <w:rFonts w:hint="eastAsia" w:cs="宋体"/>
          <w:color w:val="auto"/>
          <w:highlight w:val="none"/>
          <w:lang w:val="en-US" w:eastAsia="zh-CN"/>
        </w:rPr>
        <w:t>一名</w:t>
      </w:r>
      <w:r>
        <w:rPr>
          <w:rFonts w:cs="宋体"/>
          <w:color w:val="auto"/>
          <w:highlight w:val="none"/>
        </w:rPr>
        <w:t>中标人。其中推荐中标候选人的，采购组织机构在评标结束后2个工作日内将评标报告送采购人，采购人自收到评标报告之日起5个工作日内在评标报告推荐的中标候选人中确定中标人。</w:t>
      </w:r>
    </w:p>
    <w:p>
      <w:pPr>
        <w:spacing w:line="312"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（二）</w:t>
      </w:r>
      <w:r>
        <w:rPr>
          <w:rFonts w:hint="eastAsia" w:ascii="宋体" w:hAnsi="宋体" w:cs="宋体"/>
          <w:color w:val="auto"/>
          <w:kern w:val="0"/>
          <w:sz w:val="24"/>
          <w:highlight w:val="none"/>
        </w:rPr>
        <w:t>发布</w:t>
      </w:r>
      <w:r>
        <w:rPr>
          <w:rFonts w:hint="eastAsia" w:ascii="宋体" w:hAnsi="宋体" w:cs="宋体"/>
          <w:color w:val="auto"/>
          <w:sz w:val="24"/>
          <w:highlight w:val="none"/>
        </w:rPr>
        <w:t>中标</w:t>
      </w:r>
      <w:r>
        <w:rPr>
          <w:rFonts w:hint="eastAsia" w:ascii="宋体" w:hAnsi="宋体" w:cs="宋体"/>
          <w:color w:val="auto"/>
          <w:kern w:val="0"/>
          <w:sz w:val="24"/>
          <w:highlight w:val="none"/>
        </w:rPr>
        <w:t>结果公告。采购组织机构自中标人确定之日起2个工作日内，在浙江省政府采购网上公告中标结果，</w:t>
      </w:r>
      <w:r>
        <w:rPr>
          <w:rFonts w:hint="eastAsia" w:ascii="宋体" w:hAnsi="宋体" w:cs="宋体"/>
          <w:color w:val="auto"/>
          <w:sz w:val="24"/>
          <w:highlight w:val="none"/>
        </w:rPr>
        <w:t>中标结果公告期为 1 个工作日</w:t>
      </w:r>
      <w:r>
        <w:rPr>
          <w:rFonts w:hint="eastAsia" w:ascii="宋体" w:hAnsi="宋体" w:cs="宋体"/>
          <w:color w:val="auto"/>
          <w:kern w:val="0"/>
          <w:sz w:val="24"/>
          <w:highlight w:val="none"/>
        </w:rPr>
        <w:t>。</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kern w:val="0"/>
          <w:sz w:val="24"/>
          <w:highlight w:val="none"/>
        </w:rPr>
        <w:t>（三）发放中标通知书。采购组织机构在发布中标结果公告的同时，</w:t>
      </w:r>
      <w:r>
        <w:rPr>
          <w:rFonts w:hint="eastAsia" w:ascii="宋体" w:hAnsi="宋体" w:cs="宋体"/>
          <w:color w:val="auto"/>
          <w:sz w:val="24"/>
          <w:highlight w:val="none"/>
        </w:rPr>
        <w:t>通过政采云平台</w:t>
      </w:r>
      <w:r>
        <w:rPr>
          <w:rFonts w:hint="eastAsia" w:ascii="宋体" w:hAnsi="宋体" w:cs="宋体"/>
          <w:color w:val="auto"/>
          <w:kern w:val="0"/>
          <w:sz w:val="24"/>
          <w:highlight w:val="none"/>
        </w:rPr>
        <w:t>向中标人</w:t>
      </w:r>
      <w:r>
        <w:rPr>
          <w:rFonts w:hint="eastAsia" w:ascii="宋体" w:hAnsi="宋体" w:cs="宋体"/>
          <w:color w:val="auto"/>
          <w:sz w:val="24"/>
          <w:highlight w:val="none"/>
        </w:rPr>
        <w:t>发放中标通知书</w:t>
      </w:r>
      <w:r>
        <w:rPr>
          <w:rFonts w:hint="eastAsia" w:ascii="宋体" w:hAnsi="宋体" w:cs="宋体"/>
          <w:color w:val="auto"/>
          <w:kern w:val="0"/>
          <w:sz w:val="24"/>
          <w:highlight w:val="none"/>
        </w:rPr>
        <w:t>。</w:t>
      </w:r>
    </w:p>
    <w:p>
      <w:pPr>
        <w:spacing w:line="312" w:lineRule="auto"/>
        <w:ind w:firstLine="482" w:firstLineChars="200"/>
        <w:rPr>
          <w:rFonts w:ascii="宋体" w:hAnsi="宋体" w:cs="宋体"/>
          <w:color w:val="auto"/>
          <w:kern w:val="0"/>
          <w:sz w:val="24"/>
          <w:highlight w:val="none"/>
        </w:rPr>
      </w:pPr>
      <w:r>
        <w:rPr>
          <w:rFonts w:hint="eastAsia" w:ascii="宋体" w:hAnsi="宋体" w:cs="宋体"/>
          <w:b/>
          <w:color w:val="auto"/>
          <w:sz w:val="24"/>
          <w:highlight w:val="none"/>
        </w:rPr>
        <w:t>八、</w:t>
      </w:r>
      <w:r>
        <w:rPr>
          <w:rFonts w:hint="eastAsia" w:ascii="宋体" w:hAnsi="宋体" w:cs="宋体"/>
          <w:b/>
          <w:color w:val="auto"/>
          <w:kern w:val="0"/>
          <w:sz w:val="24"/>
          <w:highlight w:val="none"/>
        </w:rPr>
        <w:t>合同签订及公告</w:t>
      </w:r>
    </w:p>
    <w:p>
      <w:pPr>
        <w:spacing w:line="312" w:lineRule="auto"/>
        <w:ind w:firstLine="482" w:firstLineChars="200"/>
        <w:rPr>
          <w:rFonts w:ascii="宋体" w:hAnsi="宋体" w:cs="宋体"/>
          <w:b/>
          <w:color w:val="auto"/>
          <w:kern w:val="0"/>
          <w:sz w:val="24"/>
          <w:highlight w:val="none"/>
        </w:rPr>
      </w:pPr>
      <w:r>
        <w:rPr>
          <w:rFonts w:hint="eastAsia" w:ascii="宋体" w:hAnsi="宋体" w:cs="宋体"/>
          <w:b/>
          <w:color w:val="auto"/>
          <w:sz w:val="24"/>
          <w:highlight w:val="none"/>
        </w:rPr>
        <w:t>（一）签订合同</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1.采购人应当自中标通知书发出之日起30日内，按照招标文件和中标人投标文件内容要求，与中标人签订书面合同或者电子合同。所签订的合同不得对招标文件确定的事项和中标人投标文件作实质性修改。</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2.采购人不得向中标人提出任何不合理的要求作为签订合同的条件。</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3.中标人无故拖延、拒签合同的,将取消中标资格。</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20"/>
        <w:spacing w:before="0" w:beforeAutospacing="0" w:after="0" w:afterAutospacing="0" w:line="312" w:lineRule="auto"/>
        <w:ind w:firstLine="480" w:firstLineChars="200"/>
        <w:jc w:val="both"/>
        <w:rPr>
          <w:rFonts w:hint="default" w:cs="宋体"/>
          <w:color w:val="auto"/>
          <w:highlight w:val="none"/>
        </w:rPr>
      </w:pPr>
      <w:r>
        <w:rPr>
          <w:rFonts w:cs="宋体"/>
          <w:color w:val="auto"/>
          <w:highlight w:val="none"/>
        </w:rPr>
        <w:t>5.询问或者质疑事项可能影响中标结果的，采购人应当暂停签订合同，已经签订合同的，应当中止履行合同。</w:t>
      </w:r>
    </w:p>
    <w:p>
      <w:pPr>
        <w:pStyle w:val="20"/>
        <w:spacing w:before="0" w:beforeAutospacing="0" w:after="0" w:afterAutospacing="0" w:line="312" w:lineRule="auto"/>
        <w:ind w:firstLine="482" w:firstLineChars="200"/>
        <w:jc w:val="both"/>
        <w:rPr>
          <w:rFonts w:hint="default" w:cs="宋体"/>
          <w:b/>
          <w:color w:val="auto"/>
          <w:highlight w:val="none"/>
        </w:rPr>
      </w:pPr>
      <w:r>
        <w:rPr>
          <w:rFonts w:cs="宋体"/>
          <w:b/>
          <w:color w:val="auto"/>
          <w:highlight w:val="none"/>
        </w:rPr>
        <w:t>（二）合同公告及备案</w:t>
      </w:r>
    </w:p>
    <w:p>
      <w:pPr>
        <w:pStyle w:val="12"/>
        <w:spacing w:after="0" w:line="312"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1.采购人应当自合同签订之日起2个工作日内，</w:t>
      </w:r>
      <w:r>
        <w:rPr>
          <w:rFonts w:hint="eastAsia" w:ascii="宋体" w:hAnsi="宋体" w:cs="宋体"/>
          <w:color w:val="auto"/>
          <w:kern w:val="0"/>
          <w:sz w:val="24"/>
          <w:highlight w:val="none"/>
        </w:rPr>
        <w:t>在省级以上财政部门指定的政府采购信息发布媒体及相关网站上公告</w:t>
      </w:r>
      <w:r>
        <w:rPr>
          <w:rFonts w:hint="eastAsia" w:ascii="宋体" w:hAnsi="宋体" w:cs="宋体"/>
          <w:color w:val="auto"/>
          <w:sz w:val="24"/>
          <w:highlight w:val="none"/>
        </w:rPr>
        <w:t>。</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2.采购人应当自合同签订之日起7个工作日内，将合同通过政采云平台提交至同级人民政府财政部门备案存档。</w:t>
      </w:r>
    </w:p>
    <w:p>
      <w:pPr>
        <w:pStyle w:val="11"/>
        <w:spacing w:line="312" w:lineRule="auto"/>
        <w:ind w:firstLine="482" w:firstLineChars="200"/>
        <w:jc w:val="both"/>
        <w:rPr>
          <w:rFonts w:ascii="宋体" w:hAnsi="宋体" w:cs="宋体"/>
          <w:b/>
          <w:bCs/>
          <w:color w:val="auto"/>
          <w:sz w:val="24"/>
          <w:highlight w:val="none"/>
        </w:rPr>
      </w:pPr>
      <w:r>
        <w:rPr>
          <w:rFonts w:hint="eastAsia" w:ascii="宋体" w:hAnsi="宋体" w:cs="宋体"/>
          <w:b/>
          <w:bCs/>
          <w:color w:val="auto"/>
          <w:sz w:val="24"/>
          <w:highlight w:val="none"/>
        </w:rPr>
        <w:t>九、询问、质疑与投诉</w:t>
      </w:r>
    </w:p>
    <w:p>
      <w:pPr>
        <w:pStyle w:val="11"/>
        <w:spacing w:line="312" w:lineRule="auto"/>
        <w:ind w:firstLine="482" w:firstLineChars="200"/>
        <w:jc w:val="both"/>
        <w:rPr>
          <w:rFonts w:ascii="宋体" w:hAnsi="宋体" w:cs="宋体"/>
          <w:b/>
          <w:bCs/>
          <w:color w:val="auto"/>
          <w:sz w:val="24"/>
          <w:highlight w:val="none"/>
        </w:rPr>
      </w:pPr>
      <w:r>
        <w:rPr>
          <w:rFonts w:hint="eastAsia" w:ascii="宋体" w:hAnsi="宋体" w:cs="宋体"/>
          <w:b/>
          <w:bCs/>
          <w:color w:val="auto"/>
          <w:sz w:val="24"/>
          <w:highlight w:val="none"/>
        </w:rPr>
        <w:t>（一）询问</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pPr>
        <w:pStyle w:val="11"/>
        <w:spacing w:line="312" w:lineRule="auto"/>
        <w:ind w:firstLine="482" w:firstLineChars="200"/>
        <w:jc w:val="both"/>
        <w:rPr>
          <w:rFonts w:ascii="宋体" w:hAnsi="宋体" w:cs="宋体"/>
          <w:b/>
          <w:bCs/>
          <w:color w:val="auto"/>
          <w:sz w:val="24"/>
          <w:highlight w:val="none"/>
        </w:rPr>
      </w:pPr>
      <w:r>
        <w:rPr>
          <w:rFonts w:hint="eastAsia" w:ascii="宋体" w:hAnsi="宋体" w:cs="宋体"/>
          <w:b/>
          <w:bCs/>
          <w:color w:val="auto"/>
          <w:sz w:val="24"/>
          <w:highlight w:val="none"/>
        </w:rPr>
        <w:t>（二）质疑</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1.报名本项目的投标人认为招标文件、采购过程和中标结果使自己的权益受到损害的，以书面形式或政采云平台的质疑系统一次性向采购人或采购组织机构提出质疑：</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（1）投标人认为招标文件的内容损害其权益的，对采购文件提出质疑的，应当在获取采购文件或者采购文件公告期限届满之日起7个工作日内提出；</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（2）投标人对采购过程提出质疑的，应当在各采购程序环节结束之日起7个工作日内提出质疑；</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（3）投标人对中标结果提出质疑的，应当在中标结果公告期限届满之日起7个工作日内提出质疑；</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2.采购人或采购组织机构在收到投标人的书面质疑后7个工作日内作出答复，并以书面形式或政采云平台回复质疑投标人和其他有关投标人，但答复内容不涉及商业秘密。</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11"/>
        <w:spacing w:line="312" w:lineRule="auto"/>
        <w:ind w:firstLine="482" w:firstLineChars="200"/>
        <w:jc w:val="both"/>
        <w:rPr>
          <w:rFonts w:ascii="宋体" w:hAnsi="宋体" w:cs="宋体"/>
          <w:b/>
          <w:bCs/>
          <w:color w:val="auto"/>
          <w:sz w:val="24"/>
          <w:highlight w:val="none"/>
        </w:rPr>
      </w:pPr>
      <w:r>
        <w:rPr>
          <w:rFonts w:hint="eastAsia" w:ascii="宋体" w:hAnsi="宋体" w:cs="宋体"/>
          <w:b/>
          <w:bCs/>
          <w:color w:val="auto"/>
          <w:sz w:val="24"/>
          <w:highlight w:val="none"/>
        </w:rPr>
        <w:t>（三）投诉</w:t>
      </w:r>
    </w:p>
    <w:p>
      <w:pPr>
        <w:pStyle w:val="11"/>
        <w:spacing w:line="312"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投标人对采购人或采购组织机构的质疑答复不满意或在规定时间内未得到答复的，可以在答复期满后15个工作日内，向同级政府采购监督管理机构投诉。</w:t>
      </w:r>
    </w:p>
    <w:p>
      <w:pPr>
        <w:pStyle w:val="11"/>
        <w:spacing w:line="312" w:lineRule="auto"/>
        <w:ind w:firstLine="480" w:firstLineChars="200"/>
        <w:jc w:val="both"/>
        <w:rPr>
          <w:rFonts w:ascii="宋体" w:hAnsi="宋体" w:cs="宋体"/>
          <w:color w:val="auto"/>
          <w:sz w:val="24"/>
          <w:highlight w:val="none"/>
        </w:rPr>
      </w:pPr>
    </w:p>
    <w:p>
      <w:pPr>
        <w:pStyle w:val="11"/>
        <w:spacing w:line="312" w:lineRule="auto"/>
        <w:ind w:firstLine="480" w:firstLineChars="200"/>
        <w:jc w:val="both"/>
        <w:rPr>
          <w:rFonts w:ascii="宋体" w:hAnsi="宋体" w:cs="宋体"/>
          <w:color w:val="auto"/>
          <w:sz w:val="24"/>
          <w:highlight w:val="none"/>
        </w:rPr>
      </w:pPr>
      <w:r>
        <w:rPr>
          <w:rFonts w:ascii="宋体" w:hAnsi="宋体" w:cs="宋体"/>
          <w:color w:val="auto"/>
          <w:sz w:val="24"/>
          <w:highlight w:val="none"/>
        </w:rPr>
        <w:br w:type="page"/>
      </w:r>
    </w:p>
    <w:p>
      <w:pPr>
        <w:pStyle w:val="3"/>
        <w:numPr>
          <w:ilvl w:val="0"/>
          <w:numId w:val="7"/>
        </w:numPr>
        <w:rPr>
          <w:color w:val="auto"/>
          <w:sz w:val="36"/>
          <w:szCs w:val="36"/>
          <w:highlight w:val="none"/>
        </w:rPr>
      </w:pPr>
      <w:bookmarkStart w:id="35" w:name="_Toc13072_WPSOffice_Level1"/>
      <w:r>
        <w:rPr>
          <w:rFonts w:hint="eastAsia"/>
          <w:color w:val="auto"/>
          <w:sz w:val="36"/>
          <w:szCs w:val="36"/>
          <w:highlight w:val="none"/>
        </w:rPr>
        <w:t>招标需求</w:t>
      </w:r>
      <w:bookmarkEnd w:id="35"/>
    </w:p>
    <w:p>
      <w:pPr>
        <w:rPr>
          <w:color w:val="auto"/>
          <w:highlight w:val="none"/>
        </w:rPr>
      </w:pPr>
    </w:p>
    <w:p>
      <w:pPr>
        <w:tabs>
          <w:tab w:val="left" w:pos="8280"/>
        </w:tabs>
        <w:autoSpaceDE w:val="0"/>
        <w:autoSpaceDN w:val="0"/>
        <w:adjustRightInd w:val="0"/>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一、招标项目一览表</w:t>
      </w:r>
    </w:p>
    <w:p>
      <w:pPr>
        <w:tabs>
          <w:tab w:val="left" w:pos="8280"/>
        </w:tabs>
        <w:autoSpaceDE w:val="0"/>
        <w:autoSpaceDN w:val="0"/>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本次招标共</w:t>
      </w:r>
      <w:r>
        <w:rPr>
          <w:rFonts w:hint="eastAsia" w:ascii="宋体" w:hAnsi="宋体" w:cs="宋体"/>
          <w:color w:val="auto"/>
          <w:sz w:val="24"/>
          <w:highlight w:val="none"/>
          <w:u w:val="single"/>
        </w:rPr>
        <w:t>1</w:t>
      </w:r>
      <w:r>
        <w:rPr>
          <w:rFonts w:hint="eastAsia" w:ascii="宋体" w:hAnsi="宋体" w:cs="宋体"/>
          <w:color w:val="auto"/>
          <w:sz w:val="24"/>
          <w:highlight w:val="none"/>
        </w:rPr>
        <w:t>个标项，具体内容如下表：</w:t>
      </w:r>
    </w:p>
    <w:tbl>
      <w:tblPr>
        <w:tblStyle w:val="25"/>
        <w:tblW w:w="88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963"/>
        <w:gridCol w:w="4437"/>
        <w:gridCol w:w="592"/>
        <w:gridCol w:w="592"/>
        <w:gridCol w:w="1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0" w:hRule="atLeast"/>
          <w:jc w:val="center"/>
        </w:trPr>
        <w:tc>
          <w:tcPr>
            <w:tcW w:w="10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标项号</w:t>
            </w:r>
          </w:p>
        </w:tc>
        <w:tc>
          <w:tcPr>
            <w:tcW w:w="963"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firstLine="120" w:firstLineChars="50"/>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4437"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简要技术要求</w:t>
            </w:r>
          </w:p>
        </w:tc>
        <w:tc>
          <w:tcPr>
            <w:tcW w:w="59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kern w:val="0"/>
                <w:sz w:val="24"/>
                <w:highlight w:val="none"/>
              </w:rPr>
              <w:t>数量</w:t>
            </w:r>
          </w:p>
        </w:tc>
        <w:tc>
          <w:tcPr>
            <w:tcW w:w="59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12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预算</w:t>
            </w:r>
          </w:p>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
                <w:color w:val="auto"/>
                <w:sz w:val="24"/>
                <w:highlight w:val="none"/>
              </w:rPr>
            </w:pPr>
            <w:r>
              <w:rPr>
                <w:rFonts w:hint="eastAsia" w:ascii="宋体" w:hAnsi="宋体" w:cs="宋体"/>
                <w:b/>
                <w:color w:val="auto"/>
                <w:sz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2" w:hRule="atLeast"/>
          <w:jc w:val="center"/>
        </w:trPr>
        <w:tc>
          <w:tcPr>
            <w:tcW w:w="10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963"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Cs/>
                <w:color w:val="auto"/>
                <w:sz w:val="24"/>
                <w:highlight w:val="none"/>
                <w:lang w:eastAsia="zh-CN"/>
              </w:rPr>
            </w:pPr>
            <w:r>
              <w:rPr>
                <w:rFonts w:hint="eastAsia" w:ascii="宋体" w:hAnsi="宋体" w:cs="宋体"/>
                <w:color w:val="auto"/>
                <w:sz w:val="24"/>
                <w:highlight w:val="none"/>
                <w:lang w:eastAsia="zh-CN"/>
              </w:rPr>
              <w:t>台州市沿海平原地面沉降监测项目</w:t>
            </w:r>
          </w:p>
        </w:tc>
        <w:tc>
          <w:tcPr>
            <w:tcW w:w="4437"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rPr>
              <w:t>结合沿海平原地面沉降状况及现有地面沉降监测网络，以继续查明区域地面沉降现状及优化完善现有地面沉降监测站网为目标，积极实施2024年度</w:t>
            </w:r>
            <w:r>
              <w:rPr>
                <w:rFonts w:hint="eastAsia" w:ascii="宋体" w:hAnsi="宋体" w:cs="宋体"/>
                <w:color w:val="auto"/>
                <w:sz w:val="24"/>
                <w:szCs w:val="24"/>
                <w:lang w:eastAsia="zh-CN"/>
              </w:rPr>
              <w:t>台州市沿海平原</w:t>
            </w:r>
            <w:r>
              <w:rPr>
                <w:rFonts w:hint="eastAsia" w:ascii="宋体" w:hAnsi="宋体" w:eastAsia="宋体" w:cs="宋体"/>
                <w:color w:val="auto"/>
                <w:sz w:val="24"/>
                <w:szCs w:val="24"/>
              </w:rPr>
              <w:t>水准测量路线400km（110个水准点）地面沉降监测，为全面做好沿海平原地面沉降防治工作提供数据支撑。</w:t>
            </w:r>
          </w:p>
        </w:tc>
        <w:tc>
          <w:tcPr>
            <w:tcW w:w="59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592"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0"/>
              <w:jc w:val="center"/>
              <w:rPr>
                <w:rFonts w:ascii="宋体" w:hAnsi="宋体" w:cs="宋体"/>
                <w:bCs/>
                <w:color w:val="auto"/>
                <w:sz w:val="24"/>
                <w:highlight w:val="none"/>
              </w:rPr>
            </w:pPr>
            <w:r>
              <w:rPr>
                <w:rFonts w:hint="eastAsia" w:ascii="宋体" w:hAnsi="宋体" w:cs="宋体"/>
                <w:bCs/>
                <w:color w:val="auto"/>
                <w:sz w:val="24"/>
                <w:highlight w:val="none"/>
              </w:rPr>
              <w:t>项</w:t>
            </w:r>
          </w:p>
        </w:tc>
        <w:tc>
          <w:tcPr>
            <w:tcW w:w="1219" w:type="dxa"/>
            <w:vAlign w:val="center"/>
          </w:tcPr>
          <w:p>
            <w:pPr>
              <w:keepNext w:val="0"/>
              <w:keepLines w:val="0"/>
              <w:suppressLineNumbers w:val="0"/>
              <w:tabs>
                <w:tab w:val="left" w:pos="8280"/>
              </w:tabs>
              <w:autoSpaceDE w:val="0"/>
              <w:autoSpaceDN w:val="0"/>
              <w:adjustRightInd w:val="0"/>
              <w:spacing w:before="0" w:beforeAutospacing="0" w:after="0" w:afterAutospacing="0"/>
              <w:ind w:left="0" w:right="25"/>
              <w:jc w:val="center"/>
              <w:rPr>
                <w:rFonts w:ascii="宋体" w:hAnsi="宋体" w:cs="宋体"/>
                <w:bCs/>
                <w:color w:val="auto"/>
                <w:sz w:val="24"/>
                <w:highlight w:val="none"/>
              </w:rPr>
            </w:pPr>
            <w:r>
              <w:rPr>
                <w:rFonts w:hint="eastAsia" w:ascii="宋体" w:hAnsi="宋体" w:cs="宋体"/>
                <w:bCs/>
                <w:color w:val="auto"/>
                <w:sz w:val="24"/>
                <w:highlight w:val="none"/>
              </w:rPr>
              <w:t>115.00</w:t>
            </w:r>
          </w:p>
        </w:tc>
      </w:tr>
    </w:tbl>
    <w:p>
      <w:pPr>
        <w:tabs>
          <w:tab w:val="left" w:pos="8280"/>
        </w:tabs>
        <w:autoSpaceDE w:val="0"/>
        <w:autoSpaceDN w:val="0"/>
        <w:adjustRightInd w:val="0"/>
        <w:spacing w:line="360" w:lineRule="auto"/>
        <w:ind w:firstLine="479" w:firstLineChars="199"/>
        <w:rPr>
          <w:rFonts w:ascii="宋体" w:hAnsi="宋体" w:cs="宋体"/>
          <w:b/>
          <w:color w:val="auto"/>
          <w:sz w:val="24"/>
          <w:highlight w:val="none"/>
        </w:rPr>
      </w:pPr>
      <w:r>
        <w:rPr>
          <w:rFonts w:hint="eastAsia" w:ascii="宋体" w:hAnsi="宋体" w:cs="宋体"/>
          <w:b/>
          <w:color w:val="auto"/>
          <w:sz w:val="24"/>
          <w:highlight w:val="none"/>
        </w:rPr>
        <w:t>二、技术需求</w:t>
      </w:r>
    </w:p>
    <w:p>
      <w:pPr>
        <w:spacing w:line="360" w:lineRule="auto"/>
        <w:ind w:firstLine="480"/>
        <w:rPr>
          <w:rFonts w:eastAsiaTheme="minorEastAsia"/>
          <w:color w:val="auto"/>
          <w:sz w:val="24"/>
          <w:highlight w:val="none"/>
        </w:rPr>
      </w:pPr>
      <w:r>
        <w:rPr>
          <w:rFonts w:hAnsiTheme="minorEastAsia" w:eastAsiaTheme="minorEastAsia"/>
          <w:color w:val="auto"/>
          <w:sz w:val="24"/>
          <w:highlight w:val="none"/>
        </w:rPr>
        <w:t>（一）工作区范围</w:t>
      </w:r>
    </w:p>
    <w:p>
      <w:pPr>
        <w:spacing w:line="360" w:lineRule="auto"/>
        <w:ind w:firstLine="480"/>
        <w:rPr>
          <w:rFonts w:hAnsiTheme="minorEastAsia" w:eastAsiaTheme="minorEastAsia"/>
          <w:color w:val="auto"/>
          <w:sz w:val="24"/>
          <w:highlight w:val="none"/>
        </w:rPr>
      </w:pPr>
      <w:r>
        <w:rPr>
          <w:rFonts w:hAnsiTheme="minorEastAsia" w:eastAsiaTheme="minorEastAsia"/>
          <w:color w:val="auto"/>
          <w:sz w:val="24"/>
          <w:highlight w:val="none"/>
        </w:rPr>
        <w:t>椒江以南温岭、路桥、椒江等温黄平原地面沉降重点防治区域，面积约</w:t>
      </w:r>
      <w:r>
        <w:rPr>
          <w:rFonts w:eastAsiaTheme="minorEastAsia"/>
          <w:color w:val="auto"/>
          <w:sz w:val="24"/>
          <w:highlight w:val="none"/>
        </w:rPr>
        <w:t>1250</w:t>
      </w:r>
      <w:r>
        <w:rPr>
          <w:rFonts w:hAnsiTheme="minorEastAsia" w:eastAsiaTheme="minorEastAsia"/>
          <w:color w:val="auto"/>
          <w:sz w:val="24"/>
          <w:highlight w:val="none"/>
        </w:rPr>
        <w:t>平方千米。同时做好新增三门县、临海市、玉环市等沿海地区的测量工作，为全面做好</w:t>
      </w:r>
      <w:r>
        <w:rPr>
          <w:rFonts w:hint="eastAsia" w:hAnsiTheme="minorEastAsia" w:eastAsiaTheme="minorEastAsia"/>
          <w:color w:val="auto"/>
          <w:sz w:val="24"/>
          <w:highlight w:val="none"/>
          <w:lang w:eastAsia="zh-CN"/>
        </w:rPr>
        <w:t>沿海</w:t>
      </w:r>
      <w:r>
        <w:rPr>
          <w:rFonts w:hAnsiTheme="minorEastAsia" w:eastAsiaTheme="minorEastAsia"/>
          <w:color w:val="auto"/>
          <w:sz w:val="24"/>
          <w:highlight w:val="none"/>
        </w:rPr>
        <w:t>平原地面沉降防治工作提供数据支撑。</w:t>
      </w:r>
    </w:p>
    <w:p>
      <w:pPr>
        <w:spacing w:line="360" w:lineRule="auto"/>
        <w:ind w:firstLine="480"/>
        <w:rPr>
          <w:rFonts w:hAnsiTheme="minorEastAsia" w:eastAsiaTheme="minorEastAsia"/>
          <w:color w:val="auto"/>
          <w:sz w:val="24"/>
          <w:highlight w:val="none"/>
        </w:rPr>
      </w:pPr>
      <w:r>
        <w:rPr>
          <w:rFonts w:hAnsiTheme="minorEastAsia" w:eastAsiaTheme="minorEastAsia"/>
          <w:color w:val="auto"/>
          <w:sz w:val="24"/>
          <w:highlight w:val="none"/>
        </w:rPr>
        <w:t>（二）主要实物工作量</w:t>
      </w:r>
    </w:p>
    <w:p>
      <w:pPr>
        <w:spacing w:line="360" w:lineRule="auto"/>
        <w:ind w:firstLine="480"/>
        <w:rPr>
          <w:rFonts w:hAnsiTheme="minorEastAsia" w:eastAsiaTheme="minorEastAsia"/>
          <w:color w:val="auto"/>
          <w:sz w:val="24"/>
          <w:highlight w:val="none"/>
        </w:rPr>
      </w:pPr>
      <w:r>
        <w:rPr>
          <w:rFonts w:hint="eastAsia" w:hAnsiTheme="minorEastAsia" w:eastAsiaTheme="minorEastAsia"/>
          <w:color w:val="auto"/>
          <w:sz w:val="24"/>
          <w:highlight w:val="none"/>
        </w:rPr>
        <w:t>1、完成</w:t>
      </w:r>
      <w:r>
        <w:rPr>
          <w:rFonts w:hint="eastAsia" w:hAnsiTheme="minorEastAsia" w:eastAsiaTheme="minorEastAsia"/>
          <w:color w:val="auto"/>
          <w:sz w:val="24"/>
          <w:highlight w:val="none"/>
          <w:lang w:eastAsia="zh-CN"/>
        </w:rPr>
        <w:t>沿海平原地面沉降</w:t>
      </w:r>
      <w:r>
        <w:rPr>
          <w:rFonts w:hint="eastAsia" w:hAnsiTheme="minorEastAsia" w:eastAsiaTheme="minorEastAsia"/>
          <w:color w:val="auto"/>
          <w:sz w:val="24"/>
          <w:highlight w:val="none"/>
        </w:rPr>
        <w:t>水准测量路线400km监测任务（含新增三门沿海平原、椒北平原和玉环沿海平原）。</w:t>
      </w:r>
    </w:p>
    <w:p>
      <w:pPr>
        <w:spacing w:line="360" w:lineRule="auto"/>
        <w:ind w:firstLine="480"/>
        <w:rPr>
          <w:rFonts w:hint="default" w:hAnsiTheme="minorEastAsia" w:eastAsiaTheme="minorEastAsia"/>
          <w:color w:val="auto"/>
          <w:sz w:val="24"/>
          <w:highlight w:val="none"/>
        </w:rPr>
      </w:pPr>
      <w:r>
        <w:rPr>
          <w:rFonts w:hint="eastAsia" w:hAnsiTheme="minorEastAsia" w:eastAsiaTheme="minorEastAsia"/>
          <w:color w:val="auto"/>
          <w:sz w:val="24"/>
          <w:highlight w:val="none"/>
          <w:lang w:val="en-US" w:eastAsia="zh-CN"/>
        </w:rPr>
        <w:t>2</w:t>
      </w:r>
      <w:r>
        <w:rPr>
          <w:rFonts w:hAnsiTheme="minorEastAsia" w:eastAsiaTheme="minorEastAsia"/>
          <w:color w:val="auto"/>
          <w:sz w:val="24"/>
          <w:highlight w:val="none"/>
        </w:rPr>
        <w:t>、根据本年度监测结果，结合以往监测数据，综合研究分析</w:t>
      </w:r>
      <w:r>
        <w:rPr>
          <w:rFonts w:hint="eastAsia" w:hAnsiTheme="minorEastAsia" w:eastAsiaTheme="minorEastAsia"/>
          <w:color w:val="auto"/>
          <w:sz w:val="24"/>
          <w:highlight w:val="none"/>
          <w:lang w:eastAsia="zh-CN"/>
        </w:rPr>
        <w:t>沿海</w:t>
      </w:r>
      <w:r>
        <w:rPr>
          <w:rFonts w:hAnsiTheme="minorEastAsia" w:eastAsiaTheme="minorEastAsia"/>
          <w:color w:val="auto"/>
          <w:sz w:val="24"/>
          <w:highlight w:val="none"/>
        </w:rPr>
        <w:t>平原地面沉降现状及发展趋势，编制相关图件及成果。</w:t>
      </w:r>
    </w:p>
    <w:p>
      <w:pPr>
        <w:spacing w:line="360" w:lineRule="auto"/>
        <w:ind w:firstLine="482"/>
        <w:rPr>
          <w:rFonts w:eastAsiaTheme="minorEastAsia"/>
          <w:color w:val="auto"/>
          <w:sz w:val="24"/>
          <w:highlight w:val="none"/>
        </w:rPr>
      </w:pPr>
      <w:r>
        <w:rPr>
          <w:rFonts w:hAnsiTheme="minorEastAsia" w:eastAsiaTheme="minorEastAsia"/>
          <w:color w:val="auto"/>
          <w:sz w:val="24"/>
          <w:highlight w:val="none"/>
        </w:rPr>
        <w:t>（三）质量要求</w:t>
      </w:r>
    </w:p>
    <w:p>
      <w:pPr>
        <w:spacing w:line="360" w:lineRule="auto"/>
        <w:ind w:firstLine="482"/>
        <w:rPr>
          <w:rFonts w:eastAsiaTheme="minorEastAsia"/>
          <w:color w:val="auto"/>
          <w:sz w:val="24"/>
          <w:highlight w:val="none"/>
        </w:rPr>
      </w:pPr>
      <w:r>
        <w:rPr>
          <w:rFonts w:eastAsiaTheme="minorEastAsia"/>
          <w:color w:val="auto"/>
          <w:sz w:val="24"/>
          <w:highlight w:val="none"/>
        </w:rPr>
        <w:t>1</w:t>
      </w:r>
      <w:r>
        <w:rPr>
          <w:rFonts w:hAnsiTheme="minorEastAsia" w:eastAsiaTheme="minorEastAsia"/>
          <w:color w:val="auto"/>
          <w:sz w:val="24"/>
          <w:highlight w:val="none"/>
        </w:rPr>
        <w:t>、执行《地面沉降水准测量规范》（</w:t>
      </w:r>
      <w:r>
        <w:rPr>
          <w:rFonts w:eastAsiaTheme="minorEastAsia"/>
          <w:color w:val="auto"/>
          <w:sz w:val="24"/>
          <w:highlight w:val="none"/>
        </w:rPr>
        <w:t>DZ</w:t>
      </w:r>
      <w:r>
        <w:rPr>
          <w:rFonts w:hAnsiTheme="minorEastAsia" w:eastAsiaTheme="minorEastAsia"/>
          <w:color w:val="auto"/>
          <w:sz w:val="24"/>
          <w:highlight w:val="none"/>
        </w:rPr>
        <w:t>／</w:t>
      </w:r>
      <w:r>
        <w:rPr>
          <w:rFonts w:eastAsiaTheme="minorEastAsia"/>
          <w:color w:val="auto"/>
          <w:sz w:val="24"/>
          <w:highlight w:val="none"/>
        </w:rPr>
        <w:t>T0154</w:t>
      </w:r>
      <w:r>
        <w:rPr>
          <w:rFonts w:hAnsiTheme="minorEastAsia" w:eastAsiaTheme="minorEastAsia"/>
          <w:color w:val="auto"/>
          <w:sz w:val="24"/>
          <w:highlight w:val="none"/>
        </w:rPr>
        <w:t>－</w:t>
      </w:r>
      <w:r>
        <w:rPr>
          <w:rFonts w:eastAsiaTheme="minorEastAsia"/>
          <w:color w:val="auto"/>
          <w:sz w:val="24"/>
          <w:highlight w:val="none"/>
        </w:rPr>
        <w:t>95</w:t>
      </w:r>
      <w:r>
        <w:rPr>
          <w:rFonts w:hAnsiTheme="minorEastAsia" w:eastAsiaTheme="minorEastAsia"/>
          <w:color w:val="auto"/>
          <w:sz w:val="24"/>
          <w:highlight w:val="none"/>
        </w:rPr>
        <w:t>）、《国家一、二等水准测量规范》（</w:t>
      </w:r>
      <w:r>
        <w:rPr>
          <w:rFonts w:eastAsiaTheme="minorEastAsia"/>
          <w:color w:val="auto"/>
          <w:sz w:val="24"/>
          <w:highlight w:val="none"/>
        </w:rPr>
        <w:t>GB</w:t>
      </w:r>
      <w:r>
        <w:rPr>
          <w:rFonts w:hAnsiTheme="minorEastAsia" w:eastAsiaTheme="minorEastAsia"/>
          <w:color w:val="auto"/>
          <w:sz w:val="24"/>
          <w:highlight w:val="none"/>
        </w:rPr>
        <w:t>／</w:t>
      </w:r>
      <w:r>
        <w:rPr>
          <w:rFonts w:eastAsiaTheme="minorEastAsia"/>
          <w:color w:val="auto"/>
          <w:sz w:val="24"/>
          <w:highlight w:val="none"/>
        </w:rPr>
        <w:t>T12897</w:t>
      </w:r>
      <w:r>
        <w:rPr>
          <w:rFonts w:hAnsiTheme="minorEastAsia" w:eastAsiaTheme="minorEastAsia"/>
          <w:color w:val="auto"/>
          <w:sz w:val="24"/>
          <w:highlight w:val="none"/>
        </w:rPr>
        <w:t>－</w:t>
      </w:r>
      <w:r>
        <w:rPr>
          <w:rFonts w:eastAsiaTheme="minorEastAsia"/>
          <w:color w:val="auto"/>
          <w:sz w:val="24"/>
          <w:highlight w:val="none"/>
        </w:rPr>
        <w:t>2006</w:t>
      </w:r>
      <w:r>
        <w:rPr>
          <w:rFonts w:hAnsiTheme="minorEastAsia" w:eastAsiaTheme="minorEastAsia"/>
          <w:color w:val="auto"/>
          <w:sz w:val="24"/>
          <w:highlight w:val="none"/>
        </w:rPr>
        <w:t>）、《地面沉降监测技术要求》（</w:t>
      </w:r>
      <w:r>
        <w:rPr>
          <w:rFonts w:eastAsiaTheme="minorEastAsia"/>
          <w:color w:val="auto"/>
          <w:sz w:val="24"/>
          <w:highlight w:val="none"/>
        </w:rPr>
        <w:t>DD2006</w:t>
      </w:r>
      <w:r>
        <w:rPr>
          <w:rFonts w:hAnsiTheme="minorEastAsia" w:eastAsiaTheme="minorEastAsia"/>
          <w:color w:val="auto"/>
          <w:sz w:val="24"/>
          <w:highlight w:val="none"/>
        </w:rPr>
        <w:t>－</w:t>
      </w:r>
      <w:r>
        <w:rPr>
          <w:rFonts w:eastAsiaTheme="minorEastAsia"/>
          <w:color w:val="auto"/>
          <w:sz w:val="24"/>
          <w:highlight w:val="none"/>
        </w:rPr>
        <w:t>02</w:t>
      </w:r>
      <w:r>
        <w:rPr>
          <w:rFonts w:hAnsiTheme="minorEastAsia" w:eastAsiaTheme="minorEastAsia"/>
          <w:color w:val="auto"/>
          <w:sz w:val="24"/>
          <w:highlight w:val="none"/>
        </w:rPr>
        <w:t>）、《测绘产品检查验收规定》（</w:t>
      </w:r>
      <w:r>
        <w:rPr>
          <w:rFonts w:eastAsiaTheme="minorEastAsia"/>
          <w:color w:val="auto"/>
          <w:sz w:val="24"/>
          <w:highlight w:val="none"/>
        </w:rPr>
        <w:t>CH1002—95</w:t>
      </w:r>
      <w:r>
        <w:rPr>
          <w:rFonts w:hAnsiTheme="minorEastAsia" w:eastAsiaTheme="minorEastAsia"/>
          <w:color w:val="auto"/>
          <w:sz w:val="24"/>
          <w:highlight w:val="none"/>
        </w:rPr>
        <w:t>）以及《测绘产品质量评定标准》（</w:t>
      </w:r>
      <w:r>
        <w:rPr>
          <w:rFonts w:eastAsiaTheme="minorEastAsia"/>
          <w:color w:val="auto"/>
          <w:sz w:val="24"/>
          <w:highlight w:val="none"/>
        </w:rPr>
        <w:t>CH1003—95</w:t>
      </w:r>
      <w:r>
        <w:rPr>
          <w:rFonts w:hAnsiTheme="minorEastAsia" w:eastAsiaTheme="minorEastAsia"/>
          <w:color w:val="auto"/>
          <w:sz w:val="24"/>
          <w:highlight w:val="none"/>
        </w:rPr>
        <w:t>）等标准。</w:t>
      </w:r>
    </w:p>
    <w:p>
      <w:pPr>
        <w:spacing w:line="360" w:lineRule="auto"/>
        <w:ind w:firstLine="480"/>
        <w:rPr>
          <w:rFonts w:eastAsiaTheme="minorEastAsia"/>
          <w:color w:val="auto"/>
          <w:sz w:val="24"/>
          <w:highlight w:val="none"/>
        </w:rPr>
      </w:pPr>
      <w:r>
        <w:rPr>
          <w:rFonts w:eastAsiaTheme="minorEastAsia"/>
          <w:color w:val="auto"/>
          <w:sz w:val="24"/>
          <w:highlight w:val="none"/>
        </w:rPr>
        <w:t>2</w:t>
      </w:r>
      <w:r>
        <w:rPr>
          <w:rFonts w:hAnsiTheme="minorEastAsia" w:eastAsiaTheme="minorEastAsia"/>
          <w:color w:val="auto"/>
          <w:sz w:val="24"/>
          <w:highlight w:val="none"/>
        </w:rPr>
        <w:t>、《</w:t>
      </w:r>
      <w:r>
        <w:rPr>
          <w:rFonts w:hint="eastAsia" w:hAnsiTheme="minorEastAsia" w:eastAsiaTheme="minorEastAsia"/>
          <w:color w:val="auto"/>
          <w:sz w:val="24"/>
          <w:highlight w:val="none"/>
          <w:lang w:eastAsia="zh-CN"/>
        </w:rPr>
        <w:t>台州市沿海</w:t>
      </w:r>
      <w:r>
        <w:rPr>
          <w:rFonts w:hAnsiTheme="minorEastAsia" w:eastAsiaTheme="minorEastAsia"/>
          <w:color w:val="auto"/>
          <w:sz w:val="24"/>
          <w:highlight w:val="none"/>
        </w:rPr>
        <w:t>平原地面沉降监测报告》成果通过台州市自然资源和规划局组织的专家评审</w:t>
      </w:r>
      <w:r>
        <w:rPr>
          <w:rFonts w:hint="eastAsia" w:asciiTheme="minorEastAsia" w:hAnsiTheme="minorEastAsia" w:eastAsiaTheme="minorEastAsia" w:cstheme="minorEastAsia"/>
          <w:bCs/>
          <w:color w:val="auto"/>
          <w:sz w:val="24"/>
          <w:highlight w:val="none"/>
        </w:rPr>
        <w:t>（评审验收由供应商承担相应费用）</w:t>
      </w:r>
      <w:r>
        <w:rPr>
          <w:rFonts w:hAnsiTheme="minorEastAsia" w:eastAsiaTheme="minorEastAsia"/>
          <w:color w:val="auto"/>
          <w:sz w:val="24"/>
          <w:highlight w:val="none"/>
        </w:rPr>
        <w:t>。</w:t>
      </w:r>
    </w:p>
    <w:p>
      <w:pPr>
        <w:spacing w:line="360" w:lineRule="auto"/>
        <w:ind w:firstLine="482"/>
        <w:rPr>
          <w:rFonts w:hAnsiTheme="minorEastAsia" w:eastAsiaTheme="minorEastAsia"/>
          <w:color w:val="auto"/>
          <w:sz w:val="24"/>
          <w:highlight w:val="none"/>
        </w:rPr>
      </w:pPr>
      <w:r>
        <w:rPr>
          <w:rFonts w:hAnsiTheme="minorEastAsia" w:eastAsiaTheme="minorEastAsia"/>
          <w:color w:val="auto"/>
          <w:sz w:val="24"/>
          <w:highlight w:val="none"/>
        </w:rPr>
        <w:t>（四）时间要求</w:t>
      </w:r>
    </w:p>
    <w:p>
      <w:pPr>
        <w:spacing w:line="360" w:lineRule="auto"/>
        <w:ind w:firstLine="480"/>
        <w:rPr>
          <w:rFonts w:eastAsiaTheme="minorEastAsia"/>
          <w:color w:val="auto"/>
          <w:sz w:val="24"/>
          <w:highlight w:val="none"/>
        </w:rPr>
      </w:pPr>
      <w:r>
        <w:rPr>
          <w:rFonts w:eastAsiaTheme="minorEastAsia"/>
          <w:color w:val="auto"/>
          <w:sz w:val="24"/>
          <w:highlight w:val="none"/>
        </w:rPr>
        <w:t>1</w:t>
      </w:r>
      <w:r>
        <w:rPr>
          <w:rFonts w:hAnsiTheme="minorEastAsia" w:eastAsiaTheme="minorEastAsia"/>
          <w:color w:val="auto"/>
          <w:sz w:val="24"/>
          <w:highlight w:val="none"/>
        </w:rPr>
        <w:t>、中标供应商应于</w:t>
      </w:r>
      <w:r>
        <w:rPr>
          <w:rFonts w:hint="eastAsia" w:eastAsiaTheme="minorEastAsia"/>
          <w:color w:val="auto"/>
          <w:sz w:val="24"/>
          <w:highlight w:val="none"/>
          <w:lang w:val="en-US" w:eastAsia="zh-CN"/>
        </w:rPr>
        <w:t>2025</w:t>
      </w:r>
      <w:r>
        <w:rPr>
          <w:rFonts w:hAnsiTheme="minorEastAsia" w:eastAsiaTheme="minorEastAsia"/>
          <w:color w:val="auto"/>
          <w:sz w:val="24"/>
          <w:highlight w:val="none"/>
        </w:rPr>
        <w:t>年</w:t>
      </w:r>
      <w:r>
        <w:rPr>
          <w:rFonts w:hint="eastAsia" w:eastAsiaTheme="minorEastAsia"/>
          <w:color w:val="auto"/>
          <w:sz w:val="24"/>
          <w:highlight w:val="none"/>
          <w:lang w:val="en-US" w:eastAsia="zh-CN"/>
        </w:rPr>
        <w:t>7</w:t>
      </w:r>
      <w:r>
        <w:rPr>
          <w:rFonts w:hAnsiTheme="minorEastAsia" w:eastAsiaTheme="minorEastAsia"/>
          <w:color w:val="auto"/>
          <w:sz w:val="24"/>
          <w:highlight w:val="none"/>
        </w:rPr>
        <w:t>月底前</w:t>
      </w:r>
      <w:r>
        <w:rPr>
          <w:rFonts w:hint="eastAsia" w:hAnsiTheme="minorEastAsia" w:eastAsiaTheme="minorEastAsia"/>
          <w:color w:val="auto"/>
          <w:sz w:val="24"/>
          <w:highlight w:val="none"/>
          <w:lang w:eastAsia="zh-CN"/>
        </w:rPr>
        <w:t>完成野外验收</w:t>
      </w:r>
      <w:r>
        <w:rPr>
          <w:rFonts w:hAnsiTheme="minorEastAsia" w:eastAsiaTheme="minorEastAsia"/>
          <w:color w:val="auto"/>
          <w:sz w:val="24"/>
          <w:highlight w:val="none"/>
        </w:rPr>
        <w:t>；</w:t>
      </w:r>
    </w:p>
    <w:p>
      <w:pPr>
        <w:spacing w:line="360" w:lineRule="auto"/>
        <w:ind w:firstLine="480"/>
        <w:rPr>
          <w:rFonts w:eastAsiaTheme="minorEastAsia"/>
          <w:color w:val="auto"/>
          <w:sz w:val="24"/>
          <w:highlight w:val="none"/>
        </w:rPr>
      </w:pPr>
      <w:r>
        <w:rPr>
          <w:rFonts w:eastAsiaTheme="minorEastAsia"/>
          <w:color w:val="auto"/>
          <w:sz w:val="24"/>
          <w:highlight w:val="none"/>
        </w:rPr>
        <w:t>2</w:t>
      </w:r>
      <w:r>
        <w:rPr>
          <w:rFonts w:hAnsiTheme="minorEastAsia" w:eastAsiaTheme="minorEastAsia"/>
          <w:color w:val="auto"/>
          <w:sz w:val="24"/>
          <w:highlight w:val="none"/>
        </w:rPr>
        <w:t>、</w:t>
      </w:r>
      <w:r>
        <w:rPr>
          <w:rFonts w:eastAsiaTheme="minorEastAsia"/>
          <w:color w:val="auto"/>
          <w:sz w:val="24"/>
          <w:highlight w:val="none"/>
        </w:rPr>
        <w:t>202</w:t>
      </w:r>
      <w:r>
        <w:rPr>
          <w:rFonts w:hint="eastAsia" w:eastAsiaTheme="minorEastAsia"/>
          <w:color w:val="auto"/>
          <w:sz w:val="24"/>
          <w:highlight w:val="none"/>
          <w:lang w:val="en-US" w:eastAsia="zh-CN"/>
        </w:rPr>
        <w:t>5</w:t>
      </w:r>
      <w:r>
        <w:rPr>
          <w:rFonts w:hAnsiTheme="minorEastAsia" w:eastAsiaTheme="minorEastAsia"/>
          <w:color w:val="auto"/>
          <w:sz w:val="24"/>
          <w:highlight w:val="none"/>
        </w:rPr>
        <w:t>年</w:t>
      </w:r>
      <w:r>
        <w:rPr>
          <w:rFonts w:hint="eastAsia" w:eastAsiaTheme="minorEastAsia"/>
          <w:color w:val="auto"/>
          <w:sz w:val="24"/>
          <w:highlight w:val="none"/>
          <w:lang w:val="en-US" w:eastAsia="zh-CN"/>
        </w:rPr>
        <w:t>9</w:t>
      </w:r>
      <w:r>
        <w:rPr>
          <w:rFonts w:hAnsiTheme="minorEastAsia" w:eastAsiaTheme="minorEastAsia"/>
          <w:color w:val="auto"/>
          <w:sz w:val="24"/>
          <w:highlight w:val="none"/>
        </w:rPr>
        <w:t>月底前提交最终成果文本和相应电子数据光盘等。</w:t>
      </w:r>
    </w:p>
    <w:p>
      <w:pPr>
        <w:spacing w:line="360" w:lineRule="auto"/>
        <w:ind w:firstLine="480"/>
        <w:rPr>
          <w:rFonts w:eastAsiaTheme="minorEastAsia"/>
          <w:color w:val="auto"/>
          <w:sz w:val="24"/>
          <w:highlight w:val="none"/>
        </w:rPr>
      </w:pPr>
      <w:r>
        <w:rPr>
          <w:rFonts w:hint="eastAsia" w:hAnsiTheme="minorEastAsia" w:eastAsiaTheme="minorEastAsia"/>
          <w:color w:val="auto"/>
          <w:sz w:val="24"/>
          <w:highlight w:val="none"/>
        </w:rPr>
        <w:t>（五）</w:t>
      </w:r>
      <w:r>
        <w:rPr>
          <w:rFonts w:hAnsiTheme="minorEastAsia" w:eastAsiaTheme="minorEastAsia"/>
          <w:color w:val="auto"/>
          <w:sz w:val="24"/>
          <w:highlight w:val="none"/>
          <w:lang w:val="zh-CN"/>
        </w:rPr>
        <w:t>服务期限</w:t>
      </w:r>
      <w:r>
        <w:rPr>
          <w:rFonts w:hint="eastAsia" w:hAnsiTheme="minorEastAsia" w:eastAsiaTheme="minorEastAsia"/>
          <w:color w:val="auto"/>
          <w:sz w:val="24"/>
          <w:highlight w:val="none"/>
          <w:lang w:val="zh-CN"/>
        </w:rPr>
        <w:t>、</w:t>
      </w:r>
      <w:r>
        <w:rPr>
          <w:rFonts w:hint="eastAsia" w:hAnsiTheme="minorEastAsia" w:eastAsiaTheme="minorEastAsia"/>
          <w:color w:val="auto"/>
          <w:sz w:val="24"/>
          <w:highlight w:val="none"/>
        </w:rPr>
        <w:t>服务要求及服务地点</w:t>
      </w:r>
    </w:p>
    <w:p>
      <w:pPr>
        <w:pStyle w:val="20"/>
        <w:snapToGrid w:val="0"/>
        <w:spacing w:before="0" w:beforeAutospacing="0" w:after="0" w:afterAutospacing="0" w:line="312" w:lineRule="auto"/>
        <w:ind w:firstLine="480" w:firstLineChars="200"/>
        <w:jc w:val="both"/>
        <w:outlineLvl w:val="0"/>
        <w:rPr>
          <w:rFonts w:hint="default" w:cs="宋体"/>
          <w:bCs/>
          <w:color w:val="auto"/>
          <w:kern w:val="2"/>
          <w:highlight w:val="none"/>
        </w:rPr>
      </w:pPr>
      <w:r>
        <w:rPr>
          <w:rFonts w:cs="宋体"/>
          <w:bCs/>
          <w:color w:val="auto"/>
          <w:kern w:val="2"/>
          <w:highlight w:val="none"/>
        </w:rPr>
        <w:t>1、服务期限：</w:t>
      </w:r>
      <w:r>
        <w:rPr>
          <w:rFonts w:cs="宋体"/>
          <w:bCs/>
          <w:color w:val="auto"/>
          <w:highlight w:val="none"/>
        </w:rPr>
        <w:t>服务期限为</w:t>
      </w:r>
      <w:r>
        <w:rPr>
          <w:rFonts w:hint="eastAsia" w:cs="宋体"/>
          <w:bCs/>
          <w:color w:val="auto"/>
          <w:highlight w:val="none"/>
          <w:lang w:eastAsia="zh-CN"/>
        </w:rPr>
        <w:t>七个月</w:t>
      </w:r>
      <w:r>
        <w:rPr>
          <w:rFonts w:cs="宋体"/>
          <w:bCs/>
          <w:color w:val="auto"/>
          <w:highlight w:val="none"/>
        </w:rPr>
        <w:t>，按签订合同之日起计算，中标人应当在此期间内完成服务。</w:t>
      </w:r>
    </w:p>
    <w:p>
      <w:pPr>
        <w:snapToGrid w:val="0"/>
        <w:spacing w:line="312"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2、服务要求：①符合相关测量、地下水监测规范要求。②符合采购人提出的要求。③项目成果通过专家评审验收（评审验收由中标人承担相应费用）</w:t>
      </w:r>
      <w:r>
        <w:rPr>
          <w:rFonts w:hint="eastAsia" w:ascii="宋体" w:hAnsi="宋体" w:cs="仿宋_GB2312"/>
          <w:color w:val="auto"/>
          <w:kern w:val="0"/>
          <w:sz w:val="24"/>
          <w:highlight w:val="none"/>
        </w:rPr>
        <w:t>。</w:t>
      </w:r>
    </w:p>
    <w:p>
      <w:pPr>
        <w:adjustRightInd w:val="0"/>
        <w:snapToGrid w:val="0"/>
        <w:spacing w:line="312" w:lineRule="auto"/>
        <w:ind w:firstLine="480" w:firstLineChars="200"/>
        <w:rPr>
          <w:rFonts w:ascii="宋体" w:hAnsi="宋体" w:cs="宋体"/>
          <w:bCs/>
          <w:color w:val="auto"/>
          <w:sz w:val="24"/>
          <w:highlight w:val="none"/>
        </w:rPr>
      </w:pPr>
      <w:r>
        <w:rPr>
          <w:rFonts w:hint="eastAsia" w:ascii="宋体" w:hAnsi="宋体" w:cs="宋体"/>
          <w:color w:val="auto"/>
          <w:sz w:val="24"/>
          <w:highlight w:val="none"/>
        </w:rPr>
        <w:t>3、服务地点：</w:t>
      </w:r>
      <w:r>
        <w:rPr>
          <w:rFonts w:hint="eastAsia" w:ascii="宋体" w:hAnsi="宋体" w:cs="宋体"/>
          <w:bCs/>
          <w:color w:val="auto"/>
          <w:kern w:val="0"/>
          <w:sz w:val="24"/>
          <w:highlight w:val="none"/>
        </w:rPr>
        <w:t>台州市</w:t>
      </w:r>
      <w:r>
        <w:rPr>
          <w:rFonts w:hint="eastAsia" w:ascii="宋体" w:hAnsi="宋体" w:cs="宋体"/>
          <w:bCs/>
          <w:color w:val="auto"/>
          <w:kern w:val="0"/>
          <w:sz w:val="24"/>
          <w:highlight w:val="none"/>
          <w:lang w:eastAsia="zh-CN"/>
        </w:rPr>
        <w:t>沿海</w:t>
      </w:r>
      <w:r>
        <w:rPr>
          <w:rFonts w:hint="eastAsia" w:ascii="宋体" w:hAnsi="宋体" w:cs="宋体"/>
          <w:bCs/>
          <w:color w:val="auto"/>
          <w:kern w:val="0"/>
          <w:sz w:val="24"/>
          <w:highlight w:val="none"/>
        </w:rPr>
        <w:t>平原(含新增三门沿海平原、椒北平原和玉环沿海平原）。</w:t>
      </w:r>
    </w:p>
    <w:p>
      <w:pPr>
        <w:spacing w:line="360" w:lineRule="auto"/>
        <w:ind w:firstLine="480"/>
        <w:rPr>
          <w:rFonts w:eastAsiaTheme="minorEastAsia"/>
          <w:color w:val="auto"/>
          <w:sz w:val="24"/>
          <w:highlight w:val="none"/>
        </w:rPr>
      </w:pPr>
      <w:r>
        <w:rPr>
          <w:rFonts w:hAnsiTheme="minorEastAsia" w:eastAsiaTheme="minorEastAsia"/>
          <w:color w:val="auto"/>
          <w:sz w:val="24"/>
          <w:highlight w:val="none"/>
        </w:rPr>
        <w:t>三、成果要求</w:t>
      </w:r>
    </w:p>
    <w:p>
      <w:pPr>
        <w:spacing w:line="360" w:lineRule="auto"/>
        <w:ind w:firstLine="480"/>
        <w:rPr>
          <w:rFonts w:eastAsiaTheme="minorEastAsia"/>
          <w:color w:val="auto"/>
          <w:sz w:val="24"/>
          <w:highlight w:val="none"/>
        </w:rPr>
      </w:pPr>
      <w:r>
        <w:rPr>
          <w:rFonts w:hAnsiTheme="minorEastAsia" w:eastAsiaTheme="minorEastAsia"/>
          <w:color w:val="auto"/>
          <w:sz w:val="24"/>
          <w:highlight w:val="none"/>
        </w:rPr>
        <w:t>本项目实施完成后，成交单位应提交以下成果：</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台州市沿海平原</w:t>
      </w:r>
      <w:r>
        <w:rPr>
          <w:rFonts w:hint="eastAsia" w:ascii="宋体" w:hAnsi="宋体" w:cs="宋体"/>
          <w:color w:val="auto"/>
          <w:sz w:val="24"/>
          <w:highlight w:val="none"/>
        </w:rPr>
        <w:t>地面沉降水准测量成果报告（202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年度）》</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包含有：点之记一套、平面位置图（水准点经纬度）等各类成果。</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提交打印文本和光盘各三套。</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eastAsia="zh-CN"/>
        </w:rPr>
        <w:t>台州市沿海平原</w:t>
      </w:r>
      <w:r>
        <w:rPr>
          <w:rFonts w:hint="eastAsia" w:ascii="宋体" w:hAnsi="宋体" w:cs="宋体"/>
          <w:color w:val="auto"/>
          <w:sz w:val="24"/>
          <w:highlight w:val="none"/>
        </w:rPr>
        <w:t>地面沉降监测报告（202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年度）》</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附图：（1）</w:t>
      </w:r>
      <w:r>
        <w:rPr>
          <w:rFonts w:hint="eastAsia" w:ascii="宋体" w:hAnsi="宋体" w:cs="宋体"/>
          <w:color w:val="auto"/>
          <w:sz w:val="24"/>
          <w:highlight w:val="none"/>
          <w:lang w:eastAsia="zh-CN"/>
        </w:rPr>
        <w:t>台州市沿海平原</w:t>
      </w:r>
      <w:r>
        <w:rPr>
          <w:rFonts w:hint="eastAsia" w:ascii="宋体" w:hAnsi="宋体" w:cs="宋体"/>
          <w:color w:val="auto"/>
          <w:sz w:val="24"/>
          <w:highlight w:val="none"/>
        </w:rPr>
        <w:t>累计地面沉降图（202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w:t>
      </w:r>
    </w:p>
    <w:p>
      <w:pPr>
        <w:widowControl/>
        <w:spacing w:line="312" w:lineRule="auto"/>
        <w:ind w:firstLine="1080" w:firstLineChars="45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eastAsia="zh-CN"/>
        </w:rPr>
        <w:t>台州市沿海平原</w:t>
      </w:r>
      <w:r>
        <w:rPr>
          <w:rFonts w:hint="eastAsia" w:ascii="宋体" w:hAnsi="宋体" w:cs="宋体"/>
          <w:color w:val="auto"/>
          <w:sz w:val="24"/>
          <w:highlight w:val="none"/>
        </w:rPr>
        <w:t>地面沉降速率图（202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w:t>
      </w:r>
    </w:p>
    <w:p>
      <w:pPr>
        <w:widowControl/>
        <w:spacing w:line="312" w:lineRule="auto"/>
        <w:ind w:firstLine="1080" w:firstLineChars="45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台州市沿海平原</w:t>
      </w:r>
      <w:r>
        <w:rPr>
          <w:rFonts w:hint="eastAsia" w:ascii="宋体" w:hAnsi="宋体" w:cs="宋体"/>
          <w:color w:val="auto"/>
          <w:sz w:val="24"/>
          <w:highlight w:val="none"/>
        </w:rPr>
        <w:t>深层孔隙地下水水位等值线图（202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提交打印文本十份、电子光盘六套。</w:t>
      </w:r>
    </w:p>
    <w:p>
      <w:pPr>
        <w:spacing w:line="360" w:lineRule="auto"/>
        <w:ind w:firstLine="480"/>
        <w:rPr>
          <w:rFonts w:eastAsiaTheme="minorEastAsia"/>
          <w:color w:val="auto"/>
          <w:sz w:val="24"/>
          <w:highlight w:val="none"/>
        </w:rPr>
      </w:pPr>
      <w:r>
        <w:rPr>
          <w:rFonts w:hAnsiTheme="minorEastAsia" w:eastAsiaTheme="minorEastAsia"/>
          <w:color w:val="auto"/>
          <w:sz w:val="24"/>
          <w:highlight w:val="none"/>
        </w:rPr>
        <w:t>四、付款方式</w:t>
      </w:r>
    </w:p>
    <w:p>
      <w:pPr>
        <w:widowControl/>
        <w:spacing w:line="312" w:lineRule="auto"/>
        <w:ind w:firstLine="480" w:firstLineChars="200"/>
        <w:rPr>
          <w:rFonts w:ascii="宋体" w:hAnsi="宋体" w:cs="宋体"/>
          <w:color w:val="auto"/>
          <w:sz w:val="24"/>
          <w:highlight w:val="none"/>
        </w:rPr>
      </w:pPr>
      <w:bookmarkStart w:id="36" w:name="_Toc31173_WPSOffice_Level1"/>
      <w:r>
        <w:rPr>
          <w:rFonts w:hint="eastAsia" w:ascii="宋体" w:hAnsi="宋体" w:cs="宋体"/>
          <w:color w:val="auto"/>
          <w:sz w:val="24"/>
          <w:highlight w:val="none"/>
        </w:rPr>
        <w:t>1</w:t>
      </w:r>
      <w:r>
        <w:rPr>
          <w:rFonts w:hint="eastAsia" w:ascii="宋体" w:hAnsi="宋体" w:cs="宋体"/>
          <w:color w:val="auto"/>
          <w:sz w:val="24"/>
          <w:highlight w:val="none"/>
          <w:lang w:eastAsia="zh-CN"/>
        </w:rPr>
        <w:t>、</w:t>
      </w:r>
      <w:r>
        <w:rPr>
          <w:rFonts w:hint="eastAsia" w:ascii="宋体" w:hAnsi="宋体" w:cs="仿宋_GB2312"/>
          <w:color w:val="auto"/>
          <w:kern w:val="0"/>
          <w:sz w:val="24"/>
          <w:highlight w:val="none"/>
        </w:rPr>
        <w:t>合同签订生效以及具备实施条件后7个工作日内，支付合同额的50%作为预付款</w:t>
      </w:r>
      <w:r>
        <w:rPr>
          <w:rFonts w:hint="eastAsia" w:ascii="宋体" w:hAnsi="宋体" w:cs="宋体"/>
          <w:color w:val="auto"/>
          <w:sz w:val="24"/>
          <w:highlight w:val="none"/>
        </w:rPr>
        <w:t>；</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2、项目通过评审并提交全部最终成果报告后15日内，支付剩余合同款；</w:t>
      </w:r>
    </w:p>
    <w:p>
      <w:pPr>
        <w:widowControl/>
        <w:spacing w:line="312"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3、付款前中标人需提供符合采购人要求的正规发票，否则采购人有权拒绝支付合同款。</w:t>
      </w:r>
    </w:p>
    <w:p>
      <w:pPr>
        <w:pStyle w:val="13"/>
        <w:tabs>
          <w:tab w:val="left" w:pos="630"/>
        </w:tabs>
        <w:snapToGrid w:val="0"/>
        <w:spacing w:line="360" w:lineRule="auto"/>
        <w:rPr>
          <w:rFonts w:hAnsi="宋体"/>
          <w:b/>
          <w:color w:val="auto"/>
          <w:sz w:val="24"/>
          <w:highlight w:val="none"/>
        </w:rPr>
      </w:pPr>
      <w:r>
        <w:rPr>
          <w:rFonts w:hint="eastAsia" w:hAnsi="宋体"/>
          <w:b/>
          <w:color w:val="auto"/>
          <w:sz w:val="24"/>
          <w:highlight w:val="none"/>
        </w:rPr>
        <w:br w:type="page"/>
      </w:r>
    </w:p>
    <w:p>
      <w:pPr>
        <w:pStyle w:val="3"/>
        <w:numPr>
          <w:ilvl w:val="0"/>
          <w:numId w:val="7"/>
        </w:numPr>
        <w:rPr>
          <w:color w:val="auto"/>
          <w:sz w:val="36"/>
          <w:szCs w:val="36"/>
          <w:highlight w:val="none"/>
        </w:rPr>
      </w:pPr>
      <w:r>
        <w:rPr>
          <w:rFonts w:hint="eastAsia"/>
          <w:color w:val="auto"/>
          <w:sz w:val="36"/>
          <w:szCs w:val="36"/>
          <w:highlight w:val="none"/>
        </w:rPr>
        <w:t>评标</w:t>
      </w:r>
      <w:bookmarkEnd w:id="36"/>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一、评标方法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综合评分法,是指投标文件满足招标文件全部实质性要求，且按照评审因素的量化指标评审得分最高的投标人为中标候选人的评标方法。</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二、评标原则</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（一）评标活动遵循公平、公正、科学和择优的原则，以招标文件和投标文件为评标的基本依据，并按照招标文件规定的评标方法和评标标准进行评标。</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（二）任何单位和个人不得干扰、影响评标的正常进行；评标委员会及有关工作人员应不带任何倾向性和启发性，不得向外界透露任何与评标有关的内容，不得私下与投标人接触。</w:t>
      </w:r>
    </w:p>
    <w:p>
      <w:pPr>
        <w:pStyle w:val="18"/>
        <w:spacing w:after="0" w:line="360" w:lineRule="auto"/>
        <w:ind w:left="0" w:leftChars="0" w:firstLine="482" w:firstLineChars="200"/>
        <w:rPr>
          <w:rFonts w:ascii="宋体" w:hAnsi="宋体" w:cs="宋体"/>
          <w:b/>
          <w:color w:val="auto"/>
          <w:sz w:val="24"/>
          <w:highlight w:val="none"/>
        </w:rPr>
      </w:pPr>
      <w:r>
        <w:rPr>
          <w:rFonts w:hint="eastAsia" w:ascii="宋体" w:hAnsi="宋体" w:cs="宋体"/>
          <w:b/>
          <w:color w:val="auto"/>
          <w:sz w:val="24"/>
          <w:highlight w:val="none"/>
        </w:rPr>
        <w:t>三、评标委员会</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（一）本项目评标委员会由采购人代表和评审专家组成，成员人数为5人，其中评审专家不得少于成员总数的三分之二。</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（二）评标委员会成员与参与投标的供应商有下列情形之一的，应当回避：</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1.参加采购活动前3年内与供应商存在劳动关系；</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2.参加采购活动前3年内担任供应商的董事、监事；</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3.参加采购活动前3年内是供应商的控股股东或者实际控制人；</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4.与供应商的法定代表人或者负责人有夫妻、直系血亲、三代以内旁系血亲或者近姻亲关系；</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5.与供应商有其他可能影响政府采购活动公平、公正进行的关系。</w:t>
      </w:r>
    </w:p>
    <w:p>
      <w:pPr>
        <w:pStyle w:val="2"/>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（三）评标委员会负责具体评标事务，并独立履行下列职责：</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1.审查、评价投标文件是否符合招标文件的商务、技术等实质性要求；</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2.要求投标人对投标文件有关事项作出澄清或者说明；</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3.对投标文件进行比较和评价；</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4.确定中标候选人名单，以及根据采购人委托直接确定中标人；</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5.向采购人、采购组织机构或者有关部门报告评标中发现的违法行为；</w:t>
      </w:r>
    </w:p>
    <w:p>
      <w:pPr>
        <w:pStyle w:val="2"/>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6.法律法规规定的其他职责。</w:t>
      </w:r>
    </w:p>
    <w:p>
      <w:pPr>
        <w:pStyle w:val="20"/>
        <w:spacing w:before="0" w:beforeAutospacing="0" w:after="0" w:afterAutospacing="0" w:line="360" w:lineRule="auto"/>
        <w:ind w:firstLine="482" w:firstLineChars="200"/>
        <w:jc w:val="both"/>
        <w:rPr>
          <w:rFonts w:hint="default" w:cs="宋体"/>
          <w:b/>
          <w:color w:val="auto"/>
          <w:highlight w:val="none"/>
        </w:rPr>
      </w:pPr>
      <w:r>
        <w:rPr>
          <w:rFonts w:cs="宋体"/>
          <w:b/>
          <w:color w:val="auto"/>
          <w:highlight w:val="none"/>
        </w:rPr>
        <w:t>四、无效标情形</w:t>
      </w:r>
    </w:p>
    <w:p>
      <w:pPr>
        <w:adjustRightInd w:val="0"/>
        <w:snapToGrid w:val="0"/>
        <w:spacing w:line="360" w:lineRule="auto"/>
        <w:ind w:firstLine="480" w:firstLineChars="200"/>
        <w:rPr>
          <w:rFonts w:ascii="宋体" w:hAnsi="宋体" w:cs="宋体"/>
          <w:b/>
          <w:bCs/>
          <w:color w:val="auto"/>
          <w:sz w:val="24"/>
          <w:highlight w:val="none"/>
        </w:rPr>
      </w:pPr>
      <w:r>
        <w:rPr>
          <w:rFonts w:hint="eastAsia" w:ascii="宋体" w:hAnsi="宋体" w:cs="宋体"/>
          <w:color w:val="auto"/>
          <w:kern w:val="0"/>
          <w:sz w:val="24"/>
          <w:highlight w:val="none"/>
        </w:rPr>
        <w:t>（一）在资格证明文件或商务与技术文件中出现投标报价的，或者报价文件中报价的货物跟商务与技术文件中的投标货物出现重大偏差的；</w:t>
      </w:r>
    </w:p>
    <w:p>
      <w:pPr>
        <w:pStyle w:val="20"/>
        <w:tabs>
          <w:tab w:val="left" w:pos="7380"/>
        </w:tabs>
        <w:adjustRightInd w:val="0"/>
        <w:snapToGrid w:val="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（二）不具备招标文件中规定的资格要求的；</w:t>
      </w:r>
      <w:r>
        <w:rPr>
          <w:rFonts w:cs="宋体"/>
          <w:color w:val="auto"/>
          <w:highlight w:val="none"/>
        </w:rPr>
        <w:tab/>
      </w:r>
    </w:p>
    <w:p>
      <w:pPr>
        <w:pStyle w:val="20"/>
        <w:adjustRightInd w:val="0"/>
        <w:snapToGrid w:val="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（三）投标文件含有采购人不能接受的附加条件的；</w:t>
      </w:r>
    </w:p>
    <w:p>
      <w:pPr>
        <w:pStyle w:val="11"/>
        <w:spacing w:line="360" w:lineRule="auto"/>
        <w:ind w:firstLine="480" w:firstLineChars="200"/>
        <w:jc w:val="both"/>
        <w:rPr>
          <w:rFonts w:ascii="宋体" w:hAnsi="宋体" w:cs="宋体"/>
          <w:bCs/>
          <w:color w:val="auto"/>
          <w:kern w:val="0"/>
          <w:sz w:val="24"/>
          <w:highlight w:val="none"/>
        </w:rPr>
      </w:pPr>
      <w:r>
        <w:rPr>
          <w:rFonts w:hint="eastAsia" w:ascii="宋体" w:hAnsi="宋体" w:cs="宋体"/>
          <w:color w:val="auto"/>
          <w:kern w:val="0"/>
          <w:sz w:val="24"/>
          <w:highlight w:val="none"/>
        </w:rPr>
        <w:t>（四）</w:t>
      </w:r>
      <w:r>
        <w:rPr>
          <w:rFonts w:hint="eastAsia" w:ascii="宋体" w:hAnsi="宋体" w:cs="宋体"/>
          <w:color w:val="auto"/>
          <w:sz w:val="24"/>
          <w:highlight w:val="none"/>
          <w:shd w:val="clear" w:color="auto" w:fill="FFFFFF"/>
        </w:rPr>
        <w:t>评标委员会认为投标人的报价明显低于其他通过符合性审查投标人的报价，有可能影响产品质量或者不能诚信履约的，投标人在限定的时间内不能证明其报价合理性的，评标委员会应当将其作为无效投标处理；</w:t>
      </w:r>
    </w:p>
    <w:p>
      <w:pPr>
        <w:adjustRightInd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（五）报价超过招标文件中规定的预算金额/最高限价或未填写投标报价的； </w:t>
      </w:r>
    </w:p>
    <w:p>
      <w:pPr>
        <w:tabs>
          <w:tab w:val="left" w:pos="1898"/>
        </w:tabs>
        <w:autoSpaceDE w:val="0"/>
        <w:autoSpaceDN w:val="0"/>
        <w:adjustRightInd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 xml:space="preserve">（六）投标文件存在虚假材料的； </w:t>
      </w:r>
    </w:p>
    <w:p>
      <w:pPr>
        <w:tabs>
          <w:tab w:val="left" w:pos="1898"/>
        </w:tabs>
        <w:autoSpaceDE w:val="0"/>
        <w:autoSpaceDN w:val="0"/>
        <w:adjustRightInd w:val="0"/>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（七）有中华人民共和国财政部令第87号《政府采购货物和服务招标投标管理办法》第三十七条情形之一的，视为投标人串通投标，其投标无效，并移送采购监管部门：</w:t>
      </w:r>
    </w:p>
    <w:p>
      <w:pPr>
        <w:tabs>
          <w:tab w:val="left" w:pos="1898"/>
        </w:tabs>
        <w:autoSpaceDE w:val="0"/>
        <w:autoSpaceDN w:val="0"/>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2、不同投标人委托同一单位或者个人办理投标事宜；</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3、不同投标人的投标文件载明的项目管理成员或者联系人员为同一人；</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4、不同投标人的投标文件异常一致或者投标报价呈规律性差异；</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shd w:val="clear" w:color="auto" w:fill="FFFFFF"/>
        </w:rPr>
        <w:t>5、不同投标人的投标文件相互混装；</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（八）实质性要求（招标文件中打“▲”内容）不响应的；</w:t>
      </w:r>
    </w:p>
    <w:p>
      <w:pPr>
        <w:pStyle w:val="2"/>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（九）商务条款不响应的；</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（十）投标文件有效期不足的；</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（十一）逾期或未按要求提交投标文件的；</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（十二）其他不符合法律法规相关规定的。</w:t>
      </w:r>
    </w:p>
    <w:p>
      <w:pPr>
        <w:autoSpaceDE w:val="0"/>
        <w:autoSpaceDN w:val="0"/>
        <w:adjustRightIn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五、废标情形</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（一）出现影响采购公正的违法、违规行为的；</w:t>
      </w:r>
    </w:p>
    <w:p>
      <w:pPr>
        <w:pStyle w:val="20"/>
        <w:spacing w:before="0" w:beforeAutospacing="0" w:after="0" w:afterAutospacing="0" w:line="360" w:lineRule="auto"/>
        <w:ind w:firstLine="480" w:firstLineChars="200"/>
        <w:jc w:val="both"/>
        <w:rPr>
          <w:rFonts w:hint="default" w:cs="宋体"/>
          <w:b/>
          <w:bCs/>
          <w:color w:val="auto"/>
          <w:highlight w:val="none"/>
        </w:rPr>
      </w:pPr>
      <w:r>
        <w:rPr>
          <w:rFonts w:cs="宋体"/>
          <w:color w:val="auto"/>
          <w:highlight w:val="none"/>
        </w:rPr>
        <w:t>（二）评标委员会发现招标文件存在歧义、重大缺陷导致评标工作无法进行，或者招标文件内容违反国家有关强制性规定的；</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（三）因重大变故，采购任务取消的；</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（四）法律、法规和招标文件规定的其他导致评标结果无效的。</w:t>
      </w:r>
    </w:p>
    <w:p>
      <w:pPr>
        <w:pStyle w:val="13"/>
        <w:snapToGrid w:val="0"/>
        <w:spacing w:line="360" w:lineRule="auto"/>
        <w:ind w:firstLine="482" w:firstLineChars="200"/>
        <w:rPr>
          <w:rFonts w:hAnsi="宋体"/>
          <w:b/>
          <w:color w:val="auto"/>
          <w:sz w:val="24"/>
          <w:highlight w:val="none"/>
        </w:rPr>
      </w:pPr>
      <w:r>
        <w:rPr>
          <w:rFonts w:hint="eastAsia" w:hAnsi="宋体"/>
          <w:b/>
          <w:color w:val="auto"/>
          <w:sz w:val="24"/>
          <w:highlight w:val="none"/>
        </w:rPr>
        <w:t>六、评标过程的监控</w:t>
      </w:r>
    </w:p>
    <w:p>
      <w:pPr>
        <w:pStyle w:val="2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本项目评标过程实行全程录音、录像监控，政府采购监管部门视情进行现场监督，投标人在评标过程中所进行的试图影响评标结果的不公正活动，可能导致其投标被拒绝。</w:t>
      </w:r>
    </w:p>
    <w:p>
      <w:pPr>
        <w:pStyle w:val="13"/>
        <w:snapToGrid w:val="0"/>
        <w:spacing w:line="360" w:lineRule="auto"/>
        <w:ind w:firstLine="482" w:firstLineChars="200"/>
        <w:rPr>
          <w:rFonts w:hAnsi="宋体"/>
          <w:b/>
          <w:bCs/>
          <w:color w:val="auto"/>
          <w:sz w:val="24"/>
          <w:highlight w:val="none"/>
        </w:rPr>
      </w:pPr>
      <w:r>
        <w:rPr>
          <w:rFonts w:hint="eastAsia" w:hAnsi="宋体"/>
          <w:b/>
          <w:bCs/>
          <w:color w:val="auto"/>
          <w:sz w:val="24"/>
          <w:highlight w:val="none"/>
        </w:rPr>
        <w:t>七、政府采购政策落实</w:t>
      </w:r>
    </w:p>
    <w:p>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（一）</w:t>
      </w:r>
      <w:r>
        <w:rPr>
          <w:rFonts w:hint="eastAsia" w:ascii="宋体"/>
          <w:color w:val="auto"/>
          <w:sz w:val="24"/>
          <w:highlight w:val="none"/>
          <w:lang w:val="zh-CN"/>
        </w:rPr>
        <w:t>政府采购政策及优惠：</w:t>
      </w:r>
    </w:p>
    <w:p>
      <w:pPr>
        <w:autoSpaceDE w:val="0"/>
        <w:autoSpaceDN w:val="0"/>
        <w:adjustRightInd w:val="0"/>
        <w:spacing w:line="360" w:lineRule="auto"/>
        <w:ind w:firstLine="480" w:firstLineChars="200"/>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val="zh-CN"/>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小微企业投标应提供《</w:t>
      </w:r>
      <w:r>
        <w:rPr>
          <w:rFonts w:hint="eastAsia" w:ascii="宋体"/>
          <w:color w:val="auto"/>
          <w:sz w:val="24"/>
          <w:highlight w:val="none"/>
        </w:rPr>
        <w:t>中</w:t>
      </w:r>
      <w:r>
        <w:rPr>
          <w:rFonts w:hint="eastAsia" w:ascii="宋体"/>
          <w:color w:val="auto"/>
          <w:sz w:val="24"/>
          <w:highlight w:val="none"/>
          <w:lang w:val="zh-CN"/>
        </w:rPr>
        <w:t>小企业声明函》（</w:t>
      </w:r>
      <w:r>
        <w:rPr>
          <w:rFonts w:hint="eastAsia" w:ascii="宋体"/>
          <w:color w:val="auto"/>
          <w:sz w:val="24"/>
          <w:highlight w:val="none"/>
        </w:rPr>
        <w:t>见附件</w:t>
      </w:r>
      <w:r>
        <w:rPr>
          <w:rFonts w:hint="eastAsia" w:ascii="宋体"/>
          <w:color w:val="auto"/>
          <w:sz w:val="24"/>
          <w:highlight w:val="none"/>
          <w:lang w:val="zh-CN"/>
        </w:rPr>
        <w:t>），</w:t>
      </w:r>
      <w:r>
        <w:rPr>
          <w:rFonts w:hint="eastAsia" w:ascii="宋体"/>
          <w:color w:val="auto"/>
          <w:sz w:val="24"/>
          <w:highlight w:val="none"/>
        </w:rPr>
        <w:t>投标人未提供以上资料或者经</w:t>
      </w:r>
      <w:r>
        <w:rPr>
          <w:rFonts w:hint="eastAsia" w:ascii="宋体"/>
          <w:color w:val="auto"/>
          <w:sz w:val="24"/>
          <w:highlight w:val="none"/>
          <w:lang w:val="zh-CN"/>
        </w:rPr>
        <w:t>评标委员会核查不符的</w:t>
      </w:r>
      <w:r>
        <w:rPr>
          <w:rFonts w:hint="eastAsia" w:ascii="宋体"/>
          <w:color w:val="auto"/>
          <w:sz w:val="24"/>
          <w:highlight w:val="none"/>
        </w:rPr>
        <w:t>，将不能享受</w:t>
      </w:r>
      <w:r>
        <w:rPr>
          <w:rFonts w:hint="eastAsia"/>
          <w:color w:val="auto"/>
          <w:sz w:val="24"/>
          <w:highlight w:val="none"/>
        </w:rPr>
        <w:t>相应的</w:t>
      </w:r>
      <w:r>
        <w:rPr>
          <w:rFonts w:hint="eastAsia" w:ascii="宋体"/>
          <w:color w:val="auto"/>
          <w:sz w:val="24"/>
          <w:highlight w:val="none"/>
        </w:rPr>
        <w:t>小微企业优惠政策。</w:t>
      </w:r>
    </w:p>
    <w:p>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2.</w:t>
      </w:r>
      <w:r>
        <w:rPr>
          <w:rFonts w:hint="eastAsia" w:ascii="宋体"/>
          <w:color w:val="auto"/>
          <w:sz w:val="24"/>
          <w:highlight w:val="none"/>
          <w:lang w:val="zh-CN"/>
        </w:rPr>
        <w:t>监狱企业参加政府采购活动时，应当提供由省级以上监狱管理局、戒毒管理局（含新疆生产建设兵团）出具的属于监狱企业的证明文件，视同小型、微型企业，享受小微企业政府采购优惠政策；</w:t>
      </w:r>
    </w:p>
    <w:p>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3.</w:t>
      </w:r>
      <w:r>
        <w:rPr>
          <w:rFonts w:hint="eastAsia" w:ascii="宋体"/>
          <w:color w:val="auto"/>
          <w:sz w:val="24"/>
          <w:highlight w:val="none"/>
          <w:lang w:val="zh-CN"/>
        </w:rPr>
        <w:t>残疾人福利性单位在参加政府采购活动时，应提供《残疾人福利性单位声明函》，视同小型、微型企业，享受小微企业政府采购优惠政策。</w:t>
      </w:r>
    </w:p>
    <w:p>
      <w:pPr>
        <w:pStyle w:val="11"/>
        <w:spacing w:line="360" w:lineRule="auto"/>
        <w:ind w:firstLine="480" w:firstLineChars="200"/>
        <w:jc w:val="both"/>
        <w:rPr>
          <w:rFonts w:ascii="宋体" w:hAnsi="宋体" w:cs="宋体"/>
          <w:color w:val="auto"/>
          <w:sz w:val="24"/>
          <w:highlight w:val="none"/>
        </w:rPr>
      </w:pPr>
      <w:r>
        <w:rPr>
          <w:rFonts w:hint="eastAsia" w:ascii="宋体"/>
          <w:color w:val="auto"/>
          <w:sz w:val="24"/>
          <w:highlight w:val="none"/>
        </w:rPr>
        <w:t>4.</w:t>
      </w:r>
      <w:r>
        <w:rPr>
          <w:rFonts w:hint="eastAsia" w:ascii="宋体" w:hAnsi="宋体" w:cs="宋体"/>
          <w:color w:val="auto"/>
          <w:sz w:val="24"/>
          <w:highlight w:val="none"/>
        </w:rPr>
        <w:t>投标产品中有符合最新一期行政主管部门公布的“节能产品政府采购品目清单”、“环境标志产品政府采购品目清单”标准的节能环保产品，应提供所投产品由国家确定的认证机关出具的节能产品、环保产品有效认证证书。【特别提示：节能和环境标志产品最新一期政府采购品目清单，可在“中国政府采购网”中查看】</w:t>
      </w:r>
    </w:p>
    <w:p>
      <w:pPr>
        <w:pStyle w:val="11"/>
        <w:spacing w:line="360" w:lineRule="auto"/>
        <w:ind w:firstLine="480" w:firstLineChars="200"/>
        <w:jc w:val="both"/>
        <w:rPr>
          <w:color w:val="auto"/>
          <w:highlight w:val="none"/>
          <w:lang w:val="zh-CN"/>
        </w:rPr>
      </w:pPr>
      <w:r>
        <w:rPr>
          <w:rFonts w:hint="eastAsia" w:ascii="宋体" w:hAnsi="宋体" w:cs="宋体"/>
          <w:color w:val="auto"/>
          <w:sz w:val="24"/>
          <w:highlight w:val="none"/>
        </w:rPr>
        <w:t>5.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pPr>
        <w:autoSpaceDE w:val="0"/>
        <w:autoSpaceDN w:val="0"/>
        <w:adjustRightInd w:val="0"/>
        <w:spacing w:line="360" w:lineRule="auto"/>
        <w:ind w:firstLine="480" w:firstLineChars="200"/>
        <w:rPr>
          <w:color w:val="auto"/>
          <w:highlight w:val="none"/>
          <w:lang w:val="zh-CN"/>
        </w:rPr>
      </w:pPr>
      <w:r>
        <w:rPr>
          <w:rFonts w:hint="eastAsia" w:ascii="宋体"/>
          <w:color w:val="auto"/>
          <w:sz w:val="24"/>
          <w:highlight w:val="none"/>
        </w:rPr>
        <w:t>（二）价格扣除相关要求：</w:t>
      </w:r>
    </w:p>
    <w:p>
      <w:pPr>
        <w:pStyle w:val="20"/>
        <w:spacing w:before="0" w:beforeAutospacing="0" w:after="0" w:afterAutospacing="0" w:line="360" w:lineRule="auto"/>
        <w:ind w:firstLine="480" w:firstLineChars="200"/>
        <w:jc w:val="both"/>
        <w:rPr>
          <w:rFonts w:hint="default" w:cs="宋体"/>
          <w:color w:val="auto"/>
          <w:highlight w:val="none"/>
        </w:rPr>
      </w:pPr>
      <w:r>
        <w:rPr>
          <w:rFonts w:hAnsi="Times New Roman"/>
          <w:color w:val="auto"/>
          <w:highlight w:val="none"/>
          <w:lang w:val="zh-CN"/>
        </w:rPr>
        <w:t>对于小型微型企业产品（</w:t>
      </w:r>
      <w:r>
        <w:rPr>
          <w:rFonts w:hAnsi="Times New Roman"/>
          <w:color w:val="auto"/>
          <w:highlight w:val="none"/>
        </w:rPr>
        <w:t>服务</w:t>
      </w:r>
      <w:r>
        <w:rPr>
          <w:rFonts w:hAnsi="Times New Roman"/>
          <w:color w:val="auto"/>
          <w:highlight w:val="none"/>
          <w:lang w:val="zh-CN"/>
        </w:rPr>
        <w:t xml:space="preserve">）的价格给予 </w:t>
      </w:r>
      <w:r>
        <w:rPr>
          <w:rFonts w:hint="eastAsia" w:hAnsi="Times New Roman"/>
          <w:color w:val="auto"/>
          <w:highlight w:val="none"/>
          <w:lang w:val="en-US" w:eastAsia="zh-CN"/>
        </w:rPr>
        <w:t>1</w:t>
      </w:r>
      <w:r>
        <w:rPr>
          <w:rFonts w:hAnsi="Times New Roman"/>
          <w:color w:val="auto"/>
          <w:highlight w:val="none"/>
          <w:lang w:val="zh-CN"/>
        </w:rPr>
        <w:t>0%的扣除，用扣除后的价格计算评标基准价和投标报价。同一投标人，小微企业、监狱企业、残疾人福利性单位价格扣除优惠只享受一次，不得重复享受。</w:t>
      </w:r>
    </w:p>
    <w:p>
      <w:pPr>
        <w:pStyle w:val="13"/>
        <w:snapToGrid w:val="0"/>
        <w:spacing w:line="360" w:lineRule="auto"/>
        <w:ind w:firstLine="482" w:firstLineChars="200"/>
        <w:rPr>
          <w:rFonts w:hAnsi="宋体"/>
          <w:b/>
          <w:bCs/>
          <w:color w:val="auto"/>
          <w:sz w:val="24"/>
          <w:highlight w:val="none"/>
        </w:rPr>
      </w:pPr>
      <w:r>
        <w:rPr>
          <w:rFonts w:hint="eastAsia" w:hAnsi="宋体"/>
          <w:b/>
          <w:bCs/>
          <w:color w:val="auto"/>
          <w:sz w:val="24"/>
          <w:highlight w:val="none"/>
        </w:rPr>
        <w:t>八、评标程序</w:t>
      </w:r>
    </w:p>
    <w:p>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（一）资格性审查</w:t>
      </w:r>
    </w:p>
    <w:p>
      <w:pPr>
        <w:pStyle w:val="11"/>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投标文件解密后，采购人或采购组织机构依法对投标人的资格进行审查，对审查发现无效的进行必要的询标，在政采云平台公布无效投标的投标人名单、投标无效的原因。</w:t>
      </w:r>
    </w:p>
    <w:tbl>
      <w:tblPr>
        <w:tblStyle w:val="25"/>
        <w:tblW w:w="918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4"/>
        <w:gridCol w:w="8"/>
        <w:gridCol w:w="7476"/>
        <w:gridCol w:w="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0"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具有独立承担民事责任的能力</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在中华人民共和国境内注册的法人或其他组织或自然人，投标时提交有效的营业执照（或事业法人登记证或身份证等相关证明）副本扫描件。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812"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有依法缴纳税收和社会保障资金的良好记录</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提供投标截止日前6个月依法缴纳税收和社会保障资金的相关材料。如依法免税或不需要缴纳社会保障资金的，提供相应证明材料。</w:t>
            </w:r>
          </w:p>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根据（浙财采监〔2022〕8号）文件，本项目投标供应商属于中小企业范畴的，可以以书面承诺代替相关证明材料。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1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具有良好的商业信誉和健全的财务会计制度</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提供上一年度财务状况报告或基本开户行出具的资信证明。</w:t>
            </w:r>
          </w:p>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根据（浙财采监〔2022〕8号）文件，本项目投标供应商属于中小企业范畴的，可以以书面承诺代替相关证明材料。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1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履行合同所必需的设备和专业技术能力</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提供履行合同所必需的设备和专业技术能力的承诺函（根据项目性质提供或按投标文件格式填报设备及专业技术能力情况等）。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3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参加采购活动前3年内，在经营活动中没有重大违法记录</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参照投标声明书相关承诺内容。重大违法记录，是指投标人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891"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信用记录</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1.截止时点：开标后评标前。</w:t>
            </w:r>
          </w:p>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2.信用信息查询记录和证据留存的具体方式：由采购组织机构在规定查询时间内打印信用信息查询记录并归入项目档案。</w:t>
            </w:r>
            <w:r>
              <w:rPr>
                <w:rFonts w:hint="eastAsia" w:ascii="宋体" w:hAnsi="宋体" w:cs="宋体"/>
                <w:color w:val="auto"/>
                <w:sz w:val="24"/>
                <w:highlight w:val="none"/>
              </w:rPr>
              <w:br w:type="textWrapping"/>
            </w:r>
            <w:r>
              <w:rPr>
                <w:rFonts w:hint="eastAsia" w:ascii="宋体" w:hAnsi="宋体" w:cs="宋体"/>
                <w:color w:val="auto"/>
                <w:sz w:val="24"/>
                <w:highlight w:val="none"/>
              </w:rPr>
              <w:t>3.使用规则：投标人未被列入“信用中国”失信被执行人或重大税收违法案件当事人名单；未处于“中国政府采购网”政府采购严重违法失信行为信息记录中的禁止参加政府采购活动期间。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265"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必须符合法律、行政法规规定的其他条件</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1.单位负责人为同一人或者存在直接控股、管理关系的不同供应商，不得同时参加本项目投标。</w:t>
            </w:r>
          </w:p>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2.投标（报价）函相关承诺要求内容。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gridAfter w:val="1"/>
          <w:wAfter w:w="11" w:type="dxa"/>
          <w:trHeight w:val="1201" w:hRule="atLeast"/>
          <w:jc w:val="center"/>
        </w:trPr>
        <w:tc>
          <w:tcPr>
            <w:tcW w:w="1702" w:type="dxa"/>
            <w:gridSpan w:val="2"/>
            <w:shd w:val="clear" w:color="auto" w:fill="auto"/>
            <w:vAlign w:val="center"/>
          </w:tcPr>
          <w:p>
            <w:pPr>
              <w:pStyle w:val="47"/>
              <w:keepNext w:val="0"/>
              <w:keepLines w:val="0"/>
              <w:suppressLineNumbers w:val="0"/>
              <w:spacing w:before="0" w:beforeAutospacing="0" w:after="0" w:afterAutospacing="0"/>
              <w:ind w:left="0" w:right="146"/>
              <w:rPr>
                <w:color w:val="auto"/>
                <w:sz w:val="24"/>
                <w:highlight w:val="none"/>
              </w:rPr>
            </w:pPr>
            <w:r>
              <w:rPr>
                <w:rFonts w:hint="eastAsia"/>
                <w:color w:val="auto"/>
                <w:sz w:val="24"/>
                <w:highlight w:val="none"/>
              </w:rPr>
              <w:t>法定代表人/负责人资格证明书及授权委托书</w:t>
            </w:r>
          </w:p>
        </w:tc>
        <w:tc>
          <w:tcPr>
            <w:tcW w:w="7476" w:type="dxa"/>
            <w:shd w:val="clear" w:color="auto" w:fill="auto"/>
            <w:vAlign w:val="center"/>
          </w:tcPr>
          <w:p>
            <w:pPr>
              <w:pStyle w:val="47"/>
              <w:keepNext w:val="0"/>
              <w:keepLines w:val="0"/>
              <w:suppressLineNumbers w:val="0"/>
              <w:spacing w:before="48" w:beforeAutospacing="0" w:after="0" w:afterAutospacing="0"/>
              <w:ind w:left="0" w:right="0"/>
              <w:rPr>
                <w:color w:val="auto"/>
                <w:sz w:val="24"/>
                <w:highlight w:val="none"/>
              </w:rPr>
            </w:pPr>
            <w:r>
              <w:rPr>
                <w:rFonts w:hint="eastAsia"/>
                <w:color w:val="auto"/>
                <w:sz w:val="24"/>
                <w:highlight w:val="none"/>
              </w:rPr>
              <w:t>法定代表人/负责人资格证明书及授权委托书，按对应格式文件签署、盖章。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联合体投标</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2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资质</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b w:val="0"/>
                <w:bCs w:val="0"/>
                <w:color w:val="auto"/>
                <w:sz w:val="24"/>
                <w:highlight w:val="none"/>
              </w:rPr>
              <w:t>同时具备测绘甲级和地质灾害危险性评估甲级资质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27" w:hRule="atLeast"/>
          <w:jc w:val="center"/>
        </w:trPr>
        <w:tc>
          <w:tcPr>
            <w:tcW w:w="1694" w:type="dxa"/>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落实政府采购政策需满足的资格要求</w:t>
            </w:r>
          </w:p>
        </w:tc>
        <w:tc>
          <w:tcPr>
            <w:tcW w:w="7495" w:type="dxa"/>
            <w:gridSpan w:val="3"/>
            <w:shd w:val="clear" w:color="auto" w:fill="auto"/>
            <w:vAlign w:val="center"/>
          </w:tcPr>
          <w:p>
            <w:pPr>
              <w:keepNext w:val="0"/>
              <w:keepLines w:val="0"/>
              <w:suppressLineNumbers w:val="0"/>
              <w:spacing w:before="0" w:beforeAutospacing="0" w:after="0" w:afterAutospacing="0"/>
              <w:ind w:left="0" w:right="0"/>
              <w:jc w:val="left"/>
              <w:rPr>
                <w:rFonts w:ascii="宋体" w:hAnsi="宋体" w:cs="宋体"/>
                <w:color w:val="auto"/>
                <w:sz w:val="24"/>
                <w:highlight w:val="none"/>
              </w:rPr>
            </w:pPr>
            <w:r>
              <w:rPr>
                <w:rFonts w:hint="eastAsia" w:ascii="宋体" w:hAnsi="宋体" w:cs="宋体"/>
                <w:color w:val="auto"/>
                <w:sz w:val="24"/>
                <w:highlight w:val="none"/>
              </w:rPr>
              <w:t>本项目不专门针对中小企业采购项目</w:t>
            </w:r>
          </w:p>
        </w:tc>
      </w:tr>
    </w:tbl>
    <w:p>
      <w:pPr>
        <w:pStyle w:val="11"/>
        <w:spacing w:line="360" w:lineRule="auto"/>
        <w:ind w:firstLine="482" w:firstLineChars="200"/>
        <w:jc w:val="both"/>
        <w:rPr>
          <w:rFonts w:ascii="宋体" w:hAnsi="宋体" w:cs="宋体"/>
          <w:b/>
          <w:bCs/>
          <w:color w:val="auto"/>
          <w:sz w:val="24"/>
          <w:highlight w:val="none"/>
        </w:rPr>
      </w:pPr>
      <w:r>
        <w:rPr>
          <w:rFonts w:hint="eastAsia" w:ascii="宋体" w:hAnsi="宋体" w:cs="宋体"/>
          <w:b/>
          <w:bCs/>
          <w:color w:val="auto"/>
          <w:sz w:val="24"/>
          <w:highlight w:val="none"/>
        </w:rPr>
        <w:t>（二）符合性审查</w:t>
      </w:r>
    </w:p>
    <w:p>
      <w:pPr>
        <w:pStyle w:val="11"/>
        <w:spacing w:line="360" w:lineRule="auto"/>
        <w:ind w:firstLine="480" w:firstLineChars="200"/>
        <w:jc w:val="both"/>
        <w:rPr>
          <w:rFonts w:ascii="宋体" w:hAnsi="宋体" w:cs="宋体"/>
          <w:color w:val="auto"/>
          <w:sz w:val="24"/>
          <w:highlight w:val="none"/>
        </w:rPr>
      </w:pPr>
      <w:r>
        <w:rPr>
          <w:rFonts w:hint="eastAsia" w:ascii="宋体" w:hAnsi="宋体" w:cs="宋体"/>
          <w:color w:val="auto"/>
          <w:sz w:val="24"/>
          <w:highlight w:val="none"/>
        </w:rPr>
        <w:t>评标委员会应当对符合资格的投标人的投标文件进行符合性审查，以确定其是否满足招标文件的实质性要求，对审查发现无效的进行必要的询标，在政采云平台公布无效投标的投标人名单、投标无效的原因。</w:t>
      </w:r>
    </w:p>
    <w:tbl>
      <w:tblPr>
        <w:tblStyle w:val="25"/>
        <w:tblW w:w="91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02"/>
        <w:gridCol w:w="7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6" w:hRule="atLeast"/>
          <w:jc w:val="center"/>
        </w:trPr>
        <w:tc>
          <w:tcPr>
            <w:tcW w:w="1702" w:type="dxa"/>
            <w:shd w:val="clear" w:color="auto" w:fill="auto"/>
            <w:vAlign w:val="center"/>
          </w:tcPr>
          <w:p>
            <w:pPr>
              <w:pStyle w:val="47"/>
              <w:keepNext w:val="0"/>
              <w:keepLines w:val="0"/>
              <w:suppressLineNumbers w:val="0"/>
              <w:spacing w:before="0" w:beforeAutospacing="0" w:after="0" w:afterAutospacing="0"/>
              <w:ind w:left="0" w:right="146"/>
              <w:rPr>
                <w:color w:val="auto"/>
                <w:sz w:val="24"/>
                <w:highlight w:val="none"/>
              </w:rPr>
            </w:pPr>
            <w:r>
              <w:rPr>
                <w:rFonts w:hint="eastAsia"/>
                <w:color w:val="auto"/>
                <w:sz w:val="24"/>
                <w:highlight w:val="none"/>
              </w:rPr>
              <w:t>投标文件</w:t>
            </w:r>
          </w:p>
        </w:tc>
        <w:tc>
          <w:tcPr>
            <w:tcW w:w="7476" w:type="dxa"/>
            <w:shd w:val="clear" w:color="auto" w:fill="auto"/>
            <w:vAlign w:val="center"/>
          </w:tcPr>
          <w:p>
            <w:pPr>
              <w:pStyle w:val="47"/>
              <w:keepNext w:val="0"/>
              <w:keepLines w:val="0"/>
              <w:suppressLineNumbers w:val="0"/>
              <w:spacing w:before="48" w:beforeAutospacing="0" w:after="0" w:afterAutospacing="0"/>
              <w:ind w:left="0" w:right="0"/>
              <w:rPr>
                <w:color w:val="auto"/>
                <w:sz w:val="24"/>
                <w:highlight w:val="none"/>
              </w:rPr>
            </w:pPr>
            <w:r>
              <w:rPr>
                <w:rFonts w:hint="eastAsia"/>
                <w:color w:val="auto"/>
                <w:sz w:val="24"/>
                <w:highlight w:val="none"/>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57" w:hRule="atLeast"/>
          <w:jc w:val="center"/>
        </w:trPr>
        <w:tc>
          <w:tcPr>
            <w:tcW w:w="1702" w:type="dxa"/>
            <w:shd w:val="clear" w:color="auto" w:fill="auto"/>
            <w:vAlign w:val="center"/>
          </w:tcPr>
          <w:p>
            <w:pPr>
              <w:pStyle w:val="47"/>
              <w:keepNext w:val="0"/>
              <w:keepLines w:val="0"/>
              <w:suppressLineNumbers w:val="0"/>
              <w:spacing w:before="0" w:beforeAutospacing="0" w:after="0" w:afterAutospacing="0"/>
              <w:ind w:left="0" w:right="146"/>
              <w:rPr>
                <w:color w:val="auto"/>
                <w:sz w:val="24"/>
                <w:highlight w:val="none"/>
              </w:rPr>
            </w:pPr>
            <w:r>
              <w:rPr>
                <w:rFonts w:hint="eastAsia"/>
                <w:color w:val="auto"/>
                <w:sz w:val="24"/>
                <w:highlight w:val="none"/>
              </w:rPr>
              <w:t>“▲”实质性条款</w:t>
            </w:r>
          </w:p>
        </w:tc>
        <w:tc>
          <w:tcPr>
            <w:tcW w:w="7476" w:type="dxa"/>
            <w:shd w:val="clear" w:color="auto" w:fill="auto"/>
            <w:vAlign w:val="center"/>
          </w:tcPr>
          <w:p>
            <w:pPr>
              <w:pStyle w:val="47"/>
              <w:keepNext w:val="0"/>
              <w:keepLines w:val="0"/>
              <w:suppressLineNumbers w:val="0"/>
              <w:spacing w:before="48" w:beforeAutospacing="0" w:after="0" w:afterAutospacing="0"/>
              <w:ind w:left="0" w:right="0"/>
              <w:rPr>
                <w:color w:val="auto"/>
                <w:sz w:val="24"/>
                <w:highlight w:val="none"/>
              </w:rPr>
            </w:pPr>
            <w:r>
              <w:rPr>
                <w:rFonts w:hint="eastAsia"/>
                <w:color w:val="auto"/>
                <w:sz w:val="24"/>
                <w:highlight w:val="none"/>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57" w:hRule="atLeast"/>
          <w:jc w:val="center"/>
        </w:trPr>
        <w:tc>
          <w:tcPr>
            <w:tcW w:w="1702" w:type="dxa"/>
            <w:shd w:val="clear" w:color="auto" w:fill="auto"/>
            <w:vAlign w:val="center"/>
          </w:tcPr>
          <w:p>
            <w:pPr>
              <w:pStyle w:val="47"/>
              <w:keepNext w:val="0"/>
              <w:keepLines w:val="0"/>
              <w:suppressLineNumbers w:val="0"/>
              <w:spacing w:before="0" w:beforeAutospacing="0" w:after="0" w:afterAutospacing="0"/>
              <w:ind w:left="0" w:right="146"/>
              <w:rPr>
                <w:color w:val="auto"/>
                <w:sz w:val="24"/>
                <w:highlight w:val="none"/>
              </w:rPr>
            </w:pPr>
            <w:r>
              <w:rPr>
                <w:rFonts w:hint="eastAsia"/>
                <w:color w:val="auto"/>
                <w:sz w:val="24"/>
                <w:highlight w:val="none"/>
              </w:rPr>
              <w:t>串通投标</w:t>
            </w:r>
          </w:p>
        </w:tc>
        <w:tc>
          <w:tcPr>
            <w:tcW w:w="7476" w:type="dxa"/>
            <w:shd w:val="clear" w:color="auto" w:fill="auto"/>
            <w:vAlign w:val="center"/>
          </w:tcPr>
          <w:p>
            <w:pPr>
              <w:pStyle w:val="47"/>
              <w:keepNext w:val="0"/>
              <w:keepLines w:val="0"/>
              <w:suppressLineNumbers w:val="0"/>
              <w:spacing w:before="48" w:beforeAutospacing="0" w:after="0" w:afterAutospacing="0"/>
              <w:ind w:left="0" w:right="0"/>
              <w:rPr>
                <w:color w:val="auto"/>
                <w:sz w:val="24"/>
                <w:highlight w:val="none"/>
              </w:rPr>
            </w:pPr>
            <w:r>
              <w:rPr>
                <w:rFonts w:hint="eastAsia"/>
                <w:color w:val="auto"/>
                <w:sz w:val="24"/>
                <w:highlight w:val="none"/>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57" w:hRule="atLeast"/>
          <w:jc w:val="center"/>
        </w:trPr>
        <w:tc>
          <w:tcPr>
            <w:tcW w:w="1702" w:type="dxa"/>
            <w:shd w:val="clear" w:color="auto" w:fill="auto"/>
            <w:vAlign w:val="center"/>
          </w:tcPr>
          <w:p>
            <w:pPr>
              <w:pStyle w:val="47"/>
              <w:keepNext w:val="0"/>
              <w:keepLines w:val="0"/>
              <w:suppressLineNumbers w:val="0"/>
              <w:spacing w:before="0" w:beforeAutospacing="0" w:after="0" w:afterAutospacing="0"/>
              <w:ind w:left="0" w:right="146"/>
              <w:rPr>
                <w:color w:val="auto"/>
                <w:sz w:val="24"/>
                <w:highlight w:val="none"/>
              </w:rPr>
            </w:pPr>
            <w:r>
              <w:rPr>
                <w:rFonts w:hint="eastAsia"/>
                <w:color w:val="auto"/>
                <w:sz w:val="24"/>
                <w:highlight w:val="none"/>
              </w:rPr>
              <w:t>附加条件</w:t>
            </w:r>
          </w:p>
        </w:tc>
        <w:tc>
          <w:tcPr>
            <w:tcW w:w="7476" w:type="dxa"/>
            <w:shd w:val="clear" w:color="auto" w:fill="auto"/>
            <w:vAlign w:val="center"/>
          </w:tcPr>
          <w:p>
            <w:pPr>
              <w:pStyle w:val="47"/>
              <w:keepNext w:val="0"/>
              <w:keepLines w:val="0"/>
              <w:suppressLineNumbers w:val="0"/>
              <w:spacing w:before="48" w:beforeAutospacing="0" w:after="0" w:afterAutospacing="0"/>
              <w:ind w:left="0" w:right="0"/>
              <w:rPr>
                <w:color w:val="auto"/>
                <w:sz w:val="24"/>
                <w:highlight w:val="none"/>
              </w:rPr>
            </w:pPr>
            <w:r>
              <w:rPr>
                <w:rFonts w:hint="eastAsia"/>
                <w:color w:val="auto"/>
                <w:sz w:val="24"/>
                <w:highlight w:val="none"/>
              </w:rPr>
              <w:t>投标文件未含有采购人不可接受的附加条件。</w:t>
            </w:r>
          </w:p>
        </w:tc>
      </w:tr>
    </w:tbl>
    <w:p>
      <w:pPr>
        <w:pStyle w:val="20"/>
        <w:spacing w:before="0" w:beforeAutospacing="0" w:after="0" w:afterAutospacing="0" w:line="360" w:lineRule="auto"/>
        <w:ind w:firstLine="482" w:firstLineChars="200"/>
        <w:jc w:val="both"/>
        <w:rPr>
          <w:rFonts w:hint="default" w:cs="宋体"/>
          <w:b/>
          <w:bCs/>
          <w:color w:val="auto"/>
          <w:highlight w:val="none"/>
        </w:rPr>
      </w:pPr>
      <w:r>
        <w:rPr>
          <w:rFonts w:cs="宋体"/>
          <w:b/>
          <w:bCs/>
          <w:color w:val="auto"/>
          <w:highlight w:val="none"/>
        </w:rPr>
        <w:t>（三）商务技术及价格评审</w:t>
      </w:r>
    </w:p>
    <w:p>
      <w:pPr>
        <w:autoSpaceDE w:val="0"/>
        <w:autoSpaceDN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本项目评标方法为综合评分法，总计100分，评标按以下标准及要求进行：</w:t>
      </w:r>
    </w:p>
    <w:p>
      <w:pPr>
        <w:numPr>
          <w:ilvl w:val="0"/>
          <w:numId w:val="8"/>
        </w:numPr>
        <w:autoSpaceDE w:val="0"/>
        <w:autoSpaceDN w:val="0"/>
        <w:adjustRightInd w:val="0"/>
        <w:spacing w:line="360" w:lineRule="auto"/>
        <w:ind w:right="85" w:firstLine="482" w:firstLineChars="200"/>
        <w:rPr>
          <w:rFonts w:hint="eastAsia" w:ascii="宋体" w:cs="宋体"/>
          <w:b/>
          <w:color w:val="auto"/>
          <w:sz w:val="24"/>
          <w:highlight w:val="none"/>
        </w:rPr>
      </w:pPr>
      <w:r>
        <w:rPr>
          <w:rFonts w:hint="eastAsia" w:ascii="宋体" w:cs="宋体"/>
          <w:b/>
          <w:color w:val="auto"/>
          <w:sz w:val="24"/>
          <w:highlight w:val="none"/>
        </w:rPr>
        <w:t>评分标准</w:t>
      </w:r>
    </w:p>
    <w:tbl>
      <w:tblPr>
        <w:tblStyle w:val="25"/>
        <w:tblW w:w="100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09"/>
        <w:gridCol w:w="1088"/>
        <w:gridCol w:w="60"/>
        <w:gridCol w:w="896"/>
        <w:gridCol w:w="49"/>
        <w:gridCol w:w="7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3" w:hRule="atLeast"/>
          <w:jc w:val="center"/>
        </w:trPr>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序号</w:t>
            </w:r>
          </w:p>
        </w:tc>
        <w:tc>
          <w:tcPr>
            <w:tcW w:w="114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评分因素</w:t>
            </w:r>
          </w:p>
        </w:tc>
        <w:tc>
          <w:tcPr>
            <w:tcW w:w="8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分值</w:t>
            </w:r>
          </w:p>
        </w:tc>
        <w:tc>
          <w:tcPr>
            <w:tcW w:w="728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0039" w:type="dxa"/>
            <w:gridSpan w:val="6"/>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一、技术商务部分（90分）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1</w:t>
            </w:r>
          </w:p>
        </w:tc>
        <w:tc>
          <w:tcPr>
            <w:tcW w:w="1148" w:type="dxa"/>
            <w:gridSpan w:val="2"/>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体系认证</w:t>
            </w:r>
          </w:p>
        </w:tc>
        <w:tc>
          <w:tcPr>
            <w:tcW w:w="896" w:type="dxa"/>
            <w:shd w:val="clear" w:color="auto" w:fill="auto"/>
            <w:vAlign w:val="center"/>
          </w:tcPr>
          <w:p>
            <w:pPr>
              <w:keepNext w:val="0"/>
              <w:keepLines w:val="0"/>
              <w:widowControl/>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0-</w:t>
            </w:r>
            <w:r>
              <w:rPr>
                <w:rFonts w:asciiTheme="minorEastAsia" w:hAnsiTheme="minorEastAsia" w:eastAsiaTheme="minorEastAsia" w:cstheme="minorEastAsia"/>
                <w:bCs/>
                <w:color w:val="auto"/>
                <w:szCs w:val="21"/>
                <w:highlight w:val="none"/>
              </w:rPr>
              <w:t>3</w:t>
            </w:r>
          </w:p>
        </w:tc>
        <w:tc>
          <w:tcPr>
            <w:tcW w:w="7286" w:type="dxa"/>
            <w:gridSpan w:val="2"/>
            <w:shd w:val="clear" w:color="auto" w:fill="auto"/>
            <w:vAlign w:val="center"/>
          </w:tcPr>
          <w:p>
            <w:pPr>
              <w:pStyle w:val="9"/>
              <w:keepNext w:val="0"/>
              <w:keepLines w:val="0"/>
              <w:suppressLineNumbers w:val="0"/>
              <w:spacing w:before="0" w:beforeAutospacing="0" w:after="0" w:afterAutospacing="0"/>
              <w:ind w:left="0" w:right="0"/>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投标人具有有效的质量管理体系认证证书、环境管理体系认证证书、职业健康安全管理体系认证证书的，每个</w:t>
            </w:r>
            <w:r>
              <w:rPr>
                <w:rFonts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rPr>
              <w:t>分，最多</w:t>
            </w:r>
            <w:r>
              <w:rPr>
                <w:rFonts w:asciiTheme="minorEastAsia" w:hAnsiTheme="minorEastAsia" w:eastAsiaTheme="minorEastAsia" w:cstheme="minorEastAsia"/>
                <w:color w:val="auto"/>
                <w:sz w:val="21"/>
                <w:szCs w:val="21"/>
                <w:highlight w:val="none"/>
              </w:rPr>
              <w:t>3</w:t>
            </w:r>
            <w:r>
              <w:rPr>
                <w:rFonts w:hint="eastAsia" w:asciiTheme="minorEastAsia" w:hAnsiTheme="minorEastAsia" w:eastAsiaTheme="minorEastAsia" w:cstheme="minorEastAsia"/>
                <w:color w:val="auto"/>
                <w:sz w:val="21"/>
                <w:szCs w:val="21"/>
                <w:highlight w:val="none"/>
              </w:rPr>
              <w:t>分。（投标人需提供证书扫描件，否则不得分）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2</w:t>
            </w:r>
          </w:p>
        </w:tc>
        <w:tc>
          <w:tcPr>
            <w:tcW w:w="1148" w:type="dxa"/>
            <w:gridSpan w:val="2"/>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项目负责人资质水平评价</w:t>
            </w:r>
          </w:p>
        </w:tc>
        <w:tc>
          <w:tcPr>
            <w:tcW w:w="896" w:type="dxa"/>
            <w:shd w:val="clear" w:color="auto" w:fill="auto"/>
            <w:vAlign w:val="center"/>
          </w:tcPr>
          <w:p>
            <w:pPr>
              <w:keepNext w:val="0"/>
              <w:keepLines w:val="0"/>
              <w:widowControl/>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0-6</w:t>
            </w:r>
          </w:p>
        </w:tc>
        <w:tc>
          <w:tcPr>
            <w:tcW w:w="7286" w:type="dxa"/>
            <w:gridSpan w:val="2"/>
            <w:shd w:val="clear" w:color="auto" w:fill="auto"/>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bCs/>
                <w:color w:val="auto"/>
                <w:szCs w:val="21"/>
                <w:highlight w:val="none"/>
              </w:rPr>
            </w:pPr>
            <w:r>
              <w:rPr>
                <w:rFonts w:asciiTheme="minorEastAsia" w:hAnsiTheme="minorEastAsia" w:eastAsiaTheme="minorEastAsia" w:cstheme="minorEastAsia"/>
                <w:color w:val="auto"/>
                <w:szCs w:val="21"/>
                <w:highlight w:val="none"/>
              </w:rPr>
              <w:t>1.</w:t>
            </w:r>
            <w:r>
              <w:rPr>
                <w:rFonts w:hint="eastAsia"/>
                <w:color w:val="auto"/>
                <w:highlight w:val="none"/>
              </w:rPr>
              <w:t>项目负责人具有水文与工程地质专业正高级工程师且为注册岩土工程师得</w:t>
            </w:r>
            <w:r>
              <w:rPr>
                <w:color w:val="auto"/>
                <w:highlight w:val="none"/>
              </w:rPr>
              <w:t>3</w:t>
            </w:r>
            <w:r>
              <w:rPr>
                <w:rFonts w:hint="eastAsia"/>
                <w:color w:val="auto"/>
                <w:highlight w:val="none"/>
              </w:rPr>
              <w:t>分；</w:t>
            </w:r>
            <w:r>
              <w:rPr>
                <w:rFonts w:asciiTheme="minorEastAsia" w:hAnsiTheme="minorEastAsia" w:eastAsiaTheme="minorEastAsia" w:cstheme="minorEastAsia"/>
                <w:bCs/>
                <w:color w:val="auto"/>
                <w:szCs w:val="21"/>
                <w:highlight w:val="none"/>
              </w:rPr>
              <w:t>为水文与工程地质专业副高级工程师</w:t>
            </w:r>
            <w:r>
              <w:rPr>
                <w:rFonts w:hint="eastAsia" w:asciiTheme="minorEastAsia" w:hAnsiTheme="minorEastAsia" w:eastAsiaTheme="minorEastAsia" w:cstheme="minorEastAsia"/>
                <w:bCs/>
                <w:color w:val="auto"/>
                <w:szCs w:val="21"/>
                <w:highlight w:val="none"/>
              </w:rPr>
              <w:t>且为</w:t>
            </w:r>
            <w:r>
              <w:rPr>
                <w:rFonts w:asciiTheme="minorEastAsia" w:hAnsiTheme="minorEastAsia" w:eastAsiaTheme="minorEastAsia" w:cstheme="minorEastAsia"/>
                <w:bCs/>
                <w:color w:val="auto"/>
                <w:szCs w:val="21"/>
                <w:highlight w:val="none"/>
              </w:rPr>
              <w:t>注册岩土工程师的得1.5分；其他不得分</w:t>
            </w:r>
            <w:r>
              <w:rPr>
                <w:rFonts w:hint="eastAsia" w:asciiTheme="minorEastAsia" w:hAnsiTheme="minorEastAsia" w:eastAsiaTheme="minorEastAsia" w:cstheme="minorEastAsia"/>
                <w:bCs/>
                <w:color w:val="auto"/>
                <w:szCs w:val="21"/>
                <w:highlight w:val="none"/>
              </w:rPr>
              <w:t>。</w:t>
            </w:r>
          </w:p>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bCs/>
                <w:color w:val="auto"/>
                <w:szCs w:val="21"/>
                <w:highlight w:val="none"/>
              </w:rPr>
            </w:pPr>
            <w:r>
              <w:rPr>
                <w:rFonts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bCs/>
                <w:color w:val="auto"/>
                <w:szCs w:val="21"/>
                <w:highlight w:val="none"/>
              </w:rPr>
              <w:t>技术负责人为测绘专业高级工程师且为注册测绘师的得3分；</w:t>
            </w:r>
            <w:r>
              <w:rPr>
                <w:rFonts w:asciiTheme="minorEastAsia" w:hAnsiTheme="minorEastAsia" w:eastAsiaTheme="minorEastAsia" w:cstheme="minorEastAsia"/>
                <w:bCs/>
                <w:color w:val="auto"/>
                <w:szCs w:val="21"/>
                <w:highlight w:val="none"/>
              </w:rPr>
              <w:t>为</w:t>
            </w:r>
            <w:r>
              <w:rPr>
                <w:rFonts w:hint="eastAsia" w:asciiTheme="minorEastAsia" w:hAnsiTheme="minorEastAsia" w:eastAsiaTheme="minorEastAsia" w:cstheme="minorEastAsia"/>
                <w:bCs/>
                <w:color w:val="auto"/>
                <w:szCs w:val="21"/>
                <w:highlight w:val="none"/>
              </w:rPr>
              <w:t>测绘专业高级工程师</w:t>
            </w:r>
            <w:r>
              <w:rPr>
                <w:rFonts w:asciiTheme="minorEastAsia" w:hAnsiTheme="minorEastAsia" w:eastAsiaTheme="minorEastAsia" w:cstheme="minorEastAsia"/>
                <w:bCs/>
                <w:color w:val="auto"/>
                <w:szCs w:val="21"/>
                <w:highlight w:val="none"/>
              </w:rPr>
              <w:t>的得1.5分；</w:t>
            </w:r>
            <w:r>
              <w:rPr>
                <w:rFonts w:hint="eastAsia" w:asciiTheme="minorEastAsia" w:hAnsiTheme="minorEastAsia" w:eastAsiaTheme="minorEastAsia" w:cstheme="minorEastAsia"/>
                <w:bCs/>
                <w:color w:val="auto"/>
                <w:szCs w:val="21"/>
                <w:highlight w:val="none"/>
              </w:rPr>
              <w:t>其他不得分。</w:t>
            </w:r>
          </w:p>
          <w:p>
            <w:pPr>
              <w:keepNext w:val="0"/>
              <w:keepLines w:val="0"/>
              <w:suppressLineNumbers w:val="0"/>
              <w:spacing w:before="0" w:beforeAutospacing="0" w:after="0" w:afterAutospacing="0"/>
              <w:ind w:left="0" w:right="0"/>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注：如项目负责人和技术负责人为同一人的只计算1次，</w:t>
            </w:r>
            <w:r>
              <w:rPr>
                <w:rFonts w:hint="eastAsia" w:asciiTheme="minorEastAsia" w:hAnsiTheme="minorEastAsia" w:eastAsiaTheme="minorEastAsia" w:cstheme="minorEastAsia"/>
                <w:b/>
                <w:bCs/>
                <w:color w:val="auto"/>
                <w:szCs w:val="21"/>
                <w:highlight w:val="none"/>
              </w:rPr>
              <w:t>上述人员需提供证书、</w:t>
            </w:r>
            <w:r>
              <w:rPr>
                <w:rFonts w:hint="eastAsia" w:asciiTheme="minorEastAsia" w:hAnsiTheme="minorEastAsia" w:eastAsiaTheme="minorEastAsia" w:cstheme="minorEastAsia"/>
                <w:b/>
                <w:color w:val="auto"/>
                <w:szCs w:val="21"/>
                <w:highlight w:val="none"/>
              </w:rPr>
              <w:t>6个月社保证明</w:t>
            </w:r>
            <w:r>
              <w:rPr>
                <w:rFonts w:hint="eastAsia" w:asciiTheme="minorEastAsia" w:hAnsiTheme="minorEastAsia" w:eastAsiaTheme="minorEastAsia" w:cstheme="minorEastAsia"/>
                <w:b/>
                <w:bCs/>
                <w:color w:val="auto"/>
                <w:szCs w:val="21"/>
                <w:highlight w:val="none"/>
              </w:rPr>
              <w:t>等扫描件，否则不得分。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3</w:t>
            </w:r>
          </w:p>
        </w:tc>
        <w:tc>
          <w:tcPr>
            <w:tcW w:w="1148" w:type="dxa"/>
            <w:gridSpan w:val="2"/>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投标人</w:t>
            </w:r>
          </w:p>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荣誉</w:t>
            </w:r>
          </w:p>
        </w:tc>
        <w:tc>
          <w:tcPr>
            <w:tcW w:w="896"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rPr>
              <w:t>0-</w:t>
            </w:r>
            <w:r>
              <w:rPr>
                <w:rFonts w:hint="eastAsia" w:asciiTheme="minorEastAsia" w:hAnsiTheme="minorEastAsia" w:eastAsiaTheme="minorEastAsia" w:cstheme="minorEastAsia"/>
                <w:bCs/>
                <w:color w:val="auto"/>
                <w:szCs w:val="21"/>
                <w:highlight w:val="none"/>
                <w:lang w:val="en-US" w:eastAsia="zh-CN"/>
              </w:rPr>
              <w:t>3</w:t>
            </w:r>
          </w:p>
        </w:tc>
        <w:tc>
          <w:tcPr>
            <w:tcW w:w="7286" w:type="dxa"/>
            <w:gridSpan w:val="2"/>
            <w:shd w:val="clear" w:color="auto" w:fill="auto"/>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lang w:val="zh-CN"/>
              </w:rPr>
              <w:t>投标人所实施的测绘或地面沉降专题研究等项目获得</w:t>
            </w:r>
            <w:r>
              <w:rPr>
                <w:rFonts w:hint="eastAsia" w:asciiTheme="minorEastAsia" w:hAnsiTheme="minorEastAsia" w:eastAsiaTheme="minorEastAsia" w:cstheme="minorEastAsia"/>
                <w:color w:val="auto"/>
                <w:szCs w:val="21"/>
                <w:highlight w:val="none"/>
                <w:lang w:val="en-US" w:eastAsia="zh-CN"/>
              </w:rPr>
              <w:t>市</w:t>
            </w:r>
            <w:r>
              <w:rPr>
                <w:rFonts w:hint="eastAsia" w:asciiTheme="minorEastAsia" w:hAnsiTheme="minorEastAsia" w:eastAsiaTheme="minorEastAsia" w:cstheme="minorEastAsia"/>
                <w:color w:val="auto"/>
                <w:szCs w:val="21"/>
                <w:highlight w:val="none"/>
                <w:lang w:val="zh-CN"/>
              </w:rPr>
              <w:t>级及以上奖项的，每份得</w:t>
            </w:r>
            <w:r>
              <w:rPr>
                <w:rFonts w:hint="eastAsia" w:asciiTheme="minorEastAsia" w:hAnsiTheme="minorEastAsia" w:eastAsiaTheme="minorEastAsia" w:cstheme="minorEastAsia"/>
                <w:color w:val="auto"/>
                <w:szCs w:val="21"/>
                <w:highlight w:val="none"/>
                <w:lang w:val="en-US" w:eastAsia="zh-CN"/>
              </w:rPr>
              <w:t>1</w:t>
            </w:r>
            <w:r>
              <w:rPr>
                <w:rFonts w:hint="eastAsia" w:asciiTheme="minorEastAsia" w:hAnsiTheme="minorEastAsia" w:eastAsiaTheme="minorEastAsia" w:cstheme="minorEastAsia"/>
                <w:color w:val="auto"/>
                <w:szCs w:val="21"/>
                <w:highlight w:val="none"/>
                <w:lang w:val="zh-CN"/>
              </w:rPr>
              <w:t>分，最高得</w:t>
            </w:r>
            <w:r>
              <w:rPr>
                <w:rFonts w:hint="eastAsia" w:asciiTheme="minorEastAsia" w:hAnsiTheme="minorEastAsia" w:eastAsiaTheme="minorEastAsia" w:cstheme="minorEastAsia"/>
                <w:color w:val="auto"/>
                <w:szCs w:val="21"/>
                <w:highlight w:val="none"/>
                <w:lang w:val="en-US" w:eastAsia="zh-CN"/>
              </w:rPr>
              <w:t>3</w:t>
            </w:r>
            <w:r>
              <w:rPr>
                <w:rFonts w:hint="eastAsia" w:asciiTheme="minorEastAsia" w:hAnsiTheme="minorEastAsia" w:eastAsiaTheme="minorEastAsia" w:cstheme="minorEastAsia"/>
                <w:color w:val="auto"/>
                <w:szCs w:val="21"/>
                <w:highlight w:val="none"/>
                <w:lang w:val="zh-CN"/>
              </w:rPr>
              <w:t>分。</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zh-CN"/>
              </w:rPr>
              <w:t>（提供奖状或证书</w:t>
            </w:r>
            <w:r>
              <w:rPr>
                <w:rFonts w:hint="eastAsia" w:asciiTheme="minorEastAsia" w:hAnsiTheme="minorEastAsia" w:eastAsiaTheme="minorEastAsia" w:cstheme="minorEastAsia"/>
                <w:color w:val="auto"/>
                <w:szCs w:val="21"/>
                <w:highlight w:val="none"/>
              </w:rPr>
              <w:t>扫描件编入投标文件，否则不得分</w:t>
            </w:r>
            <w:r>
              <w:rPr>
                <w:rFonts w:hint="eastAsia" w:asciiTheme="minorEastAsia" w:hAnsiTheme="minorEastAsia" w:eastAsiaTheme="minorEastAsia" w:cstheme="minorEastAsia"/>
                <w:color w:val="auto"/>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4</w:t>
            </w:r>
          </w:p>
        </w:tc>
        <w:tc>
          <w:tcPr>
            <w:tcW w:w="1148" w:type="dxa"/>
            <w:gridSpan w:val="2"/>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类似业绩</w:t>
            </w:r>
          </w:p>
        </w:tc>
        <w:tc>
          <w:tcPr>
            <w:tcW w:w="896" w:type="dxa"/>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0-1</w:t>
            </w:r>
          </w:p>
        </w:tc>
        <w:tc>
          <w:tcPr>
            <w:tcW w:w="7286" w:type="dxa"/>
            <w:gridSpan w:val="2"/>
            <w:shd w:val="clear" w:color="auto" w:fill="auto"/>
            <w:vAlign w:val="center"/>
          </w:tcPr>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近三年从事过地面沉降监测和城市地质调查等类似项目的每项得0.25分，最高得1分；投标文件中应附有项目合同协议等证明材料扫描件。无证明材料或证明材料未加盖公章的，不得分。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val="en-US" w:eastAsia="zh-CN"/>
              </w:rPr>
              <w:t>5</w:t>
            </w:r>
          </w:p>
        </w:tc>
        <w:tc>
          <w:tcPr>
            <w:tcW w:w="1148" w:type="dxa"/>
            <w:gridSpan w:val="2"/>
            <w:shd w:val="clear" w:color="auto" w:fill="auto"/>
            <w:vAlign w:val="center"/>
          </w:tcPr>
          <w:p>
            <w:pPr>
              <w:keepNext w:val="0"/>
              <w:keepLines w:val="0"/>
              <w:widowControl/>
              <w:suppressLineNumbers w:val="0"/>
              <w:spacing w:before="0" w:beforeAutospacing="0" w:after="0" w:afterAutospacing="0" w:line="360" w:lineRule="exact"/>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对项目背景的理解和认识</w:t>
            </w:r>
          </w:p>
        </w:tc>
        <w:tc>
          <w:tcPr>
            <w:tcW w:w="896" w:type="dxa"/>
            <w:shd w:val="clear" w:color="auto" w:fill="auto"/>
            <w:vAlign w:val="center"/>
          </w:tcPr>
          <w:p>
            <w:pPr>
              <w:keepNext w:val="0"/>
              <w:keepLines w:val="0"/>
              <w:widowControl/>
              <w:suppressLineNumbers w:val="0"/>
              <w:spacing w:before="0" w:beforeAutospacing="0" w:after="0" w:afterAutospacing="0" w:line="360" w:lineRule="exact"/>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0-10</w:t>
            </w:r>
          </w:p>
        </w:tc>
        <w:tc>
          <w:tcPr>
            <w:tcW w:w="7286" w:type="dxa"/>
            <w:gridSpan w:val="2"/>
            <w:shd w:val="clear" w:color="auto" w:fill="auto"/>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bCs/>
                <w:color w:val="auto"/>
                <w:szCs w:val="21"/>
                <w:highlight w:val="none"/>
              </w:rPr>
              <w:t>投标人对</w:t>
            </w:r>
            <w:r>
              <w:rPr>
                <w:rFonts w:hint="eastAsia" w:asciiTheme="minorEastAsia" w:hAnsiTheme="minorEastAsia" w:eastAsiaTheme="minorEastAsia" w:cstheme="minorEastAsia"/>
                <w:bCs/>
                <w:color w:val="auto"/>
                <w:szCs w:val="21"/>
                <w:highlight w:val="none"/>
                <w:lang w:val="en-US" w:eastAsia="zh-CN"/>
              </w:rPr>
              <w:t>台州市沿海</w:t>
            </w:r>
            <w:r>
              <w:rPr>
                <w:rFonts w:hint="eastAsia" w:asciiTheme="minorEastAsia" w:hAnsiTheme="minorEastAsia" w:eastAsiaTheme="minorEastAsia" w:cstheme="minorEastAsia"/>
                <w:bCs/>
                <w:color w:val="auto"/>
                <w:szCs w:val="21"/>
                <w:highlight w:val="none"/>
              </w:rPr>
              <w:t>平原地质环境条件、地面沉降历史与现状、地面沉降监测点及现状监测情况等资料</w:t>
            </w:r>
            <w:r>
              <w:rPr>
                <w:rFonts w:hint="eastAsia" w:asciiTheme="minorEastAsia" w:hAnsiTheme="minorEastAsia" w:eastAsiaTheme="minorEastAsia" w:cstheme="minorEastAsia"/>
                <w:color w:val="auto"/>
                <w:szCs w:val="21"/>
                <w:highlight w:val="none"/>
                <w:lang w:val="zh-CN"/>
              </w:rPr>
              <w:t>理解是否全面准确、认识是否深刻，应有针对性进行评分。</w:t>
            </w:r>
          </w:p>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内容完整全面、对本项目实际情况具有针对性且切实可行得10</w:t>
            </w:r>
            <w:r>
              <w:rPr>
                <w:rFonts w:hint="eastAsia" w:asciiTheme="minorEastAsia" w:hAnsiTheme="minorEastAsia" w:eastAsiaTheme="minorEastAsia" w:cstheme="minorEastAsia"/>
                <w:color w:val="auto"/>
                <w:szCs w:val="21"/>
                <w:highlight w:val="none"/>
                <w:lang w:val="en-US" w:eastAsia="zh-CN"/>
              </w:rPr>
              <w:t>.0</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7.1</w:t>
            </w:r>
            <w:r>
              <w:rPr>
                <w:rFonts w:hint="eastAsia" w:asciiTheme="minorEastAsia" w:hAnsiTheme="minorEastAsia" w:eastAsiaTheme="minorEastAsia" w:cstheme="minorEastAsia"/>
                <w:color w:val="auto"/>
                <w:szCs w:val="21"/>
                <w:highlight w:val="none"/>
              </w:rPr>
              <w:t>分；内容</w:t>
            </w:r>
            <w:r>
              <w:rPr>
                <w:rFonts w:hint="eastAsia" w:ascii="宋体" w:hAnsi="宋体" w:cs="宋体"/>
                <w:color w:val="auto"/>
                <w:szCs w:val="21"/>
                <w:highlight w:val="none"/>
              </w:rPr>
              <w:t>基本可行，针对性较强的得</w:t>
            </w:r>
            <w:r>
              <w:rPr>
                <w:rFonts w:hint="eastAsia" w:ascii="宋体" w:hAnsi="宋体" w:cs="宋体"/>
                <w:color w:val="auto"/>
                <w:szCs w:val="21"/>
                <w:highlight w:val="none"/>
                <w:lang w:val="en-US" w:eastAsia="zh-CN"/>
              </w:rPr>
              <w:t>7.0</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4.1</w:t>
            </w:r>
            <w:r>
              <w:rPr>
                <w:rFonts w:hint="eastAsia" w:ascii="宋体" w:hAnsi="宋体" w:cs="宋体"/>
                <w:color w:val="auto"/>
                <w:szCs w:val="21"/>
                <w:highlight w:val="none"/>
              </w:rPr>
              <w:t>分；</w:t>
            </w:r>
            <w:r>
              <w:rPr>
                <w:rFonts w:hint="eastAsia" w:asciiTheme="minorEastAsia" w:hAnsiTheme="minorEastAsia" w:eastAsiaTheme="minorEastAsia" w:cstheme="minorEastAsia"/>
                <w:color w:val="auto"/>
                <w:szCs w:val="21"/>
                <w:highlight w:val="none"/>
              </w:rPr>
              <w:t>内容简单的得4</w:t>
            </w:r>
            <w:r>
              <w:rPr>
                <w:rFonts w:hint="eastAsia" w:asciiTheme="minorEastAsia" w:hAnsiTheme="minorEastAsia" w:eastAsiaTheme="minorEastAsia" w:cstheme="minorEastAsia"/>
                <w:color w:val="auto"/>
                <w:szCs w:val="21"/>
                <w:highlight w:val="none"/>
                <w:lang w:val="en-US" w:eastAsia="zh-CN"/>
              </w:rPr>
              <w:t>.0</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2.1</w:t>
            </w:r>
            <w:r>
              <w:rPr>
                <w:rFonts w:hint="eastAsia" w:asciiTheme="minorEastAsia" w:hAnsiTheme="minorEastAsia" w:eastAsiaTheme="minorEastAsia" w:cstheme="minorEastAsia"/>
                <w:color w:val="auto"/>
                <w:szCs w:val="21"/>
                <w:highlight w:val="none"/>
              </w:rPr>
              <w:t>分；内容简略仅有提及的得</w:t>
            </w:r>
            <w:r>
              <w:rPr>
                <w:rFonts w:hint="eastAsia" w:asciiTheme="minorEastAsia" w:hAnsiTheme="minorEastAsia" w:eastAsiaTheme="minorEastAsia" w:cstheme="minorEastAsia"/>
                <w:color w:val="auto"/>
                <w:szCs w:val="21"/>
                <w:highlight w:val="none"/>
                <w:lang w:val="en-US" w:eastAsia="zh-CN"/>
              </w:rPr>
              <w:t>2.0-0.1</w:t>
            </w:r>
            <w:r>
              <w:rPr>
                <w:rFonts w:hint="eastAsia" w:asciiTheme="minorEastAsia" w:hAnsiTheme="minorEastAsia" w:eastAsiaTheme="minorEastAsia" w:cstheme="minorEastAsia"/>
                <w:color w:val="auto"/>
                <w:szCs w:val="21"/>
                <w:highlight w:val="none"/>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6</w:t>
            </w:r>
          </w:p>
        </w:tc>
        <w:tc>
          <w:tcPr>
            <w:tcW w:w="1148" w:type="dxa"/>
            <w:gridSpan w:val="2"/>
            <w:shd w:val="clear" w:color="auto" w:fill="auto"/>
            <w:vAlign w:val="center"/>
          </w:tcPr>
          <w:p>
            <w:pPr>
              <w:keepNext w:val="0"/>
              <w:keepLines w:val="0"/>
              <w:suppressLineNumbers w:val="0"/>
              <w:adjustRightInd w:val="0"/>
              <w:spacing w:before="0" w:beforeAutospacing="0" w:after="0" w:afterAutospacing="0" w:line="360" w:lineRule="exact"/>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项目工作方案</w:t>
            </w:r>
          </w:p>
        </w:tc>
        <w:tc>
          <w:tcPr>
            <w:tcW w:w="896" w:type="dxa"/>
            <w:shd w:val="clear" w:color="auto" w:fill="auto"/>
            <w:vAlign w:val="center"/>
          </w:tcPr>
          <w:p>
            <w:pPr>
              <w:keepNext w:val="0"/>
              <w:keepLines w:val="0"/>
              <w:suppressLineNumbers w:val="0"/>
              <w:spacing w:before="0" w:beforeAutospacing="0" w:after="0" w:afterAutospacing="0" w:line="360" w:lineRule="auto"/>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0-12</w:t>
            </w:r>
          </w:p>
        </w:tc>
        <w:tc>
          <w:tcPr>
            <w:tcW w:w="7286" w:type="dxa"/>
            <w:gridSpan w:val="2"/>
            <w:shd w:val="clear" w:color="auto" w:fill="auto"/>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lang w:val="zh-CN"/>
              </w:rPr>
              <w:t>对工作方案的合理性、科学性、全面性（根据对当地地面沉降及监测熟悉程度、技术服务力量、组织实施、独到优势等情况综合评定）进行评分。</w:t>
            </w:r>
          </w:p>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内容完整全面、对本项</w:t>
            </w:r>
            <w:r>
              <w:rPr>
                <w:rFonts w:hint="eastAsia" w:asciiTheme="minorEastAsia" w:hAnsiTheme="minorEastAsia" w:eastAsiaTheme="minorEastAsia" w:cstheme="minorEastAsia"/>
                <w:b w:val="0"/>
                <w:bCs w:val="0"/>
                <w:color w:val="auto"/>
                <w:szCs w:val="21"/>
                <w:highlight w:val="none"/>
              </w:rPr>
              <w:t>目实际情况具有针对性且切实可行的得12</w:t>
            </w:r>
            <w:r>
              <w:rPr>
                <w:rFonts w:hint="eastAsia" w:asciiTheme="minorEastAsia" w:hAnsiTheme="minorEastAsia" w:eastAsiaTheme="minorEastAsia" w:cstheme="minorEastAsia"/>
                <w:b w:val="0"/>
                <w:bCs w:val="0"/>
                <w:color w:val="auto"/>
                <w:szCs w:val="21"/>
                <w:highlight w:val="none"/>
                <w:lang w:val="en-US" w:eastAsia="zh-CN"/>
              </w:rPr>
              <w:t>.0</w:t>
            </w:r>
            <w:r>
              <w:rPr>
                <w:rFonts w:hint="eastAsia" w:asciiTheme="minorEastAsia" w:hAnsiTheme="minorEastAsia" w:eastAsiaTheme="minorEastAsia" w:cstheme="minorEastAsia"/>
                <w:b w:val="0"/>
                <w:bCs w:val="0"/>
                <w:color w:val="auto"/>
                <w:szCs w:val="21"/>
                <w:highlight w:val="none"/>
              </w:rPr>
              <w:t>-</w:t>
            </w:r>
            <w:r>
              <w:rPr>
                <w:rFonts w:hint="eastAsia" w:asciiTheme="minorEastAsia" w:hAnsiTheme="minorEastAsia" w:eastAsiaTheme="minorEastAsia" w:cstheme="minorEastAsia"/>
                <w:b w:val="0"/>
                <w:bCs w:val="0"/>
                <w:color w:val="auto"/>
                <w:szCs w:val="21"/>
                <w:highlight w:val="none"/>
                <w:lang w:val="en-US" w:eastAsia="zh-CN"/>
              </w:rPr>
              <w:t>9.1</w:t>
            </w:r>
            <w:r>
              <w:rPr>
                <w:rFonts w:hint="eastAsia" w:asciiTheme="minorEastAsia" w:hAnsiTheme="minorEastAsia" w:eastAsiaTheme="minorEastAsia" w:cstheme="minorEastAsia"/>
                <w:b w:val="0"/>
                <w:bCs w:val="0"/>
                <w:color w:val="auto"/>
                <w:szCs w:val="21"/>
                <w:highlight w:val="none"/>
              </w:rPr>
              <w:t>分；方案内容齐全、结构完整，内容</w:t>
            </w:r>
            <w:r>
              <w:rPr>
                <w:rFonts w:hint="eastAsia" w:asciiTheme="minorEastAsia" w:hAnsiTheme="minorEastAsia" w:eastAsiaTheme="minorEastAsia" w:cstheme="minorEastAsia"/>
                <w:b w:val="0"/>
                <w:bCs w:val="0"/>
                <w:strike w:val="0"/>
                <w:dstrike w:val="0"/>
                <w:color w:val="auto"/>
                <w:szCs w:val="21"/>
                <w:highlight w:val="none"/>
                <w:lang w:val="en-US" w:eastAsia="zh-CN"/>
              </w:rPr>
              <w:t>详细有条理</w:t>
            </w:r>
            <w:r>
              <w:rPr>
                <w:rFonts w:hint="eastAsia" w:asciiTheme="minorEastAsia" w:hAnsiTheme="minorEastAsia" w:eastAsiaTheme="minorEastAsia" w:cstheme="minorEastAsia"/>
                <w:b w:val="0"/>
                <w:bCs w:val="0"/>
                <w:color w:val="auto"/>
                <w:szCs w:val="21"/>
                <w:highlight w:val="none"/>
              </w:rPr>
              <w:t>的得</w:t>
            </w:r>
            <w:r>
              <w:rPr>
                <w:rFonts w:hint="eastAsia" w:asciiTheme="minorEastAsia" w:hAnsiTheme="minorEastAsia" w:eastAsiaTheme="minorEastAsia" w:cstheme="minorEastAsia"/>
                <w:color w:val="auto"/>
                <w:szCs w:val="21"/>
                <w:highlight w:val="none"/>
              </w:rPr>
              <w:t>9</w:t>
            </w:r>
            <w:r>
              <w:rPr>
                <w:rFonts w:hint="eastAsia" w:asciiTheme="minorEastAsia" w:hAnsiTheme="minorEastAsia" w:eastAsiaTheme="minorEastAsia" w:cstheme="minorEastAsia"/>
                <w:color w:val="auto"/>
                <w:szCs w:val="21"/>
                <w:highlight w:val="none"/>
                <w:lang w:val="en-US" w:eastAsia="zh-CN"/>
              </w:rPr>
              <w:t>.0</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6.1</w:t>
            </w:r>
            <w:r>
              <w:rPr>
                <w:rFonts w:hint="eastAsia" w:asciiTheme="minorEastAsia" w:hAnsiTheme="minorEastAsia" w:eastAsiaTheme="minorEastAsia" w:cstheme="minorEastAsia"/>
                <w:color w:val="auto"/>
                <w:szCs w:val="21"/>
                <w:highlight w:val="none"/>
              </w:rPr>
              <w:t>分</w:t>
            </w:r>
            <w:r>
              <w:rPr>
                <w:rFonts w:hint="eastAsia" w:ascii="宋体" w:hAnsi="宋体" w:cs="宋体"/>
                <w:color w:val="auto"/>
                <w:szCs w:val="21"/>
                <w:highlight w:val="none"/>
              </w:rPr>
              <w:t>；</w:t>
            </w:r>
            <w:r>
              <w:rPr>
                <w:rFonts w:hint="eastAsia" w:asciiTheme="minorEastAsia" w:hAnsiTheme="minorEastAsia" w:eastAsiaTheme="minorEastAsia" w:cstheme="minorEastAsia"/>
                <w:color w:val="auto"/>
                <w:szCs w:val="21"/>
                <w:highlight w:val="none"/>
              </w:rPr>
              <w:t>内容简单的得</w:t>
            </w:r>
            <w:r>
              <w:rPr>
                <w:rFonts w:hint="eastAsia" w:asciiTheme="minorEastAsia" w:hAnsiTheme="minorEastAsia" w:eastAsiaTheme="minorEastAsia" w:cstheme="minorEastAsia"/>
                <w:color w:val="auto"/>
                <w:szCs w:val="21"/>
                <w:highlight w:val="none"/>
                <w:lang w:val="en-US" w:eastAsia="zh-CN"/>
              </w:rPr>
              <w:t>6.0-3.1</w:t>
            </w:r>
            <w:r>
              <w:rPr>
                <w:rFonts w:hint="eastAsia" w:asciiTheme="minorEastAsia" w:hAnsiTheme="minorEastAsia" w:eastAsiaTheme="minorEastAsia" w:cstheme="minorEastAsia"/>
                <w:color w:val="auto"/>
                <w:szCs w:val="21"/>
                <w:highlight w:val="none"/>
              </w:rPr>
              <w:t>分；内容简略仅有提及的得3</w:t>
            </w:r>
            <w:r>
              <w:rPr>
                <w:rFonts w:hint="eastAsia" w:asciiTheme="minorEastAsia" w:hAnsiTheme="minorEastAsia" w:eastAsiaTheme="minorEastAsia" w:cstheme="minorEastAsia"/>
                <w:color w:val="auto"/>
                <w:szCs w:val="21"/>
                <w:highlight w:val="none"/>
                <w:lang w:val="en-US" w:eastAsia="zh-CN"/>
              </w:rPr>
              <w:t>.0-0.1</w:t>
            </w:r>
            <w:r>
              <w:rPr>
                <w:rFonts w:hint="eastAsia" w:asciiTheme="minorEastAsia" w:hAnsiTheme="minorEastAsia" w:eastAsiaTheme="minorEastAsia" w:cstheme="minorEastAsia"/>
                <w:color w:val="auto"/>
                <w:szCs w:val="21"/>
                <w:highlight w:val="none"/>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0" w:hRule="atLeast"/>
          <w:jc w:val="center"/>
        </w:trPr>
        <w:tc>
          <w:tcPr>
            <w:tcW w:w="709" w:type="dxa"/>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7</w:t>
            </w:r>
          </w:p>
        </w:tc>
        <w:tc>
          <w:tcPr>
            <w:tcW w:w="1148" w:type="dxa"/>
            <w:gridSpan w:val="2"/>
            <w:shd w:val="clear" w:color="auto" w:fill="auto"/>
            <w:vAlign w:val="center"/>
          </w:tcPr>
          <w:p>
            <w:pPr>
              <w:keepNext w:val="0"/>
              <w:keepLines w:val="0"/>
              <w:suppressLineNumbers w:val="0"/>
              <w:adjustRightInd w:val="0"/>
              <w:spacing w:before="0" w:beforeAutospacing="0" w:after="0" w:afterAutospacing="0" w:line="360" w:lineRule="exact"/>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bCs/>
                <w:color w:val="auto"/>
                <w:szCs w:val="21"/>
                <w:highlight w:val="none"/>
              </w:rPr>
              <w:t>服务保证措施</w:t>
            </w:r>
          </w:p>
        </w:tc>
        <w:tc>
          <w:tcPr>
            <w:tcW w:w="896" w:type="dxa"/>
            <w:shd w:val="clear" w:color="auto" w:fill="auto"/>
            <w:vAlign w:val="center"/>
          </w:tcPr>
          <w:p>
            <w:pPr>
              <w:keepNext w:val="0"/>
              <w:keepLines w:val="0"/>
              <w:suppressLineNumbers w:val="0"/>
              <w:spacing w:before="0" w:beforeAutospacing="0" w:after="0" w:afterAutospacing="0" w:line="360" w:lineRule="auto"/>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0-12</w:t>
            </w:r>
          </w:p>
        </w:tc>
        <w:tc>
          <w:tcPr>
            <w:tcW w:w="7286" w:type="dxa"/>
            <w:gridSpan w:val="2"/>
            <w:shd w:val="clear" w:color="auto" w:fill="auto"/>
            <w:vAlign w:val="center"/>
          </w:tcPr>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根据投标人针对本项目的项目组织、质量、进度和安全生产等保障措施情况进行打分。</w:t>
            </w:r>
          </w:p>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保障措施能切合本项目实际情况、完整全面、内容详尽的得</w:t>
            </w:r>
            <w:r>
              <w:rPr>
                <w:rFonts w:hint="eastAsia" w:asciiTheme="minorEastAsia" w:hAnsiTheme="minorEastAsia" w:eastAsiaTheme="minorEastAsia" w:cstheme="minorEastAsia"/>
                <w:b w:val="0"/>
                <w:bCs w:val="0"/>
                <w:color w:val="auto"/>
                <w:szCs w:val="21"/>
                <w:highlight w:val="none"/>
              </w:rPr>
              <w:t>12</w:t>
            </w:r>
            <w:r>
              <w:rPr>
                <w:rFonts w:hint="eastAsia" w:asciiTheme="minorEastAsia" w:hAnsiTheme="minorEastAsia" w:eastAsiaTheme="minorEastAsia" w:cstheme="minorEastAsia"/>
                <w:b w:val="0"/>
                <w:bCs w:val="0"/>
                <w:color w:val="auto"/>
                <w:szCs w:val="21"/>
                <w:highlight w:val="none"/>
                <w:lang w:val="en-US" w:eastAsia="zh-CN"/>
              </w:rPr>
              <w:t>.0</w:t>
            </w:r>
            <w:r>
              <w:rPr>
                <w:rFonts w:hint="eastAsia" w:asciiTheme="minorEastAsia" w:hAnsiTheme="minorEastAsia" w:eastAsiaTheme="minorEastAsia" w:cstheme="minorEastAsia"/>
                <w:b w:val="0"/>
                <w:bCs w:val="0"/>
                <w:color w:val="auto"/>
                <w:szCs w:val="21"/>
                <w:highlight w:val="none"/>
              </w:rPr>
              <w:t>-</w:t>
            </w:r>
            <w:r>
              <w:rPr>
                <w:rFonts w:hint="eastAsia" w:asciiTheme="minorEastAsia" w:hAnsiTheme="minorEastAsia" w:eastAsiaTheme="minorEastAsia" w:cstheme="minorEastAsia"/>
                <w:b w:val="0"/>
                <w:bCs w:val="0"/>
                <w:color w:val="auto"/>
                <w:szCs w:val="21"/>
                <w:highlight w:val="none"/>
                <w:lang w:val="en-US" w:eastAsia="zh-CN"/>
              </w:rPr>
              <w:t>9.1</w:t>
            </w:r>
            <w:r>
              <w:rPr>
                <w:rFonts w:hint="eastAsia" w:asciiTheme="minorEastAsia" w:hAnsiTheme="minorEastAsia" w:eastAsiaTheme="minorEastAsia" w:cstheme="minorEastAsia"/>
                <w:color w:val="auto"/>
                <w:szCs w:val="21"/>
                <w:highlight w:val="none"/>
              </w:rPr>
              <w:t>分；保障措施内容较完整，基本可行，针对性较强的得9</w:t>
            </w:r>
            <w:r>
              <w:rPr>
                <w:rFonts w:hint="eastAsia" w:asciiTheme="minorEastAsia" w:hAnsiTheme="minorEastAsia" w:eastAsiaTheme="minorEastAsia" w:cstheme="minorEastAsia"/>
                <w:color w:val="auto"/>
                <w:szCs w:val="21"/>
                <w:highlight w:val="none"/>
                <w:lang w:val="en-US" w:eastAsia="zh-CN"/>
              </w:rPr>
              <w:t>.0</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szCs w:val="21"/>
                <w:highlight w:val="none"/>
                <w:lang w:val="en-US" w:eastAsia="zh-CN"/>
              </w:rPr>
              <w:t>6.1</w:t>
            </w:r>
            <w:r>
              <w:rPr>
                <w:rFonts w:hint="eastAsia" w:asciiTheme="minorEastAsia" w:hAnsiTheme="minorEastAsia" w:eastAsiaTheme="minorEastAsia" w:cstheme="minorEastAsia"/>
                <w:b w:val="0"/>
                <w:bCs w:val="0"/>
                <w:color w:val="auto"/>
                <w:szCs w:val="21"/>
                <w:highlight w:val="none"/>
              </w:rPr>
              <w:t>分；</w:t>
            </w:r>
            <w:r>
              <w:rPr>
                <w:rFonts w:hint="eastAsia" w:asciiTheme="minorEastAsia" w:hAnsiTheme="minorEastAsia" w:eastAsiaTheme="minorEastAsia" w:cstheme="minorEastAsia"/>
                <w:b w:val="0"/>
                <w:bCs w:val="0"/>
                <w:strike w:val="0"/>
                <w:dstrike w:val="0"/>
                <w:color w:val="auto"/>
                <w:szCs w:val="21"/>
                <w:highlight w:val="none"/>
                <w:lang w:val="en-US" w:eastAsia="zh-CN"/>
              </w:rPr>
              <w:t>内容简单</w:t>
            </w:r>
            <w:r>
              <w:rPr>
                <w:rFonts w:hint="eastAsia" w:asciiTheme="minorEastAsia" w:hAnsiTheme="minorEastAsia" w:eastAsiaTheme="minorEastAsia" w:cstheme="minorEastAsia"/>
                <w:b w:val="0"/>
                <w:bCs w:val="0"/>
                <w:color w:val="auto"/>
                <w:szCs w:val="21"/>
                <w:highlight w:val="none"/>
              </w:rPr>
              <w:t>的</w:t>
            </w:r>
            <w:r>
              <w:rPr>
                <w:rFonts w:hint="eastAsia" w:asciiTheme="minorEastAsia" w:hAnsiTheme="minorEastAsia" w:eastAsiaTheme="minorEastAsia" w:cstheme="minorEastAsia"/>
                <w:color w:val="auto"/>
                <w:szCs w:val="21"/>
                <w:highlight w:val="none"/>
              </w:rPr>
              <w:t>得</w:t>
            </w:r>
            <w:r>
              <w:rPr>
                <w:rFonts w:hint="eastAsia" w:asciiTheme="minorEastAsia" w:hAnsiTheme="minorEastAsia" w:eastAsiaTheme="minorEastAsia" w:cstheme="minorEastAsia"/>
                <w:color w:val="auto"/>
                <w:szCs w:val="21"/>
                <w:highlight w:val="none"/>
                <w:lang w:val="en-US" w:eastAsia="zh-CN"/>
              </w:rPr>
              <w:t>6.0-3.1</w:t>
            </w:r>
            <w:r>
              <w:rPr>
                <w:rFonts w:hint="eastAsia" w:asciiTheme="minorEastAsia" w:hAnsiTheme="minorEastAsia" w:eastAsiaTheme="minorEastAsia" w:cstheme="minorEastAsia"/>
                <w:color w:val="auto"/>
                <w:szCs w:val="21"/>
                <w:highlight w:val="none"/>
              </w:rPr>
              <w:t>分，内容简略仅有提及的得3</w:t>
            </w:r>
            <w:r>
              <w:rPr>
                <w:rFonts w:hint="eastAsia" w:asciiTheme="minorEastAsia" w:hAnsiTheme="minorEastAsia" w:eastAsiaTheme="minorEastAsia" w:cstheme="minorEastAsia"/>
                <w:color w:val="auto"/>
                <w:szCs w:val="21"/>
                <w:highlight w:val="none"/>
                <w:lang w:val="en-US" w:eastAsia="zh-CN"/>
              </w:rPr>
              <w:t>.0-0.1</w:t>
            </w:r>
            <w:r>
              <w:rPr>
                <w:rFonts w:hint="eastAsia" w:asciiTheme="minorEastAsia" w:hAnsiTheme="minorEastAsia" w:eastAsiaTheme="minorEastAsia" w:cstheme="minorEastAsia"/>
                <w:color w:val="auto"/>
                <w:szCs w:val="21"/>
                <w:highlight w:val="none"/>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 w:hRule="atLeast"/>
          <w:jc w:val="center"/>
        </w:trPr>
        <w:tc>
          <w:tcPr>
            <w:tcW w:w="709" w:type="dxa"/>
            <w:vMerge w:val="restart"/>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8</w:t>
            </w:r>
          </w:p>
        </w:tc>
        <w:tc>
          <w:tcPr>
            <w:tcW w:w="1148" w:type="dxa"/>
            <w:gridSpan w:val="2"/>
            <w:vMerge w:val="restart"/>
            <w:shd w:val="clear" w:color="auto" w:fill="auto"/>
            <w:vAlign w:val="center"/>
          </w:tcPr>
          <w:p>
            <w:pPr>
              <w:keepNext w:val="0"/>
              <w:keepLines w:val="0"/>
              <w:suppressLineNumbers w:val="0"/>
              <w:adjustRightInd w:val="0"/>
              <w:spacing w:before="0" w:beforeAutospacing="0" w:after="0" w:afterAutospacing="0" w:line="360" w:lineRule="exact"/>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lang w:val="zh-CN"/>
              </w:rPr>
              <w:t>项目实施的</w:t>
            </w:r>
            <w:r>
              <w:rPr>
                <w:rFonts w:hint="eastAsia" w:asciiTheme="minorEastAsia" w:hAnsiTheme="minorEastAsia" w:eastAsiaTheme="minorEastAsia" w:cstheme="minorEastAsia"/>
                <w:color w:val="auto"/>
                <w:szCs w:val="21"/>
                <w:highlight w:val="none"/>
              </w:rPr>
              <w:t>人员</w:t>
            </w:r>
            <w:r>
              <w:rPr>
                <w:rFonts w:hint="eastAsia" w:asciiTheme="minorEastAsia" w:hAnsiTheme="minorEastAsia" w:eastAsiaTheme="minorEastAsia" w:cstheme="minorEastAsia"/>
                <w:color w:val="auto"/>
                <w:szCs w:val="21"/>
                <w:highlight w:val="none"/>
                <w:lang w:val="zh-CN"/>
              </w:rPr>
              <w:t>技术力量和设备</w:t>
            </w:r>
          </w:p>
        </w:tc>
        <w:tc>
          <w:tcPr>
            <w:tcW w:w="896" w:type="dxa"/>
            <w:shd w:val="clear" w:color="auto" w:fill="auto"/>
            <w:vAlign w:val="center"/>
          </w:tcPr>
          <w:p>
            <w:pPr>
              <w:keepNext w:val="0"/>
              <w:keepLines w:val="0"/>
              <w:suppressLineNumbers w:val="0"/>
              <w:spacing w:before="0" w:beforeAutospacing="0" w:after="0" w:afterAutospacing="0" w:line="360" w:lineRule="auto"/>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0-10</w:t>
            </w:r>
          </w:p>
        </w:tc>
        <w:tc>
          <w:tcPr>
            <w:tcW w:w="7286" w:type="dxa"/>
            <w:gridSpan w:val="2"/>
            <w:shd w:val="clear" w:color="auto" w:fill="auto"/>
            <w:vAlign w:val="center"/>
          </w:tcPr>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lang w:val="zh-CN"/>
              </w:rPr>
            </w:pPr>
            <w:r>
              <w:rPr>
                <w:rFonts w:hint="eastAsia" w:asciiTheme="minorEastAsia" w:hAnsiTheme="minorEastAsia" w:eastAsiaTheme="minorEastAsia" w:cstheme="minorEastAsia"/>
                <w:color w:val="auto"/>
                <w:szCs w:val="21"/>
                <w:highlight w:val="none"/>
                <w:lang w:val="zh-CN"/>
              </w:rPr>
              <w:t>投标人有与</w:t>
            </w:r>
            <w:r>
              <w:rPr>
                <w:rFonts w:hint="eastAsia" w:asciiTheme="minorEastAsia" w:hAnsiTheme="minorEastAsia" w:eastAsiaTheme="minorEastAsia" w:cstheme="minorEastAsia"/>
                <w:color w:val="auto"/>
                <w:szCs w:val="21"/>
                <w:highlight w:val="none"/>
              </w:rPr>
              <w:t>地质灾害防治勘查、测绘、安全管理</w:t>
            </w:r>
            <w:r>
              <w:rPr>
                <w:rFonts w:hint="eastAsia" w:asciiTheme="minorEastAsia" w:hAnsiTheme="minorEastAsia" w:eastAsiaTheme="minorEastAsia" w:cstheme="minorEastAsia"/>
                <w:color w:val="auto"/>
                <w:szCs w:val="21"/>
                <w:highlight w:val="none"/>
                <w:lang w:val="zh-CN"/>
              </w:rPr>
              <w:t>相适应的专业人才（</w:t>
            </w:r>
            <w:r>
              <w:rPr>
                <w:rFonts w:hint="eastAsia" w:asciiTheme="minorEastAsia" w:hAnsiTheme="minorEastAsia" w:eastAsiaTheme="minorEastAsia" w:cstheme="minorEastAsia"/>
                <w:color w:val="auto"/>
                <w:szCs w:val="21"/>
                <w:highlight w:val="none"/>
              </w:rPr>
              <w:t>不含项目负责人和技术负责人</w:t>
            </w:r>
            <w:r>
              <w:rPr>
                <w:rFonts w:hint="eastAsia" w:asciiTheme="minorEastAsia" w:hAnsiTheme="minorEastAsia" w:eastAsiaTheme="minorEastAsia" w:cstheme="minorEastAsia"/>
                <w:color w:val="auto"/>
                <w:szCs w:val="21"/>
                <w:highlight w:val="none"/>
                <w:lang w:val="zh-CN"/>
              </w:rPr>
              <w:t>）。</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rPr>
            </w:pPr>
            <w:r>
              <w:rPr>
                <w:rFonts w:asciiTheme="minorEastAsia" w:hAnsiTheme="minorEastAsia" w:eastAsiaTheme="minorEastAsia" w:cstheme="minorEastAsia"/>
                <w:color w:val="auto"/>
                <w:szCs w:val="21"/>
                <w:highlight w:val="none"/>
              </w:rPr>
              <w:t>1.服务团队具备</w:t>
            </w:r>
            <w:r>
              <w:rPr>
                <w:rFonts w:hint="eastAsia" w:asciiTheme="minorEastAsia" w:hAnsiTheme="minorEastAsia" w:eastAsiaTheme="minorEastAsia" w:cstheme="minorEastAsia"/>
                <w:color w:val="auto"/>
                <w:szCs w:val="21"/>
                <w:highlight w:val="none"/>
              </w:rPr>
              <w:t>中</w:t>
            </w:r>
            <w:r>
              <w:rPr>
                <w:rFonts w:asciiTheme="minorEastAsia" w:hAnsiTheme="minorEastAsia" w:eastAsiaTheme="minorEastAsia" w:cstheme="minorEastAsia"/>
                <w:color w:val="auto"/>
                <w:szCs w:val="21"/>
                <w:highlight w:val="none"/>
              </w:rPr>
              <w:t>级注册安全工程师职称的得</w:t>
            </w:r>
            <w:r>
              <w:rPr>
                <w:rFonts w:hint="eastAsia" w:asciiTheme="minorEastAsia" w:hAnsiTheme="minorEastAsia" w:eastAsiaTheme="minorEastAsia" w:cstheme="minorEastAsia"/>
                <w:color w:val="auto"/>
                <w:szCs w:val="21"/>
                <w:highlight w:val="none"/>
              </w:rPr>
              <w:t>3分；</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rPr>
            </w:pPr>
            <w:r>
              <w:rPr>
                <w:rFonts w:asciiTheme="minorEastAsia" w:hAnsiTheme="minorEastAsia" w:eastAsiaTheme="minorEastAsia" w:cstheme="minorEastAsia"/>
                <w:color w:val="auto"/>
                <w:szCs w:val="21"/>
                <w:highlight w:val="none"/>
              </w:rPr>
              <w:t>2.</w:t>
            </w:r>
            <w:r>
              <w:rPr>
                <w:rFonts w:hint="eastAsia" w:asciiTheme="minorEastAsia" w:hAnsiTheme="minorEastAsia" w:eastAsiaTheme="minorEastAsia" w:cstheme="minorEastAsia"/>
                <w:color w:val="auto"/>
                <w:szCs w:val="21"/>
                <w:highlight w:val="none"/>
              </w:rPr>
              <w:t>服务团队其他人员具有水文与工程地质、测绘相关专业高级及以上职称证书的，每提供一个证书得</w:t>
            </w:r>
            <w:r>
              <w:rPr>
                <w:rFonts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rPr>
              <w:t>分，最高得7分。</w:t>
            </w:r>
          </w:p>
          <w:p>
            <w:pPr>
              <w:keepNext w:val="0"/>
              <w:keepLines w:val="0"/>
              <w:suppressLineNumbers w:val="0"/>
              <w:spacing w:before="0" w:beforeAutospacing="0" w:after="0" w:afterAutospacing="0"/>
              <w:ind w:left="0" w:right="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zh-CN"/>
              </w:rPr>
              <w:t>（</w:t>
            </w:r>
            <w:r>
              <w:rPr>
                <w:rFonts w:hint="eastAsia" w:asciiTheme="minorEastAsia" w:hAnsiTheme="minorEastAsia" w:eastAsiaTheme="minorEastAsia" w:cstheme="minorEastAsia"/>
                <w:color w:val="auto"/>
                <w:szCs w:val="21"/>
                <w:highlight w:val="none"/>
              </w:rPr>
              <w:t>须提供</w:t>
            </w:r>
            <w:r>
              <w:rPr>
                <w:rFonts w:hint="eastAsia" w:asciiTheme="minorEastAsia" w:hAnsiTheme="minorEastAsia" w:eastAsiaTheme="minorEastAsia" w:cstheme="minorEastAsia"/>
                <w:color w:val="auto"/>
                <w:szCs w:val="21"/>
                <w:highlight w:val="none"/>
                <w:lang w:val="zh-CN"/>
              </w:rPr>
              <w:t>职称证书、</w:t>
            </w:r>
            <w:r>
              <w:rPr>
                <w:rFonts w:hint="eastAsia" w:asciiTheme="minorEastAsia" w:hAnsiTheme="minorEastAsia" w:eastAsiaTheme="minorEastAsia" w:cstheme="minorEastAsia"/>
                <w:color w:val="auto"/>
                <w:szCs w:val="21"/>
                <w:highlight w:val="none"/>
              </w:rPr>
              <w:t>6个月</w:t>
            </w:r>
            <w:r>
              <w:rPr>
                <w:rFonts w:hint="eastAsia" w:asciiTheme="minorEastAsia" w:hAnsiTheme="minorEastAsia" w:eastAsiaTheme="minorEastAsia" w:cstheme="minorEastAsia"/>
                <w:color w:val="auto"/>
                <w:szCs w:val="21"/>
                <w:highlight w:val="none"/>
                <w:lang w:val="zh-CN"/>
              </w:rPr>
              <w:t>社保</w:t>
            </w:r>
            <w:r>
              <w:rPr>
                <w:rFonts w:hint="eastAsia" w:asciiTheme="minorEastAsia" w:hAnsiTheme="minorEastAsia" w:eastAsiaTheme="minorEastAsia" w:cstheme="minorEastAsia"/>
                <w:color w:val="auto"/>
                <w:szCs w:val="21"/>
                <w:highlight w:val="none"/>
              </w:rPr>
              <w:t>等证明材料扫描件</w:t>
            </w:r>
            <w:r>
              <w:rPr>
                <w:rFonts w:hint="eastAsia" w:asciiTheme="minorEastAsia" w:hAnsiTheme="minorEastAsia" w:eastAsiaTheme="minorEastAsia" w:cstheme="minorEastAsia"/>
                <w:color w:val="auto"/>
                <w:szCs w:val="21"/>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5" w:hRule="atLeast"/>
          <w:jc w:val="center"/>
        </w:trPr>
        <w:tc>
          <w:tcPr>
            <w:tcW w:w="709" w:type="dxa"/>
            <w:vMerge w:val="continue"/>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p>
        </w:tc>
        <w:tc>
          <w:tcPr>
            <w:tcW w:w="1148" w:type="dxa"/>
            <w:gridSpan w:val="2"/>
            <w:vMerge w:val="continue"/>
            <w:shd w:val="clear" w:color="auto" w:fill="auto"/>
            <w:vAlign w:val="center"/>
          </w:tcPr>
          <w:p>
            <w:pPr>
              <w:keepNext w:val="0"/>
              <w:keepLines w:val="0"/>
              <w:suppressLineNumbers w:val="0"/>
              <w:adjustRightInd w:val="0"/>
              <w:spacing w:before="0" w:beforeAutospacing="0" w:after="0" w:afterAutospacing="0" w:line="360" w:lineRule="exact"/>
              <w:ind w:left="0" w:right="0"/>
              <w:jc w:val="center"/>
              <w:rPr>
                <w:rFonts w:asciiTheme="minorEastAsia" w:hAnsiTheme="minorEastAsia" w:eastAsiaTheme="minorEastAsia" w:cstheme="minorEastAsia"/>
                <w:color w:val="auto"/>
                <w:szCs w:val="21"/>
                <w:highlight w:val="none"/>
                <w:lang w:val="zh-CN"/>
              </w:rPr>
            </w:pPr>
          </w:p>
        </w:tc>
        <w:tc>
          <w:tcPr>
            <w:tcW w:w="896" w:type="dxa"/>
            <w:shd w:val="clear" w:color="auto" w:fill="auto"/>
            <w:vAlign w:val="center"/>
          </w:tcPr>
          <w:p>
            <w:pPr>
              <w:keepNext w:val="0"/>
              <w:keepLines w:val="0"/>
              <w:suppressLineNumbers w:val="0"/>
              <w:spacing w:before="0" w:beforeAutospacing="0" w:after="0" w:afterAutospacing="0" w:line="360" w:lineRule="auto"/>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0-5</w:t>
            </w:r>
          </w:p>
        </w:tc>
        <w:tc>
          <w:tcPr>
            <w:tcW w:w="7286" w:type="dxa"/>
            <w:gridSpan w:val="2"/>
            <w:shd w:val="clear" w:color="auto" w:fill="auto"/>
            <w:vAlign w:val="center"/>
          </w:tcPr>
          <w:p>
            <w:pPr>
              <w:pStyle w:val="2"/>
              <w:keepNext w:val="0"/>
              <w:keepLines w:val="0"/>
              <w:suppressLineNumbers w:val="0"/>
              <w:spacing w:before="0" w:beforeAutospacing="0" w:after="0" w:afterAutospacing="0"/>
              <w:ind w:left="0" w:right="0" w:firstLine="0"/>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val="zh-CN"/>
              </w:rPr>
              <w:t>根据投标人提供有与地面沉降监测技术服务相适应的专业仪器设备情况进行打分。设备齐全</w:t>
            </w:r>
            <w:r>
              <w:rPr>
                <w:rFonts w:hint="eastAsia" w:asciiTheme="minorEastAsia" w:hAnsiTheme="minorEastAsia" w:eastAsiaTheme="minorEastAsia" w:cstheme="minorEastAsia"/>
                <w:color w:val="auto"/>
                <w:szCs w:val="21"/>
                <w:highlight w:val="none"/>
              </w:rPr>
              <w:t>、技术指标满足项目要求、对本项目实际</w:t>
            </w:r>
            <w:r>
              <w:rPr>
                <w:rFonts w:hint="eastAsia" w:asciiTheme="minorEastAsia" w:hAnsiTheme="minorEastAsia" w:eastAsiaTheme="minorEastAsia" w:cstheme="minorEastAsia"/>
                <w:b w:val="0"/>
                <w:bCs w:val="0"/>
                <w:color w:val="auto"/>
                <w:szCs w:val="21"/>
                <w:highlight w:val="none"/>
              </w:rPr>
              <w:t>情况具有针对性</w:t>
            </w:r>
            <w:r>
              <w:rPr>
                <w:rFonts w:hint="eastAsia" w:asciiTheme="minorEastAsia" w:hAnsiTheme="minorEastAsia" w:eastAsiaTheme="minorEastAsia" w:cstheme="minorEastAsia"/>
                <w:b w:val="0"/>
                <w:bCs w:val="0"/>
                <w:strike w:val="0"/>
                <w:dstrike w:val="0"/>
                <w:color w:val="auto"/>
                <w:szCs w:val="21"/>
                <w:highlight w:val="none"/>
              </w:rPr>
              <w:t>，</w:t>
            </w:r>
            <w:r>
              <w:rPr>
                <w:rFonts w:hint="eastAsia" w:asciiTheme="minorEastAsia" w:hAnsiTheme="minorEastAsia" w:eastAsiaTheme="minorEastAsia" w:cstheme="minorEastAsia"/>
                <w:b w:val="0"/>
                <w:bCs w:val="0"/>
                <w:strike w:val="0"/>
                <w:dstrike w:val="0"/>
                <w:color w:val="auto"/>
                <w:szCs w:val="21"/>
                <w:highlight w:val="none"/>
                <w:lang w:val="en-US" w:eastAsia="zh-CN"/>
              </w:rPr>
              <w:t>内容全面详细</w:t>
            </w:r>
            <w:r>
              <w:rPr>
                <w:rFonts w:hint="eastAsia" w:asciiTheme="minorEastAsia" w:hAnsiTheme="minorEastAsia" w:eastAsiaTheme="minorEastAsia" w:cstheme="minorEastAsia"/>
                <w:b w:val="0"/>
                <w:bCs w:val="0"/>
                <w:color w:val="auto"/>
                <w:szCs w:val="21"/>
                <w:highlight w:val="none"/>
              </w:rPr>
              <w:t>的得</w:t>
            </w:r>
            <w:r>
              <w:rPr>
                <w:rFonts w:hint="eastAsia" w:asciiTheme="minorEastAsia" w:hAnsiTheme="minorEastAsia" w:eastAsiaTheme="minorEastAsia" w:cstheme="minorEastAsia"/>
                <w:b w:val="0"/>
                <w:bCs w:val="0"/>
                <w:color w:val="auto"/>
                <w:szCs w:val="21"/>
                <w:highlight w:val="none"/>
                <w:lang w:val="en-US" w:eastAsia="zh-CN"/>
              </w:rPr>
              <w:t>5.0-3.1</w:t>
            </w:r>
            <w:r>
              <w:rPr>
                <w:rFonts w:hint="eastAsia" w:asciiTheme="minorEastAsia" w:hAnsiTheme="minorEastAsia" w:eastAsiaTheme="minorEastAsia" w:cstheme="minorEastAsia"/>
                <w:b w:val="0"/>
                <w:bCs w:val="0"/>
                <w:color w:val="auto"/>
                <w:szCs w:val="21"/>
                <w:highlight w:val="none"/>
              </w:rPr>
              <w:t>分；内容简单的得</w:t>
            </w:r>
            <w:r>
              <w:rPr>
                <w:rFonts w:hint="eastAsia" w:asciiTheme="minorEastAsia" w:hAnsiTheme="minorEastAsia" w:eastAsiaTheme="minorEastAsia" w:cstheme="minorEastAsia"/>
                <w:b w:val="0"/>
                <w:bCs w:val="0"/>
                <w:color w:val="auto"/>
                <w:szCs w:val="21"/>
                <w:highlight w:val="none"/>
                <w:lang w:val="en-US" w:eastAsia="zh-CN"/>
              </w:rPr>
              <w:t>3.0-1.1</w:t>
            </w:r>
            <w:r>
              <w:rPr>
                <w:rFonts w:hint="eastAsia" w:asciiTheme="minorEastAsia" w:hAnsiTheme="minorEastAsia" w:eastAsiaTheme="minorEastAsia" w:cstheme="minorEastAsia"/>
                <w:b w:val="0"/>
                <w:bCs w:val="0"/>
                <w:color w:val="auto"/>
                <w:szCs w:val="21"/>
                <w:highlight w:val="none"/>
              </w:rPr>
              <w:t>分；内容简略仅有提</w:t>
            </w:r>
            <w:r>
              <w:rPr>
                <w:rFonts w:hint="eastAsia" w:asciiTheme="minorEastAsia" w:hAnsiTheme="minorEastAsia" w:eastAsiaTheme="minorEastAsia" w:cstheme="minorEastAsia"/>
                <w:color w:val="auto"/>
                <w:szCs w:val="21"/>
                <w:highlight w:val="none"/>
              </w:rPr>
              <w:t>及的得</w:t>
            </w:r>
            <w:r>
              <w:rPr>
                <w:rFonts w:hint="eastAsia" w:asciiTheme="minorEastAsia" w:hAnsiTheme="minorEastAsia" w:eastAsiaTheme="minorEastAsia" w:cstheme="minorEastAsia"/>
                <w:color w:val="auto"/>
                <w:szCs w:val="21"/>
                <w:highlight w:val="none"/>
                <w:lang w:val="en-US" w:eastAsia="zh-CN"/>
              </w:rPr>
              <w:t>1.0-0.1</w:t>
            </w:r>
            <w:r>
              <w:rPr>
                <w:rFonts w:hint="eastAsia" w:asciiTheme="minorEastAsia" w:hAnsiTheme="minorEastAsia" w:eastAsiaTheme="minorEastAsia" w:cstheme="minorEastAsia"/>
                <w:color w:val="auto"/>
                <w:szCs w:val="21"/>
                <w:highlight w:val="none"/>
              </w:rPr>
              <w:t>分，未提供的不得分。</w:t>
            </w:r>
          </w:p>
          <w:p>
            <w:pPr>
              <w:pStyle w:val="2"/>
              <w:keepNext w:val="0"/>
              <w:keepLines w:val="0"/>
              <w:suppressLineNumbers w:val="0"/>
              <w:spacing w:before="0" w:beforeAutospacing="0" w:after="0" w:afterAutospacing="0"/>
              <w:ind w:left="0" w:right="0" w:firstLine="0"/>
              <w:rPr>
                <w:rFonts w:asciiTheme="minorEastAsia" w:hAnsiTheme="minorEastAsia" w:eastAsiaTheme="minorEastAsia" w:cstheme="minorEastAsia"/>
                <w:b/>
                <w:bCs/>
                <w:color w:val="auto"/>
                <w:szCs w:val="21"/>
                <w:highlight w:val="none"/>
                <w:lang w:val="zh-CN"/>
              </w:rPr>
            </w:pPr>
            <w:r>
              <w:rPr>
                <w:rFonts w:hint="eastAsia" w:asciiTheme="minorEastAsia" w:hAnsiTheme="minorEastAsia" w:eastAsiaTheme="minorEastAsia" w:cstheme="minorEastAsia"/>
                <w:b/>
                <w:bCs/>
                <w:color w:val="auto"/>
                <w:szCs w:val="21"/>
                <w:highlight w:val="none"/>
              </w:rPr>
              <w:t>（投标人需提供相关仪器设备发票</w:t>
            </w:r>
            <w:r>
              <w:rPr>
                <w:rFonts w:hint="eastAsia" w:asciiTheme="minorEastAsia" w:hAnsiTheme="minorEastAsia" w:eastAsiaTheme="minorEastAsia" w:cstheme="minorEastAsia"/>
                <w:b/>
                <w:bCs/>
                <w:color w:val="auto"/>
                <w:szCs w:val="21"/>
                <w:highlight w:val="none"/>
                <w:lang w:val="en-US" w:eastAsia="zh-CN"/>
              </w:rPr>
              <w:t>或租赁合同</w:t>
            </w:r>
            <w:r>
              <w:rPr>
                <w:rFonts w:hint="eastAsia" w:asciiTheme="minorEastAsia" w:hAnsiTheme="minorEastAsia" w:eastAsiaTheme="minorEastAsia" w:cstheme="minorEastAsia"/>
                <w:b/>
                <w:bCs/>
                <w:color w:val="auto"/>
                <w:szCs w:val="21"/>
                <w:highlight w:val="none"/>
              </w:rPr>
              <w:t>扫描件，否则不得分）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lang w:val="en-US" w:eastAsia="zh-CN"/>
              </w:rPr>
              <w:t>9</w:t>
            </w:r>
          </w:p>
        </w:tc>
        <w:tc>
          <w:tcPr>
            <w:tcW w:w="1148" w:type="dxa"/>
            <w:gridSpan w:val="2"/>
            <w:shd w:val="clear" w:color="auto" w:fill="auto"/>
            <w:vAlign w:val="center"/>
          </w:tcPr>
          <w:p>
            <w:pPr>
              <w:keepNext w:val="0"/>
              <w:keepLines w:val="0"/>
              <w:suppressLineNumbers w:val="0"/>
              <w:adjustRightInd w:val="0"/>
              <w:spacing w:before="0" w:beforeAutospacing="0" w:after="0" w:afterAutospacing="0" w:line="360" w:lineRule="exact"/>
              <w:ind w:left="0" w:right="0"/>
              <w:jc w:val="center"/>
              <w:rPr>
                <w:rFonts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重难点分析及解决</w:t>
            </w:r>
          </w:p>
        </w:tc>
        <w:tc>
          <w:tcPr>
            <w:tcW w:w="896" w:type="dxa"/>
            <w:shd w:val="clear" w:color="auto" w:fill="auto"/>
            <w:vAlign w:val="center"/>
          </w:tcPr>
          <w:p>
            <w:pPr>
              <w:keepNext w:val="0"/>
              <w:keepLines w:val="0"/>
              <w:widowControl/>
              <w:suppressLineNumbers w:val="0"/>
              <w:spacing w:before="0" w:beforeAutospacing="0" w:after="0" w:afterAutospacing="0"/>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0-10</w:t>
            </w:r>
          </w:p>
        </w:tc>
        <w:tc>
          <w:tcPr>
            <w:tcW w:w="7286" w:type="dxa"/>
            <w:gridSpan w:val="2"/>
            <w:shd w:val="clear" w:color="auto" w:fill="auto"/>
            <w:vAlign w:val="center"/>
          </w:tcPr>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结合项目实际情况，对本项目重点、难点的进行分析，并提出相应的解决措施。</w:t>
            </w:r>
          </w:p>
          <w:p>
            <w:pPr>
              <w:pStyle w:val="62"/>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bCs w:val="0"/>
                <w:color w:val="auto"/>
                <w:kern w:val="2"/>
                <w:sz w:val="21"/>
                <w:highlight w:val="none"/>
              </w:rPr>
            </w:pPr>
            <w:r>
              <w:rPr>
                <w:rFonts w:hint="eastAsia" w:asciiTheme="minorEastAsia" w:hAnsiTheme="minorEastAsia" w:eastAsiaTheme="minorEastAsia" w:cstheme="minorEastAsia"/>
                <w:color w:val="auto"/>
                <w:kern w:val="2"/>
                <w:sz w:val="21"/>
                <w:highlight w:val="none"/>
              </w:rPr>
              <w:t>对本项目重点、难点的把握准确，且针对该重点难点提出的解决措施切实可行的，内容完整全面得</w:t>
            </w:r>
            <w:r>
              <w:rPr>
                <w:rFonts w:hint="eastAsia" w:asciiTheme="minorEastAsia" w:hAnsiTheme="minorEastAsia" w:eastAsiaTheme="minorEastAsia" w:cstheme="minorEastAsia"/>
                <w:color w:val="auto"/>
                <w:kern w:val="2"/>
                <w:sz w:val="21"/>
                <w:highlight w:val="none"/>
                <w:lang w:val="en-US" w:eastAsia="zh-CN"/>
              </w:rPr>
              <w:t>10.0-7.1</w:t>
            </w:r>
            <w:r>
              <w:rPr>
                <w:rFonts w:hint="eastAsia" w:asciiTheme="minorEastAsia" w:hAnsiTheme="minorEastAsia" w:eastAsiaTheme="minorEastAsia" w:cstheme="minorEastAsia"/>
                <w:color w:val="auto"/>
                <w:kern w:val="2"/>
                <w:sz w:val="21"/>
                <w:highlight w:val="none"/>
              </w:rPr>
              <w:t>分；内容基本可行，针对性较强的得</w:t>
            </w:r>
            <w:r>
              <w:rPr>
                <w:rFonts w:hint="eastAsia" w:asciiTheme="minorEastAsia" w:hAnsiTheme="minorEastAsia" w:eastAsiaTheme="minorEastAsia" w:cstheme="minorEastAsia"/>
                <w:color w:val="auto"/>
                <w:kern w:val="2"/>
                <w:sz w:val="21"/>
                <w:highlight w:val="none"/>
                <w:lang w:val="en-US" w:eastAsia="zh-CN"/>
              </w:rPr>
              <w:t>7.0-4.1</w:t>
            </w:r>
            <w:r>
              <w:rPr>
                <w:rFonts w:hint="eastAsia" w:asciiTheme="minorEastAsia" w:hAnsiTheme="minorEastAsia" w:eastAsiaTheme="minorEastAsia" w:cstheme="minorEastAsia"/>
                <w:color w:val="auto"/>
                <w:kern w:val="2"/>
                <w:sz w:val="21"/>
                <w:highlight w:val="none"/>
              </w:rPr>
              <w:t>分；内容简单的得</w:t>
            </w:r>
            <w:r>
              <w:rPr>
                <w:rFonts w:hint="eastAsia" w:asciiTheme="minorEastAsia" w:hAnsiTheme="minorEastAsia" w:eastAsiaTheme="minorEastAsia" w:cstheme="minorEastAsia"/>
                <w:color w:val="auto"/>
                <w:kern w:val="2"/>
                <w:sz w:val="21"/>
                <w:highlight w:val="none"/>
                <w:lang w:val="en-US" w:eastAsia="zh-CN"/>
              </w:rPr>
              <w:t>4.0-2.1</w:t>
            </w:r>
            <w:r>
              <w:rPr>
                <w:rFonts w:hint="eastAsia" w:asciiTheme="minorEastAsia" w:hAnsiTheme="minorEastAsia" w:eastAsiaTheme="minorEastAsia" w:cstheme="minorEastAsia"/>
                <w:color w:val="auto"/>
                <w:kern w:val="2"/>
                <w:sz w:val="21"/>
                <w:highlight w:val="none"/>
              </w:rPr>
              <w:t>分；内容简略仅有提及的得</w:t>
            </w:r>
            <w:r>
              <w:rPr>
                <w:rFonts w:hint="eastAsia" w:asciiTheme="minorEastAsia" w:hAnsiTheme="minorEastAsia" w:eastAsiaTheme="minorEastAsia" w:cstheme="minorEastAsia"/>
                <w:color w:val="auto"/>
                <w:kern w:val="2"/>
                <w:sz w:val="21"/>
                <w:highlight w:val="none"/>
                <w:lang w:val="en-US" w:eastAsia="zh-CN"/>
              </w:rPr>
              <w:t>2.0-0.1</w:t>
            </w:r>
            <w:r>
              <w:rPr>
                <w:rFonts w:hint="eastAsia" w:asciiTheme="minorEastAsia" w:hAnsiTheme="minorEastAsia" w:eastAsiaTheme="minorEastAsia" w:cstheme="minorEastAsia"/>
                <w:color w:val="auto"/>
                <w:kern w:val="2"/>
                <w:sz w:val="21"/>
                <w:highlight w:val="none"/>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eastAsia="zh-CN"/>
              </w:rPr>
            </w:pPr>
            <w:r>
              <w:rPr>
                <w:rFonts w:hint="eastAsia" w:asciiTheme="minorEastAsia" w:hAnsiTheme="minorEastAsia" w:eastAsiaTheme="minorEastAsia" w:cstheme="minorEastAsia"/>
                <w:bCs/>
                <w:color w:val="auto"/>
                <w:szCs w:val="21"/>
                <w:highlight w:val="none"/>
              </w:rPr>
              <w:t>1</w:t>
            </w:r>
            <w:r>
              <w:rPr>
                <w:rFonts w:hint="eastAsia" w:asciiTheme="minorEastAsia" w:hAnsiTheme="minorEastAsia" w:eastAsiaTheme="minorEastAsia" w:cstheme="minorEastAsia"/>
                <w:bCs/>
                <w:color w:val="auto"/>
                <w:szCs w:val="21"/>
                <w:highlight w:val="none"/>
                <w:lang w:val="en-US" w:eastAsia="zh-CN"/>
              </w:rPr>
              <w:t>0</w:t>
            </w:r>
          </w:p>
        </w:tc>
        <w:tc>
          <w:tcPr>
            <w:tcW w:w="1148" w:type="dxa"/>
            <w:gridSpan w:val="2"/>
            <w:shd w:val="clear" w:color="auto" w:fill="auto"/>
            <w:vAlign w:val="center"/>
          </w:tcPr>
          <w:p>
            <w:pPr>
              <w:keepNext w:val="0"/>
              <w:keepLines w:val="0"/>
              <w:suppressLineNumbers w:val="0"/>
              <w:spacing w:before="0" w:beforeAutospacing="0" w:after="0" w:afterAutospacing="0" w:line="360" w:lineRule="exact"/>
              <w:ind w:left="0" w:right="0"/>
              <w:jc w:val="center"/>
              <w:rPr>
                <w:rFonts w:asciiTheme="minorEastAsia" w:hAnsiTheme="minorEastAsia" w:eastAsiaTheme="minorEastAsia" w:cstheme="minorEastAsia"/>
                <w:color w:val="auto"/>
                <w:szCs w:val="21"/>
                <w:highlight w:val="none"/>
              </w:rPr>
            </w:pPr>
            <w:r>
              <w:rPr>
                <w:rFonts w:hint="eastAsia" w:ascii="宋体" w:hAnsi="宋体" w:eastAsia="宋体" w:cs="宋体"/>
                <w:bCs/>
                <w:color w:val="auto"/>
                <w:kern w:val="2"/>
                <w:sz w:val="21"/>
                <w:szCs w:val="21"/>
                <w:lang w:val="en-US" w:eastAsia="zh-CN" w:bidi="ar"/>
              </w:rPr>
              <w:t>应急响应</w:t>
            </w:r>
          </w:p>
        </w:tc>
        <w:tc>
          <w:tcPr>
            <w:tcW w:w="896" w:type="dxa"/>
            <w:shd w:val="clear" w:color="auto" w:fill="auto"/>
            <w:vAlign w:val="center"/>
          </w:tcPr>
          <w:p>
            <w:pPr>
              <w:keepNext w:val="0"/>
              <w:keepLines w:val="0"/>
              <w:suppressLineNumbers w:val="0"/>
              <w:spacing w:before="0" w:beforeAutospacing="0" w:after="0" w:afterAutospacing="0"/>
              <w:ind w:left="0" w:right="0"/>
              <w:jc w:val="center"/>
              <w:rPr>
                <w:rFonts w:asciiTheme="minorEastAsia" w:hAnsiTheme="minorEastAsia" w:eastAsiaTheme="minorEastAsia" w:cstheme="minorEastAsia"/>
                <w:bCs/>
                <w:color w:val="auto"/>
                <w:szCs w:val="21"/>
                <w:highlight w:val="none"/>
              </w:rPr>
            </w:pPr>
            <w:r>
              <w:rPr>
                <w:rFonts w:asciiTheme="minorEastAsia" w:hAnsiTheme="minorEastAsia" w:eastAsiaTheme="minorEastAsia" w:cstheme="minorEastAsia"/>
                <w:bCs/>
                <w:color w:val="auto"/>
                <w:szCs w:val="21"/>
                <w:highlight w:val="none"/>
              </w:rPr>
              <w:t>0-8</w:t>
            </w:r>
          </w:p>
        </w:tc>
        <w:tc>
          <w:tcPr>
            <w:tcW w:w="7286" w:type="dxa"/>
            <w:gridSpan w:val="2"/>
            <w:shd w:val="clear" w:color="auto" w:fill="auto"/>
            <w:vAlign w:val="center"/>
          </w:tcPr>
          <w:p>
            <w:pPr>
              <w:keepNext w:val="0"/>
              <w:keepLines w:val="0"/>
              <w:suppressLineNumbers w:val="0"/>
              <w:adjustRightInd w:val="0"/>
              <w:snapToGrid w:val="0"/>
              <w:spacing w:before="0" w:beforeAutospacing="0" w:after="0" w:afterAutospacing="0"/>
              <w:ind w:left="0" w:right="0"/>
              <w:rPr>
                <w:rFonts w:asciiTheme="minorEastAsia" w:hAnsiTheme="minorEastAsia" w:eastAsiaTheme="minorEastAsia" w:cstheme="minorEastAsia"/>
                <w:bCs/>
                <w:color w:val="auto"/>
                <w:szCs w:val="21"/>
                <w:highlight w:val="yellow"/>
              </w:rPr>
            </w:pPr>
            <w:r>
              <w:rPr>
                <w:rFonts w:hint="eastAsia" w:ascii="宋体" w:hAnsi="宋体" w:eastAsia="宋体" w:cs="宋体"/>
                <w:bCs/>
                <w:color w:val="auto"/>
                <w:kern w:val="2"/>
                <w:sz w:val="21"/>
                <w:szCs w:val="21"/>
                <w:lang w:val="en-US" w:eastAsia="zh-CN" w:bidi="ar"/>
              </w:rPr>
              <w:t>根据投标人承诺的应急服务响应时间进行评分。服务响应时间在3小时内的8.0-5.1分；服务响应时间3小时-6小时的5.0-2.1分；服务响应时间超过6小时的2.0-0.1分。</w:t>
            </w:r>
            <w:r>
              <w:rPr>
                <w:rFonts w:hint="eastAsia" w:ascii="宋体" w:hAnsi="宋体" w:eastAsia="宋体" w:cs="宋体"/>
                <w:color w:val="auto"/>
                <w:kern w:val="2"/>
                <w:sz w:val="21"/>
                <w:szCs w:val="21"/>
                <w:lang w:val="en-US" w:eastAsia="zh-CN" w:bidi="ar"/>
              </w:rPr>
              <w:t>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suppressLineNumbers w:val="0"/>
              <w:adjustRightInd w:val="0"/>
              <w:snapToGrid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eastAsiaTheme="minorEastAsia" w:cstheme="minorEastAsia"/>
                <w:bCs/>
                <w:color w:val="auto"/>
                <w:szCs w:val="21"/>
                <w:highlight w:val="none"/>
                <w:lang w:val="en-US" w:eastAsia="zh-CN"/>
              </w:rPr>
              <w:t>11</w:t>
            </w:r>
          </w:p>
        </w:tc>
        <w:tc>
          <w:tcPr>
            <w:tcW w:w="1148" w:type="dxa"/>
            <w:gridSpan w:val="2"/>
            <w:shd w:val="clear" w:color="auto" w:fill="auto"/>
            <w:vAlign w:val="center"/>
          </w:tcPr>
          <w:p>
            <w:pPr>
              <w:keepNext w:val="0"/>
              <w:keepLines w:val="0"/>
              <w:suppressLineNumbers w:val="0"/>
              <w:spacing w:before="0" w:beforeAutospacing="0" w:after="0" w:afterAutospacing="0" w:line="360" w:lineRule="exact"/>
              <w:ind w:left="0" w:right="0"/>
              <w:jc w:val="center"/>
              <w:rPr>
                <w:rFonts w:asciiTheme="minorEastAsia" w:hAnsiTheme="minorEastAsia" w:eastAsiaTheme="minorEastAsia" w:cstheme="minorEastAsia"/>
                <w:color w:val="auto"/>
                <w:szCs w:val="21"/>
                <w:highlight w:val="none"/>
              </w:rPr>
            </w:pPr>
            <w:r>
              <w:rPr>
                <w:rFonts w:asciiTheme="minorEastAsia" w:hAnsiTheme="minorEastAsia" w:eastAsiaTheme="minorEastAsia" w:cstheme="minorEastAsia"/>
                <w:color w:val="auto"/>
                <w:szCs w:val="21"/>
                <w:highlight w:val="none"/>
              </w:rPr>
              <w:t>服务承诺</w:t>
            </w:r>
          </w:p>
        </w:tc>
        <w:tc>
          <w:tcPr>
            <w:tcW w:w="896" w:type="dxa"/>
            <w:shd w:val="clear" w:color="auto" w:fill="auto"/>
            <w:vAlign w:val="center"/>
          </w:tcPr>
          <w:p>
            <w:pPr>
              <w:keepNext w:val="0"/>
              <w:keepLines w:val="0"/>
              <w:suppressLineNumbers w:val="0"/>
              <w:spacing w:before="0" w:beforeAutospacing="0" w:after="0" w:afterAutospacing="0"/>
              <w:ind w:left="0" w:right="0"/>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eastAsiaTheme="minorEastAsia" w:cstheme="minorEastAsia"/>
                <w:b w:val="0"/>
                <w:bCs/>
                <w:strike w:val="0"/>
                <w:dstrike w:val="0"/>
                <w:color w:val="auto"/>
                <w:szCs w:val="21"/>
                <w:highlight w:val="none"/>
              </w:rPr>
              <w:t>0-</w:t>
            </w:r>
            <w:r>
              <w:rPr>
                <w:rFonts w:hint="eastAsia" w:asciiTheme="minorEastAsia" w:hAnsiTheme="minorEastAsia" w:eastAsiaTheme="minorEastAsia" w:cstheme="minorEastAsia"/>
                <w:b w:val="0"/>
                <w:bCs/>
                <w:strike w:val="0"/>
                <w:dstrike w:val="0"/>
                <w:color w:val="auto"/>
                <w:szCs w:val="21"/>
                <w:highlight w:val="none"/>
                <w:lang w:val="en-US" w:eastAsia="zh-CN"/>
              </w:rPr>
              <w:t>10</w:t>
            </w:r>
          </w:p>
        </w:tc>
        <w:tc>
          <w:tcPr>
            <w:tcW w:w="7286" w:type="dxa"/>
            <w:gridSpan w:val="2"/>
            <w:shd w:val="clear" w:color="auto" w:fill="auto"/>
            <w:vAlign w:val="center"/>
          </w:tcPr>
          <w:p>
            <w:pPr>
              <w:keepNext w:val="0"/>
              <w:keepLines w:val="0"/>
              <w:widowControl/>
              <w:suppressLineNumbers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asciiTheme="minorEastAsia" w:hAnsiTheme="minorEastAsia" w:eastAsiaTheme="minorEastAsia" w:cstheme="minorEastAsia"/>
                <w:color w:val="auto"/>
              </w:rPr>
              <w:t>根据投标人提供的后续服务方案（服务承诺</w:t>
            </w:r>
            <w:r>
              <w:rPr>
                <w:rFonts w:asciiTheme="minorEastAsia" w:hAnsiTheme="minorEastAsia" w:eastAsiaTheme="minorEastAsia" w:cstheme="minorEastAsia"/>
                <w:color w:val="auto"/>
                <w:highlight w:val="none"/>
              </w:rPr>
              <w:t>、措施、响应等）进行打分。承诺完整全面、对本项目实际情况具有针对性且切实可行的得</w:t>
            </w:r>
            <w:r>
              <w:rPr>
                <w:rFonts w:hint="eastAsia" w:asciiTheme="minorEastAsia" w:hAnsiTheme="minorEastAsia" w:eastAsiaTheme="minorEastAsia" w:cstheme="minorEastAsia"/>
                <w:color w:val="auto"/>
                <w:kern w:val="2"/>
                <w:sz w:val="21"/>
                <w:highlight w:val="none"/>
                <w:lang w:val="en-US" w:eastAsia="zh-CN"/>
              </w:rPr>
              <w:t>10.0-7.1</w:t>
            </w:r>
            <w:r>
              <w:rPr>
                <w:rFonts w:asciiTheme="minorEastAsia" w:hAnsiTheme="minorEastAsia" w:eastAsiaTheme="minorEastAsia" w:cstheme="minorEastAsia"/>
                <w:color w:val="auto"/>
                <w:highlight w:val="none"/>
              </w:rPr>
              <w:t>分；</w:t>
            </w:r>
            <w:r>
              <w:rPr>
                <w:rFonts w:hint="eastAsia" w:asciiTheme="minorEastAsia" w:hAnsiTheme="minorEastAsia" w:eastAsiaTheme="minorEastAsia" w:cstheme="minorEastAsia"/>
                <w:color w:val="auto"/>
                <w:kern w:val="2"/>
                <w:sz w:val="21"/>
                <w:highlight w:val="none"/>
              </w:rPr>
              <w:t>内容基本可行，针对性较强的得</w:t>
            </w:r>
            <w:r>
              <w:rPr>
                <w:rFonts w:hint="eastAsia" w:asciiTheme="minorEastAsia" w:hAnsiTheme="minorEastAsia" w:eastAsiaTheme="minorEastAsia" w:cstheme="minorEastAsia"/>
                <w:color w:val="auto"/>
                <w:kern w:val="2"/>
                <w:sz w:val="21"/>
                <w:highlight w:val="none"/>
                <w:lang w:val="en-US" w:eastAsia="zh-CN"/>
              </w:rPr>
              <w:t>7.0-4.1</w:t>
            </w:r>
            <w:r>
              <w:rPr>
                <w:rFonts w:hint="eastAsia" w:asciiTheme="minorEastAsia" w:hAnsiTheme="minorEastAsia" w:eastAsiaTheme="minorEastAsia" w:cstheme="minorEastAsia"/>
                <w:color w:val="auto"/>
                <w:kern w:val="2"/>
                <w:sz w:val="21"/>
                <w:highlight w:val="none"/>
              </w:rPr>
              <w:t>分；</w:t>
            </w:r>
            <w:r>
              <w:rPr>
                <w:rFonts w:asciiTheme="minorEastAsia" w:hAnsiTheme="minorEastAsia" w:eastAsiaTheme="minorEastAsia" w:cstheme="minorEastAsia"/>
                <w:color w:val="auto"/>
                <w:highlight w:val="none"/>
              </w:rPr>
              <w:t>内容描写存在缺陷，针对性和可操作性不强得</w:t>
            </w:r>
            <w:r>
              <w:rPr>
                <w:rFonts w:hint="eastAsia" w:asciiTheme="minorEastAsia" w:hAnsiTheme="minorEastAsia" w:eastAsiaTheme="minorEastAsia" w:cstheme="minorEastAsia"/>
                <w:color w:val="auto"/>
                <w:kern w:val="2"/>
                <w:sz w:val="21"/>
                <w:highlight w:val="none"/>
                <w:lang w:val="en-US" w:eastAsia="zh-CN"/>
              </w:rPr>
              <w:t>4.0-2.1</w:t>
            </w:r>
            <w:r>
              <w:rPr>
                <w:rFonts w:asciiTheme="minorEastAsia" w:hAnsiTheme="minorEastAsia" w:eastAsiaTheme="minorEastAsia" w:cstheme="minorEastAsia"/>
                <w:color w:val="auto"/>
                <w:highlight w:val="none"/>
              </w:rPr>
              <w:t>分；内容简略仅有提及的</w:t>
            </w:r>
            <w:r>
              <w:rPr>
                <w:rFonts w:asciiTheme="minorEastAsia" w:hAnsiTheme="minorEastAsia" w:eastAsiaTheme="minorEastAsia" w:cstheme="minorEastAsia"/>
                <w:color w:val="auto"/>
              </w:rPr>
              <w:t>得</w:t>
            </w:r>
            <w:r>
              <w:rPr>
                <w:rFonts w:hint="eastAsia" w:asciiTheme="minorEastAsia" w:hAnsiTheme="minorEastAsia" w:eastAsiaTheme="minorEastAsia" w:cstheme="minorEastAsia"/>
                <w:color w:val="auto"/>
                <w:kern w:val="2"/>
                <w:sz w:val="21"/>
                <w:highlight w:val="none"/>
                <w:lang w:val="en-US" w:eastAsia="zh-CN"/>
              </w:rPr>
              <w:t>2.0-0.1</w:t>
            </w:r>
            <w:r>
              <w:rPr>
                <w:rFonts w:asciiTheme="minorEastAsia" w:hAnsiTheme="minorEastAsia" w:eastAsiaTheme="minorEastAsia" w:cstheme="minorEastAsia"/>
                <w:color w:val="auto"/>
              </w:rPr>
              <w:t>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10039" w:type="dxa"/>
            <w:gridSpan w:val="6"/>
            <w:shd w:val="clear" w:color="auto" w:fill="auto"/>
            <w:vAlign w:val="center"/>
          </w:tcPr>
          <w:p>
            <w:pPr>
              <w:pStyle w:val="62"/>
              <w:keepNext w:val="0"/>
              <w:keepLines w:val="0"/>
              <w:suppressLineNumbers w:val="0"/>
              <w:spacing w:before="0" w:beforeAutospacing="0" w:after="0" w:afterAutospacing="0"/>
              <w:ind w:left="0" w:right="0"/>
              <w:rPr>
                <w:rFonts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二、报价部分（10分）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Theme="minorEastAsia" w:hAnsiTheme="minorEastAsia" w:eastAsiaTheme="minorEastAsia" w:cstheme="minorEastAsia"/>
                <w:b/>
                <w:bCs/>
                <w:color w:val="auto"/>
                <w:szCs w:val="21"/>
                <w:highlight w:val="none"/>
                <w:lang w:eastAsia="zh-CN"/>
              </w:rPr>
            </w:pPr>
            <w:r>
              <w:rPr>
                <w:rFonts w:hint="eastAsia" w:asciiTheme="minorEastAsia" w:hAnsiTheme="minorEastAsia" w:eastAsiaTheme="minorEastAsia" w:cstheme="minorEastAsia"/>
                <w:color w:val="auto"/>
                <w:szCs w:val="21"/>
                <w:highlight w:val="none"/>
              </w:rPr>
              <w:t>1</w:t>
            </w:r>
            <w:r>
              <w:rPr>
                <w:rFonts w:hint="eastAsia" w:asciiTheme="minorEastAsia" w:hAnsiTheme="minorEastAsia" w:eastAsiaTheme="minorEastAsia" w:cstheme="minorEastAsia"/>
                <w:color w:val="auto"/>
                <w:szCs w:val="21"/>
                <w:highlight w:val="none"/>
                <w:lang w:val="en-US" w:eastAsia="zh-CN"/>
              </w:rPr>
              <w:t>2</w:t>
            </w:r>
          </w:p>
        </w:tc>
        <w:tc>
          <w:tcPr>
            <w:tcW w:w="1088" w:type="dxa"/>
            <w:shd w:val="clear" w:color="auto" w:fill="auto"/>
            <w:vAlign w:val="center"/>
          </w:tcPr>
          <w:p>
            <w:pPr>
              <w:keepNext w:val="0"/>
              <w:keepLines w:val="0"/>
              <w:suppressLineNumbers w:val="0"/>
              <w:autoSpaceDE w:val="0"/>
              <w:autoSpaceDN w:val="0"/>
              <w:adjustRightInd w:val="0"/>
              <w:spacing w:before="0" w:beforeAutospacing="0" w:after="0" w:afterAutospacing="0"/>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投标报价</w:t>
            </w:r>
          </w:p>
        </w:tc>
        <w:tc>
          <w:tcPr>
            <w:tcW w:w="1005" w:type="dxa"/>
            <w:gridSpan w:val="3"/>
            <w:shd w:val="clear" w:color="auto" w:fill="auto"/>
            <w:vAlign w:val="center"/>
          </w:tcPr>
          <w:p>
            <w:pPr>
              <w:keepNext w:val="0"/>
              <w:keepLines w:val="0"/>
              <w:suppressLineNumbers w:val="0"/>
              <w:autoSpaceDE w:val="0"/>
              <w:autoSpaceDN w:val="0"/>
              <w:adjustRightInd w:val="0"/>
              <w:spacing w:before="0" w:beforeAutospacing="0" w:after="0" w:afterAutospacing="0"/>
              <w:ind w:left="0" w:right="0"/>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10</w:t>
            </w:r>
          </w:p>
        </w:tc>
        <w:tc>
          <w:tcPr>
            <w:tcW w:w="7237" w:type="dxa"/>
            <w:shd w:val="clear" w:color="auto" w:fill="auto"/>
            <w:vAlign w:val="center"/>
          </w:tcPr>
          <w:p>
            <w:pPr>
              <w:keepNext w:val="0"/>
              <w:keepLines w:val="0"/>
              <w:suppressLineNumbers w:val="0"/>
              <w:autoSpaceDE w:val="0"/>
              <w:autoSpaceDN w:val="0"/>
              <w:adjustRightInd w:val="0"/>
              <w:spacing w:before="0" w:beforeAutospacing="0" w:after="0" w:afterAutospacing="0"/>
              <w:ind w:left="0" w:right="0"/>
              <w:jc w:val="left"/>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以合格投标人有效投标总报价中的最低价为基准价，基准价为10分。投标报价得分＝（评标基准价/最终投标报价）×</w:t>
            </w:r>
            <w:r>
              <w:rPr>
                <w:rFonts w:hint="eastAsia" w:asciiTheme="minorEastAsia" w:hAnsiTheme="minorEastAsia" w:eastAsiaTheme="minorEastAsia" w:cstheme="minorEastAsia"/>
                <w:color w:val="auto"/>
                <w:kern w:val="0"/>
                <w:szCs w:val="21"/>
                <w:highlight w:val="none"/>
              </w:rPr>
              <w:t>10%</w:t>
            </w:r>
            <w:r>
              <w:rPr>
                <w:rFonts w:hint="eastAsia" w:asciiTheme="minorEastAsia" w:hAnsiTheme="minorEastAsia" w:eastAsiaTheme="minorEastAsia" w:cstheme="minorEastAsia"/>
                <w:color w:val="auto"/>
                <w:szCs w:val="21"/>
                <w:highlight w:val="none"/>
              </w:rPr>
              <w:t>×</w:t>
            </w:r>
            <w:r>
              <w:rPr>
                <w:rFonts w:hint="eastAsia" w:asciiTheme="minorEastAsia" w:hAnsiTheme="minorEastAsia" w:eastAsiaTheme="minorEastAsia" w:cstheme="minorEastAsia"/>
                <w:color w:val="auto"/>
                <w:kern w:val="0"/>
                <w:szCs w:val="21"/>
                <w:highlight w:val="none"/>
              </w:rPr>
              <w:t>100</w:t>
            </w:r>
            <w:r>
              <w:rPr>
                <w:rFonts w:hint="eastAsia" w:asciiTheme="minorEastAsia" w:hAnsiTheme="minorEastAsia" w:eastAsiaTheme="minorEastAsia" w:cstheme="minorEastAsia"/>
                <w:color w:val="auto"/>
                <w:szCs w:val="21"/>
                <w:highlight w:val="none"/>
              </w:rPr>
              <w:t>（小数点后保留2位小数）。</w:t>
            </w:r>
          </w:p>
        </w:tc>
      </w:tr>
    </w:tbl>
    <w:p>
      <w:pPr>
        <w:rPr>
          <w:rFonts w:ascii="宋体" w:hAnsi="宋体" w:cs="宋体"/>
          <w:color w:val="auto"/>
          <w:sz w:val="24"/>
          <w:highlight w:val="none"/>
        </w:rPr>
      </w:pPr>
      <w:r>
        <w:rPr>
          <w:rFonts w:hint="eastAsia" w:ascii="宋体" w:hAnsi="宋体" w:cs="宋体"/>
          <w:color w:val="auto"/>
          <w:sz w:val="24"/>
          <w:highlight w:val="none"/>
        </w:rPr>
        <w:t>注：</w:t>
      </w:r>
    </w:p>
    <w:p>
      <w:pPr>
        <w:rPr>
          <w:rFonts w:ascii="宋体" w:hAnsi="宋体" w:cs="宋体"/>
          <w:b/>
          <w:bCs/>
          <w:color w:val="auto"/>
          <w:sz w:val="24"/>
          <w:highlight w:val="none"/>
        </w:rPr>
      </w:pPr>
      <w:r>
        <w:rPr>
          <w:rFonts w:hint="eastAsia" w:ascii="宋体" w:hAnsi="宋体" w:cs="宋体"/>
          <w:b/>
          <w:bCs/>
          <w:color w:val="auto"/>
          <w:sz w:val="24"/>
          <w:highlight w:val="none"/>
        </w:rPr>
        <w:t>①请扫描上传合同、证书、报告及其他相关证明材料的原件至投标文件，并加盖电子印章。</w:t>
      </w:r>
    </w:p>
    <w:p>
      <w:pPr>
        <w:pStyle w:val="13"/>
        <w:snapToGrid w:val="0"/>
        <w:spacing w:line="360" w:lineRule="auto"/>
        <w:ind w:firstLine="482" w:firstLineChars="200"/>
        <w:rPr>
          <w:rFonts w:hAnsi="宋体"/>
          <w:b/>
          <w:color w:val="auto"/>
          <w:sz w:val="24"/>
          <w:highlight w:val="none"/>
        </w:rPr>
      </w:pPr>
      <w:r>
        <w:rPr>
          <w:rFonts w:hint="eastAsia" w:hAnsi="宋体"/>
          <w:b/>
          <w:color w:val="auto"/>
          <w:sz w:val="24"/>
          <w:highlight w:val="none"/>
        </w:rPr>
        <w:t>2.评审要求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（1）评标委员会应当按照招标文件中规定的评标方法和标准，对符合性审查合格的投标文件的商务部分和技术部分进行综合比较与评价，其中</w:t>
      </w:r>
      <w:r>
        <w:rPr>
          <w:rFonts w:hint="eastAsia" w:ascii="宋体" w:hAnsi="宋体" w:cs="宋体"/>
          <w:bCs/>
          <w:color w:val="auto"/>
          <w:sz w:val="24"/>
          <w:highlight w:val="none"/>
          <w:lang w:val="zh-CN"/>
        </w:rPr>
        <w:t>客观</w:t>
      </w:r>
      <w:r>
        <w:rPr>
          <w:rFonts w:hint="eastAsia" w:ascii="宋体" w:hAnsi="宋体" w:cs="宋体"/>
          <w:bCs/>
          <w:color w:val="auto"/>
          <w:sz w:val="24"/>
          <w:highlight w:val="none"/>
        </w:rPr>
        <w:t>评分项的分值</w:t>
      </w:r>
      <w:r>
        <w:rPr>
          <w:rFonts w:hint="eastAsia" w:ascii="宋体" w:hAnsi="宋体" w:cs="宋体"/>
          <w:bCs/>
          <w:color w:val="auto"/>
          <w:sz w:val="24"/>
          <w:highlight w:val="none"/>
          <w:lang w:val="zh-CN"/>
        </w:rPr>
        <w:t>应当一致。</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（2）对于投标文件报价出现前后不一致的，除招标文件另有规定外，按照下列规定修正：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①‘政府采购云平台’上开启的投标报价与电子投标文件中开标一览表（报价表）内容不一致的，以电子投标文件中开标一览表（报价表）为准。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②投标文件中开标一览表（报价表）内容与投标文件中相应内容不一致的，以开标一览表（报价表）为准；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③大写金额和小写金额不一致的，以大写金额为准；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④单价金额小数点或者百分比有明显错位的，以开标一览表的总价为准，并修改单价；</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5 \* GB3 \* MERGEFORMAT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⑤</w:t>
      </w:r>
      <w:r>
        <w:rPr>
          <w:rFonts w:hint="eastAsia" w:ascii="宋体" w:hAnsi="宋体" w:cs="宋体"/>
          <w:color w:val="auto"/>
          <w:sz w:val="24"/>
          <w:highlight w:val="none"/>
        </w:rPr>
        <w:fldChar w:fldCharType="end"/>
      </w:r>
      <w:r>
        <w:rPr>
          <w:rFonts w:hint="eastAsia" w:ascii="宋体" w:hAnsi="宋体" w:cs="宋体"/>
          <w:color w:val="auto"/>
          <w:sz w:val="24"/>
          <w:highlight w:val="none"/>
        </w:rPr>
        <w:t>总价金额与按单价汇总金额不一致的，以单价金额计算结果为准。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同时出现两种以上不一致的，按照前款规定的顺序修正。修正应当采用电子询标的形式，并加盖公章（电子印章）。</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（3）对于投标文件中含义不明确、同类问题表述不一致或者有明显文字和计算错误的内容，评标委员会应当要求投标人作出必要的澄清、说明或者补正。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（4）投标人的澄清、说明或者补正采用书面形式，并加盖公章（电子印章）或者由法定代表人或授权委托代理人签字，且不得超出投标文件的范围或者改变投标文件的实质性内容。</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（四）结果汇总及排序</w:t>
      </w:r>
    </w:p>
    <w:p>
      <w:pPr>
        <w:spacing w:line="360" w:lineRule="auto"/>
        <w:ind w:firstLine="480" w:firstLineChars="200"/>
        <w:rPr>
          <w:rFonts w:ascii="宋体"/>
          <w:color w:val="auto"/>
          <w:sz w:val="24"/>
          <w:highlight w:val="none"/>
          <w:lang w:val="zh-CN"/>
        </w:rPr>
      </w:pPr>
      <w:r>
        <w:rPr>
          <w:rFonts w:hint="eastAsia" w:ascii="宋体" w:hAnsi="宋体" w:cs="宋体"/>
          <w:color w:val="auto"/>
          <w:sz w:val="24"/>
          <w:highlight w:val="none"/>
        </w:rPr>
        <w:t>评标委员会各成员应当独立对每个投标人的投标文件进行评价，并汇总每个投标人的得分。评标结果按评审后综合得分由高到低顺序排列，</w:t>
      </w:r>
      <w:r>
        <w:rPr>
          <w:rFonts w:hint="eastAsia" w:ascii="宋体"/>
          <w:color w:val="auto"/>
          <w:sz w:val="24"/>
          <w:highlight w:val="none"/>
          <w:lang w:val="zh-CN"/>
        </w:rPr>
        <w:t>如综合得分相同，投标报价低者为先；如综合得分且投标报价相同的，服务类采购项目以实力信誉及业绩得分较高者为先。</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（五）评标报告撰写</w:t>
      </w:r>
    </w:p>
    <w:p>
      <w:pPr>
        <w:spacing w:line="360" w:lineRule="auto"/>
        <w:ind w:firstLine="480" w:firstLineChars="200"/>
        <w:rPr>
          <w:rFonts w:cs="宋体"/>
          <w:b/>
          <w:bCs/>
          <w:color w:val="auto"/>
          <w:highlight w:val="none"/>
        </w:rPr>
      </w:pPr>
      <w:r>
        <w:rPr>
          <w:rFonts w:hint="eastAsia" w:ascii="宋体" w:hAnsi="宋体" w:cs="宋体"/>
          <w:color w:val="auto"/>
          <w:sz w:val="24"/>
          <w:highlight w:val="none"/>
        </w:rPr>
        <w:t>评标委员会根据全体评标成员签字的原始评标记录和评标结果编写评标报告。</w:t>
      </w:r>
    </w:p>
    <w:p>
      <w:pPr>
        <w:spacing w:line="360" w:lineRule="auto"/>
        <w:jc w:val="center"/>
        <w:rPr>
          <w:rFonts w:ascii="宋体" w:hAnsi="宋体" w:cs="宋体"/>
          <w:b/>
          <w:color w:val="auto"/>
          <w:sz w:val="24"/>
          <w:highlight w:val="none"/>
        </w:rPr>
      </w:pPr>
      <w:bookmarkStart w:id="37" w:name="_Toc27944_WPSOffice_Level1"/>
    </w:p>
    <w:p>
      <w:pPr>
        <w:pStyle w:val="2"/>
        <w:rPr>
          <w:rFonts w:ascii="宋体" w:hAnsi="宋体" w:cs="宋体"/>
          <w:b/>
          <w:color w:val="auto"/>
          <w:sz w:val="24"/>
          <w:highlight w:val="none"/>
        </w:rPr>
      </w:pPr>
    </w:p>
    <w:p>
      <w:pPr>
        <w:pStyle w:val="2"/>
        <w:rPr>
          <w:rFonts w:ascii="宋体" w:hAnsi="宋体" w:cs="宋体"/>
          <w:b/>
          <w:color w:val="auto"/>
          <w:sz w:val="24"/>
          <w:highlight w:val="none"/>
        </w:rPr>
      </w:pPr>
      <w:r>
        <w:rPr>
          <w:rFonts w:ascii="宋体" w:hAnsi="宋体" w:cs="宋体"/>
          <w:b/>
          <w:color w:val="auto"/>
          <w:sz w:val="24"/>
          <w:highlight w:val="none"/>
        </w:rPr>
        <w:br w:type="page"/>
      </w:r>
    </w:p>
    <w:bookmarkEnd w:id="37"/>
    <w:p>
      <w:pPr>
        <w:pStyle w:val="3"/>
        <w:numPr>
          <w:ilvl w:val="0"/>
          <w:numId w:val="7"/>
        </w:numPr>
        <w:rPr>
          <w:color w:val="auto"/>
          <w:sz w:val="36"/>
          <w:szCs w:val="36"/>
          <w:highlight w:val="none"/>
        </w:rPr>
      </w:pPr>
      <w:bookmarkStart w:id="38" w:name="_Toc5481_WPSOffice_Level1"/>
      <w:r>
        <w:rPr>
          <w:rFonts w:hint="eastAsia"/>
          <w:color w:val="auto"/>
          <w:sz w:val="36"/>
          <w:szCs w:val="36"/>
          <w:highlight w:val="none"/>
        </w:rPr>
        <w:t>拟签订的合同文本</w:t>
      </w:r>
    </w:p>
    <w:p>
      <w:pPr>
        <w:snapToGrid w:val="0"/>
        <w:spacing w:beforeLines="50" w:afterLines="50"/>
        <w:jc w:val="center"/>
        <w:rPr>
          <w:rFonts w:ascii="宋体" w:hAnsi="宋体" w:cs="宋体"/>
          <w:b/>
          <w:color w:val="auto"/>
          <w:sz w:val="24"/>
          <w:highlight w:val="none"/>
        </w:rPr>
      </w:pP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以下为成交后签订本项目合同的通用条款，中标人不得提出实质性的修改，关于专用条款将由采购人与中标人结合本项目具体情况协商后签订。</w:t>
      </w:r>
    </w:p>
    <w:p>
      <w:pPr>
        <w:widowControl/>
        <w:spacing w:line="360" w:lineRule="auto"/>
        <w:ind w:left="477" w:leftChars="227"/>
        <w:jc w:val="left"/>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台州市地质环境监测站台州市沿海平原地面沉降监测项目</w:t>
      </w:r>
      <w:r>
        <w:rPr>
          <w:rFonts w:hint="eastAsia" w:ascii="宋体" w:hAnsi="宋体" w:cs="宋体"/>
          <w:color w:val="auto"/>
          <w:sz w:val="24"/>
          <w:highlight w:val="none"/>
        </w:rPr>
        <w:t xml:space="preserve">                                   项目编号：</w:t>
      </w:r>
    </w:p>
    <w:p>
      <w:pPr>
        <w:widowControl/>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甲方：（采购单位）</w:t>
      </w:r>
      <w:r>
        <w:rPr>
          <w:rFonts w:hint="eastAsia" w:ascii="宋体" w:hAnsi="宋体" w:cs="宋体"/>
          <w:bCs/>
          <w:color w:val="auto"/>
          <w:sz w:val="24"/>
          <w:highlight w:val="none"/>
          <w:lang w:eastAsia="zh-CN"/>
        </w:rPr>
        <w:t>台州市地质环境监测站</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乙方：（中标供应商）</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甲、乙双方根据台州天兴工程管理咨询有限公司关于</w:t>
      </w:r>
      <w:r>
        <w:rPr>
          <w:rFonts w:hint="eastAsia" w:ascii="宋体" w:hAnsi="宋体" w:cs="宋体"/>
          <w:color w:val="auto"/>
          <w:sz w:val="24"/>
          <w:highlight w:val="none"/>
          <w:lang w:eastAsia="zh-CN"/>
        </w:rPr>
        <w:t>台州市沿海平原地面沉降监测项目</w:t>
      </w:r>
      <w:r>
        <w:rPr>
          <w:rFonts w:hint="eastAsia" w:ascii="宋体" w:hAnsi="宋体" w:cs="宋体"/>
          <w:color w:val="auto"/>
          <w:sz w:val="24"/>
          <w:highlight w:val="none"/>
        </w:rPr>
        <w:t>公开招标的成交结果，签署本合同。</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一、服务内容</w:t>
      </w:r>
    </w:p>
    <w:p>
      <w:pPr>
        <w:widowControl/>
        <w:spacing w:line="360" w:lineRule="auto"/>
        <w:ind w:firstLine="480" w:firstLineChars="200"/>
        <w:rPr>
          <w:rFonts w:hint="eastAsia" w:ascii="宋体" w:hAnsi="宋体" w:cs="宋体"/>
          <w:color w:val="auto"/>
          <w:sz w:val="24"/>
          <w:highlight w:val="none"/>
        </w:rPr>
      </w:pP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二、合同金额</w:t>
      </w:r>
    </w:p>
    <w:p>
      <w:pPr>
        <w:pStyle w:val="20"/>
        <w:widowControl w:val="0"/>
        <w:snapToGrid w:val="0"/>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本合同金额为（大写）：</w:t>
      </w:r>
      <w:r>
        <w:rPr>
          <w:rFonts w:hint="eastAsia" w:cs="宋体"/>
          <w:color w:val="auto"/>
          <w:highlight w:val="none"/>
          <w:u w:val="single"/>
          <w:lang w:val="en-US" w:eastAsia="zh-CN"/>
        </w:rPr>
        <w:t xml:space="preserve">                 </w:t>
      </w:r>
      <w:r>
        <w:rPr>
          <w:rFonts w:cs="宋体"/>
          <w:color w:val="auto"/>
          <w:highlight w:val="none"/>
        </w:rPr>
        <w:t>人民币（含税）。</w:t>
      </w:r>
      <w:r>
        <w:rPr>
          <w:rFonts w:cs="宋体"/>
          <w:color w:val="auto"/>
          <w:kern w:val="2"/>
          <w:highlight w:val="none"/>
        </w:rPr>
        <w:t>除此以外，甲方无需另行向乙方支付任何其他费用。</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三、技术资料</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1、乙方应按本合同及招标文件规定向甲方提供有关</w:t>
      </w:r>
      <w:r>
        <w:rPr>
          <w:rFonts w:hint="eastAsia" w:ascii="宋体" w:hAnsi="宋体" w:cs="宋体"/>
          <w:color w:val="auto"/>
          <w:sz w:val="24"/>
          <w:highlight w:val="none"/>
          <w:lang w:val="en-US" w:eastAsia="zh-CN"/>
        </w:rPr>
        <w:t>服务、</w:t>
      </w:r>
      <w:r>
        <w:rPr>
          <w:rFonts w:hint="eastAsia" w:ascii="宋体" w:hAnsi="宋体" w:cs="宋体"/>
          <w:color w:val="auto"/>
          <w:sz w:val="24"/>
          <w:highlight w:val="none"/>
        </w:rPr>
        <w:t>技术资料。</w:t>
      </w:r>
    </w:p>
    <w:p>
      <w:pPr>
        <w:widowControl/>
        <w:spacing w:line="360" w:lineRule="auto"/>
        <w:ind w:firstLine="480" w:firstLineChars="200"/>
        <w:rPr>
          <w:color w:val="auto"/>
          <w:highlight w:val="none"/>
        </w:rPr>
      </w:pPr>
      <w:r>
        <w:rPr>
          <w:rFonts w:hint="eastAsia" w:ascii="宋体" w:hAnsi="宋体" w:cs="宋体"/>
          <w:color w:val="auto"/>
          <w:sz w:val="24"/>
          <w:highlight w:val="none"/>
        </w:rPr>
        <w:t>2、没有甲方事先书面同意，乙方不得将由甲方提供的有关合同或任何合同条文、规格、计划、图纸、样品或资料、信息以及乙方</w:t>
      </w:r>
      <w:r>
        <w:rPr>
          <w:rFonts w:hint="eastAsia" w:ascii="宋体" w:hAnsi="宋体" w:cs="宋体"/>
          <w:color w:val="auto"/>
          <w:sz w:val="24"/>
          <w:highlight w:val="none"/>
          <w:lang w:val="en-US" w:eastAsia="zh-CN"/>
        </w:rPr>
        <w:t>在</w:t>
      </w:r>
      <w:r>
        <w:rPr>
          <w:rFonts w:hint="eastAsia" w:ascii="宋体" w:hAnsi="宋体" w:cs="宋体"/>
          <w:color w:val="auto"/>
          <w:sz w:val="24"/>
          <w:highlight w:val="none"/>
        </w:rPr>
        <w:t>履行本合同</w:t>
      </w:r>
      <w:r>
        <w:rPr>
          <w:rFonts w:hint="eastAsia" w:ascii="宋体" w:hAnsi="宋体" w:cs="宋体"/>
          <w:color w:val="auto"/>
          <w:sz w:val="24"/>
          <w:highlight w:val="none"/>
          <w:lang w:val="en-US" w:eastAsia="zh-CN"/>
        </w:rPr>
        <w:t>过程中</w:t>
      </w:r>
      <w:r>
        <w:rPr>
          <w:rFonts w:hint="eastAsia" w:ascii="宋体" w:hAnsi="宋体" w:cs="宋体"/>
          <w:color w:val="auto"/>
          <w:sz w:val="24"/>
          <w:highlight w:val="none"/>
        </w:rPr>
        <w:t>所知悉、获取、产生的所有数据、材料提供给与履行本合同无关的任何其他人。即使向履行本合同有关的人员提供，也应注意保密并限于履行合同的必需范围。</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四、知识产权</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1、乙方应保证提供服务过程中不会侵犯任何第三方的知识产权及合法权益。</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若因乙方原因引起相关争议，乙方应当负责处理及承担责任，如造成甲方损失的，乙方应当赔偿甲方因此遭受的全部损失（包括但不限于应对及追偿过程中所支付的律师费、差旅费、诉讼费、保全费、鉴定费、评估费等）。</w:t>
      </w:r>
    </w:p>
    <w:p>
      <w:pPr>
        <w:pStyle w:val="20"/>
        <w:widowControl w:val="0"/>
        <w:spacing w:before="0" w:beforeAutospacing="0" w:after="0" w:afterAutospacing="0" w:line="360" w:lineRule="auto"/>
        <w:ind w:firstLine="480" w:firstLineChars="200"/>
        <w:jc w:val="both"/>
        <w:rPr>
          <w:rFonts w:hint="default" w:eastAsia="宋体"/>
          <w:color w:val="auto"/>
          <w:highlight w:val="none"/>
          <w:lang w:val="en-US" w:eastAsia="zh-CN"/>
        </w:rPr>
      </w:pPr>
      <w:r>
        <w:rPr>
          <w:rFonts w:cs="宋体"/>
          <w:color w:val="auto"/>
          <w:kern w:val="2"/>
          <w:szCs w:val="21"/>
          <w:highlight w:val="none"/>
        </w:rPr>
        <w:t>3、乙方为完成本项目产生的相关图件</w:t>
      </w:r>
      <w:r>
        <w:rPr>
          <w:rFonts w:hint="eastAsia" w:cs="宋体"/>
          <w:color w:val="auto"/>
          <w:kern w:val="2"/>
          <w:szCs w:val="21"/>
          <w:highlight w:val="none"/>
          <w:lang w:eastAsia="zh-CN"/>
        </w:rPr>
        <w:t>、</w:t>
      </w:r>
      <w:r>
        <w:rPr>
          <w:rFonts w:hint="eastAsia" w:cs="宋体"/>
          <w:color w:val="auto"/>
          <w:kern w:val="2"/>
          <w:szCs w:val="21"/>
          <w:highlight w:val="none"/>
          <w:lang w:val="en-US" w:eastAsia="zh-CN"/>
        </w:rPr>
        <w:t>文字、数据等</w:t>
      </w:r>
      <w:r>
        <w:rPr>
          <w:rFonts w:cs="宋体"/>
          <w:color w:val="auto"/>
          <w:kern w:val="2"/>
          <w:szCs w:val="21"/>
          <w:highlight w:val="none"/>
        </w:rPr>
        <w:t>成果，其</w:t>
      </w:r>
      <w:r>
        <w:rPr>
          <w:rFonts w:hint="eastAsia" w:cs="宋体"/>
          <w:color w:val="auto"/>
          <w:kern w:val="2"/>
          <w:szCs w:val="21"/>
          <w:highlight w:val="none"/>
          <w:lang w:val="en-US" w:eastAsia="zh-CN"/>
        </w:rPr>
        <w:t>所有权和</w:t>
      </w:r>
      <w:r>
        <w:rPr>
          <w:rFonts w:cs="宋体"/>
          <w:color w:val="auto"/>
          <w:kern w:val="2"/>
          <w:szCs w:val="21"/>
          <w:highlight w:val="none"/>
        </w:rPr>
        <w:t>知识产权归甲方</w:t>
      </w:r>
      <w:r>
        <w:rPr>
          <w:rFonts w:hint="eastAsia" w:cs="宋体"/>
          <w:color w:val="auto"/>
          <w:kern w:val="2"/>
          <w:szCs w:val="21"/>
          <w:highlight w:val="none"/>
          <w:lang w:val="en-US" w:eastAsia="zh-CN"/>
        </w:rPr>
        <w:t>单独</w:t>
      </w:r>
      <w:r>
        <w:rPr>
          <w:rFonts w:cs="宋体"/>
          <w:color w:val="auto"/>
          <w:kern w:val="2"/>
          <w:szCs w:val="21"/>
          <w:highlight w:val="none"/>
        </w:rPr>
        <w:t>所有。</w:t>
      </w:r>
      <w:r>
        <w:rPr>
          <w:rFonts w:hint="eastAsia" w:cs="宋体"/>
          <w:color w:val="auto"/>
          <w:kern w:val="2"/>
          <w:szCs w:val="21"/>
          <w:highlight w:val="none"/>
          <w:lang w:val="en-US" w:eastAsia="zh-CN"/>
        </w:rPr>
        <w:t>未经甲方书面允许，乙方不得擅自使用或者对第三方提供、披露。</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五、转包或分包</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1、本合同范围的服务，应由乙方直接供应，不得转让</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转包</w:t>
      </w:r>
      <w:r>
        <w:rPr>
          <w:rFonts w:hint="eastAsia" w:ascii="宋体" w:hAnsi="宋体" w:cs="宋体"/>
          <w:color w:val="auto"/>
          <w:sz w:val="24"/>
          <w:highlight w:val="none"/>
        </w:rPr>
        <w:t>他人供应；</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2、除非得到甲方的书面同意，</w:t>
      </w:r>
      <w:r>
        <w:rPr>
          <w:rFonts w:hint="eastAsia" w:ascii="宋体" w:hAnsi="宋体" w:cs="宋体"/>
          <w:color w:val="auto"/>
          <w:sz w:val="24"/>
          <w:highlight w:val="none"/>
          <w:lang w:val="en-US" w:eastAsia="zh-CN"/>
        </w:rPr>
        <w:t>否则</w:t>
      </w:r>
      <w:r>
        <w:rPr>
          <w:rFonts w:hint="eastAsia" w:ascii="宋体" w:hAnsi="宋体" w:cs="宋体"/>
          <w:color w:val="auto"/>
          <w:sz w:val="24"/>
          <w:highlight w:val="none"/>
        </w:rPr>
        <w:t>乙方不得将本合同范围的服务全部或部分分包给他人供应；</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3、如有转让和未经甲方同意的</w:t>
      </w:r>
      <w:r>
        <w:rPr>
          <w:rFonts w:hint="eastAsia" w:ascii="宋体" w:hAnsi="宋体" w:cs="宋体"/>
          <w:color w:val="auto"/>
          <w:sz w:val="24"/>
          <w:highlight w:val="none"/>
          <w:lang w:val="en-US" w:eastAsia="zh-CN"/>
        </w:rPr>
        <w:t>转让、</w:t>
      </w:r>
      <w:r>
        <w:rPr>
          <w:rFonts w:hint="eastAsia" w:ascii="宋体" w:hAnsi="宋体" w:cs="宋体"/>
          <w:color w:val="auto"/>
          <w:sz w:val="24"/>
          <w:highlight w:val="none"/>
        </w:rPr>
        <w:t>转包、分包行为，甲方有权选择解除合同，并追究乙方的违约责任。</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六、履约保证金</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无</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七、合同履行时间、履行方式及履行地点</w:t>
      </w:r>
    </w:p>
    <w:p>
      <w:pPr>
        <w:pStyle w:val="20"/>
        <w:snapToGrid w:val="0"/>
        <w:spacing w:before="0" w:beforeAutospacing="0" w:after="0" w:afterAutospacing="0" w:line="360" w:lineRule="auto"/>
        <w:ind w:firstLine="480" w:firstLineChars="200"/>
        <w:jc w:val="both"/>
        <w:outlineLvl w:val="0"/>
        <w:rPr>
          <w:rFonts w:hint="default" w:cs="宋体"/>
          <w:bCs/>
          <w:color w:val="auto"/>
          <w:kern w:val="2"/>
          <w:highlight w:val="none"/>
        </w:rPr>
      </w:pPr>
      <w:r>
        <w:rPr>
          <w:rFonts w:cs="宋体"/>
          <w:bCs/>
          <w:color w:val="auto"/>
          <w:kern w:val="2"/>
          <w:highlight w:val="none"/>
        </w:rPr>
        <w:t>1、履行时间：</w:t>
      </w:r>
      <w:r>
        <w:rPr>
          <w:rFonts w:cs="宋体"/>
          <w:bCs/>
          <w:color w:val="auto"/>
          <w:highlight w:val="none"/>
        </w:rPr>
        <w:t>服务期限为</w:t>
      </w:r>
      <w:r>
        <w:rPr>
          <w:rFonts w:hint="eastAsia" w:cs="宋体"/>
          <w:bCs/>
          <w:color w:val="auto"/>
          <w:highlight w:val="none"/>
          <w:lang w:eastAsia="zh-CN"/>
        </w:rPr>
        <w:t>七个月</w:t>
      </w:r>
      <w:r>
        <w:rPr>
          <w:rFonts w:cs="宋体"/>
          <w:bCs/>
          <w:color w:val="auto"/>
          <w:highlight w:val="none"/>
        </w:rPr>
        <w:t>，按签订合同之日起计算，乙方应当在此期间内完成服务。</w:t>
      </w:r>
    </w:p>
    <w:p>
      <w:pPr>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2、履行方式：①符合相关测量、地下水监测</w:t>
      </w:r>
      <w:r>
        <w:rPr>
          <w:rFonts w:hint="eastAsia" w:ascii="宋体" w:hAnsi="宋体" w:cs="宋体"/>
          <w:bCs/>
          <w:color w:val="auto"/>
          <w:sz w:val="24"/>
          <w:highlight w:val="none"/>
          <w:lang w:val="en-US" w:eastAsia="zh-CN"/>
        </w:rPr>
        <w:t>的</w:t>
      </w:r>
      <w:r>
        <w:rPr>
          <w:rFonts w:hint="eastAsia" w:ascii="宋体" w:hAnsi="宋体" w:cs="宋体"/>
          <w:bCs/>
          <w:color w:val="auto"/>
          <w:sz w:val="24"/>
          <w:highlight w:val="none"/>
        </w:rPr>
        <w:t>规范要求</w:t>
      </w: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国家标准、地方标准及行业标准</w:t>
      </w:r>
      <w:r>
        <w:rPr>
          <w:rFonts w:hint="eastAsia" w:ascii="宋体" w:hAnsi="宋体" w:cs="宋体"/>
          <w:bCs/>
          <w:color w:val="auto"/>
          <w:sz w:val="24"/>
          <w:highlight w:val="none"/>
        </w:rPr>
        <w:t>。②符合</w:t>
      </w:r>
      <w:r>
        <w:rPr>
          <w:rFonts w:hint="eastAsia" w:ascii="宋体" w:hAnsi="宋体" w:cs="宋体"/>
          <w:bCs/>
          <w:color w:val="auto"/>
          <w:sz w:val="24"/>
          <w:highlight w:val="none"/>
          <w:lang w:val="en-US" w:eastAsia="zh-CN"/>
        </w:rPr>
        <w:t>本合同、招标文件要求及</w:t>
      </w:r>
      <w:r>
        <w:rPr>
          <w:rFonts w:hint="eastAsia" w:ascii="宋体" w:hAnsi="宋体" w:cs="宋体"/>
          <w:bCs/>
          <w:color w:val="auto"/>
          <w:sz w:val="24"/>
          <w:highlight w:val="none"/>
        </w:rPr>
        <w:t>甲方提出的要求。③项目成果通过专家评审验收（评审验收由乙方承担相应费用）</w:t>
      </w:r>
      <w:r>
        <w:rPr>
          <w:rFonts w:hint="eastAsia" w:ascii="宋体" w:hAnsi="宋体" w:cs="仿宋_GB2312"/>
          <w:color w:val="auto"/>
          <w:kern w:val="0"/>
          <w:sz w:val="24"/>
          <w:highlight w:val="none"/>
        </w:rPr>
        <w:t>。</w:t>
      </w:r>
    </w:p>
    <w:p>
      <w:pPr>
        <w:adjustRightInd w:val="0"/>
        <w:snapToGrid w:val="0"/>
        <w:spacing w:line="360" w:lineRule="auto"/>
        <w:ind w:firstLine="480" w:firstLineChars="200"/>
        <w:rPr>
          <w:rFonts w:ascii="宋体" w:hAnsi="宋体" w:cs="宋体"/>
          <w:bCs/>
          <w:color w:val="auto"/>
          <w:sz w:val="24"/>
          <w:highlight w:val="none"/>
        </w:rPr>
      </w:pPr>
      <w:r>
        <w:rPr>
          <w:rFonts w:hint="eastAsia" w:ascii="宋体" w:hAnsi="宋体" w:cs="宋体"/>
          <w:color w:val="auto"/>
          <w:sz w:val="24"/>
          <w:highlight w:val="none"/>
        </w:rPr>
        <w:t>3、履行地点：</w:t>
      </w:r>
      <w:r>
        <w:rPr>
          <w:rFonts w:hint="eastAsia" w:ascii="宋体" w:hAnsi="宋体" w:cs="宋体"/>
          <w:bCs/>
          <w:color w:val="auto"/>
          <w:kern w:val="0"/>
          <w:sz w:val="24"/>
          <w:highlight w:val="none"/>
        </w:rPr>
        <w:t>台州市</w:t>
      </w:r>
      <w:r>
        <w:rPr>
          <w:rFonts w:hint="eastAsia" w:ascii="宋体" w:hAnsi="宋体" w:cs="宋体"/>
          <w:bCs/>
          <w:color w:val="auto"/>
          <w:kern w:val="0"/>
          <w:sz w:val="24"/>
          <w:highlight w:val="none"/>
          <w:lang w:eastAsia="zh-CN"/>
        </w:rPr>
        <w:t>沿海</w:t>
      </w:r>
      <w:r>
        <w:rPr>
          <w:rFonts w:hint="eastAsia" w:ascii="宋体" w:hAnsi="宋体" w:cs="宋体"/>
          <w:bCs/>
          <w:color w:val="auto"/>
          <w:kern w:val="0"/>
          <w:sz w:val="24"/>
          <w:highlight w:val="none"/>
        </w:rPr>
        <w:t>平原(含新增三门沿海平原、椒北平原和玉环沿海平原）。</w:t>
      </w:r>
    </w:p>
    <w:p>
      <w:pPr>
        <w:widowControl/>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八、提交成果</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1、《台州市沿海平原地面沉降水准测量成果报告（2024年度）》</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包含有：点之记一套、平面位置图（水准点经纬度）等各类成果。</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提交打印文本和光盘各三套。</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2、《台州市沿海平原地面沉降监测报告（2024年度）》</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附图：（1）台州市沿海平原累计地面沉降图（2024年）；</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（2）台州市沿海平原地面沉降速率图（2024年）；</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（3）台州市沿海平原深层孔隙地下水水位等值线图（2024年）。</w:t>
      </w:r>
    </w:p>
    <w:p>
      <w:pPr>
        <w:snapToGrid w:val="0"/>
        <w:spacing w:line="360" w:lineRule="auto"/>
        <w:ind w:firstLine="480" w:firstLineChars="20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提交打印文本十份、电子光盘六套。</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九、款项支付</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仿宋_GB2312"/>
          <w:color w:val="auto"/>
          <w:kern w:val="0"/>
          <w:sz w:val="24"/>
          <w:highlight w:val="none"/>
        </w:rPr>
        <w:t>合同签订生效以及具备实施条件后7个工作日内，甲方支付合同额的50%作为预付款</w:t>
      </w:r>
      <w:r>
        <w:rPr>
          <w:rFonts w:hint="eastAsia" w:ascii="宋体" w:hAnsi="宋体" w:cs="宋体"/>
          <w:color w:val="auto"/>
          <w:sz w:val="24"/>
          <w:highlight w:val="none"/>
        </w:rPr>
        <w:t>；</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2、项目通过</w:t>
      </w:r>
      <w:r>
        <w:rPr>
          <w:rFonts w:hint="eastAsia" w:ascii="宋体" w:hAnsi="宋体" w:cs="宋体"/>
          <w:color w:val="auto"/>
          <w:sz w:val="24"/>
          <w:highlight w:val="none"/>
          <w:lang w:val="en-US" w:eastAsia="zh-CN"/>
        </w:rPr>
        <w:t>专家</w:t>
      </w:r>
      <w:r>
        <w:rPr>
          <w:rFonts w:hint="eastAsia" w:ascii="宋体" w:hAnsi="宋体" w:cs="宋体"/>
          <w:color w:val="auto"/>
          <w:sz w:val="24"/>
          <w:highlight w:val="none"/>
        </w:rPr>
        <w:t>评审</w:t>
      </w:r>
      <w:r>
        <w:rPr>
          <w:rFonts w:hint="eastAsia" w:ascii="宋体" w:hAnsi="宋体" w:cs="宋体"/>
          <w:color w:val="auto"/>
          <w:sz w:val="24"/>
          <w:highlight w:val="none"/>
          <w:lang w:val="en-US" w:eastAsia="zh-CN"/>
        </w:rPr>
        <w:t>验收且乙方</w:t>
      </w:r>
      <w:r>
        <w:rPr>
          <w:rFonts w:hint="eastAsia" w:ascii="宋体" w:hAnsi="宋体" w:cs="宋体"/>
          <w:color w:val="auto"/>
          <w:sz w:val="24"/>
          <w:highlight w:val="none"/>
        </w:rPr>
        <w:t>提交全部最终成果报告后15日内，甲方支付剩余合同款；</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甲方每次</w:t>
      </w:r>
      <w:r>
        <w:rPr>
          <w:rFonts w:hint="eastAsia" w:ascii="宋体" w:hAnsi="宋体" w:cs="宋体"/>
          <w:color w:val="auto"/>
          <w:sz w:val="24"/>
          <w:highlight w:val="none"/>
        </w:rPr>
        <w:t>付款前</w:t>
      </w:r>
      <w:r>
        <w:rPr>
          <w:rFonts w:hint="eastAsia" w:ascii="宋体" w:hAnsi="宋体" w:cs="宋体"/>
          <w:color w:val="auto"/>
          <w:sz w:val="24"/>
          <w:highlight w:val="none"/>
          <w:lang w:eastAsia="zh-CN"/>
        </w:rPr>
        <w:t>，</w:t>
      </w:r>
      <w:r>
        <w:rPr>
          <w:rFonts w:hint="eastAsia" w:ascii="宋体" w:hAnsi="宋体" w:cs="宋体"/>
          <w:color w:val="auto"/>
          <w:sz w:val="24"/>
          <w:highlight w:val="none"/>
        </w:rPr>
        <w:t>乙方需提供符合甲方要求的正规发票，否则甲方有权拒绝支付合同款。</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十、税费</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本合同执行中相关的一切税费均由乙方负担。</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十一、质量保证及后续服务</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1、乙方应按本合同</w:t>
      </w:r>
      <w:r>
        <w:rPr>
          <w:rFonts w:hint="eastAsia" w:ascii="宋体" w:hAnsi="宋体" w:cs="宋体"/>
          <w:color w:val="auto"/>
          <w:sz w:val="24"/>
          <w:highlight w:val="none"/>
          <w:lang w:val="en-US" w:eastAsia="zh-CN"/>
        </w:rPr>
        <w:t>约定及不低于招标文件等规定的标准</w:t>
      </w:r>
      <w:r>
        <w:rPr>
          <w:rFonts w:hint="eastAsia" w:ascii="宋体" w:hAnsi="宋体" w:cs="宋体"/>
          <w:color w:val="auto"/>
          <w:sz w:val="24"/>
          <w:highlight w:val="none"/>
        </w:rPr>
        <w:t>向甲方提供服务</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技术资料</w:t>
      </w:r>
      <w:r>
        <w:rPr>
          <w:rFonts w:hint="eastAsia" w:ascii="宋体" w:hAnsi="宋体" w:cs="宋体"/>
          <w:color w:val="auto"/>
          <w:sz w:val="24"/>
          <w:highlight w:val="none"/>
        </w:rPr>
        <w:t>。</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w:t>
      </w:r>
      <w:r>
        <w:rPr>
          <w:rFonts w:hint="eastAsia" w:ascii="宋体" w:hAnsi="宋体" w:cs="宋体"/>
          <w:color w:val="auto"/>
          <w:sz w:val="24"/>
          <w:highlight w:val="none"/>
          <w:lang w:val="en-US" w:eastAsia="zh-CN"/>
        </w:rPr>
        <w:t>存在质量问题或者不符合合同约定、国家标准、地方标准、行业标准或有关规定的</w:t>
      </w:r>
      <w:r>
        <w:rPr>
          <w:rFonts w:hint="eastAsia" w:ascii="宋体" w:hAnsi="宋体" w:cs="宋体"/>
          <w:color w:val="auto"/>
          <w:sz w:val="24"/>
          <w:highlight w:val="none"/>
        </w:rPr>
        <w:t>，乙方应负责免费提供后续服务。对达不到</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要求者，根据实际情况，甲方有权选择按以下办法处理：</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⑴重作：由乙方承担所发生的全部费用。</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⑵贬值处理：由甲乙双方合议定价或由乙方赔偿甲方的全部损失。</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⑶解除合同，乙方应当向甲方返还</w:t>
      </w:r>
      <w:r>
        <w:rPr>
          <w:rFonts w:hint="eastAsia" w:ascii="宋体" w:hAnsi="宋体" w:cs="宋体"/>
          <w:color w:val="auto"/>
          <w:sz w:val="24"/>
          <w:highlight w:val="none"/>
          <w:lang w:val="en-US" w:eastAsia="zh-CN"/>
        </w:rPr>
        <w:t>已收取的</w:t>
      </w:r>
      <w:r>
        <w:rPr>
          <w:rFonts w:hint="eastAsia" w:ascii="宋体" w:hAnsi="宋体" w:cs="宋体"/>
          <w:color w:val="auto"/>
          <w:sz w:val="24"/>
          <w:highlight w:val="none"/>
        </w:rPr>
        <w:t>全部合同价款</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并赔偿甲方损失</w:t>
      </w:r>
      <w:r>
        <w:rPr>
          <w:rFonts w:hint="eastAsia" w:ascii="宋体" w:hAnsi="宋体" w:cs="宋体"/>
          <w:color w:val="auto"/>
          <w:sz w:val="24"/>
          <w:highlight w:val="none"/>
        </w:rPr>
        <w:t>。</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3、如在使用过程中发生问题，乙方在接到甲方通知后在0.5小时内到达甲方现场。</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4、在服务期内，乙方应对出现的质量及安全问题负责处理解决并承担一切费用。</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十二、违约责任</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1、甲方无正当理由</w:t>
      </w:r>
      <w:r>
        <w:rPr>
          <w:rFonts w:hint="eastAsia" w:ascii="宋体" w:hAnsi="宋体" w:cs="宋体"/>
          <w:color w:val="auto"/>
          <w:sz w:val="24"/>
          <w:highlight w:val="none"/>
          <w:lang w:val="en-US" w:eastAsia="zh-CN"/>
        </w:rPr>
        <w:t>拒绝</w:t>
      </w:r>
      <w:r>
        <w:rPr>
          <w:rFonts w:hint="eastAsia" w:ascii="宋体" w:hAnsi="宋体" w:cs="宋体"/>
          <w:color w:val="auto"/>
          <w:sz w:val="24"/>
          <w:highlight w:val="none"/>
        </w:rPr>
        <w:t>接受服务</w:t>
      </w:r>
      <w:r>
        <w:rPr>
          <w:rFonts w:hint="eastAsia" w:ascii="宋体" w:hAnsi="宋体" w:cs="宋体"/>
          <w:color w:val="auto"/>
          <w:sz w:val="24"/>
          <w:highlight w:val="none"/>
          <w:lang w:val="en-US" w:eastAsia="zh-CN"/>
        </w:rPr>
        <w:t>并拒付费用且解除合同</w:t>
      </w:r>
      <w:r>
        <w:rPr>
          <w:rFonts w:hint="eastAsia" w:ascii="宋体" w:hAnsi="宋体" w:cs="宋体"/>
          <w:color w:val="auto"/>
          <w:sz w:val="24"/>
          <w:highlight w:val="none"/>
        </w:rPr>
        <w:t>的，甲方向乙方偿付合同款项百分之五作为违约金。</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2、甲方无故逾期验收和办理款项支付手续的,甲方应</w:t>
      </w:r>
      <w:r>
        <w:rPr>
          <w:rFonts w:hint="eastAsia" w:ascii="宋体" w:hAnsi="宋体" w:cs="宋体"/>
          <w:color w:val="auto"/>
          <w:sz w:val="24"/>
          <w:highlight w:val="none"/>
          <w:lang w:val="en-US" w:eastAsia="zh-CN"/>
        </w:rPr>
        <w:t>从逾期之日起</w:t>
      </w:r>
      <w:r>
        <w:rPr>
          <w:rFonts w:hint="eastAsia" w:ascii="宋体" w:hAnsi="宋体" w:cs="宋体"/>
          <w:color w:val="auto"/>
          <w:sz w:val="24"/>
          <w:highlight w:val="none"/>
        </w:rPr>
        <w:t>按逾期付款金额每日万分之五向乙方支付违约金。</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乙方未能如期提供服务的，每日向甲方支付合同款项的千分之六作为违约金。乙方超过约定日期10个工作日仍不能提供服务的，甲方可选择解除本合同。乙方因未能如期提供服务或因其他违约行为导致甲方解除合同的，除退还已经支付的合同</w:t>
      </w:r>
      <w:r>
        <w:rPr>
          <w:rFonts w:hint="eastAsia" w:ascii="宋体" w:hAnsi="宋体" w:cs="宋体"/>
          <w:color w:val="auto"/>
          <w:sz w:val="24"/>
          <w:highlight w:val="none"/>
          <w:lang w:val="en-US" w:eastAsia="zh-CN"/>
        </w:rPr>
        <w:t>款项</w:t>
      </w:r>
      <w:r>
        <w:rPr>
          <w:rFonts w:hint="eastAsia" w:ascii="宋体" w:hAnsi="宋体" w:cs="宋体"/>
          <w:color w:val="auto"/>
          <w:sz w:val="24"/>
          <w:highlight w:val="none"/>
        </w:rPr>
        <w:t xml:space="preserve">外，乙方还应向甲方支付合同总值5%的违约金，如造成甲方损失超过违约金的，超出部分由乙方继续承担赔偿责任。 </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十三、不可抗力事件处理</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1、在合同有效期内，任何一方因不可抗力事件导致不能履行合同，则合同履行期可延长，其延长期与不可抗力影响期相同。</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2、不可抗力事件发生后，</w:t>
      </w:r>
      <w:r>
        <w:rPr>
          <w:rFonts w:hint="eastAsia" w:ascii="宋体" w:hAnsi="宋体" w:cs="宋体"/>
          <w:color w:val="auto"/>
          <w:sz w:val="24"/>
          <w:highlight w:val="none"/>
          <w:lang w:val="en-US" w:eastAsia="zh-CN"/>
        </w:rPr>
        <w:t>受不可抗力影响的一方</w:t>
      </w:r>
      <w:r>
        <w:rPr>
          <w:rFonts w:hint="eastAsia" w:ascii="宋体" w:hAnsi="宋体" w:cs="宋体"/>
          <w:color w:val="auto"/>
          <w:sz w:val="24"/>
          <w:highlight w:val="none"/>
        </w:rPr>
        <w:t>应立即通知对方，并寄送有关权威机构出具的证明。</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3、不可抗力事件延续120天以上，双方应通过友好协商，确定是否继续履行合同。</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十四、</w:t>
      </w:r>
      <w:r>
        <w:rPr>
          <w:rFonts w:hint="eastAsia" w:ascii="宋体" w:hAnsi="宋体" w:cs="宋体"/>
          <w:color w:val="auto"/>
          <w:sz w:val="24"/>
          <w:highlight w:val="none"/>
          <w:lang w:val="en-US" w:eastAsia="zh-CN"/>
        </w:rPr>
        <w:t>争议解决</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因本合同引起的或与本合同有关的任何争议，应通过协商解决。如协商不成，提交台州仲裁委员会</w:t>
      </w:r>
      <w:r>
        <w:rPr>
          <w:rFonts w:hint="eastAsia" w:ascii="宋体" w:hAnsi="宋体" w:cs="宋体"/>
          <w:color w:val="auto"/>
          <w:sz w:val="24"/>
          <w:highlight w:val="none"/>
          <w:lang w:val="en-US" w:eastAsia="zh-CN"/>
        </w:rPr>
        <w:t>按照其仲裁规则进行</w:t>
      </w:r>
      <w:r>
        <w:rPr>
          <w:rFonts w:hint="eastAsia" w:ascii="宋体" w:hAnsi="宋体" w:cs="宋体"/>
          <w:color w:val="auto"/>
          <w:sz w:val="24"/>
          <w:highlight w:val="none"/>
        </w:rPr>
        <w:t>仲裁。仲裁裁决是终局的，对双方均有约束力。除非生效法律文书另有认定，违约方应当承担相对方为主张权利而支出的包括但不限于律师费、财产保全费等在内的全部费用。</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十五、合同生效及其它</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1、合同经双方法定代表人或授权代表签字并加盖单位公章后生效。</w:t>
      </w:r>
    </w:p>
    <w:p>
      <w:pPr>
        <w:widowControl/>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2、本合同未尽事宜，遵照《中华人民共和国民法典》</w:t>
      </w:r>
      <w:r>
        <w:rPr>
          <w:rFonts w:hint="eastAsia" w:ascii="宋体" w:hAnsi="宋体" w:cs="宋体"/>
          <w:color w:val="auto"/>
          <w:sz w:val="24"/>
          <w:highlight w:val="none"/>
          <w:lang w:val="en-US" w:eastAsia="zh-CN"/>
        </w:rPr>
        <w:t>等法律法规</w:t>
      </w:r>
      <w:r>
        <w:rPr>
          <w:rFonts w:hint="eastAsia" w:ascii="宋体" w:hAnsi="宋体" w:cs="宋体"/>
          <w:color w:val="auto"/>
          <w:sz w:val="24"/>
          <w:highlight w:val="none"/>
        </w:rPr>
        <w:t>有关条文执行。</w:t>
      </w:r>
    </w:p>
    <w:p>
      <w:pPr>
        <w:widowControl/>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3、本合同一式陆份。甲、乙双方各执二份，采购代理机构及台州市财政局政府采购监管处执一份。本项目未尽事宜以招标文件、投标文件及澄清文件等为准。</w:t>
      </w:r>
    </w:p>
    <w:p>
      <w:pPr>
        <w:pStyle w:val="20"/>
        <w:widowControl w:val="0"/>
        <w:spacing w:before="0" w:beforeAutospacing="0" w:after="0" w:afterAutospacing="0"/>
        <w:jc w:val="both"/>
        <w:rPr>
          <w:rFonts w:hint="default"/>
          <w:color w:val="auto"/>
          <w:highlight w:val="none"/>
        </w:rPr>
      </w:pPr>
    </w:p>
    <w:p>
      <w:pPr>
        <w:pStyle w:val="20"/>
        <w:widowControl w:val="0"/>
        <w:spacing w:before="0" w:beforeAutospacing="0" w:after="0" w:afterAutospacing="0"/>
        <w:jc w:val="both"/>
        <w:rPr>
          <w:rFonts w:hint="default"/>
          <w:color w:val="auto"/>
          <w:highlight w:val="none"/>
        </w:rPr>
      </w:pPr>
    </w:p>
    <w:tbl>
      <w:tblPr>
        <w:tblStyle w:val="26"/>
        <w:tblW w:w="928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53"/>
        <w:gridCol w:w="45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hint="eastAsia" w:ascii="宋体" w:hAnsi="宋体" w:eastAsia="宋体" w:cs="宋体"/>
                <w:b/>
                <w:color w:val="auto"/>
                <w:sz w:val="24"/>
                <w:highlight w:val="none"/>
                <w:lang w:eastAsia="zh-CN"/>
              </w:rPr>
            </w:pPr>
            <w:r>
              <w:rPr>
                <w:rFonts w:hint="eastAsia" w:ascii="宋体" w:hAnsi="宋体" w:cs="宋体"/>
                <w:color w:val="auto"/>
                <w:sz w:val="24"/>
                <w:highlight w:val="none"/>
              </w:rPr>
              <w:t>甲方（公章）</w:t>
            </w:r>
            <w:r>
              <w:rPr>
                <w:rFonts w:hint="eastAsia" w:ascii="宋体" w:hAnsi="宋体" w:cs="宋体"/>
                <w:bCs/>
                <w:color w:val="auto"/>
                <w:sz w:val="24"/>
                <w:highlight w:val="none"/>
                <w:lang w:eastAsia="zh-CN"/>
              </w:rPr>
              <w:t>台州市地质环境监测站</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乙方（公章）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/授权代表</w:t>
            </w:r>
            <w:r>
              <w:rPr>
                <w:rFonts w:hint="eastAsia" w:ascii="宋体" w:hAnsi="宋体" w:cs="宋体"/>
                <w:color w:val="auto"/>
                <w:sz w:val="24"/>
                <w:highlight w:val="none"/>
              </w:rPr>
              <w:t>：</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/授权代表</w:t>
            </w:r>
            <w:r>
              <w:rPr>
                <w:rFonts w:hint="eastAsia" w:ascii="宋体" w:hAnsi="宋体" w:cs="宋体"/>
                <w:color w:val="auto"/>
                <w:sz w:val="24"/>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委托代理人：</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委托代理人：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联系电话：</w:t>
            </w:r>
          </w:p>
        </w:tc>
        <w:tc>
          <w:tcPr>
            <w:tcW w:w="4534" w:type="dxa"/>
            <w:tcBorders>
              <w:tl2br w:val="nil"/>
              <w:tr2bl w:val="nil"/>
            </w:tcBorders>
            <w:shd w:val="clear" w:color="auto" w:fill="auto"/>
          </w:tcPr>
          <w:p>
            <w:pPr>
              <w:keepNext w:val="0"/>
              <w:keepLines w:val="0"/>
              <w:suppressLineNumbers w:val="0"/>
              <w:adjustRightInd w:val="0"/>
              <w:snapToGrid w:val="0"/>
              <w:spacing w:before="0" w:beforeAutospacing="0" w:after="0" w:afterAutospacing="0" w:line="360" w:lineRule="auto"/>
              <w:ind w:left="0" w:right="0"/>
              <w:rPr>
                <w:rFonts w:ascii="宋体" w:hAnsi="宋体" w:cs="宋体"/>
                <w:color w:val="auto"/>
                <w:sz w:val="24"/>
                <w:highlight w:val="none"/>
              </w:rPr>
            </w:pPr>
            <w:r>
              <w:rPr>
                <w:rFonts w:hint="eastAsia" w:ascii="宋体" w:hAnsi="宋体" w:cs="宋体"/>
                <w:color w:val="auto"/>
                <w:sz w:val="24"/>
                <w:highlight w:val="none"/>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开户银行：</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帐号：</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帐号：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4753"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地址及邮编：</w:t>
            </w:r>
          </w:p>
        </w:tc>
        <w:tc>
          <w:tcPr>
            <w:tcW w:w="4534" w:type="dxa"/>
            <w:tcBorders>
              <w:tl2br w:val="nil"/>
              <w:tr2bl w:val="nil"/>
            </w:tcBorders>
            <w:shd w:val="clear" w:color="auto" w:fill="auto"/>
          </w:tcPr>
          <w:p>
            <w:pPr>
              <w:keepNext w:val="0"/>
              <w:keepLines w:val="0"/>
              <w:widowControl/>
              <w:suppressLineNumbers w:val="0"/>
              <w:spacing w:before="0" w:beforeAutospacing="0" w:after="0" w:afterAutospacing="0" w:line="360" w:lineRule="auto"/>
              <w:ind w:left="0" w:right="0"/>
              <w:rPr>
                <w:rFonts w:ascii="宋体" w:hAnsi="宋体" w:cs="宋体"/>
                <w:b/>
                <w:color w:val="auto"/>
                <w:sz w:val="24"/>
                <w:highlight w:val="none"/>
              </w:rPr>
            </w:pPr>
            <w:r>
              <w:rPr>
                <w:rFonts w:hint="eastAsia" w:ascii="宋体" w:hAnsi="宋体" w:cs="宋体"/>
                <w:color w:val="auto"/>
                <w:sz w:val="24"/>
                <w:highlight w:val="none"/>
              </w:rPr>
              <w:t>地址及邮编：</w:t>
            </w:r>
          </w:p>
        </w:tc>
      </w:tr>
    </w:tbl>
    <w:p>
      <w:pPr>
        <w:widowControl/>
        <w:spacing w:line="360" w:lineRule="auto"/>
        <w:rPr>
          <w:rFonts w:ascii="宋体" w:hAnsi="宋体" w:cs="宋体"/>
          <w:b/>
          <w:color w:val="auto"/>
          <w:sz w:val="24"/>
          <w:highlight w:val="none"/>
        </w:rPr>
      </w:pPr>
    </w:p>
    <w:p>
      <w:pPr>
        <w:ind w:firstLine="4920" w:firstLineChars="2050"/>
        <w:rPr>
          <w:rFonts w:ascii="宋体" w:hAnsi="宋体" w:cs="宋体"/>
          <w:color w:val="auto"/>
          <w:sz w:val="24"/>
          <w:highlight w:val="none"/>
        </w:rPr>
      </w:pPr>
      <w:r>
        <w:rPr>
          <w:rFonts w:hint="eastAsia" w:ascii="宋体" w:hAnsi="宋体" w:cs="宋体"/>
          <w:color w:val="auto"/>
          <w:sz w:val="24"/>
          <w:highlight w:val="none"/>
        </w:rPr>
        <w:t>签订时间：      年    月    日</w:t>
      </w:r>
    </w:p>
    <w:p>
      <w:pPr>
        <w:pStyle w:val="20"/>
        <w:widowControl w:val="0"/>
        <w:spacing w:before="0" w:beforeAutospacing="0" w:after="0" w:afterAutospacing="0"/>
        <w:ind w:firstLine="4920" w:firstLineChars="2050"/>
        <w:jc w:val="both"/>
        <w:rPr>
          <w:rFonts w:hint="default" w:cs="宋体"/>
          <w:color w:val="auto"/>
          <w:szCs w:val="21"/>
          <w:highlight w:val="none"/>
        </w:rPr>
      </w:pPr>
    </w:p>
    <w:p>
      <w:pPr>
        <w:pStyle w:val="20"/>
        <w:widowControl w:val="0"/>
        <w:spacing w:before="0" w:beforeAutospacing="0" w:after="0" w:afterAutospacing="0"/>
        <w:ind w:firstLine="4920" w:firstLineChars="2050"/>
        <w:jc w:val="both"/>
        <w:rPr>
          <w:rFonts w:hint="default" w:cs="宋体"/>
          <w:color w:val="auto"/>
          <w:kern w:val="2"/>
          <w:szCs w:val="21"/>
          <w:highlight w:val="none"/>
        </w:rPr>
      </w:pPr>
      <w:r>
        <w:rPr>
          <w:rFonts w:cs="宋体"/>
          <w:color w:val="auto"/>
          <w:kern w:val="2"/>
          <w:szCs w:val="21"/>
          <w:highlight w:val="none"/>
        </w:rPr>
        <w:t>签约地：台州市</w:t>
      </w:r>
    </w:p>
    <w:p>
      <w:pPr>
        <w:pStyle w:val="20"/>
        <w:widowControl w:val="0"/>
        <w:spacing w:before="0" w:beforeAutospacing="0" w:after="0" w:afterAutospacing="0"/>
        <w:ind w:firstLine="4920" w:firstLineChars="2050"/>
        <w:jc w:val="both"/>
        <w:rPr>
          <w:rFonts w:hint="default" w:cs="宋体"/>
          <w:color w:val="auto"/>
          <w:kern w:val="2"/>
          <w:szCs w:val="21"/>
          <w:highlight w:val="none"/>
        </w:rPr>
      </w:pPr>
    </w:p>
    <w:p>
      <w:pPr>
        <w:pStyle w:val="20"/>
        <w:widowControl w:val="0"/>
        <w:spacing w:before="0" w:beforeAutospacing="0" w:after="0" w:afterAutospacing="0"/>
        <w:ind w:firstLine="4920" w:firstLineChars="2050"/>
        <w:jc w:val="both"/>
        <w:rPr>
          <w:rFonts w:hint="default" w:cs="宋体"/>
          <w:color w:val="auto"/>
          <w:kern w:val="2"/>
          <w:szCs w:val="21"/>
          <w:highlight w:val="none"/>
        </w:rPr>
      </w:pPr>
    </w:p>
    <w:p>
      <w:pPr>
        <w:pStyle w:val="20"/>
        <w:widowControl w:val="0"/>
        <w:spacing w:before="0" w:beforeAutospacing="0" w:after="0" w:afterAutospacing="0"/>
        <w:ind w:firstLine="4920" w:firstLineChars="2050"/>
        <w:jc w:val="both"/>
        <w:rPr>
          <w:rFonts w:hint="default" w:cs="宋体"/>
          <w:color w:val="auto"/>
          <w:kern w:val="2"/>
          <w:szCs w:val="21"/>
          <w:highlight w:val="none"/>
        </w:rPr>
      </w:pPr>
      <w:r>
        <w:rPr>
          <w:rFonts w:cs="宋体"/>
          <w:color w:val="auto"/>
          <w:kern w:val="2"/>
          <w:szCs w:val="21"/>
          <w:highlight w:val="none"/>
        </w:rPr>
        <w:br w:type="page"/>
      </w:r>
    </w:p>
    <w:p>
      <w:pPr>
        <w:pStyle w:val="3"/>
        <w:numPr>
          <w:ilvl w:val="0"/>
          <w:numId w:val="7"/>
        </w:numPr>
        <w:rPr>
          <w:color w:val="auto"/>
          <w:sz w:val="36"/>
          <w:szCs w:val="36"/>
          <w:highlight w:val="none"/>
        </w:rPr>
      </w:pPr>
      <w:r>
        <w:rPr>
          <w:rFonts w:hint="eastAsia"/>
          <w:color w:val="auto"/>
          <w:sz w:val="36"/>
          <w:szCs w:val="36"/>
          <w:highlight w:val="none"/>
        </w:rPr>
        <w:t>投标文件格式</w:t>
      </w:r>
      <w:bookmarkEnd w:id="38"/>
    </w:p>
    <w:p>
      <w:pPr>
        <w:rPr>
          <w:rFonts w:ascii="宋体" w:hAnsi="宋体" w:cs="宋体"/>
          <w:b/>
          <w:color w:val="auto"/>
          <w:kern w:val="0"/>
          <w:sz w:val="24"/>
          <w:highlight w:val="none"/>
        </w:rPr>
      </w:pPr>
      <w:r>
        <w:rPr>
          <w:rFonts w:hint="eastAsia" w:ascii="宋体" w:hAnsi="宋体" w:cs="宋体"/>
          <w:b/>
          <w:color w:val="auto"/>
          <w:kern w:val="0"/>
          <w:sz w:val="24"/>
          <w:highlight w:val="none"/>
        </w:rPr>
        <w:t>附件1</w:t>
      </w:r>
      <w:r>
        <w:rPr>
          <w:rFonts w:hint="eastAsia" w:ascii="宋体" w:hAnsi="宋体" w:cs="宋体"/>
          <w:color w:val="auto"/>
          <w:sz w:val="24"/>
          <w:highlight w:val="none"/>
        </w:rPr>
        <w:t xml:space="preserve"> 　　　</w:t>
      </w:r>
    </w:p>
    <w:p>
      <w:pPr>
        <w:rPr>
          <w:rStyle w:val="51"/>
          <w:rFonts w:ascii="宋体" w:hAnsi="宋体"/>
          <w:b/>
          <w:color w:val="auto"/>
          <w:kern w:val="0"/>
          <w:sz w:val="28"/>
          <w:szCs w:val="28"/>
          <w:highlight w:val="none"/>
        </w:rPr>
      </w:pPr>
      <w:r>
        <w:rPr>
          <w:rStyle w:val="51"/>
          <w:rFonts w:ascii="宋体" w:hAnsi="宋体"/>
          <w:color w:val="auto"/>
          <w:sz w:val="30"/>
          <w:szCs w:val="30"/>
          <w:highlight w:val="none"/>
        </w:rPr>
        <w:t>　　　</w:t>
      </w:r>
    </w:p>
    <w:p>
      <w:pPr>
        <w:spacing w:before="312" w:line="312" w:lineRule="auto"/>
        <w:ind w:right="-108"/>
        <w:jc w:val="center"/>
        <w:rPr>
          <w:rStyle w:val="51"/>
          <w:rFonts w:hint="eastAsia" w:ascii="宋体" w:hAnsi="宋体" w:eastAsia="宋体"/>
          <w:color w:val="auto"/>
          <w:sz w:val="36"/>
          <w:szCs w:val="36"/>
          <w:highlight w:val="none"/>
          <w:lang w:eastAsia="zh-CN"/>
        </w:rPr>
      </w:pPr>
      <w:r>
        <w:rPr>
          <w:rStyle w:val="51"/>
          <w:rFonts w:hint="eastAsia" w:ascii="宋体" w:hAnsi="宋体"/>
          <w:color w:val="auto"/>
          <w:sz w:val="36"/>
          <w:szCs w:val="36"/>
          <w:highlight w:val="none"/>
          <w:lang w:eastAsia="zh-CN"/>
        </w:rPr>
        <w:t>台州市地质环境监测站</w:t>
      </w:r>
    </w:p>
    <w:p>
      <w:pPr>
        <w:spacing w:before="312" w:line="312" w:lineRule="auto"/>
        <w:ind w:right="-108"/>
        <w:jc w:val="center"/>
        <w:rPr>
          <w:rStyle w:val="51"/>
          <w:rFonts w:hint="eastAsia" w:ascii="宋体" w:hAnsi="宋体" w:eastAsia="宋体"/>
          <w:color w:val="auto"/>
          <w:sz w:val="36"/>
          <w:szCs w:val="36"/>
          <w:highlight w:val="none"/>
          <w:lang w:eastAsia="zh-CN"/>
        </w:rPr>
      </w:pPr>
      <w:r>
        <w:rPr>
          <w:rStyle w:val="51"/>
          <w:rFonts w:hint="eastAsia" w:ascii="宋体" w:hAnsi="宋体"/>
          <w:color w:val="auto"/>
          <w:sz w:val="36"/>
          <w:szCs w:val="36"/>
          <w:highlight w:val="none"/>
          <w:lang w:eastAsia="zh-CN"/>
        </w:rPr>
        <w:t>台州市沿海平原地面沉降监测项目</w:t>
      </w:r>
    </w:p>
    <w:p>
      <w:pPr>
        <w:spacing w:before="312" w:line="312" w:lineRule="auto"/>
        <w:ind w:right="-108"/>
        <w:jc w:val="center"/>
        <w:rPr>
          <w:rFonts w:hint="eastAsia" w:ascii="宋体" w:hAnsi="宋体" w:eastAsia="宋体"/>
          <w:color w:val="auto"/>
          <w:spacing w:val="40"/>
          <w:sz w:val="36"/>
          <w:szCs w:val="36"/>
          <w:highlight w:val="none"/>
          <w:lang w:eastAsia="zh-CN"/>
        </w:rPr>
      </w:pPr>
      <w:r>
        <w:rPr>
          <w:rStyle w:val="51"/>
          <w:rFonts w:ascii="宋体" w:hAnsi="宋体"/>
          <w:color w:val="auto"/>
          <w:sz w:val="36"/>
          <w:szCs w:val="36"/>
          <w:highlight w:val="none"/>
        </w:rPr>
        <w:t>项目编号：</w:t>
      </w:r>
      <w:r>
        <w:rPr>
          <w:rFonts w:hint="eastAsia" w:ascii="宋体" w:hAnsi="宋体"/>
          <w:color w:val="auto"/>
          <w:spacing w:val="40"/>
          <w:sz w:val="36"/>
          <w:szCs w:val="36"/>
          <w:highlight w:val="none"/>
          <w:lang w:eastAsia="zh-CN"/>
        </w:rPr>
        <w:t>TZTX-2025-GK005</w:t>
      </w:r>
    </w:p>
    <w:p>
      <w:pPr>
        <w:pStyle w:val="2"/>
        <w:rPr>
          <w:color w:val="auto"/>
          <w:highlight w:val="none"/>
        </w:rPr>
      </w:pP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投</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标</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文</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件</w:t>
      </w:r>
    </w:p>
    <w:p>
      <w:pPr>
        <w:spacing w:after="100" w:afterAutospacing="1" w:line="360" w:lineRule="auto"/>
        <w:ind w:right="-108"/>
        <w:jc w:val="center"/>
        <w:rPr>
          <w:rStyle w:val="51"/>
          <w:rFonts w:ascii="宋体" w:hAnsi="宋体"/>
          <w:b/>
          <w:color w:val="auto"/>
          <w:spacing w:val="40"/>
          <w:sz w:val="28"/>
          <w:szCs w:val="28"/>
          <w:highlight w:val="none"/>
        </w:rPr>
      </w:pPr>
      <w:r>
        <w:rPr>
          <w:rStyle w:val="51"/>
          <w:rFonts w:ascii="宋体" w:hAnsi="宋体"/>
          <w:color w:val="auto"/>
          <w:sz w:val="28"/>
          <w:szCs w:val="28"/>
          <w:highlight w:val="none"/>
          <w:lang w:val="zh-CN"/>
        </w:rPr>
        <w:t>（</w:t>
      </w:r>
      <w:r>
        <w:rPr>
          <w:rStyle w:val="51"/>
          <w:rFonts w:ascii="宋体" w:hAnsi="宋体"/>
          <w:b/>
          <w:color w:val="auto"/>
          <w:spacing w:val="40"/>
          <w:sz w:val="28"/>
          <w:szCs w:val="28"/>
          <w:highlight w:val="none"/>
        </w:rPr>
        <w:t>资格证明文件）</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投标人全称（</w:t>
      </w:r>
      <w:r>
        <w:rPr>
          <w:rStyle w:val="51"/>
          <w:rFonts w:hint="eastAsia" w:ascii="宋体" w:hAnsi="宋体"/>
          <w:color w:val="auto"/>
          <w:sz w:val="36"/>
          <w:szCs w:val="36"/>
          <w:highlight w:val="none"/>
        </w:rPr>
        <w:t>电子印章</w:t>
      </w:r>
      <w:r>
        <w:rPr>
          <w:rStyle w:val="51"/>
          <w:rFonts w:ascii="宋体" w:hAnsi="宋体"/>
          <w:color w:val="auto"/>
          <w:sz w:val="36"/>
          <w:szCs w:val="36"/>
          <w:highlight w:val="none"/>
        </w:rPr>
        <w:t>）：</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地    址：</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时    间：</w:t>
      </w:r>
    </w:p>
    <w:p>
      <w:pPr>
        <w:pStyle w:val="52"/>
        <w:rPr>
          <w:color w:val="auto"/>
          <w:highlight w:val="none"/>
        </w:rPr>
      </w:pPr>
    </w:p>
    <w:p>
      <w:pPr>
        <w:pStyle w:val="52"/>
        <w:rPr>
          <w:color w:val="auto"/>
          <w:highlight w:val="none"/>
        </w:rPr>
      </w:pPr>
    </w:p>
    <w:p>
      <w:pPr>
        <w:pStyle w:val="52"/>
        <w:rPr>
          <w:color w:val="auto"/>
          <w:highlight w:val="none"/>
        </w:rPr>
      </w:pPr>
    </w:p>
    <w:p>
      <w:pPr>
        <w:pStyle w:val="52"/>
        <w:rPr>
          <w:color w:val="auto"/>
          <w:highlight w:val="none"/>
        </w:rPr>
      </w:pPr>
    </w:p>
    <w:p>
      <w:pPr>
        <w:rPr>
          <w:color w:val="auto"/>
          <w:highlight w:val="none"/>
        </w:rPr>
      </w:pPr>
    </w:p>
    <w:p>
      <w:pPr>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资格证明文件目录</w:t>
      </w:r>
    </w:p>
    <w:p>
      <w:pPr>
        <w:pStyle w:val="2"/>
        <w:rPr>
          <w:rFonts w:ascii="宋体" w:hAnsi="宋体" w:cs="宋体"/>
          <w:color w:val="auto"/>
          <w:sz w:val="24"/>
          <w:szCs w:val="24"/>
          <w:highlight w:val="none"/>
        </w:rPr>
      </w:pPr>
    </w:p>
    <w:p>
      <w:pPr>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bookmarkStart w:id="39" w:name="_Toc27049_WPSOffice_Level1"/>
      <w:bookmarkStart w:id="40" w:name="_Toc12587_WPSOffice_Level1"/>
      <w:r>
        <w:rPr>
          <w:rFonts w:hint="eastAsia" w:ascii="宋体" w:hAnsi="宋体" w:cs="宋体"/>
          <w:color w:val="auto"/>
          <w:sz w:val="24"/>
          <w:highlight w:val="none"/>
        </w:rPr>
        <w:t>1、投标声明书（附件2）</w:t>
      </w:r>
      <w:bookmarkEnd w:id="39"/>
      <w:bookmarkEnd w:id="40"/>
    </w:p>
    <w:p>
      <w:pPr>
        <w:spacing w:line="360" w:lineRule="auto"/>
        <w:ind w:firstLine="480" w:firstLineChars="200"/>
        <w:rPr>
          <w:rFonts w:ascii="宋体" w:hAnsi="宋体" w:cs="宋体"/>
          <w:color w:val="auto"/>
          <w:sz w:val="24"/>
          <w:highlight w:val="none"/>
        </w:rPr>
      </w:pPr>
      <w:bookmarkStart w:id="41" w:name="_Toc28306_WPSOffice_Level1"/>
      <w:bookmarkStart w:id="42" w:name="_Toc25574_WPSOffice_Level1"/>
      <w:r>
        <w:rPr>
          <w:rFonts w:hint="eastAsia" w:ascii="宋体" w:hAnsi="宋体" w:cs="宋体"/>
          <w:color w:val="auto"/>
          <w:sz w:val="24"/>
          <w:highlight w:val="none"/>
        </w:rPr>
        <w:t>2、授权委托书（法定代表人办理投标事宜的，则无需提交）（附件3）</w:t>
      </w:r>
      <w:bookmarkEnd w:id="41"/>
      <w:bookmarkEnd w:id="42"/>
    </w:p>
    <w:p>
      <w:pPr>
        <w:spacing w:line="360" w:lineRule="auto"/>
        <w:ind w:firstLine="480" w:firstLineChars="200"/>
        <w:rPr>
          <w:rFonts w:ascii="宋体" w:hAnsi="宋体" w:cs="宋体"/>
          <w:color w:val="auto"/>
          <w:sz w:val="24"/>
          <w:highlight w:val="none"/>
        </w:rPr>
      </w:pPr>
      <w:bookmarkStart w:id="43" w:name="_Toc32100_WPSOffice_Level1"/>
      <w:bookmarkStart w:id="44" w:name="_Toc29616_WPSOffice_Level1"/>
      <w:r>
        <w:rPr>
          <w:rFonts w:hint="eastAsia" w:ascii="宋体" w:hAnsi="宋体" w:cs="宋体"/>
          <w:color w:val="auto"/>
          <w:sz w:val="24"/>
          <w:highlight w:val="none"/>
        </w:rPr>
        <w:t>3、法人或者其他组织的营业执照等证明文件，自然人的身份证明</w:t>
      </w:r>
      <w:bookmarkEnd w:id="43"/>
      <w:bookmarkEnd w:id="44"/>
    </w:p>
    <w:p>
      <w:pPr>
        <w:spacing w:line="360" w:lineRule="auto"/>
        <w:ind w:firstLine="480" w:firstLineChars="200"/>
        <w:rPr>
          <w:rFonts w:ascii="宋体" w:hAnsi="宋体" w:cs="宋体"/>
          <w:color w:val="auto"/>
          <w:sz w:val="24"/>
          <w:highlight w:val="none"/>
        </w:rPr>
      </w:pPr>
      <w:bookmarkStart w:id="45" w:name="_Toc25807_WPSOffice_Level1"/>
      <w:bookmarkStart w:id="46" w:name="_Toc9981_WPSOffice_Level1"/>
      <w:r>
        <w:rPr>
          <w:rFonts w:hint="eastAsia" w:ascii="宋体" w:hAnsi="宋体" w:cs="宋体"/>
          <w:color w:val="auto"/>
          <w:sz w:val="24"/>
          <w:highlight w:val="none"/>
        </w:rPr>
        <w:t>4、</w:t>
      </w:r>
      <w:bookmarkEnd w:id="45"/>
      <w:bookmarkEnd w:id="46"/>
      <w:r>
        <w:rPr>
          <w:rFonts w:hint="eastAsia" w:ascii="宋体" w:hAnsi="宋体" w:cs="宋体"/>
          <w:color w:val="auto"/>
          <w:sz w:val="24"/>
          <w:highlight w:val="none"/>
        </w:rPr>
        <w:t>财务状况报告，依法缴纳税收和社会保障资金的相关材料</w:t>
      </w:r>
    </w:p>
    <w:p>
      <w:pPr>
        <w:spacing w:line="360" w:lineRule="auto"/>
        <w:ind w:firstLine="480" w:firstLineChars="200"/>
        <w:rPr>
          <w:rFonts w:ascii="宋体" w:hAnsi="宋体" w:cs="宋体"/>
          <w:color w:val="auto"/>
          <w:sz w:val="24"/>
          <w:highlight w:val="none"/>
        </w:rPr>
      </w:pPr>
      <w:bookmarkStart w:id="47" w:name="_Toc30751_WPSOffice_Level1"/>
      <w:bookmarkStart w:id="48" w:name="_Toc2696_WPSOffice_Level1"/>
      <w:r>
        <w:rPr>
          <w:rFonts w:hint="eastAsia" w:ascii="宋体" w:hAnsi="宋体" w:cs="宋体"/>
          <w:color w:val="auto"/>
          <w:sz w:val="24"/>
          <w:highlight w:val="none"/>
        </w:rPr>
        <w:t>5、具备履行合同所必需的设备和专业技术能力的</w:t>
      </w:r>
      <w:bookmarkEnd w:id="47"/>
      <w:bookmarkEnd w:id="48"/>
      <w:r>
        <w:rPr>
          <w:rFonts w:hint="eastAsia" w:ascii="宋体" w:hAnsi="宋体" w:cs="宋体"/>
          <w:color w:val="auto"/>
          <w:sz w:val="24"/>
          <w:highlight w:val="none"/>
        </w:rPr>
        <w:t>承诺函</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6、本项目要求的特定资质证书</w:t>
      </w:r>
    </w:p>
    <w:p>
      <w:pPr>
        <w:widowControl/>
        <w:spacing w:line="360" w:lineRule="auto"/>
        <w:ind w:right="60" w:firstLine="482" w:firstLineChars="200"/>
        <w:jc w:val="left"/>
        <w:outlineLvl w:val="0"/>
        <w:rPr>
          <w:rFonts w:ascii="宋体" w:hAnsi="宋体" w:cs="宋体"/>
          <w:b/>
          <w:bCs/>
          <w:color w:val="auto"/>
          <w:sz w:val="24"/>
          <w:highlight w:val="none"/>
        </w:rPr>
      </w:pPr>
      <w:r>
        <w:rPr>
          <w:rFonts w:hint="eastAsia" w:ascii="宋体" w:hAnsi="宋体" w:cs="宋体"/>
          <w:b/>
          <w:bCs/>
          <w:color w:val="auto"/>
          <w:sz w:val="24"/>
          <w:highlight w:val="none"/>
        </w:rPr>
        <w:t>注：根据《浙江省财政厅关于进一步加大政府采购支持中小企业力度助力扎实稳住经济的通知》（浙财采监〔2022〕8号）中“简化对政府采购供应商资格条件的形式审查，供应商书面承诺符合参与政府采购活动资格条件的，不需要再提供财务状况报告、依法缴纳税收和社会保障资金记录、无重大违法记录等证明材料。”本项目投标供应商属于中小企业范畴的，可以以书面承诺代替相关证明材料。</w:t>
      </w:r>
    </w:p>
    <w:p>
      <w:pPr>
        <w:rPr>
          <w:rFonts w:ascii="宋体" w:hAnsi="宋体" w:cs="宋体"/>
          <w:b/>
          <w:color w:val="auto"/>
          <w:sz w:val="24"/>
          <w:highlight w:val="none"/>
        </w:rPr>
      </w:pPr>
      <w:r>
        <w:rPr>
          <w:rFonts w:ascii="宋体" w:hAnsi="宋体" w:cs="宋体"/>
          <w:b/>
          <w:color w:val="auto"/>
          <w:sz w:val="24"/>
          <w:highlight w:val="none"/>
        </w:rPr>
        <w:br w:type="page"/>
      </w:r>
    </w:p>
    <w:p>
      <w:pPr>
        <w:pStyle w:val="2"/>
        <w:rPr>
          <w:color w:val="auto"/>
          <w:highlight w:val="none"/>
        </w:rPr>
      </w:pPr>
    </w:p>
    <w:p>
      <w:pPr>
        <w:spacing w:line="312" w:lineRule="auto"/>
        <w:rPr>
          <w:rFonts w:ascii="宋体" w:hAnsi="宋体" w:cs="宋体"/>
          <w:b/>
          <w:color w:val="auto"/>
          <w:sz w:val="24"/>
          <w:highlight w:val="none"/>
        </w:rPr>
      </w:pPr>
      <w:r>
        <w:rPr>
          <w:rFonts w:hint="eastAsia" w:ascii="宋体" w:hAnsi="宋体" w:cs="宋体"/>
          <w:b/>
          <w:color w:val="auto"/>
          <w:sz w:val="24"/>
          <w:highlight w:val="none"/>
        </w:rPr>
        <w:t>附件2</w:t>
      </w:r>
    </w:p>
    <w:p>
      <w:pPr>
        <w:adjustRightInd w:val="0"/>
        <w:snapToGrid w:val="0"/>
        <w:spacing w:line="312" w:lineRule="auto"/>
        <w:ind w:right="480"/>
        <w:jc w:val="center"/>
        <w:rPr>
          <w:rFonts w:ascii="宋体" w:hAnsi="宋体" w:cs="宋体"/>
          <w:b/>
          <w:color w:val="auto"/>
          <w:kern w:val="0"/>
          <w:sz w:val="32"/>
          <w:szCs w:val="32"/>
          <w:highlight w:val="none"/>
          <w:lang w:val="zh-CN"/>
        </w:rPr>
      </w:pPr>
      <w:bookmarkStart w:id="49" w:name="_Toc30723_WPSOffice_Level1"/>
      <w:bookmarkStart w:id="50" w:name="_Toc31708_WPSOffice_Level1"/>
      <w:r>
        <w:rPr>
          <w:rFonts w:hint="eastAsia" w:ascii="宋体" w:hAnsi="宋体" w:cs="宋体"/>
          <w:b/>
          <w:color w:val="auto"/>
          <w:kern w:val="0"/>
          <w:sz w:val="32"/>
          <w:szCs w:val="32"/>
          <w:highlight w:val="none"/>
          <w:lang w:val="zh-CN"/>
        </w:rPr>
        <w:t>投标声明书</w:t>
      </w:r>
      <w:bookmarkEnd w:id="49"/>
      <w:bookmarkEnd w:id="50"/>
    </w:p>
    <w:p>
      <w:pPr>
        <w:pStyle w:val="2"/>
        <w:rPr>
          <w:color w:val="auto"/>
          <w:highlight w:val="none"/>
          <w:lang w:val="zh-CN"/>
        </w:rPr>
      </w:pPr>
    </w:p>
    <w:p>
      <w:pPr>
        <w:snapToGrid w:val="0"/>
        <w:spacing w:line="408" w:lineRule="auto"/>
        <w:rPr>
          <w:rStyle w:val="51"/>
          <w:rFonts w:ascii="宋体" w:hAnsi="宋体"/>
          <w:color w:val="auto"/>
          <w:sz w:val="24"/>
          <w:highlight w:val="none"/>
        </w:rPr>
      </w:pPr>
      <w:r>
        <w:rPr>
          <w:rStyle w:val="51"/>
          <w:rFonts w:ascii="宋体" w:hAnsi="宋体"/>
          <w:color w:val="auto"/>
          <w:sz w:val="24"/>
          <w:highlight w:val="none"/>
        </w:rPr>
        <w:t>台州天兴工程管理咨询有限公司：</w:t>
      </w:r>
    </w:p>
    <w:p>
      <w:pPr>
        <w:snapToGrid w:val="0"/>
        <w:spacing w:line="408" w:lineRule="auto"/>
        <w:ind w:firstLine="480" w:firstLineChars="200"/>
        <w:rPr>
          <w:rStyle w:val="51"/>
          <w:rFonts w:ascii="宋体" w:hAnsi="宋体"/>
          <w:color w:val="auto"/>
          <w:sz w:val="24"/>
          <w:highlight w:val="none"/>
        </w:rPr>
      </w:pPr>
      <w:r>
        <w:rPr>
          <w:rStyle w:val="51"/>
          <w:rFonts w:ascii="宋体" w:hAnsi="宋体"/>
          <w:color w:val="auto"/>
          <w:sz w:val="24"/>
          <w:highlight w:val="none"/>
          <w:u w:val="single"/>
        </w:rPr>
        <w:t>（投标人名称）</w:t>
      </w:r>
      <w:r>
        <w:rPr>
          <w:rStyle w:val="51"/>
          <w:rFonts w:ascii="宋体" w:hAnsi="宋体"/>
          <w:color w:val="auto"/>
          <w:sz w:val="24"/>
          <w:highlight w:val="none"/>
        </w:rPr>
        <w:t>系中华人民共和国合法企业，经营地址。</w:t>
      </w:r>
    </w:p>
    <w:p>
      <w:pPr>
        <w:snapToGrid w:val="0"/>
        <w:spacing w:line="408" w:lineRule="auto"/>
        <w:ind w:firstLine="480" w:firstLineChars="200"/>
        <w:rPr>
          <w:rStyle w:val="51"/>
          <w:rFonts w:ascii="宋体" w:hAnsi="宋体"/>
          <w:color w:val="auto"/>
          <w:kern w:val="0"/>
          <w:sz w:val="24"/>
          <w:highlight w:val="none"/>
        </w:rPr>
      </w:pPr>
      <w:r>
        <w:rPr>
          <w:rStyle w:val="51"/>
          <w:rFonts w:ascii="宋体" w:hAnsi="宋体"/>
          <w:color w:val="auto"/>
          <w:kern w:val="0"/>
          <w:sz w:val="24"/>
          <w:highlight w:val="none"/>
        </w:rPr>
        <w:t>我（</w:t>
      </w:r>
      <w:r>
        <w:rPr>
          <w:rStyle w:val="51"/>
          <w:rFonts w:ascii="宋体" w:hAnsi="宋体"/>
          <w:color w:val="auto"/>
          <w:kern w:val="0"/>
          <w:sz w:val="24"/>
          <w:highlight w:val="none"/>
          <w:u w:val="single"/>
        </w:rPr>
        <w:t xml:space="preserve"> 姓名 </w:t>
      </w:r>
      <w:r>
        <w:rPr>
          <w:rStyle w:val="51"/>
          <w:rFonts w:ascii="宋体" w:hAnsi="宋体"/>
          <w:color w:val="auto"/>
          <w:kern w:val="0"/>
          <w:sz w:val="24"/>
          <w:highlight w:val="none"/>
        </w:rPr>
        <w:t>）系（</w:t>
      </w:r>
      <w:r>
        <w:rPr>
          <w:rStyle w:val="51"/>
          <w:rFonts w:ascii="宋体" w:hAnsi="宋体"/>
          <w:color w:val="auto"/>
          <w:kern w:val="0"/>
          <w:sz w:val="24"/>
          <w:highlight w:val="none"/>
          <w:u w:val="single"/>
        </w:rPr>
        <w:t xml:space="preserve"> 投标人名称 </w:t>
      </w:r>
      <w:r>
        <w:rPr>
          <w:rStyle w:val="51"/>
          <w:rFonts w:ascii="宋体" w:hAnsi="宋体"/>
          <w:color w:val="auto"/>
          <w:kern w:val="0"/>
          <w:sz w:val="24"/>
          <w:highlight w:val="none"/>
        </w:rPr>
        <w:t>）的法定代表人，我公司自愿参加贵方组织的（</w:t>
      </w:r>
      <w:r>
        <w:rPr>
          <w:rStyle w:val="51"/>
          <w:rFonts w:ascii="宋体" w:hAnsi="宋体"/>
          <w:color w:val="auto"/>
          <w:kern w:val="0"/>
          <w:sz w:val="24"/>
          <w:highlight w:val="none"/>
          <w:u w:val="single"/>
        </w:rPr>
        <w:t>招标项目名称</w:t>
      </w:r>
      <w:r>
        <w:rPr>
          <w:rStyle w:val="51"/>
          <w:rFonts w:ascii="宋体" w:hAnsi="宋体"/>
          <w:color w:val="auto"/>
          <w:kern w:val="0"/>
          <w:sz w:val="24"/>
          <w:highlight w:val="none"/>
        </w:rPr>
        <w:t>）（编号为）的投标，为此，我公司就本次投标有关事项郑重声明如下：</w:t>
      </w:r>
    </w:p>
    <w:p>
      <w:pPr>
        <w:snapToGrid w:val="0"/>
        <w:spacing w:line="408" w:lineRule="auto"/>
        <w:ind w:firstLine="480" w:firstLineChars="200"/>
        <w:rPr>
          <w:rStyle w:val="51"/>
          <w:rFonts w:ascii="宋体" w:hAnsi="宋体"/>
          <w:b/>
          <w:color w:val="auto"/>
          <w:kern w:val="0"/>
          <w:sz w:val="24"/>
          <w:highlight w:val="none"/>
        </w:rPr>
      </w:pPr>
      <w:r>
        <w:rPr>
          <w:rStyle w:val="51"/>
          <w:rFonts w:ascii="宋体" w:hAnsi="宋体"/>
          <w:color w:val="auto"/>
          <w:kern w:val="0"/>
          <w:sz w:val="24"/>
          <w:highlight w:val="none"/>
        </w:rPr>
        <w:t>1、</w:t>
      </w:r>
      <w:r>
        <w:rPr>
          <w:rStyle w:val="51"/>
          <w:rFonts w:hint="eastAsia" w:ascii="宋体" w:hAnsi="宋体"/>
          <w:color w:val="auto"/>
          <w:sz w:val="24"/>
          <w:highlight w:val="none"/>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snapToGrid w:val="0"/>
        <w:spacing w:line="408" w:lineRule="auto"/>
        <w:ind w:firstLine="480" w:firstLineChars="200"/>
        <w:rPr>
          <w:rStyle w:val="51"/>
          <w:rFonts w:ascii="宋体" w:hAnsi="宋体"/>
          <w:color w:val="auto"/>
          <w:kern w:val="0"/>
          <w:sz w:val="24"/>
          <w:highlight w:val="none"/>
        </w:rPr>
      </w:pPr>
      <w:r>
        <w:rPr>
          <w:rStyle w:val="51"/>
          <w:rFonts w:ascii="宋体" w:hAnsi="宋体"/>
          <w:color w:val="auto"/>
          <w:kern w:val="0"/>
          <w:sz w:val="24"/>
          <w:highlight w:val="none"/>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pPr>
        <w:snapToGrid w:val="0"/>
        <w:spacing w:line="408" w:lineRule="auto"/>
        <w:ind w:firstLine="480" w:firstLineChars="200"/>
        <w:rPr>
          <w:rStyle w:val="51"/>
          <w:rFonts w:ascii="宋体" w:hAnsi="宋体"/>
          <w:color w:val="auto"/>
          <w:sz w:val="24"/>
          <w:highlight w:val="none"/>
        </w:rPr>
      </w:pPr>
      <w:r>
        <w:rPr>
          <w:rStyle w:val="51"/>
          <w:rFonts w:ascii="宋体" w:hAnsi="宋体"/>
          <w:color w:val="auto"/>
          <w:sz w:val="24"/>
          <w:highlight w:val="none"/>
        </w:rPr>
        <w:t>3、我</w:t>
      </w:r>
      <w:r>
        <w:rPr>
          <w:rStyle w:val="51"/>
          <w:rFonts w:ascii="宋体" w:hAnsi="宋体"/>
          <w:color w:val="auto"/>
          <w:kern w:val="0"/>
          <w:sz w:val="24"/>
          <w:highlight w:val="none"/>
          <w:lang w:val="zh-CN"/>
        </w:rPr>
        <w:t>公司</w:t>
      </w:r>
      <w:r>
        <w:rPr>
          <w:rStyle w:val="51"/>
          <w:rFonts w:ascii="宋体" w:hAnsi="宋体"/>
          <w:color w:val="auto"/>
          <w:sz w:val="24"/>
          <w:highlight w:val="none"/>
        </w:rPr>
        <w:t>不是采购人的附属机构；在获知本项目采购信息后，与采购人聘请的为此项目提供咨询服务的公司及其附属机构没有任何联系。</w:t>
      </w:r>
    </w:p>
    <w:p>
      <w:pPr>
        <w:snapToGrid w:val="0"/>
        <w:spacing w:line="408" w:lineRule="auto"/>
        <w:ind w:firstLine="480" w:firstLineChars="200"/>
        <w:rPr>
          <w:rStyle w:val="51"/>
          <w:rFonts w:ascii="宋体" w:hAnsi="宋体"/>
          <w:color w:val="auto"/>
          <w:kern w:val="0"/>
          <w:sz w:val="24"/>
          <w:highlight w:val="none"/>
          <w:lang w:val="af-ZA"/>
        </w:rPr>
      </w:pPr>
      <w:r>
        <w:rPr>
          <w:rStyle w:val="51"/>
          <w:rFonts w:ascii="宋体" w:hAnsi="宋体"/>
          <w:color w:val="auto"/>
          <w:sz w:val="24"/>
          <w:highlight w:val="none"/>
        </w:rPr>
        <w:t>4、</w:t>
      </w:r>
      <w:r>
        <w:rPr>
          <w:rStyle w:val="51"/>
          <w:rFonts w:ascii="宋体" w:hAnsi="宋体"/>
          <w:color w:val="auto"/>
          <w:kern w:val="0"/>
          <w:sz w:val="24"/>
          <w:highlight w:val="none"/>
        </w:rPr>
        <w:t>我</w:t>
      </w:r>
      <w:r>
        <w:rPr>
          <w:rStyle w:val="51"/>
          <w:rFonts w:ascii="宋体" w:hAnsi="宋体"/>
          <w:color w:val="auto"/>
          <w:kern w:val="0"/>
          <w:sz w:val="24"/>
          <w:highlight w:val="none"/>
          <w:lang w:val="zh-CN"/>
        </w:rPr>
        <w:t>公司</w:t>
      </w:r>
      <w:r>
        <w:rPr>
          <w:rStyle w:val="51"/>
          <w:rFonts w:ascii="宋体" w:hAnsi="宋体"/>
          <w:color w:val="auto"/>
          <w:kern w:val="0"/>
          <w:sz w:val="24"/>
          <w:highlight w:val="none"/>
        </w:rPr>
        <w:t>保证，</w:t>
      </w:r>
      <w:r>
        <w:rPr>
          <w:rStyle w:val="51"/>
          <w:rFonts w:ascii="宋体" w:hAnsi="宋体"/>
          <w:color w:val="auto"/>
          <w:kern w:val="0"/>
          <w:sz w:val="24"/>
          <w:highlight w:val="none"/>
          <w:lang w:val="af-ZA"/>
        </w:rPr>
        <w:t>采购人在中华人民共和国境内使用</w:t>
      </w:r>
      <w:r>
        <w:rPr>
          <w:rStyle w:val="51"/>
          <w:rFonts w:ascii="宋体" w:hAnsi="宋体"/>
          <w:color w:val="auto"/>
          <w:kern w:val="0"/>
          <w:sz w:val="24"/>
          <w:highlight w:val="none"/>
        </w:rPr>
        <w:t>我</w:t>
      </w:r>
      <w:r>
        <w:rPr>
          <w:rStyle w:val="51"/>
          <w:rFonts w:ascii="宋体" w:hAnsi="宋体"/>
          <w:color w:val="auto"/>
          <w:kern w:val="0"/>
          <w:sz w:val="24"/>
          <w:highlight w:val="none"/>
          <w:lang w:val="zh-CN"/>
        </w:rPr>
        <w:t>公司</w:t>
      </w:r>
      <w:r>
        <w:rPr>
          <w:rStyle w:val="51"/>
          <w:rFonts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snapToGrid w:val="0"/>
        <w:spacing w:line="408" w:lineRule="auto"/>
        <w:ind w:firstLine="480" w:firstLineChars="200"/>
        <w:rPr>
          <w:rStyle w:val="51"/>
          <w:rFonts w:ascii="宋体" w:hAnsi="宋体"/>
          <w:color w:val="auto"/>
          <w:kern w:val="0"/>
          <w:sz w:val="24"/>
          <w:highlight w:val="none"/>
          <w:lang w:val="af-ZA"/>
        </w:rPr>
      </w:pPr>
      <w:r>
        <w:rPr>
          <w:rStyle w:val="51"/>
          <w:rFonts w:ascii="宋体" w:hAnsi="宋体"/>
          <w:color w:val="auto"/>
          <w:kern w:val="0"/>
          <w:sz w:val="24"/>
          <w:highlight w:val="none"/>
          <w:lang w:val="af-ZA"/>
        </w:rPr>
        <w:t>5、我</w:t>
      </w:r>
      <w:r>
        <w:rPr>
          <w:rStyle w:val="51"/>
          <w:rFonts w:ascii="宋体" w:hAnsi="宋体"/>
          <w:color w:val="auto"/>
          <w:kern w:val="0"/>
          <w:sz w:val="24"/>
          <w:highlight w:val="none"/>
          <w:lang w:val="zh-CN"/>
        </w:rPr>
        <w:t>公司</w:t>
      </w:r>
      <w:r>
        <w:rPr>
          <w:rStyle w:val="51"/>
          <w:rFonts w:ascii="宋体" w:hAnsi="宋体"/>
          <w:color w:val="auto"/>
          <w:kern w:val="0"/>
          <w:sz w:val="24"/>
          <w:highlight w:val="none"/>
          <w:lang w:val="af-ZA"/>
        </w:rPr>
        <w:t>严格履行政府采购合同，不降低合同约定的产品质量和服务，不擅自变更、中止、终止合同，或拒绝履行合同义务；</w:t>
      </w:r>
    </w:p>
    <w:p>
      <w:pPr>
        <w:snapToGrid w:val="0"/>
        <w:spacing w:line="408" w:lineRule="auto"/>
        <w:ind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rPr>
        <w:t>6、</w:t>
      </w:r>
      <w:r>
        <w:rPr>
          <w:rStyle w:val="51"/>
          <w:rFonts w:ascii="宋体" w:hAnsi="宋体"/>
          <w:color w:val="auto"/>
          <w:kern w:val="0"/>
          <w:sz w:val="24"/>
          <w:highlight w:val="none"/>
          <w:lang w:val="af-ZA"/>
        </w:rPr>
        <w:t>我</w:t>
      </w:r>
      <w:r>
        <w:rPr>
          <w:rStyle w:val="51"/>
          <w:rFonts w:ascii="宋体" w:hAnsi="宋体"/>
          <w:color w:val="auto"/>
          <w:kern w:val="0"/>
          <w:sz w:val="24"/>
          <w:highlight w:val="none"/>
          <w:lang w:val="zh-CN"/>
        </w:rPr>
        <w:t>公司如中标，保证在中标公示后五个工作日内缴纳招标服务费</w:t>
      </w:r>
      <w:r>
        <w:rPr>
          <w:rStyle w:val="51"/>
          <w:rFonts w:hint="eastAsia" w:ascii="宋体" w:hAnsi="宋体"/>
          <w:color w:val="auto"/>
          <w:kern w:val="0"/>
          <w:sz w:val="24"/>
          <w:highlight w:val="none"/>
          <w:lang w:val="zh-CN"/>
        </w:rPr>
        <w:t>人民币</w:t>
      </w:r>
      <w:r>
        <w:rPr>
          <w:rStyle w:val="51"/>
          <w:rFonts w:hint="eastAsia" w:ascii="宋体" w:hAnsi="宋体"/>
          <w:color w:val="auto"/>
          <w:kern w:val="0"/>
          <w:sz w:val="24"/>
          <w:highlight w:val="none"/>
        </w:rPr>
        <w:t>捌仟壹佰元整</w:t>
      </w:r>
      <w:r>
        <w:rPr>
          <w:rStyle w:val="51"/>
          <w:rFonts w:hint="eastAsia" w:ascii="宋体" w:hAnsi="宋体"/>
          <w:color w:val="auto"/>
          <w:kern w:val="0"/>
          <w:sz w:val="24"/>
          <w:highlight w:val="none"/>
          <w:lang w:val="zh-CN"/>
        </w:rPr>
        <w:t>（</w:t>
      </w:r>
      <w:r>
        <w:rPr>
          <w:rStyle w:val="51"/>
          <w:rFonts w:hint="eastAsia" w:ascii="宋体" w:hAnsi="宋体"/>
          <w:color w:val="auto"/>
          <w:kern w:val="0"/>
          <w:sz w:val="24"/>
          <w:highlight w:val="none"/>
        </w:rPr>
        <w:t>¥8100.00</w:t>
      </w:r>
      <w:r>
        <w:rPr>
          <w:rStyle w:val="51"/>
          <w:rFonts w:hint="eastAsia" w:ascii="宋体" w:hAnsi="宋体"/>
          <w:color w:val="auto"/>
          <w:kern w:val="0"/>
          <w:sz w:val="24"/>
          <w:highlight w:val="none"/>
          <w:lang w:val="zh-CN"/>
        </w:rPr>
        <w:t>元）</w:t>
      </w:r>
      <w:r>
        <w:rPr>
          <w:rStyle w:val="51"/>
          <w:rFonts w:ascii="宋体" w:hAnsi="宋体"/>
          <w:color w:val="auto"/>
          <w:kern w:val="0"/>
          <w:sz w:val="24"/>
          <w:highlight w:val="none"/>
          <w:lang w:val="zh-CN"/>
        </w:rPr>
        <w:t>。</w:t>
      </w:r>
    </w:p>
    <w:p>
      <w:pPr>
        <w:pStyle w:val="2"/>
        <w:rPr>
          <w:color w:val="auto"/>
          <w:highlight w:val="none"/>
          <w:lang w:val="zh-CN"/>
        </w:rPr>
      </w:pPr>
      <w:r>
        <w:rPr>
          <w:color w:val="auto"/>
          <w:highlight w:val="none"/>
          <w:lang w:val="zh-CN"/>
        </w:rPr>
        <w:br w:type="page"/>
      </w:r>
    </w:p>
    <w:p>
      <w:pPr>
        <w:pStyle w:val="2"/>
        <w:rPr>
          <w:color w:val="auto"/>
          <w:highlight w:val="none"/>
          <w:lang w:val="zh-CN"/>
        </w:rPr>
      </w:pPr>
    </w:p>
    <w:p>
      <w:pPr>
        <w:pStyle w:val="2"/>
        <w:rPr>
          <w:color w:val="auto"/>
          <w:highlight w:val="none"/>
          <w:lang w:val="zh-CN"/>
        </w:rPr>
      </w:pPr>
    </w:p>
    <w:tbl>
      <w:tblPr>
        <w:tblStyle w:val="25"/>
        <w:tblW w:w="8760" w:type="dxa"/>
        <w:tblInd w:w="10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76"/>
        <w:gridCol w:w="49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7" w:hRule="atLeast"/>
        </w:trPr>
        <w:tc>
          <w:tcPr>
            <w:tcW w:w="37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中标服务费发票类型</w:t>
            </w:r>
          </w:p>
        </w:tc>
        <w:tc>
          <w:tcPr>
            <w:tcW w:w="4984" w:type="dxa"/>
            <w:tcBorders>
              <w:top w:val="single" w:color="000000" w:sz="4" w:space="0"/>
              <w:left w:val="single" w:color="000000" w:sz="4" w:space="0"/>
              <w:bottom w:val="single" w:color="000000" w:sz="4" w:space="0"/>
              <w:right w:val="single" w:color="000000" w:sz="4" w:space="0"/>
            </w:tcBorders>
          </w:tcPr>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 ）增值税普通发票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7" w:hRule="atLeast"/>
        </w:trPr>
        <w:tc>
          <w:tcPr>
            <w:tcW w:w="3776" w:type="dxa"/>
            <w:tcBorders>
              <w:top w:val="single" w:color="000000" w:sz="4" w:space="0"/>
              <w:left w:val="single" w:color="000000" w:sz="4" w:space="0"/>
              <w:bottom w:val="single" w:color="000000" w:sz="4" w:space="0"/>
              <w:right w:val="single" w:color="000000" w:sz="4" w:space="0"/>
            </w:tcBorders>
            <w:vAlign w:val="center"/>
          </w:tcPr>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开票信息</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（普通发票只需要提供纳税识别号，专用发票需要财务确认过的开票信息）</w:t>
            </w:r>
          </w:p>
        </w:tc>
        <w:tc>
          <w:tcPr>
            <w:tcW w:w="4984" w:type="dxa"/>
            <w:tcBorders>
              <w:top w:val="single" w:color="000000" w:sz="4" w:space="0"/>
              <w:left w:val="single" w:color="000000" w:sz="4" w:space="0"/>
              <w:bottom w:val="single" w:color="000000" w:sz="4" w:space="0"/>
              <w:right w:val="single" w:color="000000" w:sz="4" w:space="0"/>
            </w:tcBorders>
          </w:tcPr>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纳税人名称：</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纳税识别号：</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（税务部门备案的）地址：</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（税务部门备案的）电话：</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开户行：</w:t>
            </w:r>
          </w:p>
          <w:p>
            <w:pPr>
              <w:keepNext w:val="0"/>
              <w:keepLines w:val="0"/>
              <w:suppressLineNumbers w:val="0"/>
              <w:snapToGrid w:val="0"/>
              <w:spacing w:before="0" w:beforeAutospacing="0" w:after="0" w:afterAutospacing="0" w:line="360" w:lineRule="auto"/>
              <w:ind w:left="0" w:right="0" w:firstLine="480" w:firstLineChars="200"/>
              <w:rPr>
                <w:rStyle w:val="51"/>
                <w:rFonts w:ascii="宋体" w:hAnsi="宋体"/>
                <w:color w:val="auto"/>
                <w:kern w:val="0"/>
                <w:sz w:val="24"/>
                <w:highlight w:val="none"/>
                <w:lang w:val="zh-CN"/>
              </w:rPr>
            </w:pPr>
            <w:r>
              <w:rPr>
                <w:rStyle w:val="51"/>
                <w:rFonts w:ascii="宋体" w:hAnsi="宋体"/>
                <w:color w:val="auto"/>
                <w:kern w:val="0"/>
                <w:sz w:val="24"/>
                <w:highlight w:val="none"/>
                <w:lang w:val="zh-CN"/>
              </w:rPr>
              <w:t>银行账号：</w:t>
            </w:r>
          </w:p>
        </w:tc>
      </w:tr>
    </w:tbl>
    <w:p>
      <w:pPr>
        <w:snapToGrid w:val="0"/>
        <w:spacing w:line="408" w:lineRule="auto"/>
        <w:ind w:firstLine="480" w:firstLineChars="200"/>
        <w:rPr>
          <w:rStyle w:val="51"/>
          <w:rFonts w:ascii="宋体" w:hAnsi="宋体"/>
          <w:color w:val="auto"/>
          <w:kern w:val="0"/>
          <w:sz w:val="24"/>
          <w:highlight w:val="none"/>
        </w:rPr>
      </w:pPr>
      <w:r>
        <w:rPr>
          <w:rStyle w:val="51"/>
          <w:rFonts w:ascii="宋体" w:hAnsi="宋体"/>
          <w:color w:val="auto"/>
          <w:sz w:val="24"/>
          <w:highlight w:val="none"/>
        </w:rPr>
        <w:t>7、以上事项如有虚假或隐瞒，我</w:t>
      </w:r>
      <w:r>
        <w:rPr>
          <w:rStyle w:val="51"/>
          <w:rFonts w:ascii="宋体" w:hAnsi="宋体"/>
          <w:color w:val="auto"/>
          <w:kern w:val="0"/>
          <w:sz w:val="24"/>
          <w:highlight w:val="none"/>
          <w:lang w:val="zh-CN"/>
        </w:rPr>
        <w:t>公司</w:t>
      </w:r>
      <w:r>
        <w:rPr>
          <w:rStyle w:val="51"/>
          <w:rFonts w:ascii="宋体" w:hAnsi="宋体"/>
          <w:color w:val="auto"/>
          <w:sz w:val="24"/>
          <w:highlight w:val="none"/>
        </w:rPr>
        <w:t>愿意承担一切后果，并不再寻求任何旨在减轻或免除法律责任的辩解。</w:t>
      </w:r>
    </w:p>
    <w:p>
      <w:pPr>
        <w:snapToGrid w:val="0"/>
        <w:spacing w:line="408" w:lineRule="auto"/>
        <w:ind w:firstLine="4680" w:firstLineChars="1950"/>
        <w:rPr>
          <w:rStyle w:val="51"/>
          <w:rFonts w:ascii="宋体" w:hAnsi="宋体"/>
          <w:color w:val="auto"/>
          <w:kern w:val="0"/>
          <w:sz w:val="24"/>
          <w:highlight w:val="none"/>
          <w:lang w:val="zh-CN"/>
        </w:rPr>
      </w:pPr>
    </w:p>
    <w:p>
      <w:pPr>
        <w:snapToGrid w:val="0"/>
        <w:spacing w:line="408" w:lineRule="auto"/>
        <w:ind w:firstLine="4680" w:firstLineChars="1950"/>
        <w:rPr>
          <w:rStyle w:val="51"/>
          <w:rFonts w:ascii="宋体" w:hAnsi="宋体"/>
          <w:color w:val="auto"/>
          <w:kern w:val="0"/>
          <w:sz w:val="24"/>
          <w:highlight w:val="none"/>
          <w:lang w:val="zh-CN"/>
        </w:rPr>
      </w:pPr>
      <w:r>
        <w:rPr>
          <w:rStyle w:val="51"/>
          <w:rFonts w:ascii="宋体" w:hAnsi="宋体"/>
          <w:color w:val="auto"/>
          <w:kern w:val="0"/>
          <w:sz w:val="24"/>
          <w:highlight w:val="none"/>
          <w:lang w:val="zh-CN"/>
        </w:rPr>
        <w:t xml:space="preserve">    投标人名称(</w:t>
      </w:r>
      <w:r>
        <w:rPr>
          <w:rStyle w:val="51"/>
          <w:rFonts w:hint="eastAsia" w:ascii="宋体" w:hAnsi="宋体"/>
          <w:color w:val="auto"/>
          <w:kern w:val="0"/>
          <w:sz w:val="24"/>
          <w:highlight w:val="none"/>
          <w:lang w:val="zh-CN"/>
        </w:rPr>
        <w:t>电子印章</w:t>
      </w:r>
      <w:r>
        <w:rPr>
          <w:rStyle w:val="51"/>
          <w:rFonts w:ascii="宋体" w:hAnsi="宋体"/>
          <w:color w:val="auto"/>
          <w:kern w:val="0"/>
          <w:sz w:val="24"/>
          <w:highlight w:val="none"/>
          <w:lang w:val="zh-CN"/>
        </w:rPr>
        <w:t>)：</w:t>
      </w:r>
    </w:p>
    <w:p>
      <w:pPr>
        <w:snapToGrid w:val="0"/>
        <w:spacing w:line="408" w:lineRule="auto"/>
        <w:rPr>
          <w:rStyle w:val="51"/>
          <w:rFonts w:ascii="宋体" w:hAnsi="宋体"/>
          <w:color w:val="auto"/>
          <w:kern w:val="0"/>
          <w:sz w:val="24"/>
          <w:highlight w:val="none"/>
          <w:lang w:val="zh-CN"/>
        </w:rPr>
      </w:pPr>
      <w:r>
        <w:rPr>
          <w:rStyle w:val="51"/>
          <w:rFonts w:ascii="宋体" w:hAnsi="宋体"/>
          <w:color w:val="auto"/>
          <w:kern w:val="0"/>
          <w:sz w:val="24"/>
          <w:highlight w:val="none"/>
          <w:lang w:val="zh-CN"/>
        </w:rPr>
        <w:t xml:space="preserve">                                    法定代表人或</w:t>
      </w:r>
      <w:r>
        <w:rPr>
          <w:rStyle w:val="51"/>
          <w:rFonts w:hint="eastAsia" w:ascii="宋体" w:hAnsi="宋体"/>
          <w:color w:val="auto"/>
          <w:kern w:val="0"/>
          <w:sz w:val="24"/>
          <w:highlight w:val="none"/>
          <w:lang w:val="zh-CN"/>
        </w:rPr>
        <w:t>授权委托代理人</w:t>
      </w:r>
      <w:r>
        <w:rPr>
          <w:rStyle w:val="51"/>
          <w:rFonts w:ascii="宋体" w:hAnsi="宋体"/>
          <w:color w:val="auto"/>
          <w:kern w:val="0"/>
          <w:sz w:val="24"/>
          <w:highlight w:val="none"/>
          <w:lang w:val="zh-CN"/>
        </w:rPr>
        <w:t>(签字)：</w:t>
      </w:r>
    </w:p>
    <w:p>
      <w:pPr>
        <w:snapToGrid w:val="0"/>
        <w:spacing w:line="408" w:lineRule="auto"/>
        <w:ind w:right="480"/>
        <w:jc w:val="center"/>
        <w:rPr>
          <w:rStyle w:val="51"/>
          <w:rFonts w:ascii="宋体" w:hAnsi="宋体"/>
          <w:color w:val="auto"/>
          <w:kern w:val="0"/>
          <w:sz w:val="24"/>
          <w:highlight w:val="none"/>
          <w:lang w:val="zh-CN"/>
        </w:rPr>
      </w:pPr>
      <w:r>
        <w:rPr>
          <w:rStyle w:val="51"/>
          <w:rFonts w:ascii="宋体" w:hAnsi="宋体"/>
          <w:color w:val="auto"/>
          <w:kern w:val="0"/>
          <w:sz w:val="24"/>
          <w:highlight w:val="none"/>
          <w:lang w:val="zh-CN"/>
        </w:rPr>
        <w:t xml:space="preserve">                                  日期：</w:t>
      </w:r>
      <w:r>
        <w:rPr>
          <w:rStyle w:val="51"/>
          <w:rFonts w:ascii="宋体" w:hAnsi="宋体"/>
          <w:color w:val="auto"/>
          <w:sz w:val="24"/>
          <w:highlight w:val="none"/>
        </w:rPr>
        <w:t>××</w:t>
      </w:r>
      <w:r>
        <w:rPr>
          <w:rStyle w:val="51"/>
          <w:rFonts w:ascii="宋体" w:hAnsi="宋体"/>
          <w:color w:val="auto"/>
          <w:kern w:val="0"/>
          <w:sz w:val="24"/>
          <w:highlight w:val="none"/>
          <w:lang w:val="zh-CN"/>
        </w:rPr>
        <w:t xml:space="preserve">年 </w:t>
      </w:r>
      <w:r>
        <w:rPr>
          <w:rStyle w:val="51"/>
          <w:rFonts w:ascii="宋体" w:hAnsi="宋体"/>
          <w:color w:val="auto"/>
          <w:sz w:val="24"/>
          <w:highlight w:val="none"/>
        </w:rPr>
        <w:t>××</w:t>
      </w:r>
      <w:r>
        <w:rPr>
          <w:rStyle w:val="51"/>
          <w:rFonts w:ascii="宋体" w:hAnsi="宋体"/>
          <w:color w:val="auto"/>
          <w:kern w:val="0"/>
          <w:sz w:val="24"/>
          <w:highlight w:val="none"/>
          <w:lang w:val="zh-CN"/>
        </w:rPr>
        <w:t xml:space="preserve"> 月 </w:t>
      </w:r>
      <w:r>
        <w:rPr>
          <w:rStyle w:val="51"/>
          <w:rFonts w:ascii="宋体" w:hAnsi="宋体"/>
          <w:color w:val="auto"/>
          <w:sz w:val="24"/>
          <w:highlight w:val="none"/>
        </w:rPr>
        <w:t>××</w:t>
      </w:r>
      <w:r>
        <w:rPr>
          <w:rStyle w:val="51"/>
          <w:rFonts w:ascii="宋体" w:hAnsi="宋体"/>
          <w:color w:val="auto"/>
          <w:kern w:val="0"/>
          <w:sz w:val="24"/>
          <w:highlight w:val="none"/>
          <w:lang w:val="zh-CN"/>
        </w:rPr>
        <w:t xml:space="preserve"> 日</w:t>
      </w:r>
    </w:p>
    <w:p>
      <w:pPr>
        <w:pStyle w:val="2"/>
        <w:rPr>
          <w:rStyle w:val="51"/>
          <w:rFonts w:ascii="宋体" w:hAnsi="宋体"/>
          <w:color w:val="auto"/>
          <w:kern w:val="0"/>
          <w:sz w:val="24"/>
          <w:szCs w:val="24"/>
          <w:highlight w:val="none"/>
          <w:lang w:val="zh-CN"/>
        </w:rPr>
      </w:pPr>
    </w:p>
    <w:p>
      <w:pPr>
        <w:pStyle w:val="2"/>
        <w:rPr>
          <w:rStyle w:val="51"/>
          <w:rFonts w:ascii="宋体" w:hAnsi="宋体"/>
          <w:color w:val="auto"/>
          <w:kern w:val="0"/>
          <w:sz w:val="24"/>
          <w:szCs w:val="24"/>
          <w:highlight w:val="none"/>
          <w:lang w:val="zh-CN"/>
        </w:rPr>
      </w:pPr>
    </w:p>
    <w:p>
      <w:pPr>
        <w:pStyle w:val="2"/>
        <w:rPr>
          <w:rStyle w:val="51"/>
          <w:rFonts w:ascii="宋体" w:hAnsi="宋体"/>
          <w:color w:val="auto"/>
          <w:kern w:val="0"/>
          <w:sz w:val="24"/>
          <w:szCs w:val="24"/>
          <w:highlight w:val="none"/>
          <w:lang w:val="zh-CN"/>
        </w:rPr>
      </w:pPr>
      <w:r>
        <w:rPr>
          <w:rStyle w:val="51"/>
          <w:rFonts w:ascii="宋体" w:hAnsi="宋体"/>
          <w:color w:val="auto"/>
          <w:kern w:val="0"/>
          <w:sz w:val="24"/>
          <w:szCs w:val="24"/>
          <w:highlight w:val="none"/>
          <w:lang w:val="zh-CN"/>
        </w:rPr>
        <w:br w:type="page"/>
      </w:r>
    </w:p>
    <w:p>
      <w:pPr>
        <w:pStyle w:val="2"/>
        <w:rPr>
          <w:color w:val="auto"/>
          <w:highlight w:val="none"/>
        </w:rPr>
      </w:pPr>
    </w:p>
    <w:p>
      <w:pPr>
        <w:adjustRightInd w:val="0"/>
        <w:snapToGrid w:val="0"/>
        <w:spacing w:line="360" w:lineRule="auto"/>
        <w:ind w:right="480"/>
        <w:rPr>
          <w:rFonts w:ascii="宋体" w:hAnsi="宋体" w:cs="宋体"/>
          <w:b/>
          <w:color w:val="auto"/>
          <w:sz w:val="24"/>
          <w:highlight w:val="none"/>
        </w:rPr>
      </w:pPr>
      <w:r>
        <w:rPr>
          <w:rFonts w:hint="eastAsia" w:ascii="宋体" w:hAnsi="宋体" w:cs="宋体"/>
          <w:b/>
          <w:color w:val="auto"/>
          <w:sz w:val="24"/>
          <w:highlight w:val="none"/>
        </w:rPr>
        <w:t>附件3</w:t>
      </w:r>
    </w:p>
    <w:p>
      <w:pPr>
        <w:spacing w:line="360" w:lineRule="auto"/>
        <w:ind w:firstLine="321" w:firstLineChars="100"/>
        <w:jc w:val="center"/>
        <w:rPr>
          <w:rFonts w:ascii="宋体" w:hAnsi="宋体" w:cs="宋体"/>
          <w:b/>
          <w:color w:val="auto"/>
          <w:sz w:val="32"/>
          <w:szCs w:val="32"/>
          <w:highlight w:val="none"/>
          <w:u w:val="single"/>
        </w:rPr>
      </w:pPr>
      <w:bookmarkStart w:id="51" w:name="_Toc24373_WPSOffice_Level1"/>
      <w:bookmarkStart w:id="52" w:name="_Toc6870_WPSOffice_Level1"/>
      <w:r>
        <w:rPr>
          <w:rFonts w:hint="eastAsia" w:ascii="宋体" w:hAnsi="宋体" w:cs="宋体"/>
          <w:b/>
          <w:color w:val="auto"/>
          <w:sz w:val="32"/>
          <w:szCs w:val="32"/>
          <w:highlight w:val="none"/>
        </w:rPr>
        <w:t>授权委托书</w:t>
      </w:r>
      <w:bookmarkEnd w:id="51"/>
      <w:bookmarkEnd w:id="52"/>
    </w:p>
    <w:p>
      <w:pPr>
        <w:snapToGrid w:val="0"/>
        <w:spacing w:beforeLines="50" w:after="50" w:line="360" w:lineRule="auto"/>
        <w:rPr>
          <w:rFonts w:ascii="宋体" w:hAnsi="宋体" w:cs="宋体"/>
          <w:color w:val="auto"/>
          <w:kern w:val="0"/>
          <w:sz w:val="24"/>
          <w:highlight w:val="none"/>
        </w:rPr>
      </w:pPr>
      <w:r>
        <w:rPr>
          <w:rStyle w:val="51"/>
          <w:rFonts w:ascii="宋体" w:hAnsi="宋体"/>
          <w:color w:val="auto"/>
          <w:sz w:val="24"/>
          <w:highlight w:val="none"/>
        </w:rPr>
        <w:t>台州天兴工程管理咨询有限公司</w:t>
      </w:r>
      <w:r>
        <w:rPr>
          <w:rFonts w:hint="eastAsia" w:ascii="宋体" w:hAnsi="宋体" w:cs="宋体"/>
          <w:color w:val="auto"/>
          <w:kern w:val="0"/>
          <w:sz w:val="24"/>
          <w:highlight w:val="none"/>
        </w:rPr>
        <w:t>：</w:t>
      </w:r>
    </w:p>
    <w:p>
      <w:pPr>
        <w:pStyle w:val="13"/>
        <w:spacing w:line="360" w:lineRule="auto"/>
        <w:ind w:firstLine="480" w:firstLineChars="200"/>
        <w:rPr>
          <w:rFonts w:hAnsi="宋体"/>
          <w:color w:val="auto"/>
          <w:sz w:val="24"/>
          <w:highlight w:val="none"/>
        </w:rPr>
      </w:pPr>
      <w:r>
        <w:rPr>
          <w:rFonts w:hint="eastAsia" w:hAnsi="宋体"/>
          <w:color w:val="auto"/>
          <w:sz w:val="24"/>
          <w:highlight w:val="none"/>
          <w:u w:val="single"/>
        </w:rPr>
        <w:t xml:space="preserve">  （投标人全称）  </w:t>
      </w:r>
      <w:r>
        <w:rPr>
          <w:rFonts w:hint="eastAsia" w:hAnsi="宋体"/>
          <w:color w:val="auto"/>
          <w:sz w:val="24"/>
          <w:highlight w:val="none"/>
        </w:rPr>
        <w:t>法定代表人（或营业执照中单位负责人）</w:t>
      </w:r>
      <w:r>
        <w:rPr>
          <w:rFonts w:hint="eastAsia" w:hAnsi="宋体"/>
          <w:color w:val="auto"/>
          <w:sz w:val="24"/>
          <w:highlight w:val="none"/>
          <w:u w:val="single"/>
        </w:rPr>
        <w:tab/>
      </w:r>
      <w:r>
        <w:rPr>
          <w:rFonts w:hint="eastAsia" w:hAnsi="宋体"/>
          <w:color w:val="auto"/>
          <w:sz w:val="24"/>
          <w:highlight w:val="none"/>
          <w:u w:val="single"/>
        </w:rPr>
        <w:t xml:space="preserve">（法定代表人或营业执照中单位负责人姓名） </w:t>
      </w:r>
      <w:r>
        <w:rPr>
          <w:rFonts w:hint="eastAsia" w:hAnsi="宋体"/>
          <w:color w:val="auto"/>
          <w:sz w:val="24"/>
          <w:highlight w:val="none"/>
        </w:rPr>
        <w:t>授权</w:t>
      </w:r>
      <w:r>
        <w:rPr>
          <w:rFonts w:hint="eastAsia" w:hAnsi="宋体"/>
          <w:color w:val="auto"/>
          <w:sz w:val="24"/>
          <w:highlight w:val="none"/>
          <w:u w:val="single"/>
        </w:rPr>
        <w:t xml:space="preserve">   （授权委托代理人姓名） </w:t>
      </w:r>
      <w:r>
        <w:rPr>
          <w:rFonts w:hint="eastAsia" w:hAnsi="宋体"/>
          <w:color w:val="auto"/>
          <w:sz w:val="24"/>
          <w:highlight w:val="none"/>
        </w:rPr>
        <w:t>为授权委托代理人，参加贵单位组织的</w:t>
      </w:r>
      <w:r>
        <w:rPr>
          <w:rFonts w:hint="eastAsia" w:hAnsi="宋体"/>
          <w:color w:val="auto"/>
          <w:sz w:val="24"/>
          <w:highlight w:val="none"/>
          <w:u w:val="single"/>
        </w:rPr>
        <w:tab/>
      </w:r>
      <w:r>
        <w:rPr>
          <w:rFonts w:hint="eastAsia" w:hAnsi="宋体"/>
          <w:color w:val="auto"/>
          <w:sz w:val="24"/>
          <w:highlight w:val="none"/>
        </w:rPr>
        <w:t>项目的采购活动，并代表我方全权办理针对上述项目的投标、开标、评标、签约等具体事务和签署相关文件。我方对授权委托代理人的签字事项负全部责任。</w:t>
      </w:r>
    </w:p>
    <w:p>
      <w:pPr>
        <w:pStyle w:val="13"/>
        <w:spacing w:line="360" w:lineRule="auto"/>
        <w:ind w:firstLine="480" w:firstLineChars="200"/>
        <w:rPr>
          <w:rFonts w:hAnsi="宋体"/>
          <w:color w:val="auto"/>
          <w:sz w:val="24"/>
          <w:highlight w:val="none"/>
        </w:rPr>
      </w:pPr>
      <w:r>
        <w:rPr>
          <w:rFonts w:hint="eastAsia" w:hAnsi="宋体"/>
          <w:color w:val="auto"/>
          <w:sz w:val="24"/>
          <w:highlight w:val="none"/>
        </w:rPr>
        <w:t>在撤销授权的书面通知以前，本授权书一直有效。授权委托代理人在授权委托书有效期内签署的所有文件不因授权的撤销而失效。</w:t>
      </w:r>
    </w:p>
    <w:p>
      <w:pPr>
        <w:pStyle w:val="13"/>
        <w:spacing w:line="360" w:lineRule="auto"/>
        <w:ind w:firstLine="480" w:firstLineChars="200"/>
        <w:rPr>
          <w:rFonts w:hAnsi="宋体"/>
          <w:color w:val="auto"/>
          <w:sz w:val="24"/>
          <w:highlight w:val="none"/>
        </w:rPr>
      </w:pPr>
      <w:r>
        <w:rPr>
          <w:rFonts w:hint="eastAsia" w:hAnsi="宋体"/>
          <w:color w:val="auto"/>
          <w:sz w:val="24"/>
          <w:highlight w:val="none"/>
        </w:rPr>
        <w:t>授权委托代理人无转委托权，特此委托。</w:t>
      </w:r>
    </w:p>
    <w:p>
      <w:pPr>
        <w:spacing w:line="360" w:lineRule="auto"/>
        <w:rPr>
          <w:rFonts w:ascii="宋体" w:hAnsi="宋体" w:cs="宋体"/>
          <w:color w:val="auto"/>
          <w:sz w:val="24"/>
          <w:highlight w:val="none"/>
        </w:rPr>
      </w:pPr>
    </w:p>
    <w:p>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法定代表人签字或盖章：</w:t>
      </w:r>
    </w:p>
    <w:p>
      <w:pPr>
        <w:spacing w:line="360" w:lineRule="auto"/>
        <w:rPr>
          <w:rFonts w:ascii="宋体" w:hAnsi="宋体" w:cs="宋体"/>
          <w:color w:val="auto"/>
          <w:sz w:val="24"/>
          <w:highlight w:val="none"/>
        </w:rPr>
      </w:pPr>
      <w:r>
        <w:rPr>
          <w:rFonts w:hint="eastAsia" w:ascii="宋体" w:hAnsi="宋体" w:cs="宋体"/>
          <w:color w:val="auto"/>
          <w:sz w:val="24"/>
          <w:highlight w:val="none"/>
        </w:rPr>
        <w:t>投标人全称（电子印章）：                              日期：</w:t>
      </w:r>
    </w:p>
    <w:p>
      <w:pPr>
        <w:spacing w:line="360" w:lineRule="auto"/>
        <w:rPr>
          <w:rFonts w:ascii="宋体" w:hAnsi="宋体" w:cs="宋体"/>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附：</w:t>
      </w: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0" w:hRule="atLeast"/>
        </w:trPr>
        <w:tc>
          <w:tcPr>
            <w:tcW w:w="4080" w:type="dxa"/>
          </w:tcPr>
          <w:p>
            <w:pPr>
              <w:keepNext w:val="0"/>
              <w:keepLines w:val="0"/>
              <w:suppressLineNumbers w:val="0"/>
              <w:spacing w:before="0" w:beforeAutospacing="0" w:after="0" w:afterAutospacing="0" w:line="360" w:lineRule="auto"/>
              <w:ind w:left="0" w:right="0"/>
              <w:rPr>
                <w:rFonts w:ascii="宋体" w:hAnsi="宋体" w:cs="宋体"/>
                <w:b/>
                <w:color w:val="auto"/>
                <w:sz w:val="24"/>
                <w:highlight w:val="none"/>
              </w:rPr>
            </w:pPr>
          </w:p>
          <w:p>
            <w:pPr>
              <w:keepNext w:val="0"/>
              <w:keepLines w:val="0"/>
              <w:suppressLineNumbers w:val="0"/>
              <w:spacing w:before="0" w:beforeAutospacing="0" w:after="0" w:afterAutospacing="0" w:line="360" w:lineRule="auto"/>
              <w:ind w:left="0" w:right="0" w:firstLine="361" w:firstLineChars="150"/>
              <w:rPr>
                <w:rFonts w:ascii="宋体" w:hAnsi="宋体" w:cs="宋体"/>
                <w:b/>
                <w:color w:val="auto"/>
                <w:sz w:val="24"/>
                <w:highlight w:val="none"/>
              </w:rPr>
            </w:pPr>
            <w:r>
              <w:rPr>
                <w:rFonts w:hint="eastAsia" w:ascii="宋体" w:hAnsi="宋体" w:cs="宋体"/>
                <w:b/>
                <w:color w:val="auto"/>
                <w:sz w:val="24"/>
                <w:highlight w:val="none"/>
              </w:rPr>
              <w:t>法定代表身份证复印件粘贴处</w:t>
            </w:r>
          </w:p>
        </w:tc>
      </w:tr>
    </w:tbl>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法定代表人姓名：                                 </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详细通讯地址：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p>
    <w:p>
      <w:pPr>
        <w:spacing w:line="360" w:lineRule="auto"/>
        <w:rPr>
          <w:rFonts w:ascii="宋体" w:hAnsi="宋体" w:cs="宋体"/>
          <w:b/>
          <w:color w:val="auto"/>
          <w:sz w:val="24"/>
          <w:highlight w:val="none"/>
        </w:rPr>
      </w:pP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0" w:hRule="atLeast"/>
        </w:trPr>
        <w:tc>
          <w:tcPr>
            <w:tcW w:w="4080" w:type="dxa"/>
          </w:tcPr>
          <w:p>
            <w:pPr>
              <w:keepNext w:val="0"/>
              <w:keepLines w:val="0"/>
              <w:suppressLineNumbers w:val="0"/>
              <w:spacing w:before="0" w:beforeAutospacing="0" w:after="0" w:afterAutospacing="0" w:line="360" w:lineRule="auto"/>
              <w:ind w:left="0" w:right="0"/>
              <w:rPr>
                <w:rFonts w:ascii="宋体" w:hAnsi="宋体" w:cs="宋体"/>
                <w:b/>
                <w:color w:val="auto"/>
                <w:sz w:val="24"/>
                <w:highlight w:val="none"/>
              </w:rPr>
            </w:pPr>
          </w:p>
          <w:p>
            <w:pPr>
              <w:keepNext w:val="0"/>
              <w:keepLines w:val="0"/>
              <w:suppressLineNumbers w:val="0"/>
              <w:spacing w:before="0" w:beforeAutospacing="0" w:after="0" w:afterAutospacing="0" w:line="360" w:lineRule="auto"/>
              <w:ind w:left="0" w:right="0" w:firstLine="361" w:firstLineChars="150"/>
              <w:rPr>
                <w:rFonts w:ascii="宋体" w:hAnsi="宋体" w:cs="宋体"/>
                <w:b/>
                <w:color w:val="auto"/>
                <w:sz w:val="24"/>
                <w:highlight w:val="none"/>
              </w:rPr>
            </w:pPr>
            <w:r>
              <w:rPr>
                <w:rFonts w:hint="eastAsia" w:ascii="宋体" w:hAnsi="宋体" w:cs="宋体"/>
                <w:b/>
                <w:color w:val="auto"/>
                <w:sz w:val="24"/>
                <w:highlight w:val="none"/>
              </w:rPr>
              <w:t>授权委托代理人身份证复印件粘贴处</w:t>
            </w:r>
          </w:p>
        </w:tc>
      </w:tr>
    </w:tbl>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授权委托代理人姓名：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职务：                           </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详细通讯地址：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p>
    <w:p>
      <w:pPr>
        <w:pStyle w:val="2"/>
        <w:rPr>
          <w:color w:val="auto"/>
          <w:highlight w:val="none"/>
        </w:rPr>
      </w:pPr>
      <w:bookmarkStart w:id="53" w:name="_Toc20519_WPSOffice_Level1"/>
      <w:bookmarkStart w:id="54" w:name="_Toc351_WPSOffice_Level1"/>
    </w:p>
    <w:p>
      <w:pPr>
        <w:pStyle w:val="2"/>
        <w:rPr>
          <w:color w:val="auto"/>
          <w:highlight w:val="none"/>
        </w:rPr>
      </w:pPr>
    </w:p>
    <w:p>
      <w:pPr>
        <w:snapToGrid w:val="0"/>
        <w:spacing w:beforeLines="50" w:after="50" w:line="360" w:lineRule="auto"/>
        <w:rPr>
          <w:rFonts w:ascii="宋体" w:hAnsi="宋体" w:cs="宋体"/>
          <w:color w:val="auto"/>
          <w:sz w:val="24"/>
          <w:highlight w:val="none"/>
        </w:rPr>
      </w:pPr>
      <w:r>
        <w:rPr>
          <w:rFonts w:hint="eastAsia" w:ascii="宋体" w:hAnsi="宋体" w:cs="宋体"/>
          <w:b/>
          <w:color w:val="auto"/>
          <w:sz w:val="24"/>
          <w:highlight w:val="none"/>
        </w:rPr>
        <w:t>附件4</w:t>
      </w:r>
      <w:bookmarkEnd w:id="53"/>
      <w:bookmarkEnd w:id="54"/>
    </w:p>
    <w:p>
      <w:pPr>
        <w:spacing w:line="360" w:lineRule="auto"/>
        <w:ind w:right="-110"/>
        <w:jc w:val="center"/>
        <w:rPr>
          <w:rFonts w:hint="eastAsia" w:ascii="宋体" w:hAnsi="宋体" w:eastAsia="宋体"/>
          <w:color w:val="auto"/>
          <w:spacing w:val="40"/>
          <w:sz w:val="36"/>
          <w:szCs w:val="36"/>
          <w:highlight w:val="none"/>
          <w:lang w:eastAsia="zh-CN"/>
        </w:rPr>
      </w:pPr>
      <w:r>
        <w:rPr>
          <w:rFonts w:hint="eastAsia" w:ascii="宋体" w:hAnsi="宋体"/>
          <w:color w:val="auto"/>
          <w:spacing w:val="40"/>
          <w:sz w:val="36"/>
          <w:szCs w:val="36"/>
          <w:highlight w:val="none"/>
          <w:lang w:eastAsia="zh-CN"/>
        </w:rPr>
        <w:t>台州市地质环境监测站</w:t>
      </w:r>
    </w:p>
    <w:p>
      <w:pPr>
        <w:spacing w:line="360" w:lineRule="auto"/>
        <w:ind w:right="-110"/>
        <w:jc w:val="center"/>
        <w:rPr>
          <w:rStyle w:val="51"/>
          <w:rFonts w:hint="eastAsia" w:ascii="宋体" w:hAnsi="宋体" w:eastAsia="宋体"/>
          <w:color w:val="auto"/>
          <w:spacing w:val="40"/>
          <w:sz w:val="36"/>
          <w:szCs w:val="36"/>
          <w:highlight w:val="none"/>
          <w:lang w:eastAsia="zh-CN"/>
        </w:rPr>
      </w:pPr>
      <w:r>
        <w:rPr>
          <w:rFonts w:hint="eastAsia" w:ascii="宋体" w:hAnsi="宋体"/>
          <w:color w:val="auto"/>
          <w:spacing w:val="40"/>
          <w:sz w:val="36"/>
          <w:szCs w:val="36"/>
          <w:highlight w:val="none"/>
          <w:lang w:eastAsia="zh-CN"/>
        </w:rPr>
        <w:t>台州市沿海平原地面沉降监测项目</w:t>
      </w:r>
    </w:p>
    <w:p>
      <w:pPr>
        <w:spacing w:before="312" w:line="360" w:lineRule="auto"/>
        <w:ind w:right="-108"/>
        <w:jc w:val="center"/>
        <w:rPr>
          <w:rStyle w:val="51"/>
          <w:rFonts w:hint="eastAsia" w:ascii="宋体" w:hAnsi="宋体" w:eastAsia="宋体"/>
          <w:color w:val="auto"/>
          <w:sz w:val="36"/>
          <w:szCs w:val="36"/>
          <w:highlight w:val="none"/>
          <w:lang w:eastAsia="zh-CN"/>
        </w:rPr>
      </w:pPr>
      <w:r>
        <w:rPr>
          <w:rStyle w:val="51"/>
          <w:rFonts w:ascii="宋体" w:hAnsi="宋体"/>
          <w:color w:val="auto"/>
          <w:sz w:val="36"/>
          <w:szCs w:val="36"/>
          <w:highlight w:val="none"/>
        </w:rPr>
        <w:t>项目编号：</w:t>
      </w:r>
      <w:r>
        <w:rPr>
          <w:rFonts w:hint="eastAsia" w:ascii="宋体" w:hAnsi="宋体"/>
          <w:color w:val="auto"/>
          <w:spacing w:val="40"/>
          <w:sz w:val="36"/>
          <w:szCs w:val="36"/>
          <w:highlight w:val="none"/>
          <w:lang w:eastAsia="zh-CN"/>
        </w:rPr>
        <w:t>TZTX-2025-GK005</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投</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标</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文</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件</w:t>
      </w:r>
    </w:p>
    <w:p>
      <w:pPr>
        <w:spacing w:after="100" w:afterAutospacing="1" w:line="360" w:lineRule="auto"/>
        <w:ind w:right="-108"/>
        <w:jc w:val="center"/>
        <w:rPr>
          <w:rStyle w:val="51"/>
          <w:rFonts w:ascii="宋体" w:hAnsi="宋体"/>
          <w:b/>
          <w:color w:val="auto"/>
          <w:spacing w:val="40"/>
          <w:sz w:val="28"/>
          <w:szCs w:val="28"/>
          <w:highlight w:val="none"/>
        </w:rPr>
      </w:pPr>
      <w:r>
        <w:rPr>
          <w:rStyle w:val="51"/>
          <w:rFonts w:ascii="宋体" w:hAnsi="宋体"/>
          <w:color w:val="auto"/>
          <w:sz w:val="28"/>
          <w:szCs w:val="28"/>
          <w:highlight w:val="none"/>
          <w:lang w:val="zh-CN"/>
        </w:rPr>
        <w:t>（</w:t>
      </w:r>
      <w:r>
        <w:rPr>
          <w:rStyle w:val="51"/>
          <w:rFonts w:hint="eastAsia" w:ascii="宋体" w:hAnsi="宋体"/>
          <w:b/>
          <w:color w:val="auto"/>
          <w:spacing w:val="40"/>
          <w:sz w:val="28"/>
          <w:szCs w:val="28"/>
          <w:highlight w:val="none"/>
        </w:rPr>
        <w:t>商务与技术</w:t>
      </w:r>
      <w:r>
        <w:rPr>
          <w:rStyle w:val="51"/>
          <w:rFonts w:ascii="宋体" w:hAnsi="宋体"/>
          <w:b/>
          <w:color w:val="auto"/>
          <w:spacing w:val="40"/>
          <w:sz w:val="28"/>
          <w:szCs w:val="28"/>
          <w:highlight w:val="none"/>
        </w:rPr>
        <w:t>文件）</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投标人全称（</w:t>
      </w:r>
      <w:r>
        <w:rPr>
          <w:rStyle w:val="51"/>
          <w:rFonts w:hint="eastAsia" w:ascii="宋体" w:hAnsi="宋体"/>
          <w:color w:val="auto"/>
          <w:sz w:val="36"/>
          <w:szCs w:val="36"/>
          <w:highlight w:val="none"/>
        </w:rPr>
        <w:t>电子印章</w:t>
      </w:r>
      <w:r>
        <w:rPr>
          <w:rStyle w:val="51"/>
          <w:rFonts w:ascii="宋体" w:hAnsi="宋体"/>
          <w:color w:val="auto"/>
          <w:sz w:val="36"/>
          <w:szCs w:val="36"/>
          <w:highlight w:val="none"/>
        </w:rPr>
        <w:t>）：</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地    址：</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时    间：</w:t>
      </w: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18"/>
        <w:rPr>
          <w:rFonts w:ascii="宋体" w:hAnsi="宋体" w:cs="宋体"/>
          <w:color w:val="auto"/>
          <w:sz w:val="24"/>
          <w:highlight w:val="none"/>
        </w:rPr>
      </w:pPr>
    </w:p>
    <w:p>
      <w:pPr>
        <w:spacing w:line="360" w:lineRule="auto"/>
        <w:jc w:val="center"/>
        <w:rPr>
          <w:rFonts w:ascii="宋体" w:hAnsi="宋体" w:cs="宋体"/>
          <w:color w:val="auto"/>
          <w:sz w:val="32"/>
          <w:szCs w:val="32"/>
          <w:highlight w:val="none"/>
        </w:rPr>
      </w:pPr>
      <w:bookmarkStart w:id="55" w:name="_Toc11308_WPSOffice_Level1"/>
      <w:bookmarkStart w:id="56" w:name="_Toc5889_WPSOffice_Level1"/>
      <w:r>
        <w:rPr>
          <w:rFonts w:hint="eastAsia" w:ascii="宋体" w:hAnsi="宋体" w:cs="宋体"/>
          <w:b/>
          <w:bCs/>
          <w:color w:val="auto"/>
          <w:sz w:val="32"/>
          <w:szCs w:val="32"/>
          <w:highlight w:val="none"/>
          <w:lang w:val="zh-CN"/>
        </w:rPr>
        <w:t>商务与技术文件</w:t>
      </w:r>
      <w:r>
        <w:rPr>
          <w:rFonts w:hint="eastAsia" w:ascii="宋体" w:hAnsi="宋体" w:cs="宋体"/>
          <w:b/>
          <w:bCs/>
          <w:color w:val="auto"/>
          <w:sz w:val="32"/>
          <w:szCs w:val="32"/>
          <w:highlight w:val="none"/>
        </w:rPr>
        <w:t>目录</w:t>
      </w:r>
      <w:bookmarkEnd w:id="55"/>
      <w:bookmarkEnd w:id="56"/>
    </w:p>
    <w:p>
      <w:pPr>
        <w:spacing w:line="360" w:lineRule="auto"/>
        <w:rPr>
          <w:rFonts w:ascii="宋体" w:hAnsi="宋体" w:cs="宋体"/>
          <w:color w:val="auto"/>
          <w:sz w:val="24"/>
          <w:highlight w:val="none"/>
        </w:rPr>
      </w:pPr>
    </w:p>
    <w:p>
      <w:pPr>
        <w:numPr>
          <w:ilvl w:val="0"/>
          <w:numId w:val="9"/>
        </w:numPr>
        <w:spacing w:line="360" w:lineRule="auto"/>
        <w:ind w:firstLine="482" w:firstLineChars="200"/>
        <w:rPr>
          <w:rFonts w:ascii="宋体" w:hAnsi="宋体" w:cs="宋体"/>
          <w:b/>
          <w:bCs/>
          <w:color w:val="auto"/>
          <w:sz w:val="24"/>
          <w:highlight w:val="none"/>
        </w:rPr>
      </w:pPr>
      <w:bookmarkStart w:id="57" w:name="_Toc21250_WPSOffice_Level1"/>
      <w:bookmarkStart w:id="58" w:name="_Toc20529_WPSOffice_Level1"/>
      <w:r>
        <w:rPr>
          <w:rFonts w:hint="eastAsia" w:ascii="宋体" w:hAnsi="宋体" w:cs="宋体"/>
          <w:b/>
          <w:bCs/>
          <w:color w:val="auto"/>
          <w:sz w:val="24"/>
          <w:highlight w:val="none"/>
        </w:rPr>
        <w:t xml:space="preserve"> 技术方案描述部分</w:t>
      </w:r>
      <w:bookmarkEnd w:id="57"/>
      <w:bookmarkEnd w:id="58"/>
    </w:p>
    <w:p>
      <w:pPr>
        <w:pStyle w:val="2"/>
        <w:ind w:firstLine="0"/>
        <w:rPr>
          <w:color w:val="auto"/>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1、投标人情况介绍（附件5）；</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2、项目需求的理解与分析；</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3、总体设计（技术、服务）方案；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4、质量保证方案；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5、项目实施方案；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6、技术需求响应表（附件6）；</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7、项目实施人员一览表（附件7）；</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8、项目负责人/技术负责人资格情况表（附件8）；</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w:t>
      </w:r>
      <w:r>
        <w:rPr>
          <w:rFonts w:hint="eastAsia" w:ascii="Calibri" w:hAnsi="Calibri" w:cs="Calibri"/>
          <w:color w:val="auto"/>
          <w:sz w:val="24"/>
          <w:highlight w:val="none"/>
        </w:rPr>
        <w:t>实施服务与保障的能力及方案（附件9）；</w:t>
      </w:r>
    </w:p>
    <w:p>
      <w:pPr>
        <w:spacing w:line="360" w:lineRule="auto"/>
        <w:ind w:firstLine="480" w:firstLineChars="200"/>
        <w:rPr>
          <w:rFonts w:ascii="Calibri" w:hAnsi="Calibri" w:cs="Calibri"/>
          <w:color w:val="auto"/>
          <w:sz w:val="24"/>
          <w:highlight w:val="none"/>
        </w:rPr>
      </w:pPr>
      <w:r>
        <w:rPr>
          <w:rFonts w:hint="eastAsia" w:ascii="Calibri" w:hAnsi="Calibri" w:cs="Calibri"/>
          <w:color w:val="auto"/>
          <w:sz w:val="24"/>
          <w:highlight w:val="none"/>
        </w:rPr>
        <w:t>10、</w:t>
      </w:r>
      <w:r>
        <w:rPr>
          <w:rFonts w:hint="eastAsia" w:ascii="宋体" w:hAnsi="宋体" w:cs="宋体"/>
          <w:color w:val="auto"/>
          <w:sz w:val="24"/>
          <w:highlight w:val="none"/>
        </w:rPr>
        <w:t>投标人需要说明的其他内容；（包括可能影响投标人技术性能评分项的各类证明材料）</w:t>
      </w:r>
    </w:p>
    <w:p>
      <w:pPr>
        <w:pStyle w:val="2"/>
        <w:rPr>
          <w:rFonts w:ascii="宋体" w:hAnsi="宋体" w:cs="宋体"/>
          <w:color w:val="auto"/>
          <w:sz w:val="24"/>
          <w:highlight w:val="none"/>
        </w:rPr>
      </w:pPr>
    </w:p>
    <w:p>
      <w:pPr>
        <w:spacing w:line="360" w:lineRule="auto"/>
        <w:ind w:firstLine="482" w:firstLineChars="200"/>
        <w:rPr>
          <w:rFonts w:ascii="宋体" w:hAnsi="宋体" w:cs="宋体"/>
          <w:b/>
          <w:bCs/>
          <w:color w:val="auto"/>
          <w:sz w:val="24"/>
          <w:highlight w:val="none"/>
        </w:rPr>
      </w:pPr>
      <w:bookmarkStart w:id="59" w:name="_Toc30029_WPSOffice_Level1"/>
      <w:bookmarkStart w:id="60" w:name="_Toc20986_WPSOffice_Level1"/>
      <w:r>
        <w:rPr>
          <w:rFonts w:hint="eastAsia" w:ascii="宋体" w:hAnsi="宋体" w:cs="宋体"/>
          <w:b/>
          <w:bCs/>
          <w:color w:val="auto"/>
          <w:sz w:val="24"/>
          <w:highlight w:val="none"/>
        </w:rPr>
        <w:t>第二部分  商务及其他部分</w:t>
      </w:r>
      <w:bookmarkEnd w:id="59"/>
      <w:bookmarkEnd w:id="60"/>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1、证书一览表（附件10）；</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2、近三年来类似项目的成功案例（附件11）；</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3、商务需求响应表（附件12）；</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4、投标人需要说明的其他内容。（包括可能影响投标人企业实力及信誉评分项以及售后服务评分项的各类证明材料）；</w:t>
      </w:r>
    </w:p>
    <w:p>
      <w:pPr>
        <w:pStyle w:val="31"/>
        <w:spacing w:before="0" w:beforeAutospacing="0" w:after="0" w:afterAutospacing="0" w:line="360" w:lineRule="auto"/>
        <w:ind w:firstLine="482" w:firstLineChars="200"/>
        <w:jc w:val="both"/>
        <w:rPr>
          <w:b/>
          <w:color w:val="auto"/>
          <w:highlight w:val="none"/>
        </w:rPr>
      </w:pPr>
    </w:p>
    <w:p>
      <w:pPr>
        <w:pStyle w:val="31"/>
        <w:spacing w:before="0" w:beforeAutospacing="0" w:after="0" w:afterAutospacing="0" w:line="360" w:lineRule="auto"/>
        <w:rPr>
          <w:b/>
          <w:color w:val="auto"/>
          <w:highlight w:val="none"/>
        </w:rPr>
      </w:pPr>
    </w:p>
    <w:p>
      <w:pPr>
        <w:rPr>
          <w:rFonts w:ascii="宋体" w:hAnsi="宋体" w:cs="宋体"/>
          <w:b/>
          <w:color w:val="auto"/>
          <w:sz w:val="24"/>
          <w:highlight w:val="none"/>
        </w:rPr>
      </w:pPr>
      <w:r>
        <w:rPr>
          <w:rFonts w:hint="eastAsia" w:ascii="宋体" w:hAnsi="宋体" w:cs="宋体"/>
          <w:b/>
          <w:color w:val="auto"/>
          <w:sz w:val="24"/>
          <w:highlight w:val="none"/>
        </w:rPr>
        <w:br w:type="page"/>
      </w:r>
    </w:p>
    <w:p>
      <w:pPr>
        <w:pStyle w:val="31"/>
        <w:shd w:val="clear" w:color="auto" w:fill="FFFFFF"/>
        <w:spacing w:before="0" w:beforeAutospacing="0" w:after="0" w:afterAutospacing="0" w:line="360" w:lineRule="auto"/>
        <w:rPr>
          <w:b/>
          <w:color w:val="auto"/>
          <w:sz w:val="28"/>
          <w:highlight w:val="none"/>
        </w:rPr>
      </w:pPr>
      <w:r>
        <w:rPr>
          <w:rFonts w:hint="eastAsia"/>
          <w:b/>
          <w:color w:val="auto"/>
          <w:sz w:val="28"/>
          <w:highlight w:val="none"/>
        </w:rPr>
        <w:t>附件5</w:t>
      </w:r>
    </w:p>
    <w:p>
      <w:pPr>
        <w:pStyle w:val="31"/>
        <w:shd w:val="clear" w:color="auto" w:fill="FFFFFF"/>
        <w:spacing w:before="0" w:beforeAutospacing="0" w:after="0" w:afterAutospacing="0" w:line="360" w:lineRule="auto"/>
        <w:jc w:val="center"/>
        <w:rPr>
          <w:rFonts w:eastAsia="微软雅黑"/>
          <w:color w:val="auto"/>
          <w:sz w:val="36"/>
          <w:szCs w:val="36"/>
          <w:highlight w:val="none"/>
        </w:rPr>
      </w:pPr>
      <w:bookmarkStart w:id="61" w:name="_Toc13307_WPSOffice_Level1"/>
      <w:bookmarkStart w:id="62" w:name="_Toc14261_WPSOffice_Level1"/>
      <w:r>
        <w:rPr>
          <w:rFonts w:hint="eastAsia"/>
          <w:b/>
          <w:color w:val="auto"/>
          <w:sz w:val="32"/>
          <w:szCs w:val="32"/>
          <w:highlight w:val="none"/>
        </w:rPr>
        <w:t>投标</w:t>
      </w:r>
      <w:r>
        <w:rPr>
          <w:rFonts w:hint="eastAsia"/>
          <w:b/>
          <w:bCs/>
          <w:color w:val="auto"/>
          <w:sz w:val="32"/>
          <w:szCs w:val="32"/>
          <w:highlight w:val="none"/>
        </w:rPr>
        <w:t>人基本情况表</w:t>
      </w:r>
      <w:bookmarkEnd w:id="61"/>
      <w:bookmarkEnd w:id="62"/>
    </w:p>
    <w:tbl>
      <w:tblPr>
        <w:tblStyle w:val="25"/>
        <w:tblW w:w="895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955"/>
        <w:gridCol w:w="1036"/>
        <w:gridCol w:w="1036"/>
        <w:gridCol w:w="546"/>
        <w:gridCol w:w="982"/>
        <w:gridCol w:w="1025"/>
        <w:gridCol w:w="556"/>
        <w:gridCol w:w="1062"/>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823"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企业名称</w:t>
            </w:r>
          </w:p>
        </w:tc>
        <w:tc>
          <w:tcPr>
            <w:tcW w:w="4555" w:type="dxa"/>
            <w:gridSpan w:val="5"/>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法人代表</w:t>
            </w:r>
          </w:p>
        </w:tc>
        <w:tc>
          <w:tcPr>
            <w:tcW w:w="1995"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jc w:val="center"/>
        </w:trPr>
        <w:tc>
          <w:tcPr>
            <w:tcW w:w="823"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地址</w:t>
            </w:r>
          </w:p>
        </w:tc>
        <w:tc>
          <w:tcPr>
            <w:tcW w:w="4555" w:type="dxa"/>
            <w:gridSpan w:val="5"/>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企业性质</w:t>
            </w:r>
          </w:p>
        </w:tc>
        <w:tc>
          <w:tcPr>
            <w:tcW w:w="1995"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0" w:hRule="atLeast"/>
          <w:jc w:val="center"/>
        </w:trPr>
        <w:tc>
          <w:tcPr>
            <w:tcW w:w="823" w:type="dxa"/>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股东姓名</w:t>
            </w:r>
          </w:p>
        </w:tc>
        <w:tc>
          <w:tcPr>
            <w:tcW w:w="955" w:type="dxa"/>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36" w:type="dxa"/>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股权结构（%）</w:t>
            </w:r>
          </w:p>
        </w:tc>
        <w:tc>
          <w:tcPr>
            <w:tcW w:w="2564" w:type="dxa"/>
            <w:gridSpan w:val="3"/>
            <w:tcBorders>
              <w:bottom w:val="single" w:color="auto" w:sz="4" w:space="0"/>
            </w:tcBorders>
            <w:vAlign w:val="center"/>
          </w:tcPr>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股东关系</w:t>
            </w:r>
          </w:p>
        </w:tc>
        <w:tc>
          <w:tcPr>
            <w:tcW w:w="1995"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jc w:val="center"/>
        </w:trPr>
        <w:tc>
          <w:tcPr>
            <w:tcW w:w="823" w:type="dxa"/>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联系人姓名</w:t>
            </w:r>
          </w:p>
        </w:tc>
        <w:tc>
          <w:tcPr>
            <w:tcW w:w="955" w:type="dxa"/>
            <w:vMerge w:val="restart"/>
            <w:tcBorders>
              <w:top w:val="nil"/>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36" w:type="dxa"/>
            <w:tcBorders>
              <w:top w:val="nil"/>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固定电话</w:t>
            </w:r>
          </w:p>
        </w:tc>
        <w:tc>
          <w:tcPr>
            <w:tcW w:w="2564" w:type="dxa"/>
            <w:gridSpan w:val="3"/>
            <w:tcBorders>
              <w:top w:val="nil"/>
              <w:bottom w:val="single" w:color="auto" w:sz="4" w:space="0"/>
            </w:tcBorders>
            <w:vAlign w:val="center"/>
          </w:tcPr>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传真</w:t>
            </w:r>
          </w:p>
        </w:tc>
        <w:tc>
          <w:tcPr>
            <w:tcW w:w="1995" w:type="dxa"/>
            <w:gridSpan w:val="2"/>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jc w:val="center"/>
        </w:trPr>
        <w:tc>
          <w:tcPr>
            <w:tcW w:w="823" w:type="dxa"/>
            <w:vMerge w:val="continue"/>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955" w:type="dxa"/>
            <w:vMerge w:val="continue"/>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36" w:type="dxa"/>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手机</w:t>
            </w:r>
          </w:p>
        </w:tc>
        <w:tc>
          <w:tcPr>
            <w:tcW w:w="2564" w:type="dxa"/>
            <w:gridSpan w:val="3"/>
            <w:tcBorders>
              <w:bottom w:val="single" w:color="auto" w:sz="4" w:space="0"/>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995" w:type="dxa"/>
            <w:gridSpan w:val="2"/>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jc w:val="center"/>
        </w:trPr>
        <w:tc>
          <w:tcPr>
            <w:tcW w:w="823" w:type="dxa"/>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bCs/>
                <w:color w:val="auto"/>
                <w:highlight w:val="none"/>
              </w:rPr>
              <w:t>1</w:t>
            </w:r>
            <w:r>
              <w:rPr>
                <w:rFonts w:hint="eastAsia"/>
                <w:bCs/>
                <w:color w:val="auto"/>
                <w:highlight w:val="none"/>
              </w:rPr>
              <w:t>.</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业</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概</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况</w:t>
            </w:r>
          </w:p>
        </w:tc>
        <w:tc>
          <w:tcPr>
            <w:tcW w:w="955" w:type="dxa"/>
            <w:tcBorders>
              <w:top w:val="nil"/>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职工人数</w:t>
            </w:r>
          </w:p>
        </w:tc>
        <w:tc>
          <w:tcPr>
            <w:tcW w:w="1036" w:type="dxa"/>
            <w:tcBorders>
              <w:top w:val="nil"/>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2" w:type="dxa"/>
            <w:gridSpan w:val="2"/>
            <w:tcBorders>
              <w:top w:val="nil"/>
            </w:tcBorders>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具备大专以上学历人数</w:t>
            </w:r>
          </w:p>
        </w:tc>
        <w:tc>
          <w:tcPr>
            <w:tcW w:w="982" w:type="dxa"/>
            <w:tcBorders>
              <w:top w:val="nil"/>
            </w:tcBorders>
            <w:vAlign w:val="center"/>
          </w:tcPr>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国家授予技术职称人数</w:t>
            </w:r>
          </w:p>
        </w:tc>
        <w:tc>
          <w:tcPr>
            <w:tcW w:w="1995" w:type="dxa"/>
            <w:gridSpan w:val="2"/>
            <w:vAlign w:val="center"/>
          </w:tcPr>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4"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955"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占地面积</w:t>
            </w:r>
          </w:p>
        </w:tc>
        <w:tc>
          <w:tcPr>
            <w:tcW w:w="1036"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2"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建筑面积</w:t>
            </w:r>
          </w:p>
        </w:tc>
        <w:tc>
          <w:tcPr>
            <w:tcW w:w="982"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平方米</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□自有</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□租赁</w:t>
            </w:r>
          </w:p>
        </w:tc>
        <w:tc>
          <w:tcPr>
            <w:tcW w:w="158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生产经营场所及场所的设施与设备</w:t>
            </w:r>
          </w:p>
        </w:tc>
        <w:tc>
          <w:tcPr>
            <w:tcW w:w="1995"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5"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955"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注册资金</w:t>
            </w:r>
          </w:p>
        </w:tc>
        <w:tc>
          <w:tcPr>
            <w:tcW w:w="1036"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82"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注册发证机关</w:t>
            </w:r>
          </w:p>
        </w:tc>
        <w:tc>
          <w:tcPr>
            <w:tcW w:w="2563" w:type="dxa"/>
            <w:gridSpan w:val="3"/>
            <w:vAlign w:val="center"/>
          </w:tcPr>
          <w:p>
            <w:pPr>
              <w:keepNext w:val="0"/>
              <w:keepLines w:val="0"/>
              <w:widowControl/>
              <w:suppressLineNumbers w:val="0"/>
              <w:spacing w:before="0" w:beforeAutospacing="0" w:after="0" w:afterAutospacing="0"/>
              <w:ind w:left="0" w:right="0"/>
              <w:jc w:val="center"/>
              <w:rPr>
                <w:rFonts w:ascii="宋体" w:hAnsi="宋体" w:cs="宋体"/>
                <w:bCs/>
                <w:color w:val="auto"/>
                <w:kern w:val="0"/>
                <w:sz w:val="24"/>
                <w:highlight w:val="none"/>
              </w:rPr>
            </w:pP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62"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公司成立时间</w:t>
            </w:r>
          </w:p>
        </w:tc>
        <w:tc>
          <w:tcPr>
            <w:tcW w:w="933"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8"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955"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核准经营范围</w:t>
            </w:r>
          </w:p>
        </w:tc>
        <w:tc>
          <w:tcPr>
            <w:tcW w:w="7176" w:type="dxa"/>
            <w:gridSpan w:val="8"/>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8131" w:type="dxa"/>
            <w:gridSpan w:val="9"/>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3" w:hRule="atLeast"/>
          <w:jc w:val="center"/>
        </w:trPr>
        <w:tc>
          <w:tcPr>
            <w:tcW w:w="823" w:type="dxa"/>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bCs/>
                <w:color w:val="auto"/>
                <w:highlight w:val="none"/>
              </w:rPr>
              <w:t>2</w:t>
            </w:r>
            <w:r>
              <w:rPr>
                <w:rFonts w:hint="eastAsia"/>
                <w:bCs/>
                <w:color w:val="auto"/>
                <w:highlight w:val="none"/>
              </w:rPr>
              <w:t>．</w:t>
            </w:r>
          </w:p>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企业有关资质获证情况</w:t>
            </w:r>
          </w:p>
        </w:tc>
        <w:tc>
          <w:tcPr>
            <w:tcW w:w="1991" w:type="dxa"/>
            <w:gridSpan w:val="2"/>
            <w:vMerge w:val="restart"/>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产品生产许可证情况（对需获得生产许可证的产品要填写此栏）</w:t>
            </w:r>
          </w:p>
        </w:tc>
        <w:tc>
          <w:tcPr>
            <w:tcW w:w="1036"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产品名称</w:t>
            </w:r>
          </w:p>
        </w:tc>
        <w:tc>
          <w:tcPr>
            <w:tcW w:w="1528"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发证机关</w:t>
            </w:r>
          </w:p>
        </w:tc>
        <w:tc>
          <w:tcPr>
            <w:tcW w:w="1025"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编号</w:t>
            </w:r>
          </w:p>
        </w:tc>
        <w:tc>
          <w:tcPr>
            <w:tcW w:w="1618"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发证时间</w:t>
            </w:r>
          </w:p>
        </w:tc>
        <w:tc>
          <w:tcPr>
            <w:tcW w:w="933"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0"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991" w:type="dxa"/>
            <w:gridSpan w:val="2"/>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36"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528"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025" w:type="dxa"/>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2551" w:type="dxa"/>
            <w:gridSpan w:val="3"/>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00"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99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企业通过质量体系、环保体系、计量等认证情况</w:t>
            </w:r>
          </w:p>
        </w:tc>
        <w:tc>
          <w:tcPr>
            <w:tcW w:w="6140" w:type="dxa"/>
            <w:gridSpan w:val="7"/>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7" w:hRule="atLeast"/>
          <w:jc w:val="center"/>
        </w:trPr>
        <w:tc>
          <w:tcPr>
            <w:tcW w:w="823" w:type="dxa"/>
            <w:vMerge w:val="continue"/>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c>
          <w:tcPr>
            <w:tcW w:w="1991" w:type="dxa"/>
            <w:gridSpan w:val="2"/>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r>
              <w:rPr>
                <w:rFonts w:hint="eastAsia"/>
                <w:bCs/>
                <w:color w:val="auto"/>
                <w:highlight w:val="none"/>
              </w:rPr>
              <w:t>企业获得专利情况</w:t>
            </w:r>
          </w:p>
        </w:tc>
        <w:tc>
          <w:tcPr>
            <w:tcW w:w="6140" w:type="dxa"/>
            <w:gridSpan w:val="7"/>
            <w:vAlign w:val="center"/>
          </w:tcPr>
          <w:p>
            <w:pPr>
              <w:pStyle w:val="31"/>
              <w:keepNext w:val="0"/>
              <w:keepLines w:val="0"/>
              <w:suppressLineNumbers w:val="0"/>
              <w:shd w:val="clear" w:color="auto" w:fill="FFFFFF"/>
              <w:spacing w:before="0" w:beforeAutospacing="0" w:after="0" w:afterAutospacing="0"/>
              <w:ind w:left="0" w:right="0"/>
              <w:jc w:val="center"/>
              <w:rPr>
                <w:bCs/>
                <w:color w:val="auto"/>
                <w:highlight w:val="none"/>
              </w:rPr>
            </w:pPr>
          </w:p>
        </w:tc>
      </w:tr>
    </w:tbl>
    <w:p>
      <w:pPr>
        <w:pStyle w:val="31"/>
        <w:shd w:val="clear" w:color="auto" w:fill="FFFFFF"/>
        <w:spacing w:before="0" w:beforeAutospacing="0" w:after="0" w:afterAutospacing="0" w:line="360" w:lineRule="auto"/>
        <w:rPr>
          <w:b/>
          <w:color w:val="auto"/>
          <w:sz w:val="21"/>
          <w:szCs w:val="21"/>
          <w:highlight w:val="none"/>
        </w:rPr>
      </w:pPr>
      <w:r>
        <w:rPr>
          <w:rFonts w:hint="eastAsia"/>
          <w:b/>
          <w:color w:val="auto"/>
          <w:sz w:val="21"/>
          <w:szCs w:val="21"/>
          <w:highlight w:val="none"/>
        </w:rPr>
        <w:t>要求：</w:t>
      </w:r>
    </w:p>
    <w:p>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1.姓名栏必须将所有股东都统计在内，若非股份公司此行（第三行）无需填写；</w:t>
      </w: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pPr>
        <w:pStyle w:val="31"/>
        <w:shd w:val="clear" w:color="auto" w:fill="FFFFFF"/>
        <w:spacing w:before="0" w:beforeAutospacing="0" w:after="0" w:afterAutospacing="0" w:line="360" w:lineRule="auto"/>
        <w:ind w:firstLine="424" w:firstLineChars="177"/>
        <w:rPr>
          <w:color w:val="auto"/>
          <w:highlight w:val="none"/>
        </w:rPr>
      </w:pPr>
      <w:r>
        <w:rPr>
          <w:rFonts w:hint="eastAsia"/>
          <w:color w:val="auto"/>
          <w:highlight w:val="none"/>
        </w:rPr>
        <w:t>日        期：：</w:t>
      </w:r>
    </w:p>
    <w:p>
      <w:pPr>
        <w:pStyle w:val="31"/>
        <w:shd w:val="clear" w:color="auto" w:fill="FFFFFF"/>
        <w:spacing w:before="0" w:beforeAutospacing="0" w:after="0" w:afterAutospacing="0" w:line="360" w:lineRule="auto"/>
        <w:ind w:firstLine="424" w:firstLineChars="177"/>
        <w:rPr>
          <w:color w:val="auto"/>
          <w:highlight w:val="none"/>
        </w:rPr>
      </w:pPr>
      <w:r>
        <w:rPr>
          <w:rFonts w:hint="eastAsia"/>
          <w:color w:val="auto"/>
          <w:highlight w:val="none"/>
        </w:rPr>
        <w:br w:type="page"/>
      </w:r>
    </w:p>
    <w:p>
      <w:pPr>
        <w:pStyle w:val="31"/>
        <w:shd w:val="clear" w:color="auto" w:fill="FFFFFF"/>
        <w:spacing w:before="0" w:beforeAutospacing="0" w:after="0" w:afterAutospacing="0" w:line="360" w:lineRule="auto"/>
        <w:ind w:firstLine="424" w:firstLineChars="177"/>
        <w:rPr>
          <w:color w:val="auto"/>
          <w:highlight w:val="none"/>
        </w:rPr>
      </w:pPr>
    </w:p>
    <w:p>
      <w:pPr>
        <w:spacing w:line="360" w:lineRule="auto"/>
        <w:rPr>
          <w:rFonts w:ascii="宋体" w:hAnsi="宋体"/>
          <w:b/>
          <w:color w:val="auto"/>
          <w:sz w:val="28"/>
          <w:highlight w:val="none"/>
        </w:rPr>
      </w:pPr>
      <w:r>
        <w:rPr>
          <w:rFonts w:hint="eastAsia" w:ascii="宋体" w:hAnsi="宋体"/>
          <w:b/>
          <w:color w:val="auto"/>
          <w:sz w:val="28"/>
          <w:highlight w:val="none"/>
        </w:rPr>
        <w:t>附件6</w:t>
      </w:r>
    </w:p>
    <w:p>
      <w:pPr>
        <w:spacing w:line="360" w:lineRule="auto"/>
        <w:ind w:left="480"/>
        <w:jc w:val="center"/>
        <w:rPr>
          <w:rFonts w:ascii="宋体" w:hAnsi="宋体"/>
          <w:b/>
          <w:color w:val="auto"/>
          <w:sz w:val="32"/>
          <w:szCs w:val="32"/>
          <w:highlight w:val="none"/>
        </w:rPr>
      </w:pPr>
      <w:bookmarkStart w:id="63" w:name="_Toc12856_WPSOffice_Level1"/>
      <w:bookmarkStart w:id="64" w:name="_Toc26601_WPSOffice_Level1"/>
      <w:r>
        <w:rPr>
          <w:rFonts w:ascii="宋体" w:hAnsi="宋体"/>
          <w:color w:val="auto"/>
          <w:kern w:val="0"/>
          <w:sz w:val="32"/>
          <w:szCs w:val="32"/>
          <w:highlight w:val="none"/>
        </w:rPr>
        <w:t>技术</w:t>
      </w:r>
      <w:r>
        <w:rPr>
          <w:rFonts w:hint="eastAsia" w:ascii="宋体" w:hAnsi="宋体"/>
          <w:color w:val="auto"/>
          <w:kern w:val="0"/>
          <w:sz w:val="32"/>
          <w:szCs w:val="32"/>
          <w:highlight w:val="none"/>
        </w:rPr>
        <w:t>需求</w:t>
      </w:r>
      <w:r>
        <w:rPr>
          <w:rFonts w:ascii="宋体" w:hAnsi="宋体"/>
          <w:color w:val="auto"/>
          <w:kern w:val="0"/>
          <w:sz w:val="32"/>
          <w:szCs w:val="32"/>
          <w:highlight w:val="none"/>
        </w:rPr>
        <w:t>响应表</w:t>
      </w:r>
      <w:bookmarkEnd w:id="63"/>
      <w:bookmarkEnd w:id="64"/>
    </w:p>
    <w:p>
      <w:pPr>
        <w:spacing w:line="360" w:lineRule="auto"/>
        <w:rPr>
          <w:rFonts w:ascii="宋体" w:hAnsi="宋体"/>
          <w:color w:val="auto"/>
          <w:sz w:val="24"/>
          <w:highlight w:val="none"/>
        </w:rPr>
      </w:pPr>
    </w:p>
    <w:tbl>
      <w:tblPr>
        <w:tblStyle w:val="25"/>
        <w:tblW w:w="78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3427"/>
        <w:gridCol w:w="1369"/>
        <w:gridCol w:w="1229"/>
        <w:gridCol w:w="11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4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b/>
                <w:color w:val="auto"/>
                <w:sz w:val="24"/>
                <w:highlight w:val="none"/>
              </w:rPr>
            </w:pPr>
            <w:r>
              <w:rPr>
                <w:rFonts w:hint="eastAsia" w:ascii="宋体" w:hAnsi="宋体"/>
                <w:b/>
                <w:color w:val="auto"/>
                <w:sz w:val="24"/>
                <w:highlight w:val="none"/>
              </w:rPr>
              <w:t>序号</w:t>
            </w:r>
          </w:p>
        </w:tc>
        <w:tc>
          <w:tcPr>
            <w:tcW w:w="3427" w:type="dxa"/>
            <w:vAlign w:val="center"/>
          </w:tcPr>
          <w:p>
            <w:pPr>
              <w:keepNext w:val="0"/>
              <w:keepLines w:val="0"/>
              <w:suppressLineNumbers w:val="0"/>
              <w:spacing w:before="0" w:beforeAutospacing="0" w:after="0" w:afterAutospacing="0"/>
              <w:ind w:left="52" w:right="0"/>
              <w:jc w:val="center"/>
              <w:rPr>
                <w:rFonts w:ascii="宋体" w:hAnsi="宋体"/>
                <w:b/>
                <w:color w:val="auto"/>
                <w:sz w:val="24"/>
                <w:highlight w:val="none"/>
              </w:rPr>
            </w:pPr>
            <w:r>
              <w:rPr>
                <w:rFonts w:hint="eastAsia" w:ascii="宋体" w:hAnsi="宋体"/>
                <w:b/>
                <w:color w:val="auto"/>
                <w:sz w:val="24"/>
                <w:highlight w:val="none"/>
              </w:rPr>
              <w:t>名称</w:t>
            </w:r>
          </w:p>
        </w:tc>
        <w:tc>
          <w:tcPr>
            <w:tcW w:w="1369" w:type="dxa"/>
            <w:vAlign w:val="center"/>
          </w:tcPr>
          <w:p>
            <w:pPr>
              <w:keepNext w:val="0"/>
              <w:keepLines w:val="0"/>
              <w:suppressLineNumbers w:val="0"/>
              <w:spacing w:before="0" w:beforeAutospacing="0" w:after="0" w:afterAutospacing="0"/>
              <w:ind w:left="152" w:right="0"/>
              <w:jc w:val="center"/>
              <w:rPr>
                <w:rFonts w:ascii="宋体" w:hAnsi="宋体"/>
                <w:b/>
                <w:color w:val="auto"/>
                <w:sz w:val="24"/>
                <w:highlight w:val="none"/>
              </w:rPr>
            </w:pPr>
            <w:r>
              <w:rPr>
                <w:rFonts w:hint="eastAsia" w:ascii="宋体" w:hAnsi="宋体"/>
                <w:b/>
                <w:color w:val="auto"/>
                <w:sz w:val="24"/>
                <w:highlight w:val="none"/>
              </w:rPr>
              <w:t>招标参数</w:t>
            </w:r>
          </w:p>
        </w:tc>
        <w:tc>
          <w:tcPr>
            <w:tcW w:w="1229" w:type="dxa"/>
            <w:vAlign w:val="center"/>
          </w:tcPr>
          <w:p>
            <w:pPr>
              <w:keepNext w:val="0"/>
              <w:keepLines w:val="0"/>
              <w:suppressLineNumbers w:val="0"/>
              <w:spacing w:before="0" w:beforeAutospacing="0" w:after="0" w:afterAutospacing="0"/>
              <w:ind w:left="0" w:right="0"/>
              <w:jc w:val="center"/>
              <w:rPr>
                <w:rFonts w:ascii="宋体" w:hAnsi="宋体"/>
                <w:b/>
                <w:color w:val="auto"/>
                <w:sz w:val="24"/>
                <w:highlight w:val="none"/>
              </w:rPr>
            </w:pPr>
            <w:r>
              <w:rPr>
                <w:rFonts w:hint="eastAsia" w:ascii="宋体" w:hAnsi="宋体"/>
                <w:b/>
                <w:color w:val="auto"/>
                <w:sz w:val="24"/>
                <w:highlight w:val="none"/>
              </w:rPr>
              <w:t>投标参数</w:t>
            </w:r>
          </w:p>
        </w:tc>
        <w:tc>
          <w:tcPr>
            <w:tcW w:w="1197" w:type="dxa"/>
            <w:vAlign w:val="center"/>
          </w:tcPr>
          <w:p>
            <w:pPr>
              <w:keepNext w:val="0"/>
              <w:keepLines w:val="0"/>
              <w:suppressLineNumbers w:val="0"/>
              <w:spacing w:before="0" w:beforeAutospacing="0" w:after="0" w:afterAutospacing="0"/>
              <w:ind w:left="0" w:right="0"/>
              <w:jc w:val="center"/>
              <w:rPr>
                <w:rFonts w:ascii="宋体" w:hAnsi="宋体"/>
                <w:b/>
                <w:color w:val="auto"/>
                <w:sz w:val="24"/>
                <w:highlight w:val="none"/>
              </w:rPr>
            </w:pPr>
            <w:r>
              <w:rPr>
                <w:rFonts w:hint="eastAsia" w:ascii="宋体" w:hAnsi="宋体"/>
                <w:b/>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jc w:val="center"/>
        </w:trPr>
        <w:tc>
          <w:tcPr>
            <w:tcW w:w="645"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342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36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229"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c>
          <w:tcPr>
            <w:tcW w:w="1197" w:type="dxa"/>
            <w:vAlign w:val="center"/>
          </w:tcPr>
          <w:p>
            <w:pPr>
              <w:keepNext w:val="0"/>
              <w:keepLines w:val="0"/>
              <w:suppressLineNumbers w:val="0"/>
              <w:spacing w:before="0" w:beforeAutospacing="0" w:after="0" w:afterAutospacing="0"/>
              <w:ind w:left="0" w:right="0"/>
              <w:jc w:val="center"/>
              <w:rPr>
                <w:rFonts w:ascii="宋体" w:hAnsi="宋体"/>
                <w:color w:val="auto"/>
                <w:sz w:val="24"/>
                <w:highlight w:val="none"/>
              </w:rPr>
            </w:pPr>
          </w:p>
        </w:tc>
      </w:tr>
    </w:tbl>
    <w:p>
      <w:pPr>
        <w:pStyle w:val="33"/>
        <w:tabs>
          <w:tab w:val="left" w:pos="360"/>
        </w:tabs>
        <w:spacing w:line="360" w:lineRule="auto"/>
        <w:ind w:right="84" w:rightChars="40"/>
        <w:rPr>
          <w:rFonts w:ascii="宋体"/>
          <w:b/>
          <w:color w:val="auto"/>
          <w:szCs w:val="21"/>
          <w:highlight w:val="none"/>
        </w:rPr>
      </w:pPr>
      <w:r>
        <w:rPr>
          <w:rFonts w:hint="eastAsia" w:ascii="宋体"/>
          <w:b/>
          <w:color w:val="auto"/>
          <w:szCs w:val="21"/>
          <w:highlight w:val="none"/>
        </w:rPr>
        <w:t>要求：</w:t>
      </w:r>
    </w:p>
    <w:p>
      <w:pPr>
        <w:pStyle w:val="33"/>
        <w:tabs>
          <w:tab w:val="left" w:pos="360"/>
        </w:tabs>
        <w:spacing w:line="360" w:lineRule="auto"/>
        <w:ind w:right="84" w:rightChars="40" w:firstLine="420" w:firstLineChars="200"/>
        <w:rPr>
          <w:rFonts w:ascii="宋体"/>
          <w:color w:val="auto"/>
          <w:szCs w:val="21"/>
          <w:highlight w:val="none"/>
        </w:rPr>
      </w:pPr>
      <w:r>
        <w:rPr>
          <w:rFonts w:hint="eastAsia" w:ascii="宋体"/>
          <w:color w:val="auto"/>
          <w:szCs w:val="21"/>
          <w:highlight w:val="none"/>
        </w:rPr>
        <w:t>1. 本表的名称须与《报价明细表》一致。</w:t>
      </w:r>
    </w:p>
    <w:p>
      <w:pPr>
        <w:pStyle w:val="33"/>
        <w:spacing w:line="360" w:lineRule="auto"/>
        <w:ind w:right="84" w:rightChars="40" w:firstLine="420" w:firstLineChars="200"/>
        <w:rPr>
          <w:rFonts w:ascii="宋体"/>
          <w:color w:val="auto"/>
          <w:szCs w:val="21"/>
          <w:highlight w:val="none"/>
        </w:rPr>
      </w:pPr>
      <w:r>
        <w:rPr>
          <w:rFonts w:hint="eastAsia" w:ascii="宋体"/>
          <w:color w:val="auto"/>
          <w:szCs w:val="21"/>
          <w:highlight w:val="none"/>
        </w:rPr>
        <w:t>2.本表参照本招标文件第三章“招标需求”内具体技术需求填制，投标人应根据投标设备的性能指标、服务指标，对照招标文件要求在“偏离情况”栏注明“正偏离”、“负偏离”或“无偏离”。</w:t>
      </w:r>
    </w:p>
    <w:p>
      <w:pPr>
        <w:pStyle w:val="33"/>
        <w:spacing w:line="360" w:lineRule="auto"/>
        <w:ind w:right="84" w:rightChars="40" w:firstLine="420" w:firstLineChars="200"/>
        <w:rPr>
          <w:rFonts w:ascii="宋体"/>
          <w:color w:val="auto"/>
          <w:szCs w:val="21"/>
          <w:highlight w:val="none"/>
        </w:rPr>
      </w:pPr>
      <w:r>
        <w:rPr>
          <w:rFonts w:hint="eastAsia" w:ascii="宋体"/>
          <w:color w:val="auto"/>
          <w:szCs w:val="21"/>
          <w:highlight w:val="none"/>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w:t>
      </w:r>
    </w:p>
    <w:p>
      <w:pPr>
        <w:spacing w:line="360" w:lineRule="auto"/>
        <w:rPr>
          <w:rFonts w:ascii="宋体" w:hAnsi="宋体"/>
          <w:color w:val="auto"/>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spacing w:line="360" w:lineRule="auto"/>
        <w:rPr>
          <w:rFonts w:ascii="宋体" w:hAnsi="宋体"/>
          <w:color w:val="auto"/>
          <w:sz w:val="24"/>
          <w:highlight w:val="none"/>
        </w:rPr>
      </w:pPr>
      <w:r>
        <w:rPr>
          <w:rFonts w:hint="eastAsia" w:ascii="宋体" w:hAnsi="宋体"/>
          <w:b/>
          <w:color w:val="auto"/>
          <w:sz w:val="28"/>
          <w:highlight w:val="none"/>
        </w:rPr>
        <w:t>附件7</w:t>
      </w:r>
    </w:p>
    <w:p>
      <w:pPr>
        <w:snapToGrid w:val="0"/>
        <w:spacing w:beforeLines="50" w:after="50" w:line="360" w:lineRule="auto"/>
        <w:jc w:val="center"/>
        <w:rPr>
          <w:rFonts w:ascii="宋体" w:hAnsi="宋体"/>
          <w:b/>
          <w:color w:val="auto"/>
          <w:sz w:val="36"/>
          <w:szCs w:val="36"/>
          <w:highlight w:val="none"/>
        </w:rPr>
      </w:pPr>
      <w:bookmarkStart w:id="65" w:name="_Toc20569_WPSOffice_Level1"/>
      <w:bookmarkStart w:id="66" w:name="_Toc23671_WPSOffice_Level1"/>
      <w:r>
        <w:rPr>
          <w:rFonts w:hint="eastAsia" w:ascii="宋体" w:hAnsi="宋体"/>
          <w:b/>
          <w:color w:val="auto"/>
          <w:sz w:val="32"/>
          <w:szCs w:val="32"/>
          <w:highlight w:val="none"/>
        </w:rPr>
        <w:t>项目实施人员一览表（第 标）</w:t>
      </w:r>
      <w:bookmarkEnd w:id="65"/>
      <w:bookmarkEnd w:id="66"/>
    </w:p>
    <w:p>
      <w:pPr>
        <w:snapToGrid w:val="0"/>
        <w:spacing w:beforeLines="50" w:after="50" w:line="360" w:lineRule="auto"/>
        <w:ind w:firstLine="2400" w:firstLineChars="1000"/>
        <w:rPr>
          <w:rFonts w:ascii="宋体" w:hAnsi="宋体"/>
          <w:color w:val="auto"/>
          <w:sz w:val="24"/>
          <w:highlight w:val="none"/>
        </w:rPr>
      </w:pPr>
      <w:r>
        <w:rPr>
          <w:rFonts w:hint="eastAsia" w:ascii="宋体" w:hAnsi="宋体"/>
          <w:color w:val="auto"/>
          <w:sz w:val="24"/>
          <w:highlight w:val="none"/>
        </w:rPr>
        <w:t>（主要从业人员及其技术资格）</w:t>
      </w:r>
    </w:p>
    <w:tbl>
      <w:tblPr>
        <w:tblStyle w:val="25"/>
        <w:tblW w:w="917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szCs w:val="20"/>
                <w:highlight w:val="none"/>
              </w:rPr>
              <w:t>序号</w:t>
            </w:r>
          </w:p>
        </w:tc>
        <w:tc>
          <w:tcPr>
            <w:tcW w:w="81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color w:val="auto"/>
                <w:sz w:val="24"/>
                <w:szCs w:val="20"/>
                <w:highlight w:val="none"/>
              </w:rPr>
            </w:pPr>
            <w:r>
              <w:rPr>
                <w:rFonts w:hint="eastAsia" w:ascii="宋体" w:hAnsi="宋体"/>
                <w:b/>
                <w:color w:val="auto"/>
                <w:sz w:val="24"/>
                <w:highlight w:val="none"/>
              </w:rPr>
              <w:t>证书编号</w:t>
            </w:r>
          </w:p>
        </w:tc>
        <w:tc>
          <w:tcPr>
            <w:tcW w:w="17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bCs/>
                <w:color w:val="auto"/>
                <w:sz w:val="24"/>
                <w:szCs w:val="20"/>
                <w:highlight w:val="none"/>
              </w:rPr>
            </w:pPr>
            <w:r>
              <w:rPr>
                <w:rFonts w:hint="eastAsia" w:ascii="宋体" w:hAnsi="宋体"/>
                <w:b/>
                <w:bCs/>
                <w:color w:val="auto"/>
                <w:sz w:val="24"/>
                <w:highlight w:val="none"/>
              </w:rPr>
              <w:t>参加本单位工作时间</w:t>
            </w:r>
          </w:p>
        </w:tc>
        <w:tc>
          <w:tcPr>
            <w:tcW w:w="180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hAnsi="宋体"/>
                <w:b/>
                <w:bCs/>
                <w:color w:val="auto"/>
                <w:sz w:val="24"/>
                <w:szCs w:val="20"/>
                <w:highlight w:val="none"/>
              </w:rPr>
            </w:pPr>
            <w:r>
              <w:rPr>
                <w:rFonts w:hint="eastAsia" w:ascii="宋体" w:hAnsi="宋体"/>
                <w:b/>
                <w:color w:val="auto"/>
                <w:sz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81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743"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80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81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743"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80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81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pStyle w:val="14"/>
              <w:keepNext w:val="0"/>
              <w:keepLines w:val="0"/>
              <w:suppressLineNumbers w:val="0"/>
              <w:snapToGrid w:val="0"/>
              <w:spacing w:before="0" w:beforeLines="50" w:beforeAutospacing="0" w:after="50" w:afterAutospacing="0" w:line="360" w:lineRule="auto"/>
              <w:ind w:left="5250" w:right="0"/>
              <w:rPr>
                <w:rFonts w:ascii="宋体" w:hAnsi="宋体" w:eastAsia="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pPr>
              <w:pStyle w:val="14"/>
              <w:keepNext w:val="0"/>
              <w:keepLines w:val="0"/>
              <w:suppressLineNumbers w:val="0"/>
              <w:snapToGrid w:val="0"/>
              <w:spacing w:before="0" w:beforeLines="50" w:beforeAutospacing="0" w:after="50" w:afterAutospacing="0" w:line="360" w:lineRule="auto"/>
              <w:ind w:left="5250" w:right="0"/>
              <w:rPr>
                <w:rFonts w:ascii="宋体" w:hAnsi="宋体" w:eastAsia="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pPr>
              <w:pStyle w:val="14"/>
              <w:keepNext w:val="0"/>
              <w:keepLines w:val="0"/>
              <w:suppressLineNumbers w:val="0"/>
              <w:spacing w:before="0" w:beforeAutospacing="0" w:after="0" w:afterAutospacing="0" w:line="360" w:lineRule="auto"/>
              <w:ind w:left="5250" w:right="0"/>
              <w:rPr>
                <w:rFonts w:ascii="宋体" w:hAnsi="宋体"/>
                <w:color w:val="auto"/>
                <w:sz w:val="24"/>
                <w:highlight w:val="none"/>
              </w:rPr>
            </w:pPr>
          </w:p>
        </w:tc>
        <w:tc>
          <w:tcPr>
            <w:tcW w:w="1743"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180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81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743"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80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46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color w:val="auto"/>
                <w:sz w:val="24"/>
                <w:szCs w:val="20"/>
                <w:highlight w:val="none"/>
              </w:rPr>
            </w:pPr>
          </w:p>
        </w:tc>
        <w:tc>
          <w:tcPr>
            <w:tcW w:w="81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743"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c>
          <w:tcPr>
            <w:tcW w:w="1801"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Lines="50" w:beforeAutospacing="0" w:after="50" w:afterAutospacing="0" w:line="360" w:lineRule="auto"/>
              <w:ind w:left="0" w:right="0"/>
              <w:rPr>
                <w:rFonts w:ascii="宋体" w:hAnsi="宋体"/>
                <w:b/>
                <w:color w:val="auto"/>
                <w:kern w:val="44"/>
                <w:sz w:val="24"/>
                <w:szCs w:val="20"/>
                <w:highlight w:val="none"/>
              </w:rPr>
            </w:pPr>
          </w:p>
        </w:tc>
      </w:tr>
    </w:tbl>
    <w:p>
      <w:pPr>
        <w:spacing w:line="360" w:lineRule="auto"/>
        <w:rPr>
          <w:rFonts w:ascii="宋体" w:hAnsi="宋体"/>
          <w:b/>
          <w:color w:val="auto"/>
          <w:szCs w:val="21"/>
          <w:highlight w:val="none"/>
        </w:rPr>
      </w:pPr>
      <w:r>
        <w:rPr>
          <w:rFonts w:hint="eastAsia" w:ascii="宋体" w:hAnsi="宋体"/>
          <w:b/>
          <w:color w:val="auto"/>
          <w:szCs w:val="21"/>
          <w:highlight w:val="none"/>
        </w:rPr>
        <w:t>要求：</w:t>
      </w:r>
    </w:p>
    <w:p>
      <w:pPr>
        <w:spacing w:line="360" w:lineRule="auto"/>
        <w:ind w:left="437"/>
        <w:rPr>
          <w:rFonts w:ascii="宋体" w:hAnsi="宋体"/>
          <w:color w:val="auto"/>
          <w:szCs w:val="21"/>
          <w:highlight w:val="none"/>
        </w:rPr>
      </w:pPr>
      <w:r>
        <w:rPr>
          <w:rFonts w:hint="eastAsia" w:ascii="宋体" w:hAnsi="宋体"/>
          <w:b/>
          <w:color w:val="auto"/>
          <w:szCs w:val="21"/>
          <w:highlight w:val="none"/>
        </w:rPr>
        <w:t>1.</w:t>
      </w:r>
      <w:r>
        <w:rPr>
          <w:rFonts w:hint="eastAsia" w:ascii="宋体" w:hAnsi="宋体"/>
          <w:color w:val="auto"/>
          <w:szCs w:val="21"/>
          <w:highlight w:val="none"/>
        </w:rPr>
        <w:t>在填写时，如本表格不适合投标单位的实际情况，可根据本表格式自行划表填写。</w:t>
      </w:r>
    </w:p>
    <w:p>
      <w:pPr>
        <w:pStyle w:val="32"/>
        <w:spacing w:line="360" w:lineRule="auto"/>
        <w:ind w:left="424" w:leftChars="202"/>
        <w:rPr>
          <w:rFonts w:ascii="宋体" w:hAnsi="宋体"/>
          <w:color w:val="auto"/>
          <w:szCs w:val="21"/>
          <w:highlight w:val="none"/>
        </w:rPr>
      </w:pPr>
      <w:r>
        <w:rPr>
          <w:rFonts w:hint="eastAsia" w:ascii="宋体" w:hAnsi="宋体"/>
          <w:color w:val="auto"/>
          <w:szCs w:val="21"/>
          <w:highlight w:val="none"/>
        </w:rPr>
        <w:t>2.附人员证书复印件；</w:t>
      </w:r>
    </w:p>
    <w:p>
      <w:pPr>
        <w:pStyle w:val="20"/>
        <w:widowControl w:val="0"/>
        <w:spacing w:before="0" w:beforeAutospacing="0" w:after="0" w:afterAutospacing="0" w:line="360" w:lineRule="auto"/>
        <w:jc w:val="both"/>
        <w:rPr>
          <w:rFonts w:hint="default" w:cs="宋体"/>
          <w:color w:val="auto"/>
          <w:szCs w:val="21"/>
          <w:highlight w:val="none"/>
        </w:rPr>
      </w:pPr>
      <w:r>
        <w:rPr>
          <w:rFonts w:cs="宋体"/>
          <w:color w:val="auto"/>
          <w:kern w:val="2"/>
          <w:sz w:val="21"/>
          <w:szCs w:val="21"/>
          <w:highlight w:val="none"/>
        </w:rPr>
        <w:t>　　3.出具上述人员在本单位服务的外部证明，如：投标截止日之前六个月以内的代缴个税税单、参加社会保险的《投保单》或《社会保险参保人员证明》等。</w:t>
      </w:r>
    </w:p>
    <w:p>
      <w:pPr>
        <w:pStyle w:val="32"/>
        <w:spacing w:line="360" w:lineRule="auto"/>
        <w:ind w:left="424" w:leftChars="202"/>
        <w:rPr>
          <w:rFonts w:ascii="宋体" w:hAnsi="宋体"/>
          <w:color w:val="auto"/>
          <w:szCs w:val="21"/>
          <w:highlight w:val="none"/>
        </w:rPr>
      </w:pPr>
    </w:p>
    <w:p>
      <w:pPr>
        <w:pStyle w:val="32"/>
        <w:spacing w:line="360" w:lineRule="auto"/>
        <w:rPr>
          <w:rFonts w:ascii="宋体" w:hAnsi="宋体"/>
          <w:color w:val="auto"/>
          <w:szCs w:val="21"/>
          <w:highlight w:val="none"/>
        </w:rPr>
      </w:pPr>
      <w:r>
        <w:rPr>
          <w:rFonts w:hint="eastAsia" w:ascii="宋体" w:hAnsi="宋体"/>
          <w:color w:val="auto"/>
          <w:szCs w:val="21"/>
          <w:highlight w:val="none"/>
        </w:rPr>
        <w:t>　　</w:t>
      </w:r>
    </w:p>
    <w:p>
      <w:pPr>
        <w:snapToGrid w:val="0"/>
        <w:spacing w:before="50" w:afterLines="50" w:line="360" w:lineRule="auto"/>
        <w:jc w:val="left"/>
        <w:rPr>
          <w:rFonts w:ascii="宋体" w:hAnsi="宋体"/>
          <w:color w:val="auto"/>
          <w:sz w:val="24"/>
          <w:szCs w:val="20"/>
          <w:highlight w:val="none"/>
        </w:rPr>
      </w:pPr>
    </w:p>
    <w:p>
      <w:pPr>
        <w:snapToGrid w:val="0"/>
        <w:spacing w:before="50" w:afterLines="50" w:line="360" w:lineRule="auto"/>
        <w:jc w:val="left"/>
        <w:rPr>
          <w:rFonts w:ascii="宋体" w:hAnsi="宋体"/>
          <w:color w:val="auto"/>
          <w:sz w:val="24"/>
          <w:szCs w:val="20"/>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spacing w:line="360" w:lineRule="auto"/>
        <w:rPr>
          <w:rFonts w:ascii="宋体" w:hAnsi="宋体"/>
          <w:b/>
          <w:color w:val="auto"/>
          <w:sz w:val="28"/>
          <w:highlight w:val="none"/>
        </w:rPr>
      </w:pPr>
      <w:r>
        <w:rPr>
          <w:rFonts w:ascii="宋体" w:hAnsi="宋体"/>
          <w:b/>
          <w:color w:val="auto"/>
          <w:sz w:val="28"/>
          <w:highlight w:val="none"/>
        </w:rPr>
        <w:br w:type="page"/>
      </w:r>
      <w:r>
        <w:rPr>
          <w:rFonts w:hint="eastAsia" w:ascii="宋体" w:hAnsi="宋体"/>
          <w:b/>
          <w:color w:val="auto"/>
          <w:sz w:val="28"/>
          <w:highlight w:val="none"/>
        </w:rPr>
        <w:t>附件8</w:t>
      </w:r>
    </w:p>
    <w:p>
      <w:pPr>
        <w:spacing w:beforeLines="50" w:afterLines="50" w:line="360" w:lineRule="auto"/>
        <w:ind w:right="-10"/>
        <w:jc w:val="center"/>
        <w:rPr>
          <w:rFonts w:ascii="宋体" w:hAnsi="宋体"/>
          <w:b/>
          <w:bCs/>
          <w:color w:val="auto"/>
          <w:sz w:val="32"/>
          <w:szCs w:val="32"/>
          <w:highlight w:val="none"/>
        </w:rPr>
      </w:pPr>
      <w:bookmarkStart w:id="67" w:name="_Toc12710_WPSOffice_Level1"/>
      <w:bookmarkStart w:id="68" w:name="_Toc23055_WPSOffice_Level1"/>
      <w:r>
        <w:rPr>
          <w:rFonts w:hint="eastAsia" w:ascii="宋体" w:hAnsi="宋体"/>
          <w:b/>
          <w:bCs/>
          <w:color w:val="auto"/>
          <w:sz w:val="32"/>
          <w:szCs w:val="32"/>
          <w:highlight w:val="none"/>
        </w:rPr>
        <w:t>项目负责人/技术负责人资格情况表</w:t>
      </w:r>
      <w:bookmarkEnd w:id="67"/>
      <w:bookmarkEnd w:id="68"/>
    </w:p>
    <w:p>
      <w:pPr>
        <w:spacing w:line="360" w:lineRule="auto"/>
        <w:rPr>
          <w:rFonts w:ascii="宋体" w:hAnsi="宋体"/>
          <w:color w:val="auto"/>
          <w:highlight w:val="none"/>
        </w:rPr>
      </w:pPr>
      <w:r>
        <w:rPr>
          <w:rFonts w:hint="eastAsia" w:ascii="宋体" w:hAnsi="宋体"/>
          <w:color w:val="auto"/>
          <w:highlight w:val="none"/>
        </w:rPr>
        <w:t>采购项目：                                            采购编号：</w:t>
      </w:r>
    </w:p>
    <w:tbl>
      <w:tblPr>
        <w:tblStyle w:val="25"/>
        <w:tblW w:w="8626"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trPr>
        <w:tc>
          <w:tcPr>
            <w:tcW w:w="1974" w:type="dxa"/>
            <w:tcBorders>
              <w:top w:val="single" w:color="auto" w:sz="12"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rPr>
            </w:pPr>
            <w:r>
              <w:rPr>
                <w:rFonts w:hint="eastAsia" w:ascii="宋体" w:hAnsi="宋体"/>
                <w:color w:val="auto"/>
                <w:highlight w:val="none"/>
              </w:rPr>
              <w:t>注：业绩证明应提供旁证材料</w:t>
            </w:r>
          </w:p>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trPr>
        <w:tc>
          <w:tcPr>
            <w:tcW w:w="1974" w:type="dxa"/>
            <w:tcBorders>
              <w:top w:val="single" w:color="auto" w:sz="4" w:space="0"/>
              <w:left w:val="single" w:color="auto" w:sz="12" w:space="0"/>
              <w:bottom w:val="single" w:color="auto" w:sz="12" w:space="0"/>
              <w:right w:val="single" w:color="auto" w:sz="4"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b/>
                <w:bCs/>
                <w:color w:val="auto"/>
                <w:highlight w:val="none"/>
                <w:lang w:val="zh-CN"/>
              </w:rPr>
            </w:pPr>
            <w:r>
              <w:rPr>
                <w:rFonts w:hint="eastAsia" w:ascii="宋体" w:hAnsi="宋体"/>
                <w:b/>
                <w:bCs/>
                <w:color w:val="auto"/>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ascii="宋体" w:hAnsi="宋体"/>
                <w:color w:val="auto"/>
                <w:highlight w:val="none"/>
                <w:lang w:val="zh-CN"/>
              </w:rPr>
            </w:pPr>
          </w:p>
        </w:tc>
      </w:tr>
    </w:tbl>
    <w:p>
      <w:pPr>
        <w:spacing w:line="360" w:lineRule="auto"/>
        <w:ind w:left="420"/>
        <w:rPr>
          <w:rFonts w:ascii="宋体" w:hAnsi="宋体"/>
          <w:color w:val="auto"/>
          <w:sz w:val="24"/>
          <w:highlight w:val="none"/>
        </w:rPr>
      </w:pPr>
    </w:p>
    <w:p>
      <w:pPr>
        <w:spacing w:line="360" w:lineRule="auto"/>
        <w:ind w:firstLine="480" w:firstLineChars="20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pStyle w:val="2"/>
        <w:rPr>
          <w:color w:val="auto"/>
          <w:highlight w:val="none"/>
        </w:rPr>
      </w:pPr>
      <w:r>
        <w:rPr>
          <w:color w:val="auto"/>
          <w:highlight w:val="none"/>
        </w:rPr>
        <w:br w:type="page"/>
      </w:r>
    </w:p>
    <w:p>
      <w:pPr>
        <w:snapToGrid w:val="0"/>
        <w:spacing w:before="50" w:after="50" w:line="360" w:lineRule="auto"/>
        <w:rPr>
          <w:rFonts w:ascii="宋体" w:hAnsi="宋体"/>
          <w:b/>
          <w:color w:val="auto"/>
          <w:sz w:val="28"/>
          <w:highlight w:val="none"/>
        </w:rPr>
      </w:pPr>
      <w:r>
        <w:rPr>
          <w:rFonts w:hint="eastAsia" w:ascii="宋体" w:hAnsi="宋体"/>
          <w:b/>
          <w:color w:val="auto"/>
          <w:sz w:val="28"/>
          <w:highlight w:val="none"/>
        </w:rPr>
        <w:t>附件9</w:t>
      </w:r>
    </w:p>
    <w:p>
      <w:pPr>
        <w:spacing w:line="360" w:lineRule="auto"/>
        <w:ind w:left="480"/>
        <w:jc w:val="center"/>
        <w:rPr>
          <w:rFonts w:ascii="宋体" w:hAnsi="宋体"/>
          <w:b/>
          <w:color w:val="auto"/>
          <w:sz w:val="32"/>
          <w:szCs w:val="32"/>
          <w:highlight w:val="none"/>
        </w:rPr>
      </w:pPr>
      <w:r>
        <w:rPr>
          <w:rFonts w:hint="eastAsia" w:ascii="宋体" w:hAnsi="宋体"/>
          <w:b/>
          <w:color w:val="auto"/>
          <w:sz w:val="32"/>
          <w:szCs w:val="32"/>
          <w:highlight w:val="none"/>
        </w:rPr>
        <w:t>服务实施情况表（视情制作）</w:t>
      </w:r>
    </w:p>
    <w:p>
      <w:pPr>
        <w:spacing w:line="360" w:lineRule="auto"/>
        <w:ind w:firstLine="435"/>
        <w:rPr>
          <w:rFonts w:ascii="宋体" w:hAnsi="宋体"/>
          <w:b/>
          <w:color w:val="auto"/>
          <w:sz w:val="28"/>
          <w:highlight w:val="none"/>
        </w:rPr>
      </w:pPr>
    </w:p>
    <w:tbl>
      <w:tblPr>
        <w:tblStyle w:val="25"/>
        <w:tblW w:w="8528"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685"/>
        <w:gridCol w:w="3731"/>
        <w:gridCol w:w="13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518" w:hRule="atLeast"/>
          <w:jc w:val="center"/>
        </w:trPr>
        <w:tc>
          <w:tcPr>
            <w:tcW w:w="739"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
                <w:color w:val="auto"/>
                <w:sz w:val="24"/>
                <w:highlight w:val="none"/>
              </w:rPr>
            </w:pPr>
            <w:r>
              <w:rPr>
                <w:rFonts w:hint="eastAsia" w:ascii="宋体" w:hAnsi="宋体" w:cs="Arial"/>
                <w:b/>
                <w:color w:val="auto"/>
                <w:sz w:val="24"/>
                <w:highlight w:val="none"/>
              </w:rPr>
              <w:t>序号</w:t>
            </w:r>
          </w:p>
        </w:tc>
        <w:tc>
          <w:tcPr>
            <w:tcW w:w="2685"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
                <w:color w:val="auto"/>
                <w:sz w:val="24"/>
                <w:highlight w:val="none"/>
              </w:rPr>
            </w:pPr>
            <w:r>
              <w:rPr>
                <w:rFonts w:hint="eastAsia" w:ascii="宋体" w:hAnsi="宋体" w:cs="Arial"/>
                <w:b/>
                <w:color w:val="auto"/>
                <w:sz w:val="24"/>
                <w:highlight w:val="none"/>
              </w:rPr>
              <w:t>项目</w:t>
            </w:r>
          </w:p>
        </w:tc>
        <w:tc>
          <w:tcPr>
            <w:tcW w:w="3731"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
                <w:color w:val="auto"/>
                <w:sz w:val="24"/>
                <w:highlight w:val="none"/>
              </w:rPr>
            </w:pPr>
            <w:r>
              <w:rPr>
                <w:rFonts w:hint="eastAsia" w:ascii="宋体" w:hAnsi="宋体" w:cs="Arial"/>
                <w:b/>
                <w:color w:val="auto"/>
                <w:sz w:val="24"/>
                <w:highlight w:val="none"/>
              </w:rPr>
              <w:t>投标人承诺</w:t>
            </w:r>
          </w:p>
        </w:tc>
        <w:tc>
          <w:tcPr>
            <w:tcW w:w="1373"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
                <w:color w:val="auto"/>
                <w:sz w:val="24"/>
                <w:highlight w:val="none"/>
              </w:rPr>
            </w:pPr>
            <w:r>
              <w:rPr>
                <w:rFonts w:hint="eastAsia" w:ascii="宋体" w:hAnsi="宋体" w:cs="Arial"/>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198" w:hRule="atLeast"/>
          <w:jc w:val="center"/>
        </w:trPr>
        <w:tc>
          <w:tcPr>
            <w:tcW w:w="739"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Cs/>
                <w:color w:val="auto"/>
                <w:sz w:val="24"/>
                <w:highlight w:val="none"/>
              </w:rPr>
            </w:pPr>
            <w:r>
              <w:rPr>
                <w:rFonts w:hint="eastAsia" w:ascii="宋体" w:hAnsi="宋体" w:cs="Arial"/>
                <w:bCs/>
                <w:color w:val="auto"/>
                <w:sz w:val="24"/>
                <w:highlight w:val="none"/>
              </w:rPr>
              <w:t>1</w:t>
            </w:r>
          </w:p>
        </w:tc>
        <w:tc>
          <w:tcPr>
            <w:tcW w:w="2685" w:type="dxa"/>
            <w:vAlign w:val="center"/>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r>
              <w:rPr>
                <w:rFonts w:hint="eastAsia" w:ascii="宋体" w:hAnsi="宋体" w:cs="Arial"/>
                <w:bCs/>
                <w:color w:val="auto"/>
                <w:sz w:val="24"/>
                <w:highlight w:val="none"/>
              </w:rPr>
              <w:t>服务实施期内服务情况(</w:t>
            </w:r>
            <w:r>
              <w:rPr>
                <w:rFonts w:ascii="宋体" w:hAnsi="宋体" w:cs="Arial"/>
                <w:bCs/>
                <w:color w:val="auto"/>
                <w:sz w:val="24"/>
                <w:highlight w:val="none"/>
              </w:rPr>
              <w:t>服务</w:t>
            </w:r>
            <w:r>
              <w:rPr>
                <w:rFonts w:hint="eastAsia" w:ascii="宋体" w:hAnsi="宋体" w:cs="Arial"/>
                <w:bCs/>
                <w:color w:val="auto"/>
                <w:sz w:val="24"/>
                <w:highlight w:val="none"/>
              </w:rPr>
              <w:t>方式、</w:t>
            </w:r>
            <w:r>
              <w:rPr>
                <w:rFonts w:ascii="宋体" w:hAnsi="宋体" w:cs="Arial"/>
                <w:bCs/>
                <w:color w:val="auto"/>
                <w:sz w:val="24"/>
                <w:highlight w:val="none"/>
              </w:rPr>
              <w:t>服务的内容和措施</w:t>
            </w:r>
            <w:r>
              <w:rPr>
                <w:rFonts w:hint="eastAsia" w:ascii="宋体" w:hAnsi="宋体" w:cs="Arial"/>
                <w:bCs/>
                <w:color w:val="auto"/>
                <w:sz w:val="24"/>
                <w:highlight w:val="none"/>
              </w:rPr>
              <w:t>等等，可用附页和宣传材料)</w:t>
            </w:r>
          </w:p>
        </w:tc>
        <w:tc>
          <w:tcPr>
            <w:tcW w:w="3731" w:type="dxa"/>
          </w:tcPr>
          <w:p>
            <w:pPr>
              <w:pStyle w:val="36"/>
              <w:keepNext w:val="0"/>
              <w:keepLines w:val="0"/>
              <w:suppressLineNumbers w:val="0"/>
              <w:spacing w:before="0" w:beforeAutospacing="0" w:after="0" w:afterAutospacing="0" w:line="360" w:lineRule="auto"/>
              <w:ind w:left="0" w:right="0"/>
              <w:rPr>
                <w:rFonts w:ascii="宋体" w:hAnsi="宋体" w:cs="Arial"/>
                <w:bCs/>
                <w:color w:val="auto"/>
                <w:sz w:val="24"/>
                <w:highlight w:val="none"/>
              </w:rPr>
            </w:pPr>
            <w:r>
              <w:rPr>
                <w:rFonts w:hint="eastAsia" w:ascii="宋体" w:hAnsi="宋体" w:cs="Arial"/>
                <w:bCs/>
                <w:color w:val="auto"/>
                <w:sz w:val="24"/>
                <w:highlight w:val="none"/>
              </w:rPr>
              <w:t>投标人服务情况：</w:t>
            </w:r>
          </w:p>
        </w:tc>
        <w:tc>
          <w:tcPr>
            <w:tcW w:w="1373" w:type="dxa"/>
          </w:tcPr>
          <w:p>
            <w:pPr>
              <w:pStyle w:val="36"/>
              <w:keepNext w:val="0"/>
              <w:keepLines w:val="0"/>
              <w:suppressLineNumbers w:val="0"/>
              <w:spacing w:before="0" w:beforeAutospacing="0" w:after="0" w:afterAutospacing="0" w:line="360" w:lineRule="auto"/>
              <w:ind w:left="0" w:right="0"/>
              <w:rPr>
                <w:rFonts w:ascii="宋体" w:hAnsi="宋体" w:cs="Arial"/>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2220" w:hRule="exact"/>
          <w:jc w:val="center"/>
        </w:trPr>
        <w:tc>
          <w:tcPr>
            <w:tcW w:w="739" w:type="dxa"/>
            <w:vAlign w:val="center"/>
          </w:tcPr>
          <w:p>
            <w:pPr>
              <w:pStyle w:val="36"/>
              <w:keepNext w:val="0"/>
              <w:keepLines w:val="0"/>
              <w:suppressLineNumbers w:val="0"/>
              <w:spacing w:before="0" w:beforeAutospacing="0" w:after="0" w:afterAutospacing="0" w:line="360" w:lineRule="auto"/>
              <w:ind w:left="0" w:right="0"/>
              <w:jc w:val="center"/>
              <w:rPr>
                <w:rFonts w:ascii="宋体" w:hAnsi="宋体" w:cs="Arial"/>
                <w:bCs/>
                <w:color w:val="auto"/>
                <w:sz w:val="24"/>
                <w:highlight w:val="none"/>
              </w:rPr>
            </w:pPr>
            <w:r>
              <w:rPr>
                <w:rFonts w:hint="eastAsia" w:ascii="宋体" w:hAnsi="宋体" w:cs="Arial"/>
                <w:bCs/>
                <w:color w:val="auto"/>
                <w:sz w:val="24"/>
                <w:highlight w:val="none"/>
              </w:rPr>
              <w:t>2</w:t>
            </w:r>
          </w:p>
        </w:tc>
        <w:tc>
          <w:tcPr>
            <w:tcW w:w="2685" w:type="dxa"/>
            <w:vAlign w:val="center"/>
          </w:tcPr>
          <w:p>
            <w:pPr>
              <w:pStyle w:val="20"/>
              <w:keepNext w:val="0"/>
              <w:keepLines w:val="0"/>
              <w:widowControl w:val="0"/>
              <w:suppressLineNumbers w:val="0"/>
              <w:spacing w:before="0" w:beforeAutospacing="0" w:after="0" w:afterAutospacing="0" w:line="360" w:lineRule="auto"/>
              <w:ind w:left="0" w:right="0"/>
              <w:jc w:val="both"/>
              <w:rPr>
                <w:rFonts w:hint="default" w:cs="Arial"/>
                <w:bCs/>
                <w:color w:val="auto"/>
                <w:highlight w:val="none"/>
              </w:rPr>
            </w:pPr>
            <w:r>
              <w:rPr>
                <w:rFonts w:cs="Arial"/>
                <w:bCs/>
                <w:color w:val="auto"/>
                <w:kern w:val="2"/>
                <w:highlight w:val="none"/>
              </w:rPr>
              <w:t>运维期服务情况(服务方式、服务网点、服务的内容和措施等等，可用附页和宣传材料)</w:t>
            </w:r>
          </w:p>
        </w:tc>
        <w:tc>
          <w:tcPr>
            <w:tcW w:w="3731"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p>
            <w:pPr>
              <w:pStyle w:val="36"/>
              <w:keepNext w:val="0"/>
              <w:keepLines w:val="0"/>
              <w:suppressLineNumbers w:val="0"/>
              <w:spacing w:before="0" w:beforeAutospacing="0" w:after="0" w:afterAutospacing="0" w:line="360" w:lineRule="auto"/>
              <w:ind w:left="0" w:right="0"/>
              <w:rPr>
                <w:rFonts w:ascii="宋体" w:hAnsi="宋体" w:cs="Arial"/>
                <w:bCs/>
                <w:color w:val="auto"/>
                <w:sz w:val="24"/>
                <w:highlight w:val="none"/>
              </w:rPr>
            </w:pPr>
          </w:p>
        </w:tc>
        <w:tc>
          <w:tcPr>
            <w:tcW w:w="1373"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p>
            <w:pPr>
              <w:pStyle w:val="36"/>
              <w:keepNext w:val="0"/>
              <w:keepLines w:val="0"/>
              <w:suppressLineNumbers w:val="0"/>
              <w:spacing w:before="0" w:beforeAutospacing="0" w:after="0" w:afterAutospacing="0" w:line="360" w:lineRule="auto"/>
              <w:ind w:left="0" w:right="0"/>
              <w:rPr>
                <w:rFonts w:ascii="宋体" w:hAnsi="宋体" w:cs="Arial"/>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1215" w:hRule="exact"/>
          <w:jc w:val="center"/>
        </w:trPr>
        <w:tc>
          <w:tcPr>
            <w:tcW w:w="739" w:type="dxa"/>
            <w:vAlign w:val="center"/>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r>
              <w:rPr>
                <w:rFonts w:hint="eastAsia" w:ascii="宋体" w:hAnsi="宋体" w:cs="Arial"/>
                <w:bCs/>
                <w:color w:val="auto"/>
                <w:sz w:val="24"/>
                <w:highlight w:val="none"/>
              </w:rPr>
              <w:t xml:space="preserve"> 3</w:t>
            </w:r>
          </w:p>
        </w:tc>
        <w:tc>
          <w:tcPr>
            <w:tcW w:w="2685" w:type="dxa"/>
            <w:vAlign w:val="center"/>
          </w:tcPr>
          <w:p>
            <w:pPr>
              <w:pStyle w:val="20"/>
              <w:keepNext w:val="0"/>
              <w:keepLines w:val="0"/>
              <w:suppressLineNumbers w:val="0"/>
              <w:spacing w:before="0" w:beforeAutospacing="0" w:after="0" w:afterAutospacing="0" w:line="360" w:lineRule="auto"/>
              <w:ind w:left="0" w:right="0"/>
              <w:rPr>
                <w:rFonts w:hint="default" w:cs="Arial"/>
                <w:bCs/>
                <w:color w:val="auto"/>
                <w:highlight w:val="none"/>
              </w:rPr>
            </w:pPr>
            <w:r>
              <w:rPr>
                <w:rFonts w:cs="Arial"/>
                <w:bCs/>
                <w:color w:val="auto"/>
                <w:kern w:val="2"/>
                <w:highlight w:val="none"/>
              </w:rPr>
              <w:t>培训方案（可用附页）</w:t>
            </w:r>
          </w:p>
        </w:tc>
        <w:tc>
          <w:tcPr>
            <w:tcW w:w="3731"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i/>
                <w:color w:val="auto"/>
                <w:sz w:val="24"/>
                <w:highlight w:val="none"/>
              </w:rPr>
            </w:pPr>
          </w:p>
          <w:p>
            <w:pPr>
              <w:pStyle w:val="36"/>
              <w:keepNext w:val="0"/>
              <w:keepLines w:val="0"/>
              <w:widowControl/>
              <w:suppressLineNumbers w:val="0"/>
              <w:spacing w:before="0" w:beforeAutospacing="0" w:after="0" w:afterAutospacing="0" w:line="360" w:lineRule="auto"/>
              <w:ind w:left="0" w:right="0"/>
              <w:jc w:val="left"/>
              <w:rPr>
                <w:rFonts w:ascii="宋体" w:hAnsi="宋体" w:cs="Arial"/>
                <w:bCs/>
                <w:i/>
                <w:color w:val="auto"/>
                <w:sz w:val="24"/>
                <w:highlight w:val="none"/>
              </w:rPr>
            </w:pPr>
          </w:p>
        </w:tc>
        <w:tc>
          <w:tcPr>
            <w:tcW w:w="1373"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i/>
                <w:color w:val="auto"/>
                <w:sz w:val="24"/>
                <w:highlight w:val="none"/>
              </w:rPr>
            </w:pPr>
          </w:p>
          <w:p>
            <w:pPr>
              <w:pStyle w:val="36"/>
              <w:keepNext w:val="0"/>
              <w:keepLines w:val="0"/>
              <w:widowControl/>
              <w:suppressLineNumbers w:val="0"/>
              <w:spacing w:before="0" w:beforeAutospacing="0" w:after="0" w:afterAutospacing="0" w:line="360" w:lineRule="auto"/>
              <w:ind w:left="0" w:right="0"/>
              <w:jc w:val="left"/>
              <w:rPr>
                <w:rFonts w:ascii="宋体" w:hAnsi="宋体" w:cs="Arial"/>
                <w:bCs/>
                <w:i/>
                <w:color w:val="auto"/>
                <w:sz w:val="24"/>
                <w:highlight w:val="none"/>
              </w:rPr>
            </w:pPr>
          </w:p>
          <w:p>
            <w:pPr>
              <w:pStyle w:val="36"/>
              <w:keepNext w:val="0"/>
              <w:keepLines w:val="0"/>
              <w:widowControl/>
              <w:suppressLineNumbers w:val="0"/>
              <w:spacing w:before="0" w:beforeAutospacing="0" w:after="0" w:afterAutospacing="0" w:line="360" w:lineRule="auto"/>
              <w:ind w:left="0" w:right="0"/>
              <w:jc w:val="left"/>
              <w:rPr>
                <w:rFonts w:ascii="宋体" w:hAnsi="宋体" w:cs="Arial"/>
                <w:bCs/>
                <w:i/>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689" w:hRule="exact"/>
          <w:jc w:val="center"/>
        </w:trPr>
        <w:tc>
          <w:tcPr>
            <w:tcW w:w="739" w:type="dxa"/>
            <w:vAlign w:val="center"/>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r>
              <w:rPr>
                <w:rFonts w:ascii="宋体" w:hAnsi="宋体" w:cs="Arial"/>
                <w:bCs/>
                <w:color w:val="auto"/>
                <w:sz w:val="24"/>
                <w:highlight w:val="none"/>
              </w:rPr>
              <w:t>……</w:t>
            </w:r>
          </w:p>
        </w:tc>
        <w:tc>
          <w:tcPr>
            <w:tcW w:w="2685" w:type="dxa"/>
            <w:vAlign w:val="center"/>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r>
              <w:rPr>
                <w:rFonts w:ascii="宋体" w:hAnsi="宋体" w:cs="Arial"/>
                <w:bCs/>
                <w:color w:val="auto"/>
                <w:sz w:val="24"/>
                <w:highlight w:val="none"/>
              </w:rPr>
              <w:t>……</w:t>
            </w:r>
          </w:p>
        </w:tc>
        <w:tc>
          <w:tcPr>
            <w:tcW w:w="3731"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tc>
        <w:tc>
          <w:tcPr>
            <w:tcW w:w="1373" w:type="dxa"/>
          </w:tcPr>
          <w:p>
            <w:pPr>
              <w:pStyle w:val="36"/>
              <w:keepNext w:val="0"/>
              <w:keepLines w:val="0"/>
              <w:widowControl/>
              <w:suppressLineNumbers w:val="0"/>
              <w:spacing w:before="0" w:beforeAutospacing="0" w:after="0" w:afterAutospacing="0" w:line="360" w:lineRule="auto"/>
              <w:ind w:left="0" w:right="0"/>
              <w:jc w:val="left"/>
              <w:rPr>
                <w:rFonts w:ascii="宋体" w:hAnsi="宋体" w:cs="Arial"/>
                <w:bCs/>
                <w:color w:val="auto"/>
                <w:sz w:val="24"/>
                <w:highlight w:val="none"/>
              </w:rPr>
            </w:pPr>
          </w:p>
        </w:tc>
      </w:tr>
    </w:tbl>
    <w:p>
      <w:pPr>
        <w:spacing w:line="360" w:lineRule="auto"/>
        <w:ind w:left="420"/>
        <w:rPr>
          <w:rFonts w:ascii="宋体" w:hAnsi="宋体"/>
          <w:color w:val="auto"/>
          <w:sz w:val="24"/>
          <w:highlight w:val="none"/>
        </w:rPr>
      </w:pPr>
    </w:p>
    <w:p>
      <w:pPr>
        <w:spacing w:line="360" w:lineRule="auto"/>
        <w:ind w:left="420"/>
        <w:rPr>
          <w:rFonts w:ascii="宋体" w:hAnsi="宋体"/>
          <w:color w:val="auto"/>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投标人名称（盖章）：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日        期：</w:t>
      </w:r>
    </w:p>
    <w:p>
      <w:pPr>
        <w:pStyle w:val="2"/>
        <w:rPr>
          <w:color w:val="auto"/>
          <w:highlight w:val="none"/>
        </w:rPr>
      </w:pPr>
      <w:r>
        <w:rPr>
          <w:color w:val="auto"/>
          <w:highlight w:val="none"/>
        </w:rPr>
        <w:br w:type="page"/>
      </w:r>
    </w:p>
    <w:p>
      <w:pPr>
        <w:pStyle w:val="34"/>
        <w:spacing w:line="360" w:lineRule="auto"/>
        <w:jc w:val="left"/>
        <w:rPr>
          <w:rFonts w:ascii="宋体" w:hAnsi="宋体"/>
          <w:b/>
          <w:color w:val="auto"/>
          <w:sz w:val="28"/>
          <w:highlight w:val="none"/>
        </w:rPr>
      </w:pPr>
      <w:r>
        <w:rPr>
          <w:rFonts w:hint="eastAsia" w:ascii="宋体" w:hAnsi="宋体"/>
          <w:b/>
          <w:color w:val="auto"/>
          <w:sz w:val="28"/>
          <w:highlight w:val="none"/>
        </w:rPr>
        <w:t>附件10</w:t>
      </w:r>
    </w:p>
    <w:p>
      <w:pPr>
        <w:pStyle w:val="35"/>
        <w:spacing w:line="360" w:lineRule="auto"/>
        <w:jc w:val="center"/>
        <w:rPr>
          <w:rFonts w:ascii="宋体" w:hAnsi="宋体"/>
          <w:b/>
          <w:color w:val="auto"/>
          <w:sz w:val="32"/>
          <w:szCs w:val="32"/>
          <w:highlight w:val="none"/>
        </w:rPr>
      </w:pPr>
      <w:bookmarkStart w:id="69" w:name="_Toc11030_WPSOffice_Level1"/>
      <w:bookmarkStart w:id="70" w:name="_Toc17604_WPSOffice_Level1"/>
      <w:r>
        <w:rPr>
          <w:rFonts w:hint="eastAsia" w:ascii="宋体" w:hAnsi="宋体"/>
          <w:b/>
          <w:color w:val="auto"/>
          <w:sz w:val="32"/>
          <w:szCs w:val="32"/>
          <w:highlight w:val="none"/>
        </w:rPr>
        <w:t>证书一览表</w:t>
      </w:r>
      <w:bookmarkEnd w:id="69"/>
      <w:bookmarkEnd w:id="70"/>
    </w:p>
    <w:p>
      <w:pPr>
        <w:pStyle w:val="35"/>
        <w:spacing w:line="360" w:lineRule="auto"/>
        <w:jc w:val="center"/>
        <w:rPr>
          <w:rFonts w:ascii="宋体" w:hAnsi="宋体" w:cs="Arial"/>
          <w:color w:val="auto"/>
          <w:sz w:val="28"/>
          <w:szCs w:val="28"/>
          <w:highlight w:val="none"/>
        </w:rPr>
      </w:pPr>
    </w:p>
    <w:tbl>
      <w:tblPr>
        <w:tblStyle w:val="25"/>
        <w:tblW w:w="8432" w:type="dxa"/>
        <w:jc w:val="center"/>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5" w:hRule="atLeast"/>
          <w:jc w:val="center"/>
        </w:trPr>
        <w:tc>
          <w:tcPr>
            <w:tcW w:w="1867" w:type="dxa"/>
            <w:tcBorders>
              <w:top w:val="single" w:color="auto" w:sz="4" w:space="0"/>
              <w:left w:val="single" w:color="auto" w:sz="4" w:space="0"/>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b/>
                <w:bCs/>
                <w:color w:val="auto"/>
                <w:sz w:val="24"/>
                <w:highlight w:val="none"/>
              </w:rPr>
            </w:pPr>
            <w:r>
              <w:rPr>
                <w:rFonts w:hint="eastAsia" w:ascii="宋体" w:hAnsi="宋体" w:cs="Arial"/>
                <w:b/>
                <w:bCs/>
                <w:color w:val="auto"/>
                <w:sz w:val="24"/>
                <w:highlight w:val="none"/>
              </w:rPr>
              <w:t>证书名称</w:t>
            </w:r>
          </w:p>
        </w:tc>
        <w:tc>
          <w:tcPr>
            <w:tcW w:w="2258" w:type="dxa"/>
            <w:tcBorders>
              <w:top w:val="single" w:color="auto" w:sz="4" w:space="0"/>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b/>
                <w:bCs/>
                <w:color w:val="auto"/>
                <w:sz w:val="24"/>
                <w:highlight w:val="none"/>
              </w:rPr>
            </w:pPr>
            <w:r>
              <w:rPr>
                <w:rFonts w:hint="eastAsia" w:ascii="宋体" w:hAnsi="宋体" w:cs="Arial"/>
                <w:b/>
                <w:bCs/>
                <w:color w:val="auto"/>
                <w:sz w:val="24"/>
                <w:highlight w:val="none"/>
              </w:rPr>
              <w:t>发证单位</w:t>
            </w:r>
          </w:p>
        </w:tc>
        <w:tc>
          <w:tcPr>
            <w:tcW w:w="2260" w:type="dxa"/>
            <w:tcBorders>
              <w:top w:val="single" w:color="auto" w:sz="4" w:space="0"/>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b/>
                <w:bCs/>
                <w:color w:val="auto"/>
                <w:sz w:val="24"/>
                <w:highlight w:val="none"/>
              </w:rPr>
            </w:pPr>
            <w:r>
              <w:rPr>
                <w:rFonts w:hint="eastAsia" w:ascii="宋体" w:hAnsi="宋体" w:cs="Arial"/>
                <w:b/>
                <w:bCs/>
                <w:color w:val="auto"/>
                <w:sz w:val="24"/>
                <w:highlight w:val="none"/>
              </w:rPr>
              <w:t>证书等级</w:t>
            </w:r>
          </w:p>
        </w:tc>
        <w:tc>
          <w:tcPr>
            <w:tcW w:w="2047" w:type="dxa"/>
            <w:tcBorders>
              <w:top w:val="single" w:color="auto" w:sz="4" w:space="0"/>
              <w:bottom w:val="single" w:color="auto" w:sz="4" w:space="0"/>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b/>
                <w:bCs/>
                <w:color w:val="auto"/>
                <w:sz w:val="24"/>
                <w:highlight w:val="none"/>
              </w:rPr>
            </w:pPr>
            <w:r>
              <w:rPr>
                <w:rFonts w:hint="eastAsia" w:ascii="宋体" w:hAnsi="宋体" w:cs="Arial"/>
                <w:b/>
                <w:bCs/>
                <w:color w:val="auto"/>
                <w:sz w:val="24"/>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top w:val="single" w:color="auto" w:sz="4" w:space="0"/>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Borders>
              <w:top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Borders>
              <w:top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top w:val="single" w:color="auto" w:sz="4" w:space="0"/>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67" w:type="dxa"/>
            <w:tcBorders>
              <w:left w:val="single" w:color="auto" w:sz="4" w:space="0"/>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58" w:type="dxa"/>
            <w:tcBorders>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260" w:type="dxa"/>
            <w:tcBorders>
              <w:bottom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c>
          <w:tcPr>
            <w:tcW w:w="2047" w:type="dxa"/>
            <w:tcBorders>
              <w:bottom w:val="single" w:color="auto" w:sz="4" w:space="0"/>
              <w:right w:val="single" w:color="auto" w:sz="4" w:space="0"/>
            </w:tcBorders>
          </w:tcPr>
          <w:p>
            <w:pPr>
              <w:pStyle w:val="35"/>
              <w:keepNext w:val="0"/>
              <w:keepLines w:val="0"/>
              <w:suppressLineNumbers w:val="0"/>
              <w:spacing w:before="0" w:beforeAutospacing="0" w:after="0" w:afterAutospacing="0" w:line="360" w:lineRule="auto"/>
              <w:ind w:left="0" w:right="0"/>
              <w:jc w:val="center"/>
              <w:rPr>
                <w:rFonts w:ascii="宋体" w:hAnsi="宋体" w:cs="Arial"/>
                <w:color w:val="auto"/>
                <w:szCs w:val="21"/>
                <w:highlight w:val="none"/>
              </w:rPr>
            </w:pPr>
          </w:p>
        </w:tc>
      </w:tr>
    </w:tbl>
    <w:p>
      <w:pPr>
        <w:pStyle w:val="35"/>
        <w:tabs>
          <w:tab w:val="left" w:pos="1050"/>
        </w:tabs>
        <w:spacing w:line="360" w:lineRule="auto"/>
        <w:rPr>
          <w:rFonts w:ascii="仿宋_GB2312" w:hAnsi="宋体" w:eastAsia="仿宋_GB2312"/>
          <w:color w:val="auto"/>
          <w:sz w:val="24"/>
          <w:highlight w:val="none"/>
        </w:rPr>
      </w:pPr>
    </w:p>
    <w:p>
      <w:pPr>
        <w:pStyle w:val="35"/>
        <w:tabs>
          <w:tab w:val="left" w:pos="1050"/>
        </w:tabs>
        <w:spacing w:line="360" w:lineRule="auto"/>
        <w:rPr>
          <w:rFonts w:ascii="宋体" w:hAnsi="宋体"/>
          <w:color w:val="auto"/>
          <w:szCs w:val="21"/>
          <w:highlight w:val="none"/>
        </w:rPr>
      </w:pPr>
      <w:r>
        <w:rPr>
          <w:rFonts w:hint="eastAsia" w:ascii="宋体" w:hAnsi="宋体"/>
          <w:b/>
          <w:color w:val="auto"/>
          <w:szCs w:val="21"/>
          <w:highlight w:val="none"/>
        </w:rPr>
        <w:t>要求：</w:t>
      </w:r>
    </w:p>
    <w:p>
      <w:pPr>
        <w:pStyle w:val="35"/>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1.填写投标人获得资质、认证或企业信誉证书；</w:t>
      </w:r>
    </w:p>
    <w:p>
      <w:pPr>
        <w:pStyle w:val="35"/>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2.附所列证书复印件或其他证明材料。</w:t>
      </w:r>
    </w:p>
    <w:p>
      <w:pPr>
        <w:pStyle w:val="35"/>
        <w:tabs>
          <w:tab w:val="left" w:pos="1050"/>
        </w:tabs>
        <w:spacing w:line="360" w:lineRule="auto"/>
        <w:ind w:firstLine="720" w:firstLineChars="300"/>
        <w:rPr>
          <w:rFonts w:ascii="仿宋_GB2312" w:hAnsi="宋体" w:eastAsia="仿宋_GB2312"/>
          <w:color w:val="auto"/>
          <w:sz w:val="24"/>
          <w:highlight w:val="none"/>
        </w:rPr>
      </w:pPr>
    </w:p>
    <w:p>
      <w:pPr>
        <w:pStyle w:val="35"/>
        <w:tabs>
          <w:tab w:val="left" w:pos="1050"/>
        </w:tabs>
        <w:spacing w:line="360" w:lineRule="auto"/>
        <w:ind w:firstLine="720" w:firstLineChars="300"/>
        <w:rPr>
          <w:rFonts w:ascii="仿宋_GB2312" w:hAnsi="宋体" w:eastAsia="仿宋_GB2312"/>
          <w:color w:val="auto"/>
          <w:sz w:val="24"/>
          <w:highlight w:val="none"/>
        </w:rPr>
      </w:pPr>
    </w:p>
    <w:p>
      <w:pPr>
        <w:pStyle w:val="35"/>
        <w:tabs>
          <w:tab w:val="left" w:pos="1050"/>
        </w:tabs>
        <w:spacing w:line="360" w:lineRule="auto"/>
        <w:ind w:firstLine="720" w:firstLineChars="300"/>
        <w:rPr>
          <w:rFonts w:ascii="仿宋_GB2312" w:hAnsi="宋体" w:eastAsia="仿宋_GB2312"/>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pStyle w:val="31"/>
        <w:shd w:val="clear" w:color="auto" w:fill="FFFFFF"/>
        <w:spacing w:before="0" w:beforeAutospacing="0" w:after="0" w:afterAutospacing="0" w:line="360" w:lineRule="auto"/>
        <w:ind w:firstLine="424" w:firstLineChars="177"/>
        <w:rPr>
          <w:b/>
          <w:bCs/>
          <w:color w:val="auto"/>
          <w:highlight w:val="none"/>
        </w:rPr>
      </w:pPr>
      <w:r>
        <w:rPr>
          <w:rFonts w:hint="eastAsia"/>
          <w:color w:val="auto"/>
          <w:highlight w:val="none"/>
        </w:rPr>
        <w:t>日        期：：</w:t>
      </w:r>
    </w:p>
    <w:p>
      <w:pPr>
        <w:spacing w:line="360" w:lineRule="auto"/>
        <w:rPr>
          <w:rFonts w:ascii="宋体" w:hAnsi="宋体"/>
          <w:b/>
          <w:color w:val="auto"/>
          <w:sz w:val="28"/>
          <w:highlight w:val="none"/>
        </w:rPr>
      </w:pPr>
      <w:r>
        <w:rPr>
          <w:rFonts w:hint="eastAsia" w:ascii="宋体" w:hAnsi="宋体"/>
          <w:b/>
          <w:color w:val="auto"/>
          <w:sz w:val="28"/>
          <w:highlight w:val="none"/>
        </w:rPr>
        <w:br w:type="page"/>
      </w:r>
    </w:p>
    <w:p>
      <w:pPr>
        <w:spacing w:line="360" w:lineRule="auto"/>
        <w:rPr>
          <w:rFonts w:ascii="宋体" w:hAnsi="宋体"/>
          <w:b/>
          <w:color w:val="auto"/>
          <w:sz w:val="28"/>
          <w:highlight w:val="none"/>
        </w:rPr>
      </w:pPr>
      <w:r>
        <w:rPr>
          <w:rFonts w:hint="eastAsia" w:ascii="宋体" w:hAnsi="宋体"/>
          <w:b/>
          <w:color w:val="auto"/>
          <w:sz w:val="28"/>
          <w:highlight w:val="none"/>
        </w:rPr>
        <w:t>附件11</w:t>
      </w:r>
    </w:p>
    <w:p>
      <w:pPr>
        <w:pStyle w:val="34"/>
        <w:spacing w:line="360" w:lineRule="auto"/>
        <w:jc w:val="center"/>
        <w:rPr>
          <w:rFonts w:ascii="宋体" w:hAnsi="宋体"/>
          <w:b/>
          <w:color w:val="auto"/>
          <w:sz w:val="32"/>
          <w:szCs w:val="32"/>
          <w:highlight w:val="none"/>
        </w:rPr>
      </w:pPr>
      <w:bookmarkStart w:id="71" w:name="_Toc7134_WPSOffice_Level1"/>
      <w:bookmarkStart w:id="72" w:name="_Toc19231_WPSOffice_Level1"/>
      <w:r>
        <w:rPr>
          <w:rFonts w:hint="eastAsia" w:ascii="宋体" w:hAnsi="宋体"/>
          <w:b/>
          <w:color w:val="auto"/>
          <w:sz w:val="32"/>
          <w:szCs w:val="32"/>
          <w:highlight w:val="none"/>
        </w:rPr>
        <w:t>投标人类似项目实施情况一览表</w:t>
      </w:r>
      <w:bookmarkEnd w:id="71"/>
      <w:bookmarkEnd w:id="72"/>
    </w:p>
    <w:p>
      <w:pPr>
        <w:pStyle w:val="34"/>
        <w:spacing w:line="360" w:lineRule="auto"/>
        <w:jc w:val="center"/>
        <w:rPr>
          <w:rFonts w:ascii="仿宋_GB2312" w:eastAsia="仿宋_GB2312"/>
          <w:b/>
          <w:color w:val="auto"/>
          <w:sz w:val="28"/>
          <w:szCs w:val="28"/>
          <w:highlight w:val="none"/>
        </w:rPr>
      </w:pPr>
    </w:p>
    <w:tbl>
      <w:tblPr>
        <w:tblStyle w:val="25"/>
        <w:tblW w:w="954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34"/>
              <w:keepNext w:val="0"/>
              <w:keepLines w:val="0"/>
              <w:suppressLineNumbers w:val="0"/>
              <w:spacing w:before="0" w:beforeAutospacing="0" w:after="0" w:afterAutospacing="0"/>
              <w:ind w:left="0" w:right="0"/>
              <w:jc w:val="center"/>
              <w:rPr>
                <w:rFonts w:ascii="宋体" w:hAnsi="宋体" w:cs="Arial"/>
                <w:b/>
                <w:bCs/>
                <w:color w:val="auto"/>
                <w:sz w:val="24"/>
                <w:highlight w:val="none"/>
              </w:rPr>
            </w:pPr>
            <w:r>
              <w:rPr>
                <w:rFonts w:hint="eastAsia" w:ascii="宋体" w:hAnsi="宋体" w:cs="Arial"/>
                <w:b/>
                <w:bCs/>
                <w:color w:val="auto"/>
                <w:sz w:val="24"/>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jc w:val="center"/>
              <w:rPr>
                <w:rFonts w:ascii="宋体" w:hAnsi="宋体" w:cs="Arial"/>
                <w:color w:val="auto"/>
                <w:sz w:val="24"/>
                <w:highlight w:val="none"/>
              </w:rPr>
            </w:pPr>
            <w:r>
              <w:rPr>
                <w:rFonts w:hint="eastAsia"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jc w:val="center"/>
              <w:rPr>
                <w:rFonts w:ascii="宋体" w:hAnsi="宋体" w:cs="Arial"/>
                <w:color w:val="auto"/>
                <w:sz w:val="24"/>
                <w:highlight w:val="none"/>
              </w:rPr>
            </w:pPr>
            <w:r>
              <w:rPr>
                <w:rFonts w:hint="eastAsia"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jc w:val="center"/>
              <w:rPr>
                <w:rFonts w:ascii="宋体" w:hAnsi="宋体" w:cs="Arial"/>
                <w:color w:val="auto"/>
                <w:sz w:val="24"/>
                <w:highlight w:val="none"/>
              </w:rPr>
            </w:pPr>
            <w:r>
              <w:rPr>
                <w:rFonts w:hint="eastAsia"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34"/>
              <w:keepNext w:val="0"/>
              <w:keepLines w:val="0"/>
              <w:suppressLineNumbers w:val="0"/>
              <w:spacing w:before="0" w:beforeAutospacing="0" w:after="0" w:afterAutospacing="0" w:line="360" w:lineRule="auto"/>
              <w:ind w:left="0" w:right="0"/>
              <w:rPr>
                <w:rFonts w:ascii="宋体" w:hAnsi="宋体" w:cs="Arial"/>
                <w:color w:val="auto"/>
                <w:sz w:val="24"/>
                <w:highlight w:val="none"/>
              </w:rPr>
            </w:pPr>
          </w:p>
        </w:tc>
      </w:tr>
    </w:tbl>
    <w:p>
      <w:pPr>
        <w:autoSpaceDE w:val="0"/>
        <w:autoSpaceDN w:val="0"/>
        <w:adjustRightInd w:val="0"/>
        <w:spacing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pPr>
        <w:autoSpaceDE w:val="0"/>
        <w:autoSpaceDN w:val="0"/>
        <w:adjustRightInd w:val="0"/>
        <w:spacing w:beforeLines="50" w:line="360" w:lineRule="auto"/>
        <w:ind w:firstLine="424" w:firstLineChars="202"/>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复印件可只提供首页、含金额页、盖章页并加盖投标人电子印章</w:t>
      </w:r>
      <w:r>
        <w:rPr>
          <w:rFonts w:ascii="宋体" w:hAnsi="宋体" w:cs="Arial"/>
          <w:color w:val="auto"/>
          <w:szCs w:val="21"/>
          <w:highlight w:val="none"/>
        </w:rPr>
        <w:t>）；</w:t>
      </w:r>
    </w:p>
    <w:p>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.投标人</w:t>
      </w:r>
      <w:r>
        <w:rPr>
          <w:rFonts w:ascii="宋体" w:hAnsi="宋体" w:cs="Arial"/>
          <w:color w:val="auto"/>
          <w:szCs w:val="21"/>
          <w:highlight w:val="none"/>
        </w:rPr>
        <w:t>可按此表格式复制</w:t>
      </w:r>
      <w:r>
        <w:rPr>
          <w:rFonts w:hint="eastAsia" w:ascii="宋体" w:hAnsi="宋体" w:cs="Arial"/>
          <w:color w:val="auto"/>
          <w:szCs w:val="21"/>
          <w:highlight w:val="none"/>
        </w:rPr>
        <w:t>。</w:t>
      </w:r>
    </w:p>
    <w:p>
      <w:pPr>
        <w:spacing w:line="360" w:lineRule="auto"/>
        <w:rPr>
          <w:rFonts w:ascii="宋体" w:hAnsi="宋体"/>
          <w:color w:val="auto"/>
          <w:sz w:val="22"/>
          <w:szCs w:val="22"/>
          <w:highlight w:val="none"/>
        </w:rPr>
      </w:pPr>
    </w:p>
    <w:p>
      <w:pPr>
        <w:spacing w:line="360" w:lineRule="auto"/>
        <w:rPr>
          <w:rFonts w:ascii="宋体" w:hAnsi="宋体"/>
          <w:color w:val="auto"/>
          <w:sz w:val="22"/>
          <w:szCs w:val="22"/>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jc w:val="center"/>
        <w:rPr>
          <w:rFonts w:ascii="仿宋" w:hAnsi="仿宋" w:eastAsia="仿宋"/>
          <w:snapToGrid w:val="0"/>
          <w:color w:val="auto"/>
          <w:kern w:val="0"/>
          <w:sz w:val="24"/>
          <w:highlight w:val="none"/>
        </w:rPr>
      </w:pP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br w:type="page"/>
      </w:r>
    </w:p>
    <w:p>
      <w:pPr>
        <w:pStyle w:val="35"/>
        <w:tabs>
          <w:tab w:val="left" w:pos="1050"/>
        </w:tabs>
        <w:spacing w:line="360" w:lineRule="auto"/>
        <w:rPr>
          <w:rFonts w:ascii="仿宋_GB2312" w:hAnsi="宋体"/>
          <w:color w:val="auto"/>
          <w:sz w:val="24"/>
          <w:highlight w:val="none"/>
        </w:rPr>
      </w:pPr>
      <w:r>
        <w:rPr>
          <w:rFonts w:hint="eastAsia" w:ascii="宋体" w:hAnsi="宋体"/>
          <w:b/>
          <w:color w:val="auto"/>
          <w:sz w:val="28"/>
          <w:highlight w:val="none"/>
        </w:rPr>
        <w:t>附件12</w:t>
      </w:r>
    </w:p>
    <w:p>
      <w:pPr>
        <w:spacing w:line="360" w:lineRule="auto"/>
        <w:ind w:left="549" w:hanging="549" w:hangingChars="171"/>
        <w:jc w:val="center"/>
        <w:rPr>
          <w:rFonts w:ascii="宋体" w:hAnsi="宋体"/>
          <w:b/>
          <w:color w:val="auto"/>
          <w:sz w:val="32"/>
          <w:szCs w:val="32"/>
          <w:highlight w:val="none"/>
        </w:rPr>
      </w:pPr>
      <w:bookmarkStart w:id="73" w:name="_Toc3068_WPSOffice_Level1"/>
      <w:bookmarkStart w:id="74" w:name="_Toc21582_WPSOffice_Level1"/>
      <w:r>
        <w:rPr>
          <w:rFonts w:hint="eastAsia" w:ascii="宋体" w:hAnsi="宋体"/>
          <w:b/>
          <w:color w:val="auto"/>
          <w:sz w:val="32"/>
          <w:szCs w:val="32"/>
          <w:highlight w:val="none"/>
        </w:rPr>
        <w:t>商务需求响应表</w:t>
      </w:r>
      <w:bookmarkEnd w:id="73"/>
      <w:bookmarkEnd w:id="74"/>
    </w:p>
    <w:p>
      <w:pPr>
        <w:spacing w:line="360" w:lineRule="auto"/>
        <w:ind w:left="481" w:leftChars="229" w:firstLine="813" w:firstLineChars="450"/>
        <w:rPr>
          <w:rFonts w:ascii="宋体" w:hAnsi="宋体"/>
          <w:b/>
          <w:color w:val="auto"/>
          <w:sz w:val="18"/>
          <w:szCs w:val="18"/>
          <w:highlight w:val="none"/>
        </w:rPr>
      </w:pPr>
    </w:p>
    <w:tbl>
      <w:tblPr>
        <w:tblStyle w:val="25"/>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66" w:hRule="atLeast"/>
        </w:trPr>
        <w:tc>
          <w:tcPr>
            <w:tcW w:w="735" w:type="dxa"/>
            <w:vAlign w:val="center"/>
          </w:tcPr>
          <w:p>
            <w:pPr>
              <w:keepNext w:val="0"/>
              <w:keepLines w:val="0"/>
              <w:suppressLineNumbers w:val="0"/>
              <w:spacing w:before="0" w:beforeAutospacing="0" w:after="0" w:afterAutospacing="0"/>
              <w:ind w:left="0" w:right="0"/>
              <w:rPr>
                <w:rFonts w:ascii="宋体" w:hAnsi="宋体"/>
                <w:b/>
                <w:color w:val="auto"/>
                <w:sz w:val="24"/>
                <w:highlight w:val="none"/>
              </w:rPr>
            </w:pPr>
            <w:r>
              <w:rPr>
                <w:rFonts w:hint="eastAsia" w:ascii="宋体" w:hAnsi="宋体"/>
                <w:b/>
                <w:color w:val="auto"/>
                <w:sz w:val="24"/>
                <w:highlight w:val="none"/>
              </w:rPr>
              <w:t>序号</w:t>
            </w:r>
          </w:p>
        </w:tc>
        <w:tc>
          <w:tcPr>
            <w:tcW w:w="1785" w:type="dxa"/>
            <w:vAlign w:val="center"/>
          </w:tcPr>
          <w:p>
            <w:pPr>
              <w:keepNext w:val="0"/>
              <w:keepLines w:val="0"/>
              <w:suppressLineNumbers w:val="0"/>
              <w:spacing w:before="0" w:beforeAutospacing="0" w:after="0" w:afterAutospacing="0"/>
              <w:ind w:left="0" w:right="0"/>
              <w:rPr>
                <w:rFonts w:ascii="宋体" w:hAnsi="宋体"/>
                <w:b/>
                <w:color w:val="auto"/>
                <w:sz w:val="24"/>
                <w:highlight w:val="none"/>
              </w:rPr>
            </w:pPr>
            <w:r>
              <w:rPr>
                <w:rFonts w:hint="eastAsia" w:ascii="宋体" w:hAnsi="宋体"/>
                <w:b/>
                <w:color w:val="auto"/>
                <w:sz w:val="24"/>
                <w:highlight w:val="none"/>
              </w:rPr>
              <w:t xml:space="preserve">   内容</w:t>
            </w:r>
          </w:p>
        </w:tc>
        <w:tc>
          <w:tcPr>
            <w:tcW w:w="1785" w:type="dxa"/>
            <w:vAlign w:val="center"/>
          </w:tcPr>
          <w:p>
            <w:pPr>
              <w:keepNext w:val="0"/>
              <w:keepLines w:val="0"/>
              <w:suppressLineNumbers w:val="0"/>
              <w:spacing w:before="0" w:beforeAutospacing="0" w:after="0" w:afterAutospacing="0"/>
              <w:ind w:left="53" w:leftChars="25" w:right="0" w:firstLine="241" w:firstLineChars="100"/>
              <w:rPr>
                <w:rFonts w:ascii="宋体" w:hAnsi="宋体"/>
                <w:b/>
                <w:color w:val="auto"/>
                <w:sz w:val="24"/>
                <w:highlight w:val="none"/>
              </w:rPr>
            </w:pPr>
            <w:r>
              <w:rPr>
                <w:rFonts w:hint="eastAsia" w:ascii="宋体" w:hAnsi="宋体"/>
                <w:b/>
                <w:color w:val="auto"/>
                <w:sz w:val="24"/>
                <w:highlight w:val="none"/>
              </w:rPr>
              <w:t>招标需求</w:t>
            </w:r>
          </w:p>
        </w:tc>
        <w:tc>
          <w:tcPr>
            <w:tcW w:w="1365" w:type="dxa"/>
            <w:vAlign w:val="center"/>
          </w:tcPr>
          <w:p>
            <w:pPr>
              <w:keepNext w:val="0"/>
              <w:keepLines w:val="0"/>
              <w:suppressLineNumbers w:val="0"/>
              <w:spacing w:before="0" w:beforeAutospacing="0" w:after="0" w:afterAutospacing="0"/>
              <w:ind w:left="152" w:right="0"/>
              <w:rPr>
                <w:rFonts w:ascii="宋体" w:hAnsi="宋体"/>
                <w:b/>
                <w:color w:val="auto"/>
                <w:sz w:val="24"/>
                <w:highlight w:val="none"/>
              </w:rPr>
            </w:pPr>
            <w:r>
              <w:rPr>
                <w:rFonts w:hint="eastAsia" w:ascii="宋体" w:hAnsi="宋体"/>
                <w:b/>
                <w:color w:val="auto"/>
                <w:sz w:val="24"/>
                <w:highlight w:val="none"/>
              </w:rPr>
              <w:t>是否响应</w:t>
            </w:r>
          </w:p>
        </w:tc>
        <w:tc>
          <w:tcPr>
            <w:tcW w:w="2625" w:type="dxa"/>
            <w:vAlign w:val="center"/>
          </w:tcPr>
          <w:p>
            <w:pPr>
              <w:keepNext w:val="0"/>
              <w:keepLines w:val="0"/>
              <w:suppressLineNumbers w:val="0"/>
              <w:spacing w:before="0" w:beforeAutospacing="0" w:after="0" w:afterAutospacing="0"/>
              <w:ind w:left="0" w:right="0"/>
              <w:jc w:val="center"/>
              <w:rPr>
                <w:rFonts w:ascii="宋体" w:hAnsi="宋体"/>
                <w:b/>
                <w:color w:val="auto"/>
                <w:sz w:val="24"/>
                <w:highlight w:val="none"/>
              </w:rPr>
            </w:pPr>
            <w:r>
              <w:rPr>
                <w:rFonts w:hint="eastAsia" w:ascii="宋体" w:hAnsi="宋体"/>
                <w:b/>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3"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0" w:hRule="atLeast"/>
        </w:trPr>
        <w:tc>
          <w:tcPr>
            <w:tcW w:w="73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785" w:type="dxa"/>
          </w:tcPr>
          <w:p>
            <w:pPr>
              <w:keepNext w:val="0"/>
              <w:keepLines w:val="0"/>
              <w:suppressLineNumbers w:val="0"/>
              <w:snapToGrid w:val="0"/>
              <w:spacing w:before="0" w:beforeAutospacing="0" w:after="0" w:afterAutospacing="0"/>
              <w:ind w:left="0" w:right="0"/>
              <w:rPr>
                <w:rFonts w:ascii="宋体" w:hAnsi="宋体"/>
                <w:color w:val="auto"/>
                <w:sz w:val="24"/>
                <w:highlight w:val="none"/>
              </w:rPr>
            </w:pPr>
          </w:p>
        </w:tc>
        <w:tc>
          <w:tcPr>
            <w:tcW w:w="178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136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c>
          <w:tcPr>
            <w:tcW w:w="2625" w:type="dxa"/>
            <w:vAlign w:val="center"/>
          </w:tcPr>
          <w:p>
            <w:pPr>
              <w:keepNext w:val="0"/>
              <w:keepLines w:val="0"/>
              <w:suppressLineNumbers w:val="0"/>
              <w:spacing w:before="0" w:beforeAutospacing="0" w:after="0" w:afterAutospacing="0"/>
              <w:ind w:left="0" w:right="0"/>
              <w:rPr>
                <w:rFonts w:ascii="宋体" w:hAnsi="宋体"/>
                <w:color w:val="auto"/>
                <w:sz w:val="24"/>
                <w:highlight w:val="none"/>
              </w:rPr>
            </w:pPr>
          </w:p>
        </w:tc>
      </w:tr>
    </w:tbl>
    <w:p>
      <w:pPr>
        <w:spacing w:line="360" w:lineRule="auto"/>
        <w:rPr>
          <w:rFonts w:ascii="宋体" w:hAnsi="宋体"/>
          <w:color w:val="auto"/>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日        期：</w:t>
      </w: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br w:type="page"/>
      </w: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t>附件13</w:t>
      </w:r>
    </w:p>
    <w:p>
      <w:pPr>
        <w:pStyle w:val="2"/>
        <w:rPr>
          <w:color w:val="auto"/>
          <w:highlight w:val="none"/>
        </w:rPr>
      </w:pPr>
    </w:p>
    <w:p>
      <w:pPr>
        <w:spacing w:line="360" w:lineRule="auto"/>
        <w:ind w:right="-110"/>
        <w:jc w:val="center"/>
        <w:rPr>
          <w:rFonts w:hint="eastAsia" w:ascii="宋体" w:hAnsi="宋体" w:eastAsia="宋体"/>
          <w:color w:val="auto"/>
          <w:spacing w:val="40"/>
          <w:sz w:val="36"/>
          <w:szCs w:val="36"/>
          <w:highlight w:val="none"/>
          <w:lang w:eastAsia="zh-CN"/>
        </w:rPr>
      </w:pPr>
      <w:r>
        <w:rPr>
          <w:rFonts w:hint="eastAsia" w:ascii="宋体" w:hAnsi="宋体"/>
          <w:color w:val="auto"/>
          <w:spacing w:val="40"/>
          <w:sz w:val="36"/>
          <w:szCs w:val="36"/>
          <w:highlight w:val="none"/>
          <w:lang w:eastAsia="zh-CN"/>
        </w:rPr>
        <w:t>台州市地质环境监测站</w:t>
      </w:r>
    </w:p>
    <w:p>
      <w:pPr>
        <w:spacing w:line="360" w:lineRule="auto"/>
        <w:ind w:right="-110"/>
        <w:jc w:val="center"/>
        <w:rPr>
          <w:rStyle w:val="51"/>
          <w:rFonts w:hint="eastAsia" w:ascii="宋体" w:hAnsi="宋体" w:eastAsia="宋体"/>
          <w:color w:val="auto"/>
          <w:spacing w:val="40"/>
          <w:sz w:val="36"/>
          <w:szCs w:val="36"/>
          <w:highlight w:val="none"/>
          <w:lang w:eastAsia="zh-CN"/>
        </w:rPr>
      </w:pPr>
      <w:r>
        <w:rPr>
          <w:rFonts w:hint="eastAsia" w:ascii="宋体" w:hAnsi="宋体"/>
          <w:color w:val="auto"/>
          <w:spacing w:val="40"/>
          <w:sz w:val="36"/>
          <w:szCs w:val="36"/>
          <w:highlight w:val="none"/>
          <w:lang w:eastAsia="zh-CN"/>
        </w:rPr>
        <w:t>台州市沿海平原地面沉降监测项目</w:t>
      </w:r>
    </w:p>
    <w:p>
      <w:pPr>
        <w:spacing w:before="312" w:line="360" w:lineRule="auto"/>
        <w:ind w:right="-108"/>
        <w:jc w:val="center"/>
        <w:rPr>
          <w:rStyle w:val="51"/>
          <w:rFonts w:hint="eastAsia" w:ascii="宋体" w:hAnsi="宋体" w:eastAsia="宋体"/>
          <w:color w:val="auto"/>
          <w:sz w:val="36"/>
          <w:szCs w:val="36"/>
          <w:highlight w:val="none"/>
          <w:lang w:eastAsia="zh-CN"/>
        </w:rPr>
      </w:pPr>
      <w:r>
        <w:rPr>
          <w:rStyle w:val="51"/>
          <w:rFonts w:ascii="宋体" w:hAnsi="宋体"/>
          <w:color w:val="auto"/>
          <w:sz w:val="36"/>
          <w:szCs w:val="36"/>
          <w:highlight w:val="none"/>
        </w:rPr>
        <w:t>项目编号：</w:t>
      </w:r>
      <w:r>
        <w:rPr>
          <w:rFonts w:hint="eastAsia" w:ascii="宋体" w:hAnsi="宋体"/>
          <w:color w:val="auto"/>
          <w:spacing w:val="40"/>
          <w:sz w:val="36"/>
          <w:szCs w:val="36"/>
          <w:highlight w:val="none"/>
          <w:lang w:eastAsia="zh-CN"/>
        </w:rPr>
        <w:t>TZTX-2025-GK005</w:t>
      </w:r>
    </w:p>
    <w:p>
      <w:pPr>
        <w:pStyle w:val="2"/>
        <w:rPr>
          <w:color w:val="auto"/>
          <w:highlight w:val="none"/>
        </w:rPr>
      </w:pPr>
    </w:p>
    <w:p>
      <w:pPr>
        <w:pStyle w:val="2"/>
        <w:rPr>
          <w:color w:val="auto"/>
          <w:highlight w:val="none"/>
        </w:rPr>
      </w:pPr>
    </w:p>
    <w:p>
      <w:pPr>
        <w:spacing w:line="360" w:lineRule="auto"/>
        <w:jc w:val="center"/>
        <w:rPr>
          <w:rStyle w:val="51"/>
          <w:rFonts w:ascii="宋体" w:hAnsi="宋体"/>
          <w:color w:val="auto"/>
          <w:sz w:val="84"/>
          <w:szCs w:val="84"/>
          <w:highlight w:val="none"/>
          <w:lang w:val="zh-CN"/>
        </w:rPr>
      </w:pPr>
      <w:r>
        <w:rPr>
          <w:rStyle w:val="51"/>
          <w:rFonts w:hint="eastAsia" w:ascii="宋体" w:hAnsi="宋体"/>
          <w:color w:val="auto"/>
          <w:sz w:val="84"/>
          <w:szCs w:val="84"/>
          <w:highlight w:val="none"/>
          <w:lang w:val="zh-CN"/>
        </w:rPr>
        <w:t>报</w:t>
      </w:r>
    </w:p>
    <w:p>
      <w:pPr>
        <w:spacing w:line="360" w:lineRule="auto"/>
        <w:jc w:val="center"/>
        <w:rPr>
          <w:rStyle w:val="51"/>
          <w:rFonts w:ascii="宋体" w:hAnsi="宋体"/>
          <w:color w:val="auto"/>
          <w:sz w:val="84"/>
          <w:szCs w:val="84"/>
          <w:highlight w:val="none"/>
          <w:lang w:val="zh-CN"/>
        </w:rPr>
      </w:pPr>
      <w:r>
        <w:rPr>
          <w:rStyle w:val="51"/>
          <w:rFonts w:hint="eastAsia" w:ascii="宋体" w:hAnsi="宋体"/>
          <w:color w:val="auto"/>
          <w:sz w:val="84"/>
          <w:szCs w:val="84"/>
          <w:highlight w:val="none"/>
          <w:lang w:val="zh-CN"/>
        </w:rPr>
        <w:t>价</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文</w:t>
      </w:r>
    </w:p>
    <w:p>
      <w:pPr>
        <w:spacing w:line="360" w:lineRule="auto"/>
        <w:jc w:val="center"/>
        <w:rPr>
          <w:rStyle w:val="51"/>
          <w:rFonts w:ascii="宋体" w:hAnsi="宋体"/>
          <w:color w:val="auto"/>
          <w:sz w:val="84"/>
          <w:szCs w:val="84"/>
          <w:highlight w:val="none"/>
          <w:lang w:val="zh-CN"/>
        </w:rPr>
      </w:pPr>
      <w:r>
        <w:rPr>
          <w:rStyle w:val="51"/>
          <w:rFonts w:ascii="宋体" w:hAnsi="宋体"/>
          <w:color w:val="auto"/>
          <w:sz w:val="84"/>
          <w:szCs w:val="84"/>
          <w:highlight w:val="none"/>
          <w:lang w:val="zh-CN"/>
        </w:rPr>
        <w:t>件</w:t>
      </w:r>
    </w:p>
    <w:p>
      <w:pPr>
        <w:spacing w:line="360" w:lineRule="auto"/>
        <w:ind w:right="532" w:firstLine="720" w:firstLineChars="200"/>
        <w:rPr>
          <w:rStyle w:val="51"/>
          <w:rFonts w:ascii="宋体" w:hAnsi="宋体"/>
          <w:color w:val="auto"/>
          <w:sz w:val="36"/>
          <w:szCs w:val="36"/>
          <w:highlight w:val="none"/>
        </w:rPr>
      </w:pP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投标人全称（</w:t>
      </w:r>
      <w:r>
        <w:rPr>
          <w:rStyle w:val="51"/>
          <w:rFonts w:hint="eastAsia" w:ascii="宋体" w:hAnsi="宋体"/>
          <w:color w:val="auto"/>
          <w:sz w:val="36"/>
          <w:szCs w:val="36"/>
          <w:highlight w:val="none"/>
        </w:rPr>
        <w:t>电子印章</w:t>
      </w:r>
      <w:r>
        <w:rPr>
          <w:rStyle w:val="51"/>
          <w:rFonts w:ascii="宋体" w:hAnsi="宋体"/>
          <w:color w:val="auto"/>
          <w:sz w:val="36"/>
          <w:szCs w:val="36"/>
          <w:highlight w:val="none"/>
        </w:rPr>
        <w:t>）：</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地    址：</w:t>
      </w:r>
    </w:p>
    <w:p>
      <w:pPr>
        <w:spacing w:line="360" w:lineRule="auto"/>
        <w:ind w:right="532" w:firstLine="720" w:firstLineChars="200"/>
        <w:rPr>
          <w:rStyle w:val="51"/>
          <w:rFonts w:ascii="宋体" w:hAnsi="宋体"/>
          <w:color w:val="auto"/>
          <w:sz w:val="36"/>
          <w:szCs w:val="36"/>
          <w:highlight w:val="none"/>
        </w:rPr>
      </w:pPr>
      <w:r>
        <w:rPr>
          <w:rStyle w:val="51"/>
          <w:rFonts w:ascii="宋体" w:hAnsi="宋体"/>
          <w:color w:val="auto"/>
          <w:sz w:val="36"/>
          <w:szCs w:val="36"/>
          <w:highlight w:val="none"/>
        </w:rPr>
        <w:t>时    间：</w:t>
      </w:r>
    </w:p>
    <w:p>
      <w:pPr>
        <w:pStyle w:val="2"/>
        <w:rPr>
          <w:color w:val="auto"/>
          <w:highlight w:val="none"/>
        </w:rPr>
      </w:pPr>
    </w:p>
    <w:p>
      <w:pPr>
        <w:pStyle w:val="18"/>
        <w:rPr>
          <w:rFonts w:ascii="宋体" w:hAnsi="宋体" w:cs="宋体"/>
          <w:color w:val="auto"/>
          <w:sz w:val="24"/>
          <w:highlight w:val="none"/>
        </w:rPr>
      </w:pPr>
    </w:p>
    <w:p>
      <w:pPr>
        <w:pStyle w:val="2"/>
        <w:rPr>
          <w:rFonts w:ascii="宋体" w:hAnsi="宋体" w:cs="宋体"/>
          <w:b/>
          <w:color w:val="auto"/>
          <w:sz w:val="24"/>
          <w:szCs w:val="24"/>
          <w:highlight w:val="none"/>
        </w:rPr>
      </w:pPr>
    </w:p>
    <w:p>
      <w:pPr>
        <w:pStyle w:val="2"/>
        <w:rPr>
          <w:rFonts w:ascii="宋体" w:hAnsi="宋体" w:cs="宋体"/>
          <w:b/>
          <w:color w:val="auto"/>
          <w:sz w:val="24"/>
          <w:szCs w:val="24"/>
          <w:highlight w:val="none"/>
        </w:rPr>
      </w:pPr>
    </w:p>
    <w:p>
      <w:pPr>
        <w:pStyle w:val="2"/>
        <w:rPr>
          <w:rFonts w:ascii="宋体" w:hAnsi="宋体" w:cs="宋体"/>
          <w:b/>
          <w:color w:val="auto"/>
          <w:sz w:val="24"/>
          <w:szCs w:val="24"/>
          <w:highlight w:val="none"/>
        </w:rPr>
      </w:pPr>
    </w:p>
    <w:p>
      <w:pPr>
        <w:pStyle w:val="2"/>
        <w:rPr>
          <w:rFonts w:ascii="宋体" w:hAnsi="宋体" w:cs="宋体"/>
          <w:b/>
          <w:color w:val="auto"/>
          <w:sz w:val="24"/>
          <w:szCs w:val="24"/>
          <w:highlight w:val="none"/>
        </w:rPr>
      </w:pPr>
    </w:p>
    <w:p>
      <w:pPr>
        <w:pStyle w:val="2"/>
        <w:rPr>
          <w:rFonts w:ascii="宋体" w:hAnsi="宋体" w:cs="宋体"/>
          <w:b/>
          <w:color w:val="auto"/>
          <w:sz w:val="24"/>
          <w:szCs w:val="24"/>
          <w:highlight w:val="none"/>
        </w:rPr>
      </w:pPr>
    </w:p>
    <w:p>
      <w:pPr>
        <w:jc w:val="center"/>
        <w:rPr>
          <w:rFonts w:ascii="宋体" w:hAnsi="宋体" w:cs="宋体"/>
          <w:b/>
          <w:bCs/>
          <w:color w:val="auto"/>
          <w:sz w:val="24"/>
          <w:highlight w:val="none"/>
        </w:rPr>
      </w:pPr>
      <w:bookmarkStart w:id="75" w:name="_Toc19972_WPSOffice_Level1"/>
      <w:bookmarkStart w:id="76" w:name="_Toc29537_WPSOffice_Level1"/>
    </w:p>
    <w:p>
      <w:pPr>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报价文件目录</w:t>
      </w:r>
      <w:bookmarkEnd w:id="75"/>
      <w:bookmarkEnd w:id="76"/>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bookmarkStart w:id="77" w:name="_Toc6778_WPSOffice_Level1"/>
      <w:bookmarkStart w:id="78" w:name="_Toc29988_WPSOffice_Level1"/>
      <w:r>
        <w:rPr>
          <w:rFonts w:hint="eastAsia" w:ascii="宋体" w:hAnsi="宋体" w:cs="宋体"/>
          <w:color w:val="auto"/>
          <w:sz w:val="24"/>
          <w:highlight w:val="none"/>
        </w:rPr>
        <w:t>1、开标一览表（附件14）；</w:t>
      </w:r>
      <w:bookmarkEnd w:id="77"/>
      <w:bookmarkEnd w:id="78"/>
    </w:p>
    <w:p>
      <w:pPr>
        <w:spacing w:line="360" w:lineRule="auto"/>
        <w:ind w:firstLine="480" w:firstLineChars="200"/>
        <w:rPr>
          <w:rFonts w:ascii="宋体" w:hAnsi="宋体" w:cs="宋体"/>
          <w:color w:val="auto"/>
          <w:sz w:val="24"/>
          <w:highlight w:val="none"/>
        </w:rPr>
      </w:pPr>
      <w:bookmarkStart w:id="79" w:name="_Toc11601_WPSOffice_Level1"/>
      <w:bookmarkStart w:id="80" w:name="_Toc15601_WPSOffice_Level1"/>
      <w:r>
        <w:rPr>
          <w:rFonts w:hint="eastAsia" w:ascii="宋体" w:hAnsi="宋体" w:cs="宋体"/>
          <w:color w:val="auto"/>
          <w:sz w:val="24"/>
          <w:highlight w:val="none"/>
        </w:rPr>
        <w:t>2、报价明细表（附件15）；</w:t>
      </w:r>
      <w:bookmarkEnd w:id="79"/>
      <w:bookmarkEnd w:id="80"/>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3、中小企业声明函（附件16）</w:t>
      </w:r>
    </w:p>
    <w:p>
      <w:pPr>
        <w:spacing w:line="360" w:lineRule="auto"/>
        <w:ind w:firstLine="480" w:firstLineChars="200"/>
        <w:rPr>
          <w:rFonts w:ascii="宋体" w:hAnsi="宋体" w:cs="宋体"/>
          <w:color w:val="auto"/>
          <w:sz w:val="24"/>
          <w:highlight w:val="none"/>
        </w:rPr>
      </w:pPr>
      <w:bookmarkStart w:id="81" w:name="_Toc14672_WPSOffice_Level1"/>
      <w:bookmarkStart w:id="82" w:name="_Toc3001_WPSOffice_Level1"/>
      <w:r>
        <w:rPr>
          <w:rFonts w:hint="eastAsia" w:ascii="宋体" w:hAnsi="宋体" w:cs="宋体"/>
          <w:color w:val="auto"/>
          <w:sz w:val="24"/>
          <w:highlight w:val="none"/>
        </w:rPr>
        <w:t>4、针对报价投标人认为其他需要说明的；</w:t>
      </w:r>
      <w:bookmarkEnd w:id="81"/>
      <w:bookmarkEnd w:id="82"/>
    </w:p>
    <w:p>
      <w:pPr>
        <w:spacing w:line="360" w:lineRule="auto"/>
        <w:ind w:firstLine="480" w:firstLineChars="200"/>
        <w:rPr>
          <w:rFonts w:ascii="宋体" w:hAnsi="宋体" w:cs="宋体"/>
          <w:color w:val="auto"/>
          <w:sz w:val="24"/>
          <w:highlight w:val="none"/>
        </w:rPr>
      </w:pPr>
    </w:p>
    <w:p>
      <w:pPr>
        <w:spacing w:line="360" w:lineRule="auto"/>
        <w:ind w:firstLine="482" w:firstLineChars="200"/>
        <w:rPr>
          <w:rFonts w:ascii="宋体" w:hAnsi="宋体" w:cs="宋体"/>
          <w:b/>
          <w:color w:val="auto"/>
          <w:sz w:val="24"/>
          <w:highlight w:val="none"/>
        </w:rPr>
      </w:pPr>
    </w:p>
    <w:p>
      <w:pPr>
        <w:spacing w:line="360" w:lineRule="auto"/>
        <w:ind w:firstLine="482" w:firstLineChars="20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spacing w:line="360" w:lineRule="auto"/>
        <w:ind w:left="480"/>
        <w:rPr>
          <w:rFonts w:ascii="宋体" w:hAnsi="宋体" w:cs="宋体"/>
          <w:b/>
          <w:color w:val="auto"/>
          <w:sz w:val="24"/>
          <w:highlight w:val="none"/>
        </w:rPr>
      </w:pPr>
    </w:p>
    <w:p>
      <w:pPr>
        <w:rPr>
          <w:rFonts w:ascii="宋体" w:hAnsi="宋体" w:cs="宋体"/>
          <w:color w:val="auto"/>
          <w:sz w:val="24"/>
          <w:highlight w:val="none"/>
        </w:rPr>
      </w:pPr>
      <w:r>
        <w:rPr>
          <w:rFonts w:hint="eastAsia" w:ascii="宋体" w:hAnsi="宋体" w:cs="宋体"/>
          <w:b/>
          <w:color w:val="auto"/>
          <w:sz w:val="24"/>
          <w:highlight w:val="none"/>
        </w:rPr>
        <w:br w:type="page"/>
      </w: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t>附件14</w:t>
      </w:r>
    </w:p>
    <w:p>
      <w:pPr>
        <w:spacing w:line="360" w:lineRule="auto"/>
        <w:ind w:left="-2" w:hanging="2"/>
        <w:jc w:val="center"/>
        <w:rPr>
          <w:rFonts w:ascii="宋体" w:hAnsi="宋体" w:cs="宋体"/>
          <w:b/>
          <w:color w:val="auto"/>
          <w:sz w:val="24"/>
          <w:highlight w:val="none"/>
        </w:rPr>
      </w:pPr>
      <w:bookmarkStart w:id="83" w:name="_Toc16144_WPSOffice_Level1"/>
      <w:bookmarkStart w:id="84" w:name="_Toc30363_WPSOffice_Level1"/>
      <w:r>
        <w:rPr>
          <w:rFonts w:hint="eastAsia" w:ascii="宋体" w:hAnsi="宋体" w:cs="宋体"/>
          <w:b/>
          <w:color w:val="auto"/>
          <w:sz w:val="24"/>
          <w:highlight w:val="none"/>
        </w:rPr>
        <w:t>开标一览表</w:t>
      </w:r>
      <w:bookmarkEnd w:id="83"/>
      <w:bookmarkEnd w:id="84"/>
    </w:p>
    <w:p>
      <w:pPr>
        <w:spacing w:line="360" w:lineRule="auto"/>
        <w:ind w:left="-2" w:hanging="2"/>
        <w:jc w:val="center"/>
        <w:rPr>
          <w:rFonts w:ascii="宋体" w:hAnsi="宋体" w:cs="宋体"/>
          <w:b/>
          <w:color w:val="auto"/>
          <w:sz w:val="24"/>
          <w:highlight w:val="none"/>
        </w:rPr>
      </w:pPr>
    </w:p>
    <w:p>
      <w:pPr>
        <w:pStyle w:val="13"/>
        <w:spacing w:line="320" w:lineRule="exact"/>
        <w:rPr>
          <w:rFonts w:hAnsi="宋体"/>
          <w:b/>
          <w:color w:val="auto"/>
          <w:sz w:val="24"/>
          <w:highlight w:val="none"/>
        </w:rPr>
      </w:pPr>
      <w:r>
        <w:rPr>
          <w:rFonts w:hint="eastAsia" w:hAnsi="宋体"/>
          <w:b/>
          <w:color w:val="auto"/>
          <w:sz w:val="24"/>
          <w:highlight w:val="none"/>
        </w:rPr>
        <w:t>项目编号：</w:t>
      </w:r>
    </w:p>
    <w:p>
      <w:pPr>
        <w:pStyle w:val="40"/>
        <w:spacing w:line="360" w:lineRule="auto"/>
        <w:ind w:right="480"/>
        <w:jc w:val="left"/>
        <w:rPr>
          <w:rFonts w:ascii="宋体" w:hAnsi="宋体" w:cs="宋体"/>
          <w:color w:val="auto"/>
          <w:sz w:val="24"/>
          <w:highlight w:val="none"/>
        </w:rPr>
      </w:pPr>
      <w:r>
        <w:rPr>
          <w:rFonts w:hint="eastAsia" w:ascii="宋体" w:hAnsi="宋体" w:cs="宋体"/>
          <w:b/>
          <w:color w:val="auto"/>
          <w:sz w:val="24"/>
          <w:highlight w:val="none"/>
        </w:rPr>
        <w:t>项目名称：</w:t>
      </w:r>
      <w:r>
        <w:rPr>
          <w:rFonts w:hint="eastAsia" w:ascii="宋体" w:hAnsi="宋体" w:cs="宋体"/>
          <w:color w:val="auto"/>
          <w:sz w:val="24"/>
          <w:highlight w:val="none"/>
        </w:rPr>
        <w:t xml:space="preserve">                                     [货币单位：人民币元]</w:t>
      </w:r>
    </w:p>
    <w:tbl>
      <w:tblPr>
        <w:tblStyle w:val="25"/>
        <w:tblW w:w="8672" w:type="dxa"/>
        <w:jc w:val="center"/>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pPr>
              <w:keepNext w:val="0"/>
              <w:keepLines w:val="0"/>
              <w:suppressLineNumbers w:val="0"/>
              <w:autoSpaceDE w:val="0"/>
              <w:autoSpaceDN w:val="0"/>
              <w:spacing w:before="0" w:beforeAutospacing="0" w:after="0" w:afterAutospacing="0" w:line="450" w:lineRule="exact"/>
              <w:ind w:left="0" w:right="0"/>
              <w:jc w:val="center"/>
              <w:textAlignment w:val="bottom"/>
              <w:rPr>
                <w:rFonts w:ascii="宋体" w:hAnsi="宋体" w:cs="宋体"/>
                <w:color w:val="auto"/>
                <w:sz w:val="24"/>
                <w:highlight w:val="none"/>
              </w:rPr>
            </w:pPr>
            <w:r>
              <w:rPr>
                <w:rFonts w:hint="eastAsia" w:ascii="宋体" w:hAnsi="宋体" w:cs="宋体"/>
                <w:color w:val="auto"/>
                <w:sz w:val="24"/>
                <w:highlight w:val="none"/>
              </w:rPr>
              <w:t>投标总报价（元）</w:t>
            </w:r>
          </w:p>
        </w:tc>
        <w:tc>
          <w:tcPr>
            <w:tcW w:w="1349"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autoSpaceDE w:val="0"/>
              <w:autoSpaceDN w:val="0"/>
              <w:spacing w:before="0" w:beforeAutospacing="0" w:after="0" w:afterAutospacing="0" w:line="450" w:lineRule="exact"/>
              <w:ind w:left="0" w:right="0"/>
              <w:jc w:val="center"/>
              <w:textAlignment w:val="bottom"/>
              <w:rPr>
                <w:rFonts w:ascii="宋体" w:hAnsi="宋体" w:cs="宋体"/>
                <w:color w:val="auto"/>
                <w:sz w:val="24"/>
                <w:highlight w:val="none"/>
              </w:rPr>
            </w:pPr>
            <w:r>
              <w:rPr>
                <w:rFonts w:hint="eastAsia" w:ascii="宋体" w:hAnsi="宋体" w:cs="宋体"/>
                <w:color w:val="auto"/>
                <w:sz w:val="24"/>
                <w:highlight w:val="none"/>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keepNext w:val="0"/>
              <w:keepLines w:val="0"/>
              <w:suppressLineNumbers w:val="0"/>
              <w:autoSpaceDE w:val="0"/>
              <w:autoSpaceDN w:val="0"/>
              <w:spacing w:before="0" w:beforeAutospacing="0" w:after="0" w:afterAutospacing="0" w:line="450" w:lineRule="exact"/>
              <w:ind w:left="0" w:right="0"/>
              <w:jc w:val="center"/>
              <w:textAlignment w:val="bottom"/>
              <w:rPr>
                <w:rFonts w:ascii="宋体" w:hAnsi="宋体" w:cs="宋体"/>
                <w:color w:val="auto"/>
                <w:sz w:val="24"/>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ascii="宋体" w:hAnsi="宋体" w:cs="宋体"/>
                <w:color w:val="auto"/>
                <w:sz w:val="24"/>
                <w:highlight w:val="none"/>
              </w:rPr>
            </w:pPr>
          </w:p>
        </w:tc>
        <w:tc>
          <w:tcPr>
            <w:tcW w:w="134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pacing w:before="0" w:beforeAutospacing="0" w:after="0" w:afterAutospacing="0" w:line="450" w:lineRule="exact"/>
              <w:ind w:left="0" w:right="0"/>
              <w:jc w:val="center"/>
              <w:textAlignment w:val="bottom"/>
              <w:rPr>
                <w:rFonts w:ascii="宋体" w:hAnsi="宋体" w:cs="宋体"/>
                <w:color w:val="auto"/>
                <w:sz w:val="24"/>
                <w:highlight w:val="none"/>
              </w:rPr>
            </w:pPr>
            <w:r>
              <w:rPr>
                <w:rFonts w:hint="eastAsia" w:ascii="宋体" w:hAnsi="宋体" w:cs="宋体"/>
                <w:color w:val="auto"/>
                <w:sz w:val="24"/>
                <w:highlight w:val="none"/>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keepNext w:val="0"/>
              <w:keepLines w:val="0"/>
              <w:suppressLineNumbers w:val="0"/>
              <w:autoSpaceDE w:val="0"/>
              <w:autoSpaceDN w:val="0"/>
              <w:spacing w:before="0" w:beforeAutospacing="0" w:after="0" w:afterAutospacing="0" w:line="450" w:lineRule="exact"/>
              <w:ind w:left="0" w:right="0"/>
              <w:jc w:val="center"/>
              <w:textAlignment w:val="bottom"/>
              <w:rPr>
                <w:rFonts w:ascii="宋体" w:hAnsi="宋体" w:cs="宋体"/>
                <w:color w:val="auto"/>
                <w:sz w:val="24"/>
                <w:highlight w:val="none"/>
              </w:rPr>
            </w:pPr>
          </w:p>
        </w:tc>
      </w:tr>
    </w:tbl>
    <w:p>
      <w:pPr>
        <w:spacing w:line="360" w:lineRule="auto"/>
        <w:ind w:left="480"/>
        <w:rPr>
          <w:rFonts w:ascii="宋体" w:hAnsi="宋体" w:cs="宋体"/>
          <w:b/>
          <w:color w:val="auto"/>
          <w:sz w:val="24"/>
          <w:highlight w:val="none"/>
        </w:rPr>
      </w:pPr>
    </w:p>
    <w:p>
      <w:pPr>
        <w:spacing w:line="360" w:lineRule="auto"/>
        <w:rPr>
          <w:rFonts w:ascii="宋体" w:hAnsi="宋体" w:cs="宋体"/>
          <w:color w:val="auto"/>
          <w:sz w:val="24"/>
          <w:highlight w:val="none"/>
        </w:rPr>
      </w:pPr>
      <w:r>
        <w:rPr>
          <w:rFonts w:hint="eastAsia" w:ascii="宋体" w:hAnsi="宋体" w:cs="宋体"/>
          <w:b/>
          <w:color w:val="auto"/>
          <w:sz w:val="24"/>
          <w:highlight w:val="none"/>
        </w:rPr>
        <w:t>填报要求：</w:t>
      </w:r>
    </w:p>
    <w:p>
      <w:pPr>
        <w:pStyle w:val="2"/>
        <w:spacing w:line="360" w:lineRule="auto"/>
        <w:ind w:firstLine="480" w:firstLineChars="200"/>
        <w:rPr>
          <w:rFonts w:ascii="宋体" w:hAnsi="宋体" w:cs="宋体"/>
          <w:bCs/>
          <w:color w:val="auto"/>
          <w:kern w:val="0"/>
          <w:sz w:val="24"/>
          <w:szCs w:val="24"/>
          <w:highlight w:val="none"/>
        </w:rPr>
      </w:pPr>
      <w:r>
        <w:rPr>
          <w:rFonts w:hint="eastAsia" w:ascii="宋体" w:hAnsi="宋体" w:cs="宋体"/>
          <w:bCs/>
          <w:color w:val="auto"/>
          <w:kern w:val="0"/>
          <w:sz w:val="24"/>
          <w:szCs w:val="24"/>
          <w:highlight w:val="none"/>
        </w:rPr>
        <w:t>投标报价包括本项目采购需求和投入使用的所有费用，包括但不限于本项目投入使用的服务费，包含现场调研、数据收集、测试分析、建设方案的编制费等项目过程中发生的食宿、交通、服务、人工、保险、劳保、各种税费、技术支持、成本、评审会务、招标代理服务费、税金以及相应的利润等以及完成本项目的其他一切等费用。</w:t>
      </w:r>
    </w:p>
    <w:p>
      <w:pPr>
        <w:pStyle w:val="2"/>
        <w:rPr>
          <w:rFonts w:ascii="宋体" w:hAnsi="宋体" w:cs="宋体"/>
          <w:bCs/>
          <w:color w:val="auto"/>
          <w:kern w:val="0"/>
          <w:sz w:val="24"/>
          <w:szCs w:val="24"/>
          <w:highlight w:val="none"/>
        </w:rPr>
      </w:pPr>
    </w:p>
    <w:p>
      <w:pPr>
        <w:pStyle w:val="2"/>
        <w:rPr>
          <w:rFonts w:ascii="宋体" w:hAnsi="宋体" w:cs="宋体"/>
          <w:bCs/>
          <w:color w:val="auto"/>
          <w:kern w:val="0"/>
          <w:sz w:val="24"/>
          <w:szCs w:val="24"/>
          <w:highlight w:val="none"/>
        </w:rPr>
      </w:pPr>
    </w:p>
    <w:p>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投标人名称（电子印章）：</w:t>
      </w:r>
    </w:p>
    <w:p>
      <w:pPr>
        <w:spacing w:line="360" w:lineRule="auto"/>
        <w:ind w:left="420"/>
        <w:rPr>
          <w:rFonts w:ascii="宋体" w:hAnsi="宋体" w:cs="宋体"/>
          <w:color w:val="auto"/>
          <w:sz w:val="24"/>
          <w:highlight w:val="none"/>
        </w:rPr>
      </w:pPr>
    </w:p>
    <w:p>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投标人代表签字或电子印章：</w:t>
      </w:r>
    </w:p>
    <w:p>
      <w:pPr>
        <w:spacing w:line="360" w:lineRule="auto"/>
        <w:ind w:firstLine="435"/>
        <w:rPr>
          <w:rFonts w:ascii="宋体" w:hAnsi="宋体" w:cs="宋体"/>
          <w:color w:val="auto"/>
          <w:sz w:val="24"/>
          <w:highlight w:val="none"/>
        </w:rPr>
      </w:pPr>
    </w:p>
    <w:p>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职        务：</w:t>
      </w:r>
    </w:p>
    <w:p>
      <w:pPr>
        <w:spacing w:line="360" w:lineRule="auto"/>
        <w:rPr>
          <w:rFonts w:ascii="宋体" w:hAnsi="宋体" w:cs="宋体"/>
          <w:color w:val="auto"/>
          <w:sz w:val="24"/>
          <w:highlight w:val="none"/>
        </w:rPr>
      </w:pPr>
    </w:p>
    <w:p>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日        期：</w:t>
      </w:r>
    </w:p>
    <w:p>
      <w:pPr>
        <w:rPr>
          <w:rFonts w:ascii="宋体" w:hAnsi="宋体" w:cs="宋体"/>
          <w:b/>
          <w:color w:val="auto"/>
          <w:sz w:val="24"/>
          <w:highlight w:val="none"/>
        </w:rPr>
      </w:pPr>
      <w:r>
        <w:rPr>
          <w:rFonts w:hint="eastAsia" w:ascii="宋体" w:hAnsi="宋体" w:cs="宋体"/>
          <w:b/>
          <w:color w:val="auto"/>
          <w:sz w:val="24"/>
          <w:highlight w:val="none"/>
        </w:rPr>
        <w:br w:type="page"/>
      </w: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t>附件15</w:t>
      </w:r>
    </w:p>
    <w:p>
      <w:pPr>
        <w:spacing w:line="360" w:lineRule="auto"/>
        <w:ind w:left="480"/>
        <w:jc w:val="center"/>
        <w:rPr>
          <w:rFonts w:ascii="宋体" w:hAnsi="宋体"/>
          <w:color w:val="auto"/>
          <w:highlight w:val="none"/>
        </w:rPr>
      </w:pPr>
      <w:r>
        <w:rPr>
          <w:rFonts w:hint="eastAsia" w:ascii="宋体" w:hAnsi="宋体"/>
          <w:b/>
          <w:color w:val="auto"/>
          <w:sz w:val="32"/>
          <w:szCs w:val="32"/>
          <w:highlight w:val="none"/>
        </w:rPr>
        <w:t>报价明细表 (第 标)</w:t>
      </w:r>
    </w:p>
    <w:p>
      <w:pPr>
        <w:spacing w:line="360" w:lineRule="auto"/>
        <w:rPr>
          <w:rFonts w:ascii="宋体" w:hAnsi="宋体"/>
          <w:color w:val="auto"/>
          <w:sz w:val="24"/>
          <w:highlight w:val="none"/>
        </w:rPr>
      </w:pPr>
      <w:r>
        <w:rPr>
          <w:rFonts w:hint="eastAsia" w:ascii="宋体" w:hAnsi="宋体"/>
          <w:color w:val="auto"/>
          <w:sz w:val="24"/>
          <w:highlight w:val="none"/>
        </w:rPr>
        <w:t xml:space="preserve">  项目编号：</w:t>
      </w:r>
    </w:p>
    <w:p>
      <w:pPr>
        <w:pStyle w:val="40"/>
        <w:spacing w:line="360" w:lineRule="auto"/>
        <w:ind w:right="480"/>
        <w:jc w:val="right"/>
        <w:rPr>
          <w:rFonts w:ascii="宋体" w:hAnsi="宋体"/>
          <w:color w:val="auto"/>
          <w:sz w:val="24"/>
          <w:highlight w:val="none"/>
        </w:rPr>
      </w:pPr>
      <w:r>
        <w:rPr>
          <w:rFonts w:hint="eastAsia" w:ascii="宋体" w:hAnsi="宋体"/>
          <w:color w:val="auto"/>
          <w:sz w:val="24"/>
          <w:highlight w:val="none"/>
        </w:rPr>
        <w:t>[货币单位：人民币元]</w:t>
      </w:r>
    </w:p>
    <w:tbl>
      <w:tblPr>
        <w:tblStyle w:val="25"/>
        <w:tblW w:w="890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921"/>
        <w:gridCol w:w="1466"/>
        <w:gridCol w:w="2040"/>
        <w:gridCol w:w="1473"/>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22" w:hRule="atLeast"/>
        </w:trPr>
        <w:tc>
          <w:tcPr>
            <w:tcW w:w="734" w:type="dxa"/>
            <w:vAlign w:val="center"/>
          </w:tcPr>
          <w:p>
            <w:pPr>
              <w:keepNext w:val="0"/>
              <w:keepLines w:val="0"/>
              <w:suppressLineNumbers w:val="0"/>
              <w:spacing w:before="0" w:beforeAutospacing="0" w:after="0" w:afterAutospacing="0" w:line="360" w:lineRule="auto"/>
              <w:ind w:left="0" w:right="0"/>
              <w:jc w:val="center"/>
              <w:rPr>
                <w:rFonts w:ascii="宋体" w:hAnsi="宋体"/>
                <w:b/>
                <w:color w:val="auto"/>
                <w:sz w:val="24"/>
                <w:highlight w:val="none"/>
              </w:rPr>
            </w:pPr>
            <w:r>
              <w:rPr>
                <w:rFonts w:hint="eastAsia" w:ascii="宋体" w:hAnsi="宋体"/>
                <w:b/>
                <w:color w:val="auto"/>
                <w:sz w:val="24"/>
                <w:highlight w:val="none"/>
              </w:rPr>
              <w:t>序号</w:t>
            </w:r>
          </w:p>
        </w:tc>
        <w:tc>
          <w:tcPr>
            <w:tcW w:w="1921" w:type="dxa"/>
            <w:vAlign w:val="center"/>
          </w:tcPr>
          <w:p>
            <w:pPr>
              <w:keepNext w:val="0"/>
              <w:keepLines w:val="0"/>
              <w:suppressLineNumbers w:val="0"/>
              <w:spacing w:before="0" w:beforeAutospacing="0" w:after="0" w:afterAutospacing="0" w:line="360" w:lineRule="auto"/>
              <w:ind w:left="0" w:right="0"/>
              <w:jc w:val="center"/>
              <w:rPr>
                <w:rFonts w:ascii="宋体" w:hAnsi="宋体"/>
                <w:b/>
                <w:color w:val="auto"/>
                <w:sz w:val="24"/>
                <w:highlight w:val="none"/>
              </w:rPr>
            </w:pPr>
            <w:r>
              <w:rPr>
                <w:rFonts w:hint="eastAsia" w:ascii="宋体" w:hAnsi="宋体"/>
                <w:b/>
                <w:color w:val="auto"/>
                <w:sz w:val="24"/>
                <w:highlight w:val="none"/>
              </w:rPr>
              <w:t>报价名称</w:t>
            </w:r>
          </w:p>
        </w:tc>
        <w:tc>
          <w:tcPr>
            <w:tcW w:w="1466" w:type="dxa"/>
            <w:vAlign w:val="center"/>
          </w:tcPr>
          <w:p>
            <w:pPr>
              <w:keepNext w:val="0"/>
              <w:keepLines w:val="0"/>
              <w:suppressLineNumbers w:val="0"/>
              <w:spacing w:before="0" w:beforeAutospacing="0" w:after="0" w:afterAutospacing="0" w:line="360" w:lineRule="auto"/>
              <w:ind w:left="152" w:right="0"/>
              <w:jc w:val="center"/>
              <w:rPr>
                <w:rFonts w:ascii="宋体" w:hAnsi="宋体"/>
                <w:b/>
                <w:color w:val="auto"/>
                <w:sz w:val="24"/>
                <w:highlight w:val="none"/>
              </w:rPr>
            </w:pPr>
            <w:r>
              <w:rPr>
                <w:rFonts w:hint="eastAsia" w:ascii="宋体" w:hAnsi="宋体"/>
                <w:b/>
                <w:color w:val="auto"/>
                <w:sz w:val="24"/>
                <w:highlight w:val="none"/>
              </w:rPr>
              <w:t>数量</w:t>
            </w:r>
          </w:p>
        </w:tc>
        <w:tc>
          <w:tcPr>
            <w:tcW w:w="2040" w:type="dxa"/>
            <w:vAlign w:val="center"/>
          </w:tcPr>
          <w:p>
            <w:pPr>
              <w:keepNext w:val="0"/>
              <w:keepLines w:val="0"/>
              <w:suppressLineNumbers w:val="0"/>
              <w:spacing w:before="0" w:beforeAutospacing="0" w:after="0" w:afterAutospacing="0" w:line="360" w:lineRule="auto"/>
              <w:ind w:left="0" w:right="0"/>
              <w:jc w:val="center"/>
              <w:rPr>
                <w:rFonts w:ascii="宋体" w:hAnsi="宋体"/>
                <w:b/>
                <w:color w:val="auto"/>
                <w:sz w:val="24"/>
                <w:highlight w:val="none"/>
              </w:rPr>
            </w:pPr>
            <w:r>
              <w:rPr>
                <w:rFonts w:hint="eastAsia" w:ascii="宋体" w:hAnsi="宋体"/>
                <w:b/>
                <w:color w:val="auto"/>
                <w:sz w:val="24"/>
                <w:highlight w:val="none"/>
              </w:rPr>
              <w:t>单价</w:t>
            </w:r>
          </w:p>
        </w:tc>
        <w:tc>
          <w:tcPr>
            <w:tcW w:w="1473" w:type="dxa"/>
            <w:vAlign w:val="center"/>
          </w:tcPr>
          <w:p>
            <w:pPr>
              <w:keepNext w:val="0"/>
              <w:keepLines w:val="0"/>
              <w:suppressLineNumbers w:val="0"/>
              <w:spacing w:before="0" w:beforeAutospacing="0" w:after="0" w:afterAutospacing="0" w:line="360" w:lineRule="auto"/>
              <w:ind w:left="0" w:right="0"/>
              <w:jc w:val="center"/>
              <w:rPr>
                <w:rFonts w:ascii="宋体" w:hAnsi="宋体"/>
                <w:b/>
                <w:color w:val="auto"/>
                <w:sz w:val="24"/>
                <w:highlight w:val="none"/>
              </w:rPr>
            </w:pPr>
            <w:r>
              <w:rPr>
                <w:rFonts w:hint="eastAsia" w:ascii="宋体" w:hAnsi="宋体"/>
                <w:b/>
                <w:color w:val="auto"/>
                <w:sz w:val="24"/>
                <w:highlight w:val="none"/>
              </w:rPr>
              <w:t>小计</w:t>
            </w:r>
          </w:p>
        </w:tc>
        <w:tc>
          <w:tcPr>
            <w:tcW w:w="1266" w:type="dxa"/>
            <w:vAlign w:val="center"/>
          </w:tcPr>
          <w:p>
            <w:pPr>
              <w:keepNext w:val="0"/>
              <w:keepLines w:val="0"/>
              <w:suppressLineNumbers w:val="0"/>
              <w:spacing w:before="0" w:beforeAutospacing="0" w:after="0" w:afterAutospacing="0" w:line="360" w:lineRule="auto"/>
              <w:ind w:left="0" w:right="0"/>
              <w:jc w:val="center"/>
              <w:rPr>
                <w:rFonts w:ascii="宋体" w:hAnsi="宋体"/>
                <w:b/>
                <w:color w:val="auto"/>
                <w:sz w:val="24"/>
                <w:highlight w:val="none"/>
              </w:rPr>
            </w:pPr>
            <w:r>
              <w:rPr>
                <w:rFonts w:hint="eastAsia" w:ascii="宋体" w:hAnsi="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42" w:hRule="atLeast"/>
        </w:trPr>
        <w:tc>
          <w:tcPr>
            <w:tcW w:w="734" w:type="dxa"/>
          </w:tcPr>
          <w:p>
            <w:pPr>
              <w:pStyle w:val="55"/>
              <w:keepNext w:val="0"/>
              <w:keepLines w:val="0"/>
              <w:suppressLineNumbers w:val="0"/>
              <w:spacing w:before="0" w:beforeAutospacing="0" w:after="0" w:afterAutospacing="0" w:line="360" w:lineRule="auto"/>
              <w:ind w:left="0" w:right="0"/>
              <w:jc w:val="center"/>
              <w:rPr>
                <w:rFonts w:ascii="仿宋_GB2312" w:hAnsi="仿宋" w:eastAsia="仿宋_GB2312"/>
                <w:color w:val="auto"/>
                <w:sz w:val="30"/>
                <w:szCs w:val="30"/>
                <w:highlight w:val="none"/>
              </w:rPr>
            </w:pPr>
            <w:r>
              <w:rPr>
                <w:rFonts w:hint="eastAsia" w:ascii="仿宋_GB2312" w:hAnsi="仿宋" w:eastAsia="仿宋_GB2312"/>
                <w:color w:val="auto"/>
                <w:sz w:val="30"/>
                <w:szCs w:val="30"/>
                <w:highlight w:val="none"/>
              </w:rPr>
              <w:t>1</w:t>
            </w:r>
          </w:p>
        </w:tc>
        <w:tc>
          <w:tcPr>
            <w:tcW w:w="1921" w:type="dxa"/>
            <w:vAlign w:val="center"/>
          </w:tcPr>
          <w:p>
            <w:pPr>
              <w:keepNext w:val="0"/>
              <w:keepLines w:val="0"/>
              <w:suppressLineNumbers w:val="0"/>
              <w:spacing w:before="0" w:beforeAutospacing="0" w:after="0" w:afterAutospacing="0" w:line="360" w:lineRule="auto"/>
              <w:ind w:left="0" w:right="0"/>
              <w:rPr>
                <w:rFonts w:ascii="仿宋_GB2312" w:hAnsi="仿宋" w:eastAsia="仿宋_GB2312"/>
                <w:color w:val="auto"/>
                <w:sz w:val="28"/>
                <w:szCs w:val="28"/>
                <w:highlight w:val="none"/>
              </w:rPr>
            </w:pPr>
          </w:p>
        </w:tc>
        <w:tc>
          <w:tcPr>
            <w:tcW w:w="14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2040"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73"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2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0" w:hRule="atLeast"/>
        </w:trPr>
        <w:tc>
          <w:tcPr>
            <w:tcW w:w="734" w:type="dxa"/>
          </w:tcPr>
          <w:p>
            <w:pPr>
              <w:pStyle w:val="55"/>
              <w:keepNext w:val="0"/>
              <w:keepLines w:val="0"/>
              <w:suppressLineNumbers w:val="0"/>
              <w:spacing w:before="0" w:beforeAutospacing="0" w:after="0" w:afterAutospacing="0" w:line="360" w:lineRule="auto"/>
              <w:ind w:left="0" w:right="0"/>
              <w:jc w:val="center"/>
              <w:rPr>
                <w:rFonts w:ascii="仿宋_GB2312" w:hAnsi="仿宋" w:eastAsia="仿宋_GB2312"/>
                <w:color w:val="auto"/>
                <w:sz w:val="30"/>
                <w:szCs w:val="30"/>
                <w:highlight w:val="none"/>
              </w:rPr>
            </w:pPr>
            <w:r>
              <w:rPr>
                <w:rFonts w:hint="eastAsia" w:ascii="仿宋_GB2312" w:hAnsi="仿宋" w:eastAsia="仿宋_GB2312"/>
                <w:color w:val="auto"/>
                <w:sz w:val="30"/>
                <w:szCs w:val="30"/>
                <w:highlight w:val="none"/>
              </w:rPr>
              <w:t>2</w:t>
            </w:r>
          </w:p>
        </w:tc>
        <w:tc>
          <w:tcPr>
            <w:tcW w:w="1921" w:type="dxa"/>
            <w:vAlign w:val="center"/>
          </w:tcPr>
          <w:p>
            <w:pPr>
              <w:keepNext w:val="0"/>
              <w:keepLines w:val="0"/>
              <w:suppressLineNumbers w:val="0"/>
              <w:spacing w:before="0" w:beforeAutospacing="0" w:after="0" w:afterAutospacing="0" w:line="360" w:lineRule="auto"/>
              <w:ind w:left="0" w:right="0"/>
              <w:rPr>
                <w:rFonts w:ascii="仿宋_GB2312" w:hAnsi="仿宋" w:eastAsia="仿宋_GB2312"/>
                <w:color w:val="auto"/>
                <w:sz w:val="28"/>
                <w:szCs w:val="28"/>
                <w:highlight w:val="none"/>
              </w:rPr>
            </w:pPr>
          </w:p>
        </w:tc>
        <w:tc>
          <w:tcPr>
            <w:tcW w:w="14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2040"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73"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2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0" w:hRule="atLeast"/>
        </w:trPr>
        <w:tc>
          <w:tcPr>
            <w:tcW w:w="734" w:type="dxa"/>
            <w:vAlign w:val="center"/>
          </w:tcPr>
          <w:p>
            <w:pPr>
              <w:keepNext w:val="0"/>
              <w:keepLines w:val="0"/>
              <w:suppressLineNumbers w:val="0"/>
              <w:spacing w:before="0" w:beforeAutospacing="0" w:after="0" w:afterAutospacing="0" w:line="360" w:lineRule="auto"/>
              <w:ind w:left="0" w:right="0"/>
              <w:jc w:val="center"/>
              <w:rPr>
                <w:rFonts w:ascii="宋体" w:hAnsi="宋体"/>
                <w:color w:val="auto"/>
                <w:sz w:val="24"/>
                <w:highlight w:val="none"/>
              </w:rPr>
            </w:pPr>
            <w:r>
              <w:rPr>
                <w:rFonts w:hint="eastAsia" w:ascii="仿宋_GB2312" w:hAnsi="仿宋" w:eastAsia="仿宋_GB2312"/>
                <w:color w:val="auto"/>
                <w:sz w:val="30"/>
                <w:szCs w:val="30"/>
                <w:highlight w:val="none"/>
              </w:rPr>
              <w:t>3</w:t>
            </w:r>
          </w:p>
        </w:tc>
        <w:tc>
          <w:tcPr>
            <w:tcW w:w="1921"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2040"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73"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2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0" w:hRule="atLeast"/>
        </w:trPr>
        <w:tc>
          <w:tcPr>
            <w:tcW w:w="734"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r>
              <w:rPr>
                <w:rFonts w:hint="eastAsia" w:ascii="仿宋_GB2312" w:hAnsi="仿宋" w:eastAsia="仿宋_GB2312"/>
                <w:color w:val="auto"/>
                <w:sz w:val="30"/>
                <w:szCs w:val="30"/>
                <w:highlight w:val="none"/>
              </w:rPr>
              <w:t>……</w:t>
            </w:r>
          </w:p>
        </w:tc>
        <w:tc>
          <w:tcPr>
            <w:tcW w:w="1921"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2040"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473"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c>
          <w:tcPr>
            <w:tcW w:w="1266" w:type="dxa"/>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7" w:hRule="atLeast"/>
        </w:trPr>
        <w:tc>
          <w:tcPr>
            <w:tcW w:w="8900" w:type="dxa"/>
            <w:gridSpan w:val="6"/>
            <w:vAlign w:val="center"/>
          </w:tcPr>
          <w:p>
            <w:pPr>
              <w:keepNext w:val="0"/>
              <w:keepLines w:val="0"/>
              <w:suppressLineNumbers w:val="0"/>
              <w:spacing w:before="0" w:beforeAutospacing="0" w:after="0" w:afterAutospacing="0" w:line="360" w:lineRule="auto"/>
              <w:ind w:left="0" w:right="0"/>
              <w:rPr>
                <w:rFonts w:ascii="宋体" w:hAnsi="宋体"/>
                <w:color w:val="auto"/>
                <w:sz w:val="24"/>
                <w:highlight w:val="none"/>
              </w:rPr>
            </w:pPr>
            <w:r>
              <w:rPr>
                <w:rFonts w:hint="eastAsia" w:ascii="宋体" w:hAnsi="宋体"/>
                <w:b/>
                <w:color w:val="auto"/>
                <w:sz w:val="24"/>
                <w:highlight w:val="none"/>
              </w:rPr>
              <w:t>合计人民币：大写                              小写</w:t>
            </w:r>
          </w:p>
        </w:tc>
      </w:tr>
    </w:tbl>
    <w:p>
      <w:pPr>
        <w:spacing w:line="360" w:lineRule="auto"/>
        <w:rPr>
          <w:rFonts w:ascii="宋体" w:hAnsi="宋体"/>
          <w:b/>
          <w:color w:val="auto"/>
          <w:sz w:val="24"/>
          <w:highlight w:val="none"/>
        </w:rPr>
      </w:pPr>
      <w:r>
        <w:rPr>
          <w:rFonts w:hint="eastAsia" w:ascii="宋体" w:hAnsi="宋体"/>
          <w:b/>
          <w:color w:val="auto"/>
          <w:sz w:val="24"/>
          <w:highlight w:val="none"/>
        </w:rPr>
        <w:t>要求：</w:t>
      </w:r>
    </w:p>
    <w:p>
      <w:pPr>
        <w:spacing w:line="360" w:lineRule="auto"/>
        <w:ind w:left="435"/>
        <w:rPr>
          <w:rFonts w:ascii="宋体" w:hAnsi="宋体"/>
          <w:color w:val="auto"/>
          <w:sz w:val="24"/>
          <w:highlight w:val="none"/>
        </w:rPr>
      </w:pPr>
      <w:r>
        <w:rPr>
          <w:rFonts w:hint="eastAsia" w:ascii="宋体" w:hAnsi="宋体"/>
          <w:color w:val="auto"/>
          <w:sz w:val="24"/>
          <w:highlight w:val="none"/>
        </w:rPr>
        <w:t>1. 本表为《开标一览表》的报价明细表，如有缺项、漏项，视为投标报价中已包含相关费用，采购人无需另外支付任何费用。</w:t>
      </w:r>
    </w:p>
    <w:p>
      <w:pPr>
        <w:spacing w:line="360" w:lineRule="auto"/>
        <w:ind w:left="435"/>
        <w:rPr>
          <w:rFonts w:ascii="宋体"/>
          <w:color w:val="auto"/>
          <w:sz w:val="24"/>
          <w:highlight w:val="none"/>
          <w:lang w:val="zh-CN"/>
        </w:rPr>
      </w:pPr>
      <w:r>
        <w:rPr>
          <w:rFonts w:hint="eastAsia" w:ascii="宋体" w:hAnsi="宋体"/>
          <w:color w:val="auto"/>
          <w:sz w:val="24"/>
          <w:highlight w:val="none"/>
        </w:rPr>
        <w:t>2.</w:t>
      </w:r>
      <w:r>
        <w:rPr>
          <w:rFonts w:hint="eastAsia" w:ascii="宋体"/>
          <w:color w:val="auto"/>
          <w:sz w:val="24"/>
          <w:highlight w:val="none"/>
          <w:lang w:val="zh-CN"/>
        </w:rPr>
        <w:t>“报价明细表”中的报价合计应与“开标一览表”中的投标总报价相一致，不一致时，以开标一览表为准。</w:t>
      </w:r>
    </w:p>
    <w:p>
      <w:pPr>
        <w:spacing w:line="360" w:lineRule="auto"/>
        <w:rPr>
          <w:rFonts w:ascii="宋体" w:hAnsi="宋体" w:cs="宋体"/>
          <w:color w:val="auto"/>
          <w:kern w:val="0"/>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pStyle w:val="2"/>
        <w:rPr>
          <w:color w:val="auto"/>
          <w:highlight w:val="none"/>
        </w:rPr>
      </w:pPr>
      <w:r>
        <w:rPr>
          <w:color w:val="auto"/>
          <w:highlight w:val="none"/>
        </w:rPr>
        <w:br w:type="page"/>
      </w:r>
    </w:p>
    <w:p>
      <w:pPr>
        <w:pStyle w:val="35"/>
        <w:tabs>
          <w:tab w:val="left" w:pos="1050"/>
        </w:tabs>
        <w:spacing w:line="360" w:lineRule="auto"/>
        <w:rPr>
          <w:rFonts w:ascii="宋体" w:hAnsi="宋体"/>
          <w:b/>
          <w:color w:val="auto"/>
          <w:sz w:val="28"/>
          <w:highlight w:val="none"/>
        </w:rPr>
      </w:pPr>
      <w:r>
        <w:rPr>
          <w:rFonts w:hint="eastAsia" w:ascii="宋体" w:hAnsi="宋体"/>
          <w:b/>
          <w:color w:val="auto"/>
          <w:sz w:val="28"/>
          <w:highlight w:val="none"/>
        </w:rPr>
        <w:t>附件16</w:t>
      </w:r>
    </w:p>
    <w:p>
      <w:pPr>
        <w:pStyle w:val="41"/>
        <w:spacing w:line="360" w:lineRule="auto"/>
        <w:jc w:val="center"/>
        <w:rPr>
          <w:rFonts w:ascii="宋体" w:hAnsi="宋体"/>
          <w:b/>
          <w:color w:val="auto"/>
          <w:sz w:val="32"/>
          <w:szCs w:val="32"/>
          <w:highlight w:val="none"/>
          <w:lang w:val="en-GB"/>
        </w:rPr>
      </w:pPr>
      <w:r>
        <w:rPr>
          <w:rFonts w:hint="eastAsia" w:ascii="宋体" w:hAnsi="宋体"/>
          <w:b/>
          <w:color w:val="auto"/>
          <w:sz w:val="32"/>
          <w:szCs w:val="32"/>
          <w:highlight w:val="none"/>
          <w:lang w:val="en-GB"/>
        </w:rPr>
        <w:t>中小企业声明函</w:t>
      </w:r>
    </w:p>
    <w:p>
      <w:pPr>
        <w:pStyle w:val="41"/>
        <w:spacing w:line="360" w:lineRule="auto"/>
        <w:jc w:val="center"/>
        <w:rPr>
          <w:rFonts w:ascii="宋体" w:hAnsi="宋体"/>
          <w:b/>
          <w:color w:val="auto"/>
          <w:sz w:val="24"/>
          <w:highlight w:val="none"/>
          <w:lang w:val="en-GB"/>
        </w:rPr>
      </w:pPr>
    </w:p>
    <w:p>
      <w:pPr>
        <w:pStyle w:val="20"/>
        <w:widowControl w:val="0"/>
        <w:spacing w:before="0" w:beforeAutospacing="0" w:after="0" w:afterAutospacing="0" w:line="360" w:lineRule="auto"/>
        <w:ind w:firstLine="480" w:firstLineChars="200"/>
        <w:jc w:val="both"/>
        <w:rPr>
          <w:rFonts w:hint="default" w:cs="宋体"/>
          <w:color w:val="auto"/>
          <w:highlight w:val="none"/>
        </w:rPr>
      </w:pPr>
      <w:r>
        <w:rPr>
          <w:rFonts w:cs="宋体"/>
          <w:color w:val="auto"/>
          <w:kern w:val="2"/>
          <w:highlight w:val="none"/>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pStyle w:val="20"/>
        <w:widowControl w:val="0"/>
        <w:numPr>
          <w:ilvl w:val="0"/>
          <w:numId w:val="10"/>
        </w:numPr>
        <w:spacing w:before="0" w:beforeAutospacing="0" w:after="0" w:afterAutospacing="0" w:line="360" w:lineRule="auto"/>
        <w:ind w:firstLine="480" w:firstLineChars="200"/>
        <w:jc w:val="both"/>
        <w:rPr>
          <w:rFonts w:hint="default" w:cs="宋体"/>
          <w:color w:val="auto"/>
          <w:highlight w:val="none"/>
        </w:rPr>
      </w:pPr>
      <w:r>
        <w:rPr>
          <w:rFonts w:cs="宋体"/>
          <w:color w:val="auto"/>
          <w:kern w:val="2"/>
          <w:highlight w:val="none"/>
        </w:rPr>
        <w:t>（标的名称），属于（招标文件中明确的所属行业）；承建（承接）企业为（企业名称），从业人员人，营业收入为万元，资产总额为万元</w:t>
      </w:r>
      <w:r>
        <w:rPr>
          <w:rFonts w:cs="宋体"/>
          <w:color w:val="auto"/>
          <w:kern w:val="2"/>
          <w:highlight w:val="none"/>
        </w:rPr>
        <w:fldChar w:fldCharType="begin"/>
      </w:r>
      <w:r>
        <w:rPr>
          <w:rFonts w:cs="宋体"/>
          <w:color w:val="auto"/>
          <w:kern w:val="2"/>
          <w:highlight w:val="none"/>
        </w:rPr>
        <w:instrText xml:space="preserve"> = 1 \* GB3 </w:instrText>
      </w:r>
      <w:r>
        <w:rPr>
          <w:rFonts w:cs="宋体"/>
          <w:color w:val="auto"/>
          <w:kern w:val="2"/>
          <w:highlight w:val="none"/>
        </w:rPr>
        <w:fldChar w:fldCharType="separate"/>
      </w:r>
      <w:r>
        <w:rPr>
          <w:rFonts w:cs="宋体"/>
          <w:color w:val="auto"/>
          <w:kern w:val="2"/>
          <w:highlight w:val="none"/>
        </w:rPr>
        <w:t>①</w:t>
      </w:r>
      <w:r>
        <w:rPr>
          <w:rFonts w:cs="宋体"/>
          <w:color w:val="auto"/>
          <w:kern w:val="2"/>
          <w:highlight w:val="none"/>
        </w:rPr>
        <w:fldChar w:fldCharType="end"/>
      </w:r>
      <w:r>
        <w:rPr>
          <w:rFonts w:cs="宋体"/>
          <w:color w:val="auto"/>
          <w:kern w:val="2"/>
          <w:highlight w:val="none"/>
        </w:rPr>
        <w:t>，属于（中型企业、小型企业、微型企业）；</w:t>
      </w:r>
    </w:p>
    <w:p>
      <w:pPr>
        <w:pStyle w:val="20"/>
        <w:widowControl w:val="0"/>
        <w:spacing w:before="0" w:beforeAutospacing="0" w:after="0" w:afterAutospacing="0" w:line="360" w:lineRule="auto"/>
        <w:ind w:firstLine="480" w:firstLineChars="200"/>
        <w:jc w:val="both"/>
        <w:rPr>
          <w:rFonts w:hint="default" w:cs="宋体"/>
          <w:color w:val="auto"/>
          <w:highlight w:val="none"/>
        </w:rPr>
      </w:pPr>
      <w:r>
        <w:rPr>
          <w:rFonts w:cs="宋体"/>
          <w:color w:val="auto"/>
          <w:kern w:val="2"/>
          <w:highlight w:val="none"/>
        </w:rPr>
        <w:t>2.（标的名称），属于（招标文件中明确的所属行业）；承建（承接）企业为（企业名称），从业人员人，营业收入为万元，资产总额为万元，属于（中型企业、小型企业、微型企业）；</w:t>
      </w:r>
    </w:p>
    <w:p>
      <w:pPr>
        <w:pStyle w:val="20"/>
        <w:widowControl w:val="0"/>
        <w:spacing w:before="0" w:beforeAutospacing="0" w:after="0" w:afterAutospacing="0" w:line="360" w:lineRule="auto"/>
        <w:ind w:firstLine="480" w:firstLineChars="200"/>
        <w:jc w:val="both"/>
        <w:rPr>
          <w:rFonts w:hint="default" w:cs="宋体"/>
          <w:color w:val="auto"/>
          <w:highlight w:val="none"/>
        </w:rPr>
      </w:pPr>
      <w:r>
        <w:rPr>
          <w:rFonts w:cs="宋体"/>
          <w:color w:val="auto"/>
          <w:kern w:val="2"/>
          <w:highlight w:val="none"/>
        </w:rPr>
        <w:t>……以上企业，不属于大企业的分支机构，不存在控股股东为大企业的情形，也不存在与大企业的负责人为同一人的情形。</w:t>
      </w:r>
    </w:p>
    <w:p>
      <w:pPr>
        <w:pStyle w:val="20"/>
        <w:widowControl w:val="0"/>
        <w:spacing w:before="0" w:beforeAutospacing="0" w:after="0" w:afterAutospacing="0" w:line="360" w:lineRule="auto"/>
        <w:ind w:firstLine="480" w:firstLineChars="200"/>
        <w:jc w:val="both"/>
        <w:rPr>
          <w:rFonts w:hint="default" w:cs="宋体"/>
          <w:color w:val="auto"/>
          <w:highlight w:val="none"/>
        </w:rPr>
      </w:pPr>
      <w:r>
        <w:rPr>
          <w:rFonts w:cs="宋体"/>
          <w:color w:val="auto"/>
          <w:kern w:val="2"/>
          <w:highlight w:val="none"/>
        </w:rPr>
        <w:t>本企业对上述声明内容的真实性负责。如有虚假，将依法承担相应责任。</w:t>
      </w:r>
    </w:p>
    <w:p>
      <w:pPr>
        <w:pStyle w:val="20"/>
        <w:widowControl w:val="0"/>
        <w:spacing w:before="0" w:beforeAutospacing="0" w:after="0" w:afterAutospacing="0" w:line="360" w:lineRule="auto"/>
        <w:ind w:firstLine="480" w:firstLineChars="200"/>
        <w:jc w:val="both"/>
        <w:rPr>
          <w:rFonts w:hint="default" w:cs="Arial"/>
          <w:bCs/>
          <w:color w:val="auto"/>
          <w:highlight w:val="none"/>
        </w:rPr>
      </w:pPr>
      <w:r>
        <w:rPr>
          <w:rFonts w:cs="Arial"/>
          <w:bCs/>
          <w:color w:val="auto"/>
          <w:kern w:val="2"/>
          <w:highlight w:val="none"/>
        </w:rPr>
        <w:t>信息查询网址为：</w:t>
      </w:r>
    </w:p>
    <w:p>
      <w:pPr>
        <w:spacing w:line="360" w:lineRule="auto"/>
        <w:rPr>
          <w:rFonts w:ascii="宋体" w:hAnsi="宋体"/>
          <w:b/>
          <w:color w:val="auto"/>
          <w:szCs w:val="21"/>
          <w:highlight w:val="none"/>
        </w:rPr>
      </w:pPr>
      <w:r>
        <w:rPr>
          <w:rFonts w:hint="eastAsia" w:ascii="宋体" w:hAnsi="宋体"/>
          <w:b/>
          <w:color w:val="auto"/>
          <w:szCs w:val="21"/>
          <w:highlight w:val="none"/>
        </w:rPr>
        <w:t>要求：</w:t>
      </w:r>
    </w:p>
    <w:p>
      <w:pPr>
        <w:numPr>
          <w:ilvl w:val="0"/>
          <w:numId w:val="11"/>
        </w:numPr>
        <w:spacing w:line="360" w:lineRule="auto"/>
        <w:ind w:left="435"/>
        <w:rPr>
          <w:rFonts w:ascii="宋体" w:hAnsi="宋体"/>
          <w:color w:val="auto"/>
          <w:szCs w:val="21"/>
          <w:highlight w:val="none"/>
        </w:rPr>
      </w:pPr>
      <w:r>
        <w:rPr>
          <w:rFonts w:hint="eastAsia" w:ascii="宋体" w:hAnsi="宋体"/>
          <w:color w:val="auto"/>
          <w:szCs w:val="21"/>
          <w:highlight w:val="none"/>
        </w:rPr>
        <w:t>如响应产品由小微企业生产，则需提供中小企业声明函。</w:t>
      </w:r>
    </w:p>
    <w:p>
      <w:pPr>
        <w:numPr>
          <w:ilvl w:val="0"/>
          <w:numId w:val="11"/>
        </w:numPr>
        <w:spacing w:line="360" w:lineRule="auto"/>
        <w:ind w:left="435"/>
        <w:rPr>
          <w:rFonts w:ascii="宋体" w:hAnsi="宋体"/>
          <w:color w:val="auto"/>
          <w:szCs w:val="21"/>
          <w:highlight w:val="none"/>
        </w:rPr>
      </w:pPr>
      <w:r>
        <w:rPr>
          <w:rFonts w:hint="eastAsia" w:ascii="宋体" w:hAnsi="宋体"/>
          <w:color w:val="auto"/>
          <w:szCs w:val="21"/>
          <w:highlight w:val="none"/>
        </w:rPr>
        <w:t>如成交人声明为小微企业，本声明函将随成交结果同时公告，接受社会监督。</w:t>
      </w:r>
    </w:p>
    <w:p>
      <w:pPr>
        <w:pStyle w:val="41"/>
        <w:spacing w:line="360" w:lineRule="auto"/>
        <w:rPr>
          <w:rFonts w:ascii="宋体" w:hAnsi="宋体"/>
          <w:color w:val="auto"/>
          <w:spacing w:val="6"/>
          <w:sz w:val="24"/>
          <w:highlight w:val="none"/>
        </w:rPr>
      </w:pPr>
    </w:p>
    <w:p>
      <w:pPr>
        <w:pStyle w:val="41"/>
        <w:spacing w:line="360" w:lineRule="auto"/>
        <w:rPr>
          <w:rFonts w:ascii="宋体" w:hAnsi="宋体"/>
          <w:color w:val="auto"/>
          <w:sz w:val="24"/>
          <w:highlight w:val="none"/>
        </w:rPr>
      </w:pPr>
    </w:p>
    <w:p>
      <w:pPr>
        <w:pStyle w:val="41"/>
        <w:spacing w:line="360" w:lineRule="auto"/>
        <w:ind w:firstLine="4800" w:firstLineChars="2000"/>
        <w:rPr>
          <w:rFonts w:ascii="宋体" w:hAnsi="宋体"/>
          <w:color w:val="auto"/>
          <w:sz w:val="24"/>
          <w:highlight w:val="none"/>
        </w:rPr>
      </w:pPr>
      <w:r>
        <w:rPr>
          <w:rFonts w:hint="eastAsia" w:ascii="宋体" w:hAnsi="宋体"/>
          <w:color w:val="auto"/>
          <w:sz w:val="24"/>
          <w:highlight w:val="none"/>
        </w:rPr>
        <w:t>企业名称（盖章）：</w:t>
      </w:r>
    </w:p>
    <w:p>
      <w:pPr>
        <w:pStyle w:val="41"/>
        <w:spacing w:line="360" w:lineRule="auto"/>
        <w:ind w:firstLine="4800" w:firstLineChars="2000"/>
        <w:rPr>
          <w:rFonts w:ascii="宋体" w:hAnsi="宋体"/>
          <w:color w:val="auto"/>
          <w:sz w:val="24"/>
          <w:highlight w:val="none"/>
        </w:rPr>
      </w:pPr>
      <w:r>
        <w:rPr>
          <w:rFonts w:hint="eastAsia" w:ascii="宋体" w:hAnsi="宋体"/>
          <w:color w:val="auto"/>
          <w:sz w:val="24"/>
          <w:highlight w:val="none"/>
        </w:rPr>
        <w:t>日期：××年××月××日</w:t>
      </w:r>
    </w:p>
    <w:p>
      <w:pPr>
        <w:pStyle w:val="2"/>
        <w:rPr>
          <w:rFonts w:ascii="宋体" w:hAnsi="宋体" w:cs="宋体"/>
          <w:color w:val="auto"/>
          <w:sz w:val="24"/>
          <w:szCs w:val="24"/>
          <w:highlight w:val="none"/>
        </w:rPr>
      </w:pPr>
    </w:p>
    <w:p>
      <w:pPr>
        <w:spacing w:line="360" w:lineRule="auto"/>
        <w:rPr>
          <w:rFonts w:ascii="宋体" w:hAnsi="宋体" w:cs="宋体"/>
          <w:color w:val="auto"/>
          <w:sz w:val="24"/>
          <w:highlight w:val="none"/>
        </w:rPr>
      </w:pPr>
      <w:r>
        <w:rPr>
          <w:rFonts w:ascii="宋体" w:hAnsi="宋体" w:cs="宋体"/>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5080</wp:posOffset>
                </wp:positionH>
                <wp:positionV relativeFrom="paragraph">
                  <wp:posOffset>209550</wp:posOffset>
                </wp:positionV>
                <wp:extent cx="2984500" cy="0"/>
                <wp:effectExtent l="0" t="7620" r="0" b="8255"/>
                <wp:wrapNone/>
                <wp:docPr id="1" name="直接连接符 1"/>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60288;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0UqpXTAAAABgEAAA8AAAAAAAAAAQAg&#10;AAAAIgAAAGRycy9kb3ducmV2LnhtbFBLAQIUABQAAAAIAIdO4kBZDJXr2gEAAIYDAAAOAAAAAAAA&#10;AAEAIAAAACIBAABkcnMvZTJvRG9jLnhtbFBLBQYAAAAABgAGAFkBAABuBQAAAAA=&#10;">
                <v:fill on="f" focussize="0,0"/>
                <v:stroke weight="1.25pt" color="#000000" miterlimit="8" joinstyle="miter"/>
                <v:imagedata o:title=""/>
                <o:lock v:ext="edit" aspectratio="f"/>
              </v:line>
            </w:pict>
          </mc:Fallback>
        </mc:AlternateContent>
      </w:r>
    </w:p>
    <w:p>
      <w:pPr>
        <w:spacing w:line="360" w:lineRule="auto"/>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pPr>
        <w:pStyle w:val="2"/>
        <w:rPr>
          <w:color w:val="auto"/>
          <w:highlight w:val="none"/>
        </w:rPr>
      </w:pPr>
      <w:r>
        <w:rPr>
          <w:color w:val="auto"/>
          <w:highlight w:val="none"/>
        </w:rPr>
        <w:br w:type="page"/>
      </w:r>
    </w:p>
    <w:p>
      <w:pPr>
        <w:pStyle w:val="13"/>
        <w:spacing w:line="360" w:lineRule="auto"/>
        <w:jc w:val="center"/>
        <w:outlineLvl w:val="1"/>
        <w:rPr>
          <w:rFonts w:hAnsi="宋体"/>
          <w:b/>
          <w:color w:val="auto"/>
          <w:sz w:val="32"/>
          <w:szCs w:val="32"/>
          <w:highlight w:val="none"/>
          <w:lang w:val="en-GB"/>
        </w:rPr>
      </w:pPr>
    </w:p>
    <w:p>
      <w:pPr>
        <w:pStyle w:val="13"/>
        <w:spacing w:line="360" w:lineRule="auto"/>
        <w:jc w:val="center"/>
        <w:outlineLvl w:val="1"/>
        <w:rPr>
          <w:rFonts w:hAnsi="宋体"/>
          <w:b/>
          <w:color w:val="auto"/>
          <w:sz w:val="32"/>
          <w:szCs w:val="32"/>
          <w:highlight w:val="none"/>
          <w:lang w:val="en-GB"/>
        </w:rPr>
      </w:pPr>
    </w:p>
    <w:p>
      <w:pPr>
        <w:pStyle w:val="13"/>
        <w:spacing w:line="360" w:lineRule="auto"/>
        <w:jc w:val="center"/>
        <w:outlineLvl w:val="1"/>
        <w:rPr>
          <w:rFonts w:hAnsi="宋体"/>
          <w:b/>
          <w:color w:val="auto"/>
          <w:sz w:val="32"/>
          <w:szCs w:val="32"/>
          <w:highlight w:val="none"/>
          <w:lang w:val="en-GB"/>
        </w:rPr>
      </w:pPr>
      <w:r>
        <w:rPr>
          <w:rFonts w:hint="eastAsia" w:hAnsi="宋体"/>
          <w:b/>
          <w:color w:val="auto"/>
          <w:sz w:val="32"/>
          <w:szCs w:val="32"/>
          <w:highlight w:val="none"/>
          <w:lang w:val="en-GB"/>
        </w:rPr>
        <w:t>残疾人福利性单位声明函</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tabs>
          <w:tab w:val="left" w:pos="4860"/>
        </w:tabs>
        <w:spacing w:line="588" w:lineRule="exact"/>
        <w:ind w:right="1560" w:firstLine="480" w:firstLineChars="200"/>
        <w:jc w:val="center"/>
        <w:rPr>
          <w:rFonts w:ascii="宋体" w:hAnsi="宋体" w:cs="宋体"/>
          <w:color w:val="auto"/>
          <w:sz w:val="24"/>
          <w:highlight w:val="none"/>
        </w:rPr>
      </w:pPr>
    </w:p>
    <w:p>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单位名称（盖章）：</w:t>
      </w:r>
    </w:p>
    <w:p>
      <w:pPr>
        <w:tabs>
          <w:tab w:val="left" w:pos="4860"/>
        </w:tabs>
        <w:spacing w:line="588" w:lineRule="exact"/>
        <w:ind w:right="1560" w:firstLine="480" w:firstLineChars="200"/>
        <w:jc w:val="center"/>
        <w:rPr>
          <w:rFonts w:ascii="宋体" w:hAnsi="宋体" w:cs="宋体"/>
          <w:color w:val="auto"/>
          <w:sz w:val="24"/>
          <w:highlight w:val="none"/>
        </w:rPr>
      </w:pPr>
    </w:p>
    <w:p>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  ：</w:t>
      </w:r>
    </w:p>
    <w:p>
      <w:pPr>
        <w:spacing w:line="360" w:lineRule="auto"/>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r>
        <w:rPr>
          <w:color w:val="auto"/>
          <w:highlight w:val="none"/>
        </w:rPr>
        <w:br w:type="page"/>
      </w:r>
    </w:p>
    <w:p>
      <w:pPr>
        <w:snapToGrid w:val="0"/>
        <w:spacing w:beforeLines="50" w:after="50" w:line="360" w:lineRule="auto"/>
        <w:outlineLvl w:val="0"/>
        <w:rPr>
          <w:rFonts w:ascii="仿宋_GB2312" w:hAnsi="宋体"/>
          <w:bCs/>
          <w:color w:val="auto"/>
          <w:sz w:val="30"/>
          <w:szCs w:val="30"/>
          <w:highlight w:val="none"/>
        </w:rPr>
      </w:pPr>
      <w:r>
        <w:rPr>
          <w:rFonts w:hint="eastAsia" w:ascii="宋体" w:hAnsi="宋体"/>
          <w:b/>
          <w:color w:val="auto"/>
          <w:sz w:val="28"/>
          <w:highlight w:val="none"/>
        </w:rPr>
        <w:t>附件17</w:t>
      </w:r>
    </w:p>
    <w:p>
      <w:pPr>
        <w:outlineLvl w:val="0"/>
        <w:rPr>
          <w:color w:val="auto"/>
          <w:sz w:val="28"/>
          <w:szCs w:val="28"/>
          <w:highlight w:val="none"/>
        </w:rPr>
      </w:pPr>
      <w:bookmarkStart w:id="85" w:name="_Toc5436"/>
      <w:r>
        <w:rPr>
          <w:rFonts w:hint="eastAsia"/>
          <w:color w:val="auto"/>
          <w:sz w:val="28"/>
          <w:szCs w:val="28"/>
          <w:highlight w:val="none"/>
        </w:rPr>
        <w:t>其余事项：</w:t>
      </w:r>
      <w:bookmarkEnd w:id="85"/>
    </w:p>
    <w:p>
      <w:pPr>
        <w:ind w:firstLine="560" w:firstLineChars="200"/>
        <w:outlineLvl w:val="0"/>
        <w:rPr>
          <w:color w:val="auto"/>
          <w:sz w:val="28"/>
          <w:szCs w:val="28"/>
          <w:highlight w:val="none"/>
        </w:rPr>
      </w:pPr>
      <w:bookmarkStart w:id="86" w:name="_Toc24067"/>
      <w:r>
        <w:rPr>
          <w:rFonts w:hint="eastAsia"/>
          <w:color w:val="auto"/>
          <w:sz w:val="28"/>
          <w:szCs w:val="28"/>
          <w:highlight w:val="none"/>
        </w:rPr>
        <w:t>协商供应商如有融资需求，可使用以下银行的政采贷服务。</w:t>
      </w:r>
      <w:bookmarkEnd w:id="86"/>
    </w:p>
    <w:tbl>
      <w:tblPr>
        <w:tblStyle w:val="26"/>
        <w:tblW w:w="81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9"/>
        <w:gridCol w:w="1300"/>
        <w:gridCol w:w="1584"/>
        <w:gridCol w:w="20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贷款年利率</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联系人</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中国工商银行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3.8%起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王霖</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88588246  13857654562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中国农业银行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3.8%起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龚盛</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中国建设银行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3.8%起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梅晶晶</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88525339</w:t>
            </w:r>
          </w:p>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中国银行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3.75%起</w:t>
            </w:r>
          </w:p>
        </w:tc>
        <w:tc>
          <w:tcPr>
            <w:tcW w:w="1584" w:type="dxa"/>
            <w:vAlign w:val="center"/>
          </w:tcPr>
          <w:p>
            <w:pPr>
              <w:keepNext w:val="0"/>
              <w:keepLines w:val="0"/>
              <w:suppressLineNumbers w:val="0"/>
              <w:spacing w:before="0" w:beforeAutospacing="0" w:after="0" w:afterAutospacing="0" w:line="400" w:lineRule="exact"/>
              <w:ind w:left="0" w:right="0"/>
              <w:jc w:val="center"/>
              <w:rPr>
                <w:rFonts w:hint="eastAsia" w:ascii="Arial" w:hAnsi="Arial" w:eastAsia="宋体"/>
                <w:color w:val="auto"/>
                <w:sz w:val="28"/>
                <w:szCs w:val="28"/>
                <w:highlight w:val="none"/>
                <w:lang w:val="en-US" w:eastAsia="zh-CN"/>
              </w:rPr>
            </w:pPr>
            <w:r>
              <w:rPr>
                <w:rFonts w:hint="eastAsia" w:ascii="Arial" w:hAnsi="Arial"/>
                <w:color w:val="auto"/>
                <w:sz w:val="28"/>
                <w:szCs w:val="28"/>
                <w:highlight w:val="none"/>
                <w:lang w:val="en-US" w:eastAsia="zh-CN"/>
              </w:rPr>
              <w:t>王海</w:t>
            </w:r>
          </w:p>
        </w:tc>
        <w:tc>
          <w:tcPr>
            <w:tcW w:w="2099" w:type="dxa"/>
            <w:vAlign w:val="center"/>
          </w:tcPr>
          <w:p>
            <w:pPr>
              <w:keepNext w:val="0"/>
              <w:keepLines w:val="0"/>
              <w:suppressLineNumbers w:val="0"/>
              <w:spacing w:before="0" w:beforeAutospacing="0" w:after="0" w:afterAutospacing="0" w:line="400" w:lineRule="exact"/>
              <w:ind w:left="0" w:right="0"/>
              <w:jc w:val="center"/>
              <w:rPr>
                <w:rFonts w:hint="eastAsia" w:ascii="Arial" w:hAnsi="Arial" w:eastAsia="宋体"/>
                <w:color w:val="auto"/>
                <w:sz w:val="28"/>
                <w:szCs w:val="28"/>
                <w:highlight w:val="none"/>
                <w:lang w:val="en-US" w:eastAsia="zh-CN"/>
              </w:rPr>
            </w:pPr>
            <w:r>
              <w:rPr>
                <w:rFonts w:hint="eastAsia" w:ascii="Arial" w:hAnsi="Arial"/>
                <w:color w:val="auto"/>
                <w:sz w:val="28"/>
                <w:szCs w:val="28"/>
                <w:highlight w:val="none"/>
              </w:rPr>
              <w:t>138576</w:t>
            </w:r>
            <w:r>
              <w:rPr>
                <w:rFonts w:hint="eastAsia" w:ascii="Arial" w:hAnsi="Arial"/>
                <w:color w:val="auto"/>
                <w:sz w:val="28"/>
                <w:szCs w:val="28"/>
                <w:highlight w:val="none"/>
                <w:lang w:val="en-US" w:eastAsia="zh-CN"/>
              </w:rPr>
              <w:t>77798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浦发银行台州分行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4.05%起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王渊</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浦发银行椒江分行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4.05%起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孙瑞华</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交通银行台州分行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3.75%起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周翔宇</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招商银行台州分行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4.32%起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王海玲</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浙商银行台州分行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5.01%起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章涉漪</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81880185</w:t>
            </w:r>
          </w:p>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中信银行台州分行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4.15%起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陈金园</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华夏银行台州分行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邱明达</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81871518</w:t>
            </w:r>
          </w:p>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泰隆银行开发区支行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5.6%起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梁宛莉</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民泰银行椒江支行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5.8%起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陈慧珠</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绍兴银行台州分行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5.1%起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郭庭斌</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温州银行台州分行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4.55%起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王晓波</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平安银行台州分行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6.53%起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李俊丽</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宁波银行台州分行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4.35%起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戴莉丽</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金华银行台州分行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4.05%起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金雪婷</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81886670</w:t>
            </w:r>
          </w:p>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台州银行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5.6%起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洪婷</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1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邮储银行台州分行</w:t>
            </w:r>
          </w:p>
        </w:tc>
        <w:tc>
          <w:tcPr>
            <w:tcW w:w="1300"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3.85%起</w:t>
            </w:r>
          </w:p>
        </w:tc>
        <w:tc>
          <w:tcPr>
            <w:tcW w:w="1584"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董庆</w:t>
            </w:r>
          </w:p>
        </w:tc>
        <w:tc>
          <w:tcPr>
            <w:tcW w:w="2099" w:type="dxa"/>
            <w:vAlign w:val="center"/>
          </w:tcPr>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81888982</w:t>
            </w:r>
          </w:p>
          <w:p>
            <w:pPr>
              <w:keepNext w:val="0"/>
              <w:keepLines w:val="0"/>
              <w:suppressLineNumbers w:val="0"/>
              <w:spacing w:before="0" w:beforeAutospacing="0" w:after="0" w:afterAutospacing="0" w:line="400" w:lineRule="exact"/>
              <w:ind w:left="0" w:right="0"/>
              <w:jc w:val="center"/>
              <w:rPr>
                <w:rFonts w:ascii="Arial" w:hAnsi="Arial"/>
                <w:color w:val="auto"/>
                <w:sz w:val="28"/>
                <w:szCs w:val="28"/>
                <w:highlight w:val="none"/>
              </w:rPr>
            </w:pPr>
            <w:r>
              <w:rPr>
                <w:rFonts w:hint="eastAsia" w:ascii="Arial" w:hAnsi="Arial"/>
                <w:color w:val="auto"/>
                <w:sz w:val="28"/>
                <w:szCs w:val="28"/>
                <w:highlight w:val="none"/>
              </w:rPr>
              <w:t>18957683735</w:t>
            </w:r>
          </w:p>
        </w:tc>
      </w:tr>
    </w:tbl>
    <w:p>
      <w:pPr>
        <w:pStyle w:val="2"/>
        <w:rPr>
          <w:color w:val="auto"/>
          <w:highlight w:val="none"/>
        </w:rPr>
      </w:pPr>
    </w:p>
    <w:p>
      <w:pPr>
        <w:pStyle w:val="2"/>
        <w:rPr>
          <w:color w:val="auto"/>
          <w:highlight w:val="none"/>
        </w:rPr>
      </w:pPr>
    </w:p>
    <w:p>
      <w:pPr>
        <w:outlineLvl w:val="0"/>
        <w:rPr>
          <w:color w:val="auto"/>
          <w:sz w:val="28"/>
          <w:szCs w:val="28"/>
          <w:highlight w:val="none"/>
        </w:rPr>
      </w:pPr>
      <w:bookmarkStart w:id="87" w:name="_Toc4895"/>
      <w:r>
        <w:rPr>
          <w:rFonts w:hint="eastAsia"/>
          <w:color w:val="auto"/>
          <w:sz w:val="28"/>
          <w:szCs w:val="28"/>
          <w:highlight w:val="none"/>
        </w:rPr>
        <w:t>协商供应商如有合同履约或预付款保函需要，可联系以下保险公司。</w:t>
      </w:r>
      <w:bookmarkEnd w:id="87"/>
    </w:p>
    <w:p>
      <w:pPr>
        <w:outlineLvl w:val="0"/>
        <w:rPr>
          <w:color w:val="auto"/>
          <w:sz w:val="28"/>
          <w:szCs w:val="28"/>
          <w:highlight w:val="none"/>
        </w:rPr>
      </w:pPr>
      <w:bookmarkStart w:id="88" w:name="_Toc4774"/>
      <w:r>
        <w:rPr>
          <w:rFonts w:hint="eastAsia"/>
          <w:color w:val="auto"/>
          <w:sz w:val="28"/>
          <w:szCs w:val="28"/>
          <w:highlight w:val="none"/>
        </w:rPr>
        <w:t>合同履约保函联系方式：</w:t>
      </w:r>
      <w:bookmarkEnd w:id="88"/>
    </w:p>
    <w:tbl>
      <w:tblPr>
        <w:tblStyle w:val="26"/>
        <w:tblW w:w="85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4"/>
        <w:gridCol w:w="1791"/>
        <w:gridCol w:w="1471"/>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保险公司</w:t>
            </w:r>
          </w:p>
        </w:tc>
        <w:tc>
          <w:tcPr>
            <w:tcW w:w="1791"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保费率</w:t>
            </w:r>
          </w:p>
        </w:tc>
        <w:tc>
          <w:tcPr>
            <w:tcW w:w="1471"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联系人</w:t>
            </w:r>
          </w:p>
        </w:tc>
        <w:tc>
          <w:tcPr>
            <w:tcW w:w="1678"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徐凌</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永诚财产保险股份有限公司台州分公司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年费率1%，最低保费1000元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尹刚强</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13750668184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华泰财产保险有限公司台州中心支公司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年费率0.5%，最低保费1000元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王灵芳</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88869818，13586123199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中国大地财产保险股份有限公司台州中心支公司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年费率1.5%，最低保费500元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徐小明</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88552788，13968603112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阳光保险台州中心支公司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林高明</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中华联合财产保险股份有限公司台州中心支公司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年费率2%，最低保费500元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王仙高</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13858600221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中国人民财产保险股份有限公司台州中心支公司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年费率0.3%，最低保费1000元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王仙春</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13515769179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574"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永安财产保险股份有限公司台州中心支公司</w:t>
            </w:r>
          </w:p>
        </w:tc>
        <w:tc>
          <w:tcPr>
            <w:tcW w:w="179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年费率0.3%，最低保费1000元</w:t>
            </w:r>
          </w:p>
        </w:tc>
        <w:tc>
          <w:tcPr>
            <w:tcW w:w="1471"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王春宇</w:t>
            </w:r>
          </w:p>
        </w:tc>
        <w:tc>
          <w:tcPr>
            <w:tcW w:w="1678"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13676675331</w:t>
            </w:r>
          </w:p>
        </w:tc>
      </w:tr>
    </w:tbl>
    <w:p>
      <w:pPr>
        <w:ind w:firstLine="640" w:firstLineChars="200"/>
        <w:rPr>
          <w:color w:val="auto"/>
          <w:sz w:val="32"/>
          <w:szCs w:val="32"/>
          <w:highlight w:val="none"/>
        </w:rPr>
      </w:pPr>
    </w:p>
    <w:p>
      <w:pPr>
        <w:ind w:firstLine="640" w:firstLineChars="200"/>
        <w:outlineLvl w:val="0"/>
        <w:rPr>
          <w:color w:val="auto"/>
          <w:sz w:val="32"/>
          <w:szCs w:val="32"/>
          <w:highlight w:val="none"/>
        </w:rPr>
      </w:pPr>
      <w:bookmarkStart w:id="89" w:name="_Toc4077"/>
      <w:r>
        <w:rPr>
          <w:rFonts w:hint="eastAsia"/>
          <w:color w:val="auto"/>
          <w:sz w:val="32"/>
          <w:szCs w:val="32"/>
          <w:highlight w:val="none"/>
        </w:rPr>
        <w:t>预付款保函联系方式</w:t>
      </w:r>
      <w:bookmarkEnd w:id="89"/>
    </w:p>
    <w:tbl>
      <w:tblPr>
        <w:tblStyle w:val="26"/>
        <w:tblW w:w="86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5"/>
        <w:gridCol w:w="1602"/>
        <w:gridCol w:w="2027"/>
        <w:gridCol w:w="19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095"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保险公司</w:t>
            </w:r>
          </w:p>
        </w:tc>
        <w:tc>
          <w:tcPr>
            <w:tcW w:w="1602"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保费率</w:t>
            </w:r>
          </w:p>
        </w:tc>
        <w:tc>
          <w:tcPr>
            <w:tcW w:w="2027"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联系人</w:t>
            </w:r>
          </w:p>
        </w:tc>
        <w:tc>
          <w:tcPr>
            <w:tcW w:w="1923" w:type="dxa"/>
            <w:vAlign w:val="center"/>
          </w:tcPr>
          <w:p>
            <w:pPr>
              <w:keepNext w:val="0"/>
              <w:keepLines w:val="0"/>
              <w:suppressLineNumbers w:val="0"/>
              <w:spacing w:before="0" w:beforeAutospacing="0" w:after="0" w:afterAutospacing="0"/>
              <w:ind w:left="0" w:right="0"/>
              <w:jc w:val="center"/>
              <w:rPr>
                <w:rFonts w:ascii="Arial" w:hAnsi="Arial"/>
                <w:color w:val="auto"/>
                <w:sz w:val="32"/>
                <w:szCs w:val="32"/>
                <w:highlight w:val="none"/>
              </w:rPr>
            </w:pPr>
            <w:r>
              <w:rPr>
                <w:rFonts w:hint="eastAsia" w:ascii="Arial" w:hAnsi="Arial"/>
                <w:color w:val="auto"/>
                <w:sz w:val="32"/>
                <w:szCs w:val="32"/>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095"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1602"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年费率3%，最低保费500元</w:t>
            </w:r>
          </w:p>
        </w:tc>
        <w:tc>
          <w:tcPr>
            <w:tcW w:w="2027"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徐凌</w:t>
            </w:r>
          </w:p>
        </w:tc>
        <w:tc>
          <w:tcPr>
            <w:tcW w:w="1923"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095"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阳光保险台州中心支公司</w:t>
            </w:r>
          </w:p>
        </w:tc>
        <w:tc>
          <w:tcPr>
            <w:tcW w:w="1602"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2027"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林高明</w:t>
            </w:r>
          </w:p>
        </w:tc>
        <w:tc>
          <w:tcPr>
            <w:tcW w:w="1923"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3095"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天安财产保险股份有限公司台州中心支公司</w:t>
            </w:r>
          </w:p>
        </w:tc>
        <w:tc>
          <w:tcPr>
            <w:tcW w:w="1602"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年费率1%-2%，最低保费500元</w:t>
            </w:r>
          </w:p>
        </w:tc>
        <w:tc>
          <w:tcPr>
            <w:tcW w:w="2027"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罗赛</w:t>
            </w:r>
          </w:p>
        </w:tc>
        <w:tc>
          <w:tcPr>
            <w:tcW w:w="1923" w:type="dxa"/>
            <w:vAlign w:val="center"/>
          </w:tcPr>
          <w:p>
            <w:pPr>
              <w:keepNext w:val="0"/>
              <w:keepLines w:val="0"/>
              <w:suppressLineNumbers w:val="0"/>
              <w:spacing w:before="0" w:beforeAutospacing="0" w:after="0" w:afterAutospacing="0"/>
              <w:ind w:left="0" w:right="0"/>
              <w:jc w:val="center"/>
              <w:rPr>
                <w:rFonts w:ascii="宋体" w:hAnsi="宋体" w:cs="宋体"/>
                <w:color w:val="auto"/>
                <w:sz w:val="24"/>
                <w:highlight w:val="none"/>
              </w:rPr>
            </w:pPr>
            <w:r>
              <w:rPr>
                <w:rFonts w:hint="eastAsia" w:ascii="宋体" w:hAnsi="宋体" w:cs="宋体"/>
                <w:color w:val="auto"/>
                <w:sz w:val="24"/>
                <w:highlight w:val="none"/>
              </w:rPr>
              <w:t>13736605643</w:t>
            </w:r>
          </w:p>
        </w:tc>
      </w:tr>
    </w:tbl>
    <w:p>
      <w:pPr>
        <w:pStyle w:val="2"/>
        <w:rPr>
          <w:color w:val="auto"/>
          <w:highlight w:val="none"/>
        </w:rPr>
      </w:pPr>
    </w:p>
    <w:p>
      <w:pPr>
        <w:pStyle w:val="2"/>
        <w:rPr>
          <w:color w:val="auto"/>
          <w:highlight w:val="none"/>
        </w:rPr>
      </w:pPr>
    </w:p>
    <w:sectPr>
      <w:headerReference r:id="rId3" w:type="default"/>
      <w:footerReference r:id="rId4" w:type="default"/>
      <w:pgSz w:w="11906" w:h="16838"/>
      <w:pgMar w:top="1134" w:right="1417" w:bottom="1134" w:left="141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17"/>
                          </w:pPr>
                          <w:r>
                            <w:fldChar w:fldCharType="begin"/>
                          </w:r>
                          <w:r>
                            <w:instrText xml:space="preserve"> PAGE  \* MERGEFORMAT </w:instrText>
                          </w:r>
                          <w:r>
                            <w:fldChar w:fldCharType="separate"/>
                          </w:r>
                          <w:r>
                            <w:t>20</w:t>
                          </w:r>
                          <w:r>
                            <w:fldChar w:fldCharType="end"/>
                          </w:r>
                        </w:p>
                      </w:txbxContent>
                    </wps:txbx>
                    <wps:bodyPr vert="horz" wrap="none" lIns="0" tIns="0" rIns="0" bIns="0" anchor="t">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uXW5&#10;UtAAAAAFAQAADwAAAAAAAAABACAAAAAiAAAAZHJzL2Rvd25yZXYueG1sUEsBAhQAFAAAAAgAh07i&#10;QCzGqHu4AQAAXQMAAA4AAAAAAAAAAQAgAAAAHwEAAGRycy9lMm9Eb2MueG1sUEsFBgAAAAAGAAYA&#10;WQEAAEkFAAAAAA==&#10;">
              <v:fill on="f" focussize="0,0"/>
              <v:stroke on="f"/>
              <v:imagedata o:title=""/>
              <o:lock v:ext="edit" aspectratio="f"/>
              <v:textbox inset="0mm,0mm,0mm,0mm" style="mso-fit-shape-to-text:t;">
                <w:txbxContent>
                  <w:p>
                    <w:pPr>
                      <w:pStyle w:val="17"/>
                    </w:pPr>
                    <w:r>
                      <w:fldChar w:fldCharType="begin"/>
                    </w:r>
                    <w:r>
                      <w:instrText xml:space="preserve"> PAGE  \* MERGEFORMAT </w:instrText>
                    </w:r>
                    <w:r>
                      <w:fldChar w:fldCharType="separate"/>
                    </w:r>
                    <w:r>
                      <w:t>20</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center"/>
      <w:rPr>
        <w:rFonts w:hint="eastAsia" w:eastAsia="宋体"/>
        <w:b/>
        <w:color w:val="000000"/>
        <w:sz w:val="10"/>
        <w:u w:val="single"/>
        <w:lang w:val="en-US" w:eastAsia="zh-CN"/>
      </w:rPr>
    </w:pPr>
    <w:r>
      <w:rPr>
        <w:rFonts w:hint="eastAsia"/>
        <w:b/>
        <w:i/>
        <w:color w:val="000000"/>
        <w:kern w:val="0"/>
        <w:sz w:val="18"/>
        <w:u w:val="single"/>
      </w:rPr>
      <w:t>台州市政府采购招标文件</w:t>
    </w:r>
    <w:r>
      <w:rPr>
        <w:rFonts w:hint="eastAsia"/>
        <w:b/>
        <w:i/>
        <w:color w:val="000000"/>
        <w:kern w:val="0"/>
        <w:sz w:val="18"/>
        <w:u w:val="single"/>
        <w:lang w:val="en-US" w:eastAsia="zh-CN"/>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20</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49</w:t>
    </w:r>
    <w:r>
      <w:rPr>
        <w:b/>
        <w:i/>
        <w:color w:val="000000"/>
        <w:spacing w:val="-20"/>
        <w:kern w:val="0"/>
        <w:sz w:val="18"/>
        <w:u w:val="single"/>
      </w:rPr>
      <w:fldChar w:fldCharType="end"/>
    </w:r>
    <w:r>
      <w:rPr>
        <w:rFonts w:hint="eastAsia"/>
        <w:b/>
        <w:i/>
        <w:color w:val="000000"/>
        <w:spacing w:val="-20"/>
        <w:kern w:val="0"/>
        <w:sz w:val="18"/>
        <w:u w:val="single"/>
      </w:rPr>
      <w:t>页</w:t>
    </w:r>
    <w:r>
      <w:rPr>
        <w:rFonts w:hint="eastAsia"/>
        <w:b/>
        <w:i/>
        <w:color w:val="000000"/>
        <w:spacing w:val="-20"/>
        <w:kern w:val="0"/>
        <w:sz w:val="18"/>
        <w:u w:val="single"/>
        <w:lang w:val="en-US" w:eastAsia="zh-CN"/>
      </w:rPr>
      <w:t xml:space="preserve"> </w:t>
    </w:r>
  </w:p>
  <w:p>
    <w:pPr>
      <w:pStyle w:val="1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8716D"/>
    <w:multiLevelType w:val="singleLevel"/>
    <w:tmpl w:val="9358716D"/>
    <w:lvl w:ilvl="0" w:tentative="0">
      <w:start w:val="1"/>
      <w:numFmt w:val="chineseCounting"/>
      <w:suff w:val="space"/>
      <w:lvlText w:val="第%1部分"/>
      <w:lvlJc w:val="left"/>
      <w:rPr>
        <w:rFonts w:hint="eastAsia"/>
      </w:rPr>
    </w:lvl>
  </w:abstractNum>
  <w:abstractNum w:abstractNumId="1">
    <w:nsid w:val="00000001"/>
    <w:multiLevelType w:val="singleLevel"/>
    <w:tmpl w:val="00000001"/>
    <w:lvl w:ilvl="0" w:tentative="0">
      <w:start w:val="1"/>
      <w:numFmt w:val="decimal"/>
      <w:suff w:val="nothing"/>
      <w:lvlText w:val="（%1）"/>
      <w:lvlJc w:val="left"/>
    </w:lvl>
  </w:abstractNum>
  <w:abstractNum w:abstractNumId="2">
    <w:nsid w:val="00000005"/>
    <w:multiLevelType w:val="singleLevel"/>
    <w:tmpl w:val="00000005"/>
    <w:lvl w:ilvl="0" w:tentative="0">
      <w:start w:val="1"/>
      <w:numFmt w:val="decimal"/>
      <w:pStyle w:val="10"/>
      <w:lvlText w:val="%1."/>
      <w:lvlJc w:val="left"/>
      <w:pPr>
        <w:tabs>
          <w:tab w:val="left" w:pos="360"/>
        </w:tabs>
        <w:ind w:left="360" w:hanging="360"/>
      </w:pPr>
    </w:lvl>
  </w:abstractNum>
  <w:abstractNum w:abstractNumId="3">
    <w:nsid w:val="00000009"/>
    <w:multiLevelType w:val="multilevel"/>
    <w:tmpl w:val="00000009"/>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Text w:val="%1.%2.%3.%4.%5.%6.%7"/>
      <w:lvlJc w:val="left"/>
      <w:pPr>
        <w:ind w:left="5109" w:hanging="851"/>
      </w:pPr>
      <w:rPr>
        <w:rFonts w:hint="eastAsia"/>
      </w:rPr>
    </w:lvl>
    <w:lvl w:ilvl="7" w:tentative="0">
      <w:start w:val="1"/>
      <w:numFmt w:val="decimal"/>
      <w:suff w:val="nothing"/>
      <w:lvlText w:val="表%1-%8  "/>
      <w:lvlJc w:val="left"/>
      <w:pPr>
        <w:ind w:left="4820" w:hanging="1417"/>
      </w:pPr>
      <w:rPr>
        <w:rFonts w:hint="eastAsia" w:ascii="Times New Roman" w:hAnsi="Times New Roman" w:cs="Times New Roman"/>
        <w:bCs w:val="0"/>
        <w:i w:val="0"/>
        <w:iCs w:val="0"/>
        <w:caps w:val="0"/>
        <w:smallCaps w:val="0"/>
        <w:vanish w:val="0"/>
        <w:spacing w:val="0"/>
        <w:position w:val="0"/>
        <w:u w:val="none"/>
        <w:vertAlign w:val="baseline"/>
      </w:rPr>
    </w:lvl>
    <w:lvl w:ilvl="8" w:tentative="0">
      <w:start w:val="1"/>
      <w:numFmt w:val="decimal"/>
      <w:suff w:val="nothing"/>
      <w:lvlText w:val="图%1-%9  "/>
      <w:lvlJc w:val="left"/>
      <w:pPr>
        <w:ind w:left="5102" w:hanging="1700"/>
      </w:pPr>
      <w:rPr>
        <w:rFonts w:hint="eastAsia"/>
      </w:rPr>
    </w:lvl>
  </w:abstractNum>
  <w:abstractNum w:abstractNumId="4">
    <w:nsid w:val="0053208E"/>
    <w:multiLevelType w:val="multilevel"/>
    <w:tmpl w:val="0053208E"/>
    <w:lvl w:ilvl="0" w:tentative="0">
      <w:start w:val="1"/>
      <w:numFmt w:val="chineseCounting"/>
      <w:suff w:val="nothing"/>
      <w:lvlText w:val="第%1章 "/>
      <w:lvlJc w:val="left"/>
      <w:pPr>
        <w:ind w:left="432" w:hanging="432"/>
      </w:pPr>
      <w:rPr>
        <w:rFonts w:hint="eastAsia"/>
      </w:rPr>
    </w:lvl>
    <w:lvl w:ilvl="1" w:tentative="0">
      <w:start w:val="1"/>
      <w:numFmt w:val="decimal"/>
      <w:isLgl/>
      <w:lvlText w:val="%1.%2."/>
      <w:lvlJc w:val="left"/>
      <w:pPr>
        <w:ind w:left="575" w:hanging="575"/>
      </w:pPr>
      <w:rPr>
        <w:rFonts w:hint="eastAsia"/>
      </w:rPr>
    </w:lvl>
    <w:lvl w:ilvl="2" w:tentative="0">
      <w:start w:val="1"/>
      <w:numFmt w:val="decimal"/>
      <w:isLgl/>
      <w:lvlText w:val="%1.%2.%3"/>
      <w:lvlJc w:val="left"/>
      <w:pPr>
        <w:ind w:left="720" w:hanging="720"/>
      </w:pPr>
      <w:rPr>
        <w:rFonts w:hint="eastAsia" w:ascii="Times New Roman" w:hAnsi="Times New Roman" w:eastAsia="宋体" w:cs="宋体"/>
        <w:sz w:val="24"/>
        <w:szCs w:val="24"/>
      </w:rPr>
    </w:lvl>
    <w:lvl w:ilvl="3" w:tentative="0">
      <w:start w:val="1"/>
      <w:numFmt w:val="decimal"/>
      <w:pStyle w:val="6"/>
      <w:isLgl/>
      <w:lvlText w:val="%1.%2.%3.%4."/>
      <w:lvlJc w:val="left"/>
      <w:pPr>
        <w:ind w:left="864" w:hanging="864"/>
      </w:pPr>
      <w:rPr>
        <w:rFonts w:hint="eastAsia"/>
      </w:rPr>
    </w:lvl>
    <w:lvl w:ilvl="4" w:tentative="0">
      <w:start w:val="1"/>
      <w:numFmt w:val="decimal"/>
      <w:pStyle w:val="7"/>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5">
    <w:nsid w:val="0E4CEDE1"/>
    <w:multiLevelType w:val="singleLevel"/>
    <w:tmpl w:val="0E4CEDE1"/>
    <w:lvl w:ilvl="0" w:tentative="0">
      <w:start w:val="1"/>
      <w:numFmt w:val="decimalEnclosedCircleChinese"/>
      <w:suff w:val="nothing"/>
      <w:lvlText w:val="%1　"/>
      <w:lvlJc w:val="left"/>
      <w:pPr>
        <w:ind w:left="0" w:firstLine="400"/>
      </w:pPr>
      <w:rPr>
        <w:rFonts w:hint="eastAsia"/>
      </w:rPr>
    </w:lvl>
  </w:abstractNum>
  <w:abstractNum w:abstractNumId="6">
    <w:nsid w:val="1B7F8F58"/>
    <w:multiLevelType w:val="singleLevel"/>
    <w:tmpl w:val="1B7F8F58"/>
    <w:lvl w:ilvl="0" w:tentative="0">
      <w:start w:val="1"/>
      <w:numFmt w:val="decimal"/>
      <w:lvlText w:val="%1."/>
      <w:lvlJc w:val="left"/>
      <w:pPr>
        <w:tabs>
          <w:tab w:val="left" w:pos="312"/>
        </w:tabs>
      </w:pPr>
    </w:lvl>
  </w:abstractNum>
  <w:abstractNum w:abstractNumId="7">
    <w:nsid w:val="2EDA7205"/>
    <w:multiLevelType w:val="singleLevel"/>
    <w:tmpl w:val="2EDA7205"/>
    <w:lvl w:ilvl="0" w:tentative="0">
      <w:start w:val="3"/>
      <w:numFmt w:val="chineseCounting"/>
      <w:suff w:val="space"/>
      <w:lvlText w:val="第%1章"/>
      <w:lvlJc w:val="left"/>
      <w:rPr>
        <w:rFonts w:hint="eastAsia"/>
      </w:rPr>
    </w:lvl>
  </w:abstractNum>
  <w:abstractNum w:abstractNumId="8">
    <w:nsid w:val="3155D3B6"/>
    <w:multiLevelType w:val="singleLevel"/>
    <w:tmpl w:val="3155D3B6"/>
    <w:lvl w:ilvl="0" w:tentative="0">
      <w:start w:val="1"/>
      <w:numFmt w:val="decimalEnclosedCircleChinese"/>
      <w:suff w:val="nothing"/>
      <w:lvlText w:val="%1　"/>
      <w:lvlJc w:val="left"/>
      <w:pPr>
        <w:ind w:left="26" w:firstLine="400"/>
      </w:pPr>
      <w:rPr>
        <w:rFonts w:hint="eastAsia"/>
      </w:rPr>
    </w:lvl>
  </w:abstractNum>
  <w:abstractNum w:abstractNumId="9">
    <w:nsid w:val="376243B9"/>
    <w:multiLevelType w:val="multilevel"/>
    <w:tmpl w:val="376243B9"/>
    <w:lvl w:ilvl="0" w:tentative="0">
      <w:start w:val="1"/>
      <w:numFmt w:val="decimal"/>
      <w:lvlText w:val="%1."/>
      <w:lvlJc w:val="left"/>
      <w:pPr>
        <w:tabs>
          <w:tab w:val="left" w:pos="312"/>
        </w:tabs>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468D9129"/>
    <w:multiLevelType w:val="singleLevel"/>
    <w:tmpl w:val="468D9129"/>
    <w:lvl w:ilvl="0" w:tentative="0">
      <w:start w:val="1"/>
      <w:numFmt w:val="decimal"/>
      <w:suff w:val="nothing"/>
      <w:lvlText w:val="%1、"/>
      <w:lvlJc w:val="left"/>
    </w:lvl>
  </w:abstractNum>
  <w:num w:numId="1">
    <w:abstractNumId w:val="3"/>
  </w:num>
  <w:num w:numId="2">
    <w:abstractNumId w:val="4"/>
  </w:num>
  <w:num w:numId="3">
    <w:abstractNumId w:val="2"/>
  </w:num>
  <w:num w:numId="4">
    <w:abstractNumId w:val="1"/>
  </w:num>
  <w:num w:numId="5">
    <w:abstractNumId w:val="8"/>
  </w:num>
  <w:num w:numId="6">
    <w:abstractNumId w:val="5"/>
  </w:num>
  <w:num w:numId="7">
    <w:abstractNumId w:val="7"/>
  </w:num>
  <w:num w:numId="8">
    <w:abstractNumId w:val="6"/>
  </w:num>
  <w:num w:numId="9">
    <w:abstractNumId w:val="0"/>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embedSystemFonts/>
  <w:bordersDoNotSurroundHeader w:val="1"/>
  <w:bordersDoNotSurroundFooter w:val="1"/>
  <w:hideSpellingErrors/>
  <w:documentProtection w:formatting="1"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iNWJjNzA0Mjg1MTdkYzlhYmQxMDBmMDdmMTI0YjUifQ=="/>
  </w:docVars>
  <w:rsids>
    <w:rsidRoot w:val="000B664E"/>
    <w:rsid w:val="000006D6"/>
    <w:rsid w:val="0000704D"/>
    <w:rsid w:val="000104C9"/>
    <w:rsid w:val="000A7F37"/>
    <w:rsid w:val="000B03C4"/>
    <w:rsid w:val="000B664E"/>
    <w:rsid w:val="000E0FD0"/>
    <w:rsid w:val="001371AE"/>
    <w:rsid w:val="00174DA4"/>
    <w:rsid w:val="0017575F"/>
    <w:rsid w:val="00185B23"/>
    <w:rsid w:val="001A070E"/>
    <w:rsid w:val="001B533F"/>
    <w:rsid w:val="001F0DA1"/>
    <w:rsid w:val="00200B51"/>
    <w:rsid w:val="002063D4"/>
    <w:rsid w:val="00224CB4"/>
    <w:rsid w:val="00233289"/>
    <w:rsid w:val="00257EA5"/>
    <w:rsid w:val="00274674"/>
    <w:rsid w:val="00275B63"/>
    <w:rsid w:val="002868B8"/>
    <w:rsid w:val="002914A1"/>
    <w:rsid w:val="002A1CB4"/>
    <w:rsid w:val="002A21DE"/>
    <w:rsid w:val="002D0830"/>
    <w:rsid w:val="002D21B7"/>
    <w:rsid w:val="002F7AA6"/>
    <w:rsid w:val="0030670B"/>
    <w:rsid w:val="003421F7"/>
    <w:rsid w:val="003637A8"/>
    <w:rsid w:val="00383F92"/>
    <w:rsid w:val="003960BE"/>
    <w:rsid w:val="003B3F8F"/>
    <w:rsid w:val="003D5C48"/>
    <w:rsid w:val="003D63D2"/>
    <w:rsid w:val="003F280E"/>
    <w:rsid w:val="00401649"/>
    <w:rsid w:val="00406D18"/>
    <w:rsid w:val="00420DA0"/>
    <w:rsid w:val="004307F0"/>
    <w:rsid w:val="0044676D"/>
    <w:rsid w:val="00446C41"/>
    <w:rsid w:val="0046060A"/>
    <w:rsid w:val="0046303A"/>
    <w:rsid w:val="00482EF3"/>
    <w:rsid w:val="00487AFB"/>
    <w:rsid w:val="004A1F63"/>
    <w:rsid w:val="004B29E2"/>
    <w:rsid w:val="004C4D83"/>
    <w:rsid w:val="004D2BE2"/>
    <w:rsid w:val="004E1E3E"/>
    <w:rsid w:val="0052108D"/>
    <w:rsid w:val="005212AB"/>
    <w:rsid w:val="00535E7A"/>
    <w:rsid w:val="00560B99"/>
    <w:rsid w:val="00561530"/>
    <w:rsid w:val="0065696E"/>
    <w:rsid w:val="006B723A"/>
    <w:rsid w:val="00700B5F"/>
    <w:rsid w:val="007148B2"/>
    <w:rsid w:val="00731339"/>
    <w:rsid w:val="007521D3"/>
    <w:rsid w:val="00766A93"/>
    <w:rsid w:val="007711C2"/>
    <w:rsid w:val="0078296F"/>
    <w:rsid w:val="007B64C2"/>
    <w:rsid w:val="007D05B9"/>
    <w:rsid w:val="007D6471"/>
    <w:rsid w:val="007E52F7"/>
    <w:rsid w:val="007E5327"/>
    <w:rsid w:val="007F2452"/>
    <w:rsid w:val="00820A23"/>
    <w:rsid w:val="0083599B"/>
    <w:rsid w:val="008A5E6F"/>
    <w:rsid w:val="008B5C01"/>
    <w:rsid w:val="008D2C68"/>
    <w:rsid w:val="009B42E4"/>
    <w:rsid w:val="009E3284"/>
    <w:rsid w:val="009F1D02"/>
    <w:rsid w:val="009F2633"/>
    <w:rsid w:val="00A304ED"/>
    <w:rsid w:val="00A31C14"/>
    <w:rsid w:val="00A344EE"/>
    <w:rsid w:val="00A61E93"/>
    <w:rsid w:val="00A94C82"/>
    <w:rsid w:val="00AC6F20"/>
    <w:rsid w:val="00AD5607"/>
    <w:rsid w:val="00B042F8"/>
    <w:rsid w:val="00B54422"/>
    <w:rsid w:val="00B656EC"/>
    <w:rsid w:val="00B70B41"/>
    <w:rsid w:val="00B85AE9"/>
    <w:rsid w:val="00B87FA8"/>
    <w:rsid w:val="00B94DE4"/>
    <w:rsid w:val="00B96AC4"/>
    <w:rsid w:val="00BB0340"/>
    <w:rsid w:val="00BC22A7"/>
    <w:rsid w:val="00BC4DB9"/>
    <w:rsid w:val="00C13449"/>
    <w:rsid w:val="00C33999"/>
    <w:rsid w:val="00C43C25"/>
    <w:rsid w:val="00C50DF7"/>
    <w:rsid w:val="00C65270"/>
    <w:rsid w:val="00C96460"/>
    <w:rsid w:val="00D030BD"/>
    <w:rsid w:val="00D121E8"/>
    <w:rsid w:val="00D32381"/>
    <w:rsid w:val="00D457A4"/>
    <w:rsid w:val="00D84D0B"/>
    <w:rsid w:val="00D92F40"/>
    <w:rsid w:val="00DD37A3"/>
    <w:rsid w:val="00DD54F3"/>
    <w:rsid w:val="00DE4C18"/>
    <w:rsid w:val="00DF01F3"/>
    <w:rsid w:val="00DF429F"/>
    <w:rsid w:val="00E946E5"/>
    <w:rsid w:val="00F17CC6"/>
    <w:rsid w:val="00F313C8"/>
    <w:rsid w:val="00F72AC1"/>
    <w:rsid w:val="00F95072"/>
    <w:rsid w:val="011607D1"/>
    <w:rsid w:val="014B3DB0"/>
    <w:rsid w:val="02250F96"/>
    <w:rsid w:val="027D3C65"/>
    <w:rsid w:val="02A45993"/>
    <w:rsid w:val="02BE6A10"/>
    <w:rsid w:val="02D40CFC"/>
    <w:rsid w:val="02D93027"/>
    <w:rsid w:val="02E6521A"/>
    <w:rsid w:val="037F36F2"/>
    <w:rsid w:val="038F44E8"/>
    <w:rsid w:val="03BC71E2"/>
    <w:rsid w:val="040B1C8B"/>
    <w:rsid w:val="04425609"/>
    <w:rsid w:val="04734681"/>
    <w:rsid w:val="052E78A0"/>
    <w:rsid w:val="054A0784"/>
    <w:rsid w:val="056F72B2"/>
    <w:rsid w:val="05C303E3"/>
    <w:rsid w:val="06283968"/>
    <w:rsid w:val="065A26E1"/>
    <w:rsid w:val="06752E3E"/>
    <w:rsid w:val="067D1D52"/>
    <w:rsid w:val="07377CCF"/>
    <w:rsid w:val="07686E23"/>
    <w:rsid w:val="07A332EB"/>
    <w:rsid w:val="07E75425"/>
    <w:rsid w:val="082F545F"/>
    <w:rsid w:val="085031B9"/>
    <w:rsid w:val="09400BEB"/>
    <w:rsid w:val="095B6572"/>
    <w:rsid w:val="09AE688E"/>
    <w:rsid w:val="0A40255E"/>
    <w:rsid w:val="0A796B86"/>
    <w:rsid w:val="0A85004C"/>
    <w:rsid w:val="0AAE1407"/>
    <w:rsid w:val="0AF33C7F"/>
    <w:rsid w:val="0B1D5084"/>
    <w:rsid w:val="0B201379"/>
    <w:rsid w:val="0B244E0F"/>
    <w:rsid w:val="0B585187"/>
    <w:rsid w:val="0B7E00E5"/>
    <w:rsid w:val="0BDA712C"/>
    <w:rsid w:val="0BF9150E"/>
    <w:rsid w:val="0C180FFF"/>
    <w:rsid w:val="0C3B6AC4"/>
    <w:rsid w:val="0E2754CF"/>
    <w:rsid w:val="0E44635D"/>
    <w:rsid w:val="0EF167B7"/>
    <w:rsid w:val="0F6C7A62"/>
    <w:rsid w:val="0F862C71"/>
    <w:rsid w:val="1015129F"/>
    <w:rsid w:val="10D266A6"/>
    <w:rsid w:val="11611597"/>
    <w:rsid w:val="11711200"/>
    <w:rsid w:val="11715F3C"/>
    <w:rsid w:val="118A0348"/>
    <w:rsid w:val="11A65C1C"/>
    <w:rsid w:val="11AE0310"/>
    <w:rsid w:val="11C44B4E"/>
    <w:rsid w:val="11FD1B40"/>
    <w:rsid w:val="122F7A6E"/>
    <w:rsid w:val="12726E73"/>
    <w:rsid w:val="129A0C1F"/>
    <w:rsid w:val="12CF34D5"/>
    <w:rsid w:val="137570CE"/>
    <w:rsid w:val="13E53225"/>
    <w:rsid w:val="14AE6848"/>
    <w:rsid w:val="1510744B"/>
    <w:rsid w:val="155444B2"/>
    <w:rsid w:val="15E50060"/>
    <w:rsid w:val="16285332"/>
    <w:rsid w:val="162A653D"/>
    <w:rsid w:val="16A40A91"/>
    <w:rsid w:val="16C91D76"/>
    <w:rsid w:val="176508DD"/>
    <w:rsid w:val="179B11DE"/>
    <w:rsid w:val="17F5609E"/>
    <w:rsid w:val="18116D3D"/>
    <w:rsid w:val="186E78BE"/>
    <w:rsid w:val="192B7E4B"/>
    <w:rsid w:val="196E2B90"/>
    <w:rsid w:val="197564C7"/>
    <w:rsid w:val="1A3F1791"/>
    <w:rsid w:val="1A5B478E"/>
    <w:rsid w:val="1AFE7BB3"/>
    <w:rsid w:val="1B132378"/>
    <w:rsid w:val="1B502218"/>
    <w:rsid w:val="1BE57EDE"/>
    <w:rsid w:val="1CA20812"/>
    <w:rsid w:val="1D0061A4"/>
    <w:rsid w:val="1D0243C5"/>
    <w:rsid w:val="1D23317E"/>
    <w:rsid w:val="1E994962"/>
    <w:rsid w:val="1F274B41"/>
    <w:rsid w:val="1F3A77F6"/>
    <w:rsid w:val="1F664308"/>
    <w:rsid w:val="1FA11597"/>
    <w:rsid w:val="2055165F"/>
    <w:rsid w:val="206C4C94"/>
    <w:rsid w:val="20AC033A"/>
    <w:rsid w:val="21494C2E"/>
    <w:rsid w:val="216553C6"/>
    <w:rsid w:val="216B6ABE"/>
    <w:rsid w:val="217A7948"/>
    <w:rsid w:val="21AF46AA"/>
    <w:rsid w:val="22441BDE"/>
    <w:rsid w:val="227F1169"/>
    <w:rsid w:val="22A31F1B"/>
    <w:rsid w:val="239E2FC5"/>
    <w:rsid w:val="25160479"/>
    <w:rsid w:val="256A47F4"/>
    <w:rsid w:val="25D521B8"/>
    <w:rsid w:val="25E42554"/>
    <w:rsid w:val="26FD1CBB"/>
    <w:rsid w:val="27052941"/>
    <w:rsid w:val="27F563F9"/>
    <w:rsid w:val="290E359A"/>
    <w:rsid w:val="29356ABD"/>
    <w:rsid w:val="294C2D87"/>
    <w:rsid w:val="299D03DE"/>
    <w:rsid w:val="29C35873"/>
    <w:rsid w:val="2A3771FD"/>
    <w:rsid w:val="2A455CC5"/>
    <w:rsid w:val="2A785CB8"/>
    <w:rsid w:val="2AA21EE8"/>
    <w:rsid w:val="2AEB6D0C"/>
    <w:rsid w:val="2B675149"/>
    <w:rsid w:val="2C1451C5"/>
    <w:rsid w:val="2C2D0A57"/>
    <w:rsid w:val="2C5E40DA"/>
    <w:rsid w:val="2C87552A"/>
    <w:rsid w:val="2C9A2B71"/>
    <w:rsid w:val="2CAB2EE9"/>
    <w:rsid w:val="2CDE6450"/>
    <w:rsid w:val="2CF277DE"/>
    <w:rsid w:val="2DD30780"/>
    <w:rsid w:val="2DDF1982"/>
    <w:rsid w:val="2DF31652"/>
    <w:rsid w:val="2E4C4794"/>
    <w:rsid w:val="2E5B19AA"/>
    <w:rsid w:val="2E6717B6"/>
    <w:rsid w:val="2E731AFF"/>
    <w:rsid w:val="2E7D2E4C"/>
    <w:rsid w:val="2F6D2F57"/>
    <w:rsid w:val="2F7639C7"/>
    <w:rsid w:val="306C330D"/>
    <w:rsid w:val="306D1792"/>
    <w:rsid w:val="30854ABC"/>
    <w:rsid w:val="3095274E"/>
    <w:rsid w:val="30C4516E"/>
    <w:rsid w:val="30CC1F34"/>
    <w:rsid w:val="31004D8F"/>
    <w:rsid w:val="31293E06"/>
    <w:rsid w:val="31D324B3"/>
    <w:rsid w:val="31F70B21"/>
    <w:rsid w:val="325E7570"/>
    <w:rsid w:val="328C26F8"/>
    <w:rsid w:val="32B62539"/>
    <w:rsid w:val="32D6528E"/>
    <w:rsid w:val="33BF7D6B"/>
    <w:rsid w:val="347D2737"/>
    <w:rsid w:val="34B52B00"/>
    <w:rsid w:val="35441B4F"/>
    <w:rsid w:val="35D2646B"/>
    <w:rsid w:val="35DD44D1"/>
    <w:rsid w:val="35EB5F2D"/>
    <w:rsid w:val="364006FE"/>
    <w:rsid w:val="36731D67"/>
    <w:rsid w:val="36D41B73"/>
    <w:rsid w:val="36F569F4"/>
    <w:rsid w:val="3745311C"/>
    <w:rsid w:val="375A6450"/>
    <w:rsid w:val="37A62F8A"/>
    <w:rsid w:val="37C944FF"/>
    <w:rsid w:val="382929EF"/>
    <w:rsid w:val="389E0650"/>
    <w:rsid w:val="38A935FB"/>
    <w:rsid w:val="38C06A8C"/>
    <w:rsid w:val="38D83AB1"/>
    <w:rsid w:val="39785528"/>
    <w:rsid w:val="39975041"/>
    <w:rsid w:val="39FB310B"/>
    <w:rsid w:val="3BF45B6D"/>
    <w:rsid w:val="3BFF21F8"/>
    <w:rsid w:val="3C40689A"/>
    <w:rsid w:val="3D0B1164"/>
    <w:rsid w:val="3D31660D"/>
    <w:rsid w:val="3D366C0B"/>
    <w:rsid w:val="3E3573B4"/>
    <w:rsid w:val="3E881561"/>
    <w:rsid w:val="3EBB6659"/>
    <w:rsid w:val="3F4E3DBE"/>
    <w:rsid w:val="3F6410D0"/>
    <w:rsid w:val="3FB737E4"/>
    <w:rsid w:val="3FEF0026"/>
    <w:rsid w:val="400D30A0"/>
    <w:rsid w:val="40307651"/>
    <w:rsid w:val="40ED156C"/>
    <w:rsid w:val="41132D2A"/>
    <w:rsid w:val="41B67616"/>
    <w:rsid w:val="42315FF1"/>
    <w:rsid w:val="4232235C"/>
    <w:rsid w:val="42986E09"/>
    <w:rsid w:val="429A6C0D"/>
    <w:rsid w:val="42A5645B"/>
    <w:rsid w:val="42C9206C"/>
    <w:rsid w:val="42D315BE"/>
    <w:rsid w:val="42EF6191"/>
    <w:rsid w:val="43273ED1"/>
    <w:rsid w:val="432F2601"/>
    <w:rsid w:val="434122B3"/>
    <w:rsid w:val="43795CCE"/>
    <w:rsid w:val="439A22AD"/>
    <w:rsid w:val="45C50B85"/>
    <w:rsid w:val="45DC26BC"/>
    <w:rsid w:val="47262546"/>
    <w:rsid w:val="478E7C34"/>
    <w:rsid w:val="47B9163A"/>
    <w:rsid w:val="47EA19E7"/>
    <w:rsid w:val="47EC31A6"/>
    <w:rsid w:val="47F374D7"/>
    <w:rsid w:val="47FE3293"/>
    <w:rsid w:val="481B1D0B"/>
    <w:rsid w:val="48AB1B08"/>
    <w:rsid w:val="4955166A"/>
    <w:rsid w:val="49B311D3"/>
    <w:rsid w:val="49B67F27"/>
    <w:rsid w:val="49E01A5C"/>
    <w:rsid w:val="4A103A3C"/>
    <w:rsid w:val="4A1B7079"/>
    <w:rsid w:val="4A3E05C5"/>
    <w:rsid w:val="4A4E3A26"/>
    <w:rsid w:val="4A8304D7"/>
    <w:rsid w:val="4A935DF9"/>
    <w:rsid w:val="4AAB2973"/>
    <w:rsid w:val="4AB85A81"/>
    <w:rsid w:val="4AF928CD"/>
    <w:rsid w:val="4C5A1638"/>
    <w:rsid w:val="4CB21030"/>
    <w:rsid w:val="4CF37F48"/>
    <w:rsid w:val="4D354B46"/>
    <w:rsid w:val="4D721375"/>
    <w:rsid w:val="4D873304"/>
    <w:rsid w:val="4E155F8C"/>
    <w:rsid w:val="4E1B4F57"/>
    <w:rsid w:val="4E584AB2"/>
    <w:rsid w:val="4EE44AF7"/>
    <w:rsid w:val="4EF27ABF"/>
    <w:rsid w:val="4F7B2575"/>
    <w:rsid w:val="4F922B76"/>
    <w:rsid w:val="502760C4"/>
    <w:rsid w:val="509230B3"/>
    <w:rsid w:val="523B5512"/>
    <w:rsid w:val="528B6D42"/>
    <w:rsid w:val="52BC2BC0"/>
    <w:rsid w:val="531B19D3"/>
    <w:rsid w:val="532F0487"/>
    <w:rsid w:val="53584479"/>
    <w:rsid w:val="53DB56E8"/>
    <w:rsid w:val="541A7971"/>
    <w:rsid w:val="54602BC2"/>
    <w:rsid w:val="549C512B"/>
    <w:rsid w:val="55686B41"/>
    <w:rsid w:val="55851C93"/>
    <w:rsid w:val="55BB4A8F"/>
    <w:rsid w:val="55CA6245"/>
    <w:rsid w:val="55D37EEE"/>
    <w:rsid w:val="560E3646"/>
    <w:rsid w:val="568A09C3"/>
    <w:rsid w:val="56D80D27"/>
    <w:rsid w:val="56EB2AB7"/>
    <w:rsid w:val="57CB0881"/>
    <w:rsid w:val="57CE5826"/>
    <w:rsid w:val="57DB4FA7"/>
    <w:rsid w:val="581D5EF4"/>
    <w:rsid w:val="583806A4"/>
    <w:rsid w:val="585B5580"/>
    <w:rsid w:val="589C6C5E"/>
    <w:rsid w:val="59047B05"/>
    <w:rsid w:val="592E1460"/>
    <w:rsid w:val="59377451"/>
    <w:rsid w:val="59D83250"/>
    <w:rsid w:val="5A630DCA"/>
    <w:rsid w:val="5ACD687D"/>
    <w:rsid w:val="5C3348B7"/>
    <w:rsid w:val="5C4035E3"/>
    <w:rsid w:val="5CBD0034"/>
    <w:rsid w:val="5D0068FA"/>
    <w:rsid w:val="5D1C4DEF"/>
    <w:rsid w:val="5DA3532D"/>
    <w:rsid w:val="5E035AB6"/>
    <w:rsid w:val="5E351B01"/>
    <w:rsid w:val="5E651806"/>
    <w:rsid w:val="5F782521"/>
    <w:rsid w:val="5FA32BD7"/>
    <w:rsid w:val="5FAC5E68"/>
    <w:rsid w:val="5FB26B5A"/>
    <w:rsid w:val="6026609A"/>
    <w:rsid w:val="612E2869"/>
    <w:rsid w:val="61E240CE"/>
    <w:rsid w:val="62612837"/>
    <w:rsid w:val="62A464D7"/>
    <w:rsid w:val="63AD0D28"/>
    <w:rsid w:val="6417161F"/>
    <w:rsid w:val="648B2611"/>
    <w:rsid w:val="652A6A68"/>
    <w:rsid w:val="657C09AF"/>
    <w:rsid w:val="65FE3CE7"/>
    <w:rsid w:val="66547213"/>
    <w:rsid w:val="665A5C7A"/>
    <w:rsid w:val="66862081"/>
    <w:rsid w:val="66F37708"/>
    <w:rsid w:val="675C5EB6"/>
    <w:rsid w:val="67F357B7"/>
    <w:rsid w:val="68145369"/>
    <w:rsid w:val="6840775A"/>
    <w:rsid w:val="68820E11"/>
    <w:rsid w:val="68A239A5"/>
    <w:rsid w:val="695E4DF9"/>
    <w:rsid w:val="69A42C75"/>
    <w:rsid w:val="6A4436AB"/>
    <w:rsid w:val="6C877B02"/>
    <w:rsid w:val="6CB94304"/>
    <w:rsid w:val="6CEF2BCF"/>
    <w:rsid w:val="6D273E64"/>
    <w:rsid w:val="6D663427"/>
    <w:rsid w:val="6E5D197B"/>
    <w:rsid w:val="70683A7E"/>
    <w:rsid w:val="70BD7B3D"/>
    <w:rsid w:val="70DF5CA5"/>
    <w:rsid w:val="71F3187A"/>
    <w:rsid w:val="722E79BF"/>
    <w:rsid w:val="72856191"/>
    <w:rsid w:val="72CD0114"/>
    <w:rsid w:val="72E66750"/>
    <w:rsid w:val="73187DC8"/>
    <w:rsid w:val="73C56E5F"/>
    <w:rsid w:val="744B4DE3"/>
    <w:rsid w:val="74E24A63"/>
    <w:rsid w:val="75240BBC"/>
    <w:rsid w:val="752A6361"/>
    <w:rsid w:val="753D0500"/>
    <w:rsid w:val="75420FF0"/>
    <w:rsid w:val="75753D66"/>
    <w:rsid w:val="7611392E"/>
    <w:rsid w:val="76512FF9"/>
    <w:rsid w:val="765B6822"/>
    <w:rsid w:val="7736476E"/>
    <w:rsid w:val="774509A1"/>
    <w:rsid w:val="7808479F"/>
    <w:rsid w:val="783C19FA"/>
    <w:rsid w:val="78A32544"/>
    <w:rsid w:val="78A80DA0"/>
    <w:rsid w:val="78AB42EA"/>
    <w:rsid w:val="78CF29FB"/>
    <w:rsid w:val="78FD18D5"/>
    <w:rsid w:val="794D72B0"/>
    <w:rsid w:val="7A95040A"/>
    <w:rsid w:val="7AA470EB"/>
    <w:rsid w:val="7AEE7031"/>
    <w:rsid w:val="7B37348A"/>
    <w:rsid w:val="7B5E2CD2"/>
    <w:rsid w:val="7B9779B1"/>
    <w:rsid w:val="7C7375A2"/>
    <w:rsid w:val="7C8A41FF"/>
    <w:rsid w:val="7CD30B7D"/>
    <w:rsid w:val="7CDD506A"/>
    <w:rsid w:val="7D527154"/>
    <w:rsid w:val="7DAC6685"/>
    <w:rsid w:val="7DBB74E7"/>
    <w:rsid w:val="7E1C3F62"/>
    <w:rsid w:val="7E5F0849"/>
    <w:rsid w:val="7E7755E0"/>
    <w:rsid w:val="7E7D5CB9"/>
    <w:rsid w:val="7EBB5B4C"/>
    <w:rsid w:val="7F0B00B5"/>
    <w:rsid w:val="7F582C29"/>
    <w:rsid w:val="9FE81BFB"/>
    <w:rsid w:val="B3DE70CB"/>
    <w:rsid w:val="BBAA0C53"/>
    <w:rsid w:val="BCEF9D5B"/>
    <w:rsid w:val="BEA76F03"/>
    <w:rsid w:val="C7EDDC38"/>
    <w:rsid w:val="D977931B"/>
    <w:rsid w:val="DDDED2A5"/>
    <w:rsid w:val="DFBABDA8"/>
    <w:rsid w:val="ED3F1197"/>
    <w:rsid w:val="EFD49623"/>
    <w:rsid w:val="F7FF4957"/>
    <w:rsid w:val="FE45331A"/>
    <w:rsid w:val="FFD7DBE8"/>
    <w:rsid w:val="FFEFEE7C"/>
    <w:rsid w:val="FFF38D5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4"/>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qFormat/>
    <w:uiPriority w:val="0"/>
    <w:pPr>
      <w:keepNext/>
      <w:keepLines/>
      <w:tabs>
        <w:tab w:val="left" w:pos="8280"/>
      </w:tabs>
      <w:spacing w:before="260" w:after="260" w:line="416" w:lineRule="auto"/>
      <w:outlineLvl w:val="2"/>
    </w:pPr>
    <w:rPr>
      <w:bCs/>
      <w:szCs w:val="32"/>
    </w:rPr>
  </w:style>
  <w:style w:type="paragraph" w:styleId="6">
    <w:name w:val="heading 4"/>
    <w:next w:val="1"/>
    <w:qFormat/>
    <w:uiPriority w:val="0"/>
    <w:pPr>
      <w:keepNext/>
      <w:keepLines/>
      <w:numPr>
        <w:ilvl w:val="3"/>
        <w:numId w:val="2"/>
      </w:numPr>
      <w:tabs>
        <w:tab w:val="left" w:pos="0"/>
      </w:tabs>
      <w:adjustRightInd w:val="0"/>
      <w:snapToGrid w:val="0"/>
      <w:ind w:left="0" w:firstLine="0"/>
      <w:outlineLvl w:val="3"/>
    </w:pPr>
    <w:rPr>
      <w:rFonts w:ascii="Calibri" w:hAnsi="Calibri" w:eastAsia="宋体" w:cs="Times New Roman"/>
      <w:b/>
      <w:sz w:val="24"/>
      <w:lang w:val="en-US" w:eastAsia="zh-CN" w:bidi="ar-SA"/>
    </w:rPr>
  </w:style>
  <w:style w:type="paragraph" w:styleId="7">
    <w:name w:val="heading 5"/>
    <w:next w:val="1"/>
    <w:qFormat/>
    <w:uiPriority w:val="0"/>
    <w:pPr>
      <w:keepNext/>
      <w:keepLines/>
      <w:numPr>
        <w:ilvl w:val="4"/>
        <w:numId w:val="2"/>
      </w:numPr>
      <w:spacing w:line="360" w:lineRule="auto"/>
      <w:ind w:left="0" w:firstLine="0"/>
      <w:outlineLvl w:val="4"/>
    </w:pPr>
    <w:rPr>
      <w:rFonts w:ascii="Times New Roman" w:hAnsi="Times New Roman" w:eastAsia="宋体" w:cs="Times New Roman"/>
      <w:b/>
      <w:sz w:val="24"/>
      <w:lang w:val="en-US" w:eastAsia="zh-CN" w:bidi="ar-SA"/>
    </w:rPr>
  </w:style>
  <w:style w:type="character" w:default="1" w:styleId="21">
    <w:name w:val="Default Paragraph Font"/>
    <w:semiHidden/>
    <w:unhideWhenUsed/>
    <w:qFormat/>
    <w:uiPriority w:val="1"/>
  </w:style>
  <w:style w:type="table" w:default="1" w:styleId="25">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Layout w:type="fixed"/>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8">
    <w:name w:val="Body Text First Indent"/>
    <w:basedOn w:val="9"/>
    <w:next w:val="1"/>
    <w:qFormat/>
    <w:uiPriority w:val="0"/>
    <w:pPr>
      <w:ind w:firstLine="200" w:firstLineChars="200"/>
    </w:pPr>
  </w:style>
  <w:style w:type="paragraph" w:styleId="9">
    <w:name w:val="Body Text"/>
    <w:basedOn w:val="1"/>
    <w:next w:val="8"/>
    <w:link w:val="59"/>
    <w:qFormat/>
    <w:uiPriority w:val="0"/>
    <w:pPr>
      <w:spacing w:line="360" w:lineRule="exact"/>
    </w:pPr>
    <w:rPr>
      <w:sz w:val="24"/>
    </w:rPr>
  </w:style>
  <w:style w:type="paragraph" w:styleId="10">
    <w:name w:val="List Number"/>
    <w:basedOn w:val="1"/>
    <w:qFormat/>
    <w:uiPriority w:val="0"/>
    <w:pPr>
      <w:numPr>
        <w:ilvl w:val="0"/>
        <w:numId w:val="3"/>
      </w:numPr>
    </w:pPr>
  </w:style>
  <w:style w:type="paragraph" w:styleId="11">
    <w:name w:val="annotation text"/>
    <w:basedOn w:val="1"/>
    <w:qFormat/>
    <w:uiPriority w:val="0"/>
    <w:pPr>
      <w:jc w:val="left"/>
    </w:pPr>
  </w:style>
  <w:style w:type="paragraph" w:styleId="12">
    <w:name w:val="Body Text Indent"/>
    <w:basedOn w:val="1"/>
    <w:next w:val="1"/>
    <w:link w:val="57"/>
    <w:qFormat/>
    <w:uiPriority w:val="0"/>
    <w:pPr>
      <w:spacing w:after="120"/>
      <w:ind w:left="420" w:leftChars="200"/>
    </w:pPr>
  </w:style>
  <w:style w:type="paragraph" w:styleId="13">
    <w:name w:val="Plain Text"/>
    <w:basedOn w:val="1"/>
    <w:next w:val="14"/>
    <w:link w:val="61"/>
    <w:qFormat/>
    <w:uiPriority w:val="0"/>
    <w:rPr>
      <w:rFonts w:ascii="宋体" w:hAnsi="Courier New" w:cs="宋体"/>
    </w:rPr>
  </w:style>
  <w:style w:type="paragraph" w:styleId="14">
    <w:name w:val="Date"/>
    <w:basedOn w:val="1"/>
    <w:next w:val="1"/>
    <w:link w:val="60"/>
    <w:qFormat/>
    <w:uiPriority w:val="0"/>
    <w:pPr>
      <w:ind w:left="2500" w:leftChars="2500"/>
    </w:pPr>
    <w:rPr>
      <w:rFonts w:ascii="Calibri" w:hAnsi="Calibri" w:eastAsia="楷体_GB2312" w:cs="宋体"/>
      <w:sz w:val="32"/>
      <w:szCs w:val="22"/>
    </w:rPr>
  </w:style>
  <w:style w:type="paragraph" w:styleId="15">
    <w:name w:val="Body Text Indent 2"/>
    <w:basedOn w:val="1"/>
    <w:qFormat/>
    <w:uiPriority w:val="0"/>
    <w:pPr>
      <w:spacing w:after="120" w:line="480" w:lineRule="auto"/>
      <w:ind w:left="420" w:leftChars="200"/>
    </w:pPr>
    <w:rPr>
      <w:rFonts w:ascii="Calibri" w:hAnsi="Calibri"/>
    </w:rPr>
  </w:style>
  <w:style w:type="paragraph" w:styleId="16">
    <w:name w:val="Balloon Text"/>
    <w:basedOn w:val="1"/>
    <w:link w:val="50"/>
    <w:qFormat/>
    <w:uiPriority w:val="0"/>
    <w:rPr>
      <w:sz w:val="18"/>
      <w:szCs w:val="18"/>
    </w:rPr>
  </w:style>
  <w:style w:type="paragraph" w:styleId="17">
    <w:name w:val="footer"/>
    <w:basedOn w:val="1"/>
    <w:qFormat/>
    <w:uiPriority w:val="0"/>
    <w:pPr>
      <w:tabs>
        <w:tab w:val="center" w:pos="4153"/>
        <w:tab w:val="right" w:pos="8306"/>
      </w:tabs>
      <w:snapToGrid w:val="0"/>
      <w:jc w:val="left"/>
    </w:pPr>
    <w:rPr>
      <w:sz w:val="18"/>
    </w:rPr>
  </w:style>
  <w:style w:type="paragraph" w:styleId="18">
    <w:name w:val="Body Text First Indent 2"/>
    <w:basedOn w:val="12"/>
    <w:next w:val="1"/>
    <w:link w:val="58"/>
    <w:qFormat/>
    <w:uiPriority w:val="0"/>
    <w:pPr>
      <w:ind w:firstLine="420"/>
    </w:p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0">
    <w:name w:val="Normal (Web)"/>
    <w:basedOn w:val="1"/>
    <w:qFormat/>
    <w:uiPriority w:val="0"/>
    <w:pPr>
      <w:widowControl/>
      <w:spacing w:before="100" w:beforeAutospacing="1" w:after="100" w:afterAutospacing="1"/>
      <w:jc w:val="left"/>
    </w:pPr>
    <w:rPr>
      <w:rFonts w:hint="eastAsia" w:ascii="宋体" w:hAnsi="宋体"/>
      <w:kern w:val="0"/>
      <w:sz w:val="24"/>
    </w:rPr>
  </w:style>
  <w:style w:type="character" w:styleId="22">
    <w:name w:val="FollowedHyperlink"/>
    <w:basedOn w:val="21"/>
    <w:qFormat/>
    <w:uiPriority w:val="0"/>
    <w:rPr>
      <w:color w:val="800080"/>
      <w:u w:val="single"/>
    </w:rPr>
  </w:style>
  <w:style w:type="character" w:styleId="23">
    <w:name w:val="Hyperlink"/>
    <w:qFormat/>
    <w:uiPriority w:val="0"/>
    <w:rPr>
      <w:color w:val="0000FF"/>
      <w:u w:val="single"/>
    </w:rPr>
  </w:style>
  <w:style w:type="character" w:styleId="24">
    <w:name w:val="annotation reference"/>
    <w:basedOn w:val="21"/>
    <w:qFormat/>
    <w:uiPriority w:val="0"/>
    <w:rPr>
      <w:sz w:val="21"/>
      <w:szCs w:val="21"/>
    </w:rPr>
  </w:style>
  <w:style w:type="table" w:styleId="26">
    <w:name w:val="Table Grid"/>
    <w:basedOn w:val="25"/>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27">
    <w:name w:val="无间隔1"/>
    <w:qFormat/>
    <w:uiPriority w:val="99"/>
    <w:pPr>
      <w:adjustRightInd w:val="0"/>
      <w:snapToGrid w:val="0"/>
    </w:pPr>
    <w:rPr>
      <w:rFonts w:ascii="Tahoma" w:hAnsi="Tahoma" w:eastAsia="微软雅黑" w:cs="宋体"/>
      <w:sz w:val="22"/>
      <w:szCs w:val="22"/>
      <w:lang w:val="en-US" w:eastAsia="zh-CN" w:bidi="ar-SA"/>
    </w:rPr>
  </w:style>
  <w:style w:type="paragraph" w:styleId="28">
    <w:name w:val="List Paragraph"/>
    <w:basedOn w:val="1"/>
    <w:qFormat/>
    <w:uiPriority w:val="34"/>
    <w:pPr>
      <w:ind w:firstLine="420" w:firstLineChars="200"/>
    </w:pPr>
    <w:rPr>
      <w:rFonts w:ascii="Calibri" w:hAnsi="Calibri"/>
      <w:szCs w:val="22"/>
    </w:rPr>
  </w:style>
  <w:style w:type="paragraph" w:customStyle="1" w:styleId="29">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0">
    <w:name w:val="无间隔11"/>
    <w:qFormat/>
    <w:uiPriority w:val="0"/>
    <w:pPr>
      <w:adjustRightInd w:val="0"/>
      <w:snapToGrid w:val="0"/>
    </w:pPr>
    <w:rPr>
      <w:rFonts w:ascii="Tahoma" w:hAnsi="Tahoma" w:eastAsia="微软雅黑" w:cs="宋体"/>
      <w:sz w:val="22"/>
      <w:szCs w:val="22"/>
      <w:lang w:val="en-US" w:eastAsia="zh-CN" w:bidi="ar-SA"/>
    </w:rPr>
  </w:style>
  <w:style w:type="paragraph" w:customStyle="1" w:styleId="3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14"/>
    <w:qFormat/>
    <w:uiPriority w:val="0"/>
    <w:rPr>
      <w:rFonts w:ascii="Times New Roman" w:hAnsi="Times New Roman" w:eastAsia="宋体" w:cs="Times New Roman"/>
      <w:sz w:val="21"/>
      <w:szCs w:val="22"/>
      <w:lang w:val="en-US" w:eastAsia="zh-CN" w:bidi="ar-SA"/>
    </w:rPr>
  </w:style>
  <w:style w:type="paragraph" w:customStyle="1" w:styleId="34">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纯文本_3"/>
    <w:basedOn w:val="36"/>
    <w:qFormat/>
    <w:uiPriority w:val="0"/>
    <w:pPr>
      <w:widowControl/>
      <w:jc w:val="left"/>
    </w:pPr>
    <w:rPr>
      <w:rFonts w:ascii="宋体" w:hAnsi="Courier New" w:cs="宋体"/>
      <w:szCs w:val="21"/>
    </w:rPr>
  </w:style>
  <w:style w:type="paragraph" w:customStyle="1" w:styleId="38">
    <w:name w:val="纯文本_0_1"/>
    <w:basedOn w:val="1"/>
    <w:qFormat/>
    <w:uiPriority w:val="0"/>
    <w:pPr>
      <w:widowControl/>
      <w:jc w:val="left"/>
    </w:pPr>
    <w:rPr>
      <w:rFonts w:ascii="宋体" w:hAnsi="Courier New" w:cs="宋体"/>
      <w:szCs w:val="21"/>
    </w:rPr>
  </w:style>
  <w:style w:type="paragraph" w:customStyle="1" w:styleId="3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3">
    <w:name w:val="font21"/>
    <w:basedOn w:val="21"/>
    <w:qFormat/>
    <w:uiPriority w:val="0"/>
    <w:rPr>
      <w:rFonts w:hint="default" w:ascii="Arial" w:hAnsi="Arial" w:cs="Arial"/>
      <w:color w:val="000000"/>
      <w:sz w:val="20"/>
      <w:szCs w:val="20"/>
      <w:u w:val="none"/>
    </w:rPr>
  </w:style>
  <w:style w:type="character" w:customStyle="1" w:styleId="44">
    <w:name w:val="font01"/>
    <w:basedOn w:val="21"/>
    <w:qFormat/>
    <w:uiPriority w:val="0"/>
    <w:rPr>
      <w:rFonts w:hint="eastAsia" w:ascii="宋体" w:hAnsi="宋体" w:eastAsia="宋体" w:cs="宋体"/>
      <w:color w:val="000000"/>
      <w:sz w:val="20"/>
      <w:szCs w:val="20"/>
      <w:u w:val="none"/>
    </w:rPr>
  </w:style>
  <w:style w:type="paragraph" w:customStyle="1" w:styleId="45">
    <w:name w:val="纯文本1"/>
    <w:basedOn w:val="46"/>
    <w:qFormat/>
    <w:uiPriority w:val="0"/>
    <w:pPr>
      <w:widowControl/>
      <w:jc w:val="left"/>
    </w:pPr>
    <w:rPr>
      <w:rFonts w:ascii="宋体" w:hAnsi="Courier New"/>
    </w:rPr>
  </w:style>
  <w:style w:type="paragraph" w:customStyle="1" w:styleId="46">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7">
    <w:name w:val="Table Paragraph"/>
    <w:basedOn w:val="1"/>
    <w:qFormat/>
    <w:uiPriority w:val="1"/>
    <w:rPr>
      <w:rFonts w:ascii="宋体" w:hAnsi="宋体" w:cs="宋体"/>
    </w:rPr>
  </w:style>
  <w:style w:type="paragraph" w:customStyle="1" w:styleId="48">
    <w:name w:val="WPSOffice手动目录 1"/>
    <w:qFormat/>
    <w:uiPriority w:val="0"/>
    <w:rPr>
      <w:rFonts w:ascii="Times New Roman" w:hAnsi="Times New Roman" w:eastAsia="宋体" w:cs="Times New Roman"/>
      <w:lang w:val="en-US" w:eastAsia="zh-CN" w:bidi="ar-SA"/>
    </w:rPr>
  </w:style>
  <w:style w:type="character" w:customStyle="1" w:styleId="49">
    <w:name w:val="标题 1 Char Char"/>
    <w:basedOn w:val="21"/>
    <w:qFormat/>
    <w:uiPriority w:val="0"/>
    <w:rPr>
      <w:rFonts w:eastAsia="宋体"/>
      <w:b/>
      <w:spacing w:val="-2"/>
      <w:sz w:val="24"/>
      <w:lang w:val="en-US" w:eastAsia="zh-CN" w:bidi="ar-SA"/>
    </w:rPr>
  </w:style>
  <w:style w:type="character" w:customStyle="1" w:styleId="50">
    <w:name w:val="批注框文本 Char"/>
    <w:basedOn w:val="21"/>
    <w:link w:val="16"/>
    <w:qFormat/>
    <w:uiPriority w:val="0"/>
    <w:rPr>
      <w:kern w:val="2"/>
      <w:sz w:val="18"/>
      <w:szCs w:val="18"/>
    </w:rPr>
  </w:style>
  <w:style w:type="character" w:customStyle="1" w:styleId="51">
    <w:name w:val="NormalCharacter"/>
    <w:qFormat/>
    <w:uiPriority w:val="0"/>
  </w:style>
  <w:style w:type="paragraph" w:customStyle="1" w:styleId="52">
    <w:name w:val="NormalIndent"/>
    <w:basedOn w:val="1"/>
    <w:qFormat/>
    <w:uiPriority w:val="0"/>
    <w:pPr>
      <w:ind w:firstLine="420"/>
    </w:pPr>
    <w:rPr>
      <w:szCs w:val="20"/>
    </w:rPr>
  </w:style>
  <w:style w:type="paragraph" w:customStyle="1" w:styleId="53">
    <w:name w:val="表格文字"/>
    <w:basedOn w:val="1"/>
    <w:next w:val="9"/>
    <w:qFormat/>
    <w:uiPriority w:val="0"/>
    <w:rPr>
      <w:rFonts w:ascii="Arial" w:hAnsi="Arial"/>
      <w:szCs w:val="21"/>
    </w:rPr>
  </w:style>
  <w:style w:type="paragraph" w:customStyle="1" w:styleId="54">
    <w:name w:val="MY正文"/>
    <w:basedOn w:val="1"/>
    <w:qFormat/>
    <w:uiPriority w:val="0"/>
    <w:pPr>
      <w:spacing w:line="360" w:lineRule="auto"/>
      <w:ind w:firstLine="200" w:firstLineChars="200"/>
    </w:pPr>
    <w:rPr>
      <w:sz w:val="24"/>
    </w:rPr>
  </w:style>
  <w:style w:type="paragraph" w:customStyle="1" w:styleId="55">
    <w:name w:val="默认段落字体 Para Char Char Char Char Char Char Char Char Char1 Char Char Char Char"/>
    <w:basedOn w:val="1"/>
    <w:qFormat/>
    <w:uiPriority w:val="0"/>
    <w:rPr>
      <w:rFonts w:ascii="Tahoma" w:hAnsi="Tahoma"/>
      <w:sz w:val="24"/>
      <w:szCs w:val="20"/>
    </w:rPr>
  </w:style>
  <w:style w:type="paragraph" w:customStyle="1" w:styleId="56">
    <w:name w:val="正文2"/>
    <w:qFormat/>
    <w:uiPriority w:val="0"/>
    <w:pPr>
      <w:jc w:val="both"/>
    </w:pPr>
    <w:rPr>
      <w:rFonts w:ascii="Calibri" w:hAnsi="Calibri" w:eastAsia="宋体" w:cs="Calibri"/>
      <w:kern w:val="2"/>
      <w:sz w:val="21"/>
      <w:szCs w:val="21"/>
      <w:lang w:val="en-US" w:eastAsia="zh-CN" w:bidi="ar-SA"/>
    </w:rPr>
  </w:style>
  <w:style w:type="character" w:customStyle="1" w:styleId="57">
    <w:name w:val="正文文本缩进 Char"/>
    <w:basedOn w:val="21"/>
    <w:link w:val="12"/>
    <w:qFormat/>
    <w:uiPriority w:val="0"/>
    <w:rPr>
      <w:kern w:val="2"/>
      <w:sz w:val="21"/>
      <w:szCs w:val="24"/>
    </w:rPr>
  </w:style>
  <w:style w:type="character" w:customStyle="1" w:styleId="58">
    <w:name w:val="正文首行缩进 2 Char"/>
    <w:basedOn w:val="57"/>
    <w:link w:val="18"/>
    <w:qFormat/>
    <w:uiPriority w:val="0"/>
    <w:rPr>
      <w:kern w:val="2"/>
      <w:sz w:val="21"/>
      <w:szCs w:val="24"/>
    </w:rPr>
  </w:style>
  <w:style w:type="character" w:customStyle="1" w:styleId="59">
    <w:name w:val="正文文本 Char"/>
    <w:basedOn w:val="21"/>
    <w:link w:val="9"/>
    <w:qFormat/>
    <w:uiPriority w:val="0"/>
    <w:rPr>
      <w:rFonts w:hint="default" w:ascii="Calibri" w:hAnsi="Calibri" w:cs="Calibri"/>
      <w:kern w:val="2"/>
      <w:sz w:val="21"/>
      <w:szCs w:val="24"/>
    </w:rPr>
  </w:style>
  <w:style w:type="character" w:customStyle="1" w:styleId="60">
    <w:name w:val="日期 Char"/>
    <w:basedOn w:val="21"/>
    <w:link w:val="14"/>
    <w:qFormat/>
    <w:uiPriority w:val="0"/>
    <w:rPr>
      <w:rFonts w:hint="default" w:ascii="Calibri" w:hAnsi="Calibri" w:eastAsia="楷体_GB2312" w:cs="Times New Roman"/>
      <w:kern w:val="2"/>
      <w:sz w:val="32"/>
      <w:szCs w:val="22"/>
    </w:rPr>
  </w:style>
  <w:style w:type="character" w:customStyle="1" w:styleId="61">
    <w:name w:val="纯文本 Char"/>
    <w:basedOn w:val="21"/>
    <w:link w:val="13"/>
    <w:qFormat/>
    <w:uiPriority w:val="0"/>
    <w:rPr>
      <w:rFonts w:hint="eastAsia" w:ascii="宋体" w:hAnsi="Courier New" w:eastAsia="宋体" w:cs="Times New Roman"/>
      <w:kern w:val="2"/>
      <w:sz w:val="21"/>
      <w:szCs w:val="24"/>
    </w:rPr>
  </w:style>
  <w:style w:type="paragraph" w:customStyle="1" w:styleId="62">
    <w:name w:val="表内文字"/>
    <w:basedOn w:val="1"/>
    <w:qFormat/>
    <w:uiPriority w:val="0"/>
    <w:pPr>
      <w:jc w:val="center"/>
    </w:pPr>
    <w:rPr>
      <w:rFonts w:ascii="宋体"/>
      <w:bCs/>
      <w:color w:val="000000"/>
      <w:kern w:val="21"/>
      <w:sz w:val="18"/>
      <w:szCs w:val="21"/>
    </w:rPr>
  </w:style>
  <w:style w:type="paragraph" w:customStyle="1" w:styleId="63">
    <w:name w:val="公文"/>
    <w:basedOn w:val="1"/>
    <w:qFormat/>
    <w:uiPriority w:val="0"/>
    <w:pPr>
      <w:ind w:firstLine="640" w:firstLineChars="200"/>
    </w:pPr>
    <w:rPr>
      <w:rFonts w:ascii="仿宋_GB2312" w:hAnsi="仿宋_GB2312" w:eastAsia="仿宋_GB2312"/>
      <w:sz w:val="32"/>
    </w:rPr>
  </w:style>
  <w:style w:type="character" w:customStyle="1" w:styleId="64">
    <w:name w:val="标题 1 Char"/>
    <w:link w:val="3"/>
    <w:qFormat/>
    <w:uiPriority w:val="9"/>
    <w:rPr>
      <w:b/>
      <w:bCs/>
      <w:kern w:val="44"/>
      <w:sz w:val="44"/>
      <w:szCs w:val="44"/>
    </w:rPr>
  </w:style>
  <w:style w:type="paragraph" w:customStyle="1" w:styleId="65">
    <w:name w:val="签发人"/>
    <w:basedOn w:val="1"/>
    <w:qFormat/>
    <w:uiPriority w:val="0"/>
    <w:rPr>
      <w:rFonts w:eastAsia="楷体"/>
      <w:sz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49</Pages>
  <Words>22743</Words>
  <Characters>24195</Characters>
  <Lines>194</Lines>
  <Paragraphs>54</Paragraphs>
  <TotalTime>23</TotalTime>
  <ScaleCrop>false</ScaleCrop>
  <LinksUpToDate>false</LinksUpToDate>
  <CharactersWithSpaces>24905</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2023-10-25T05:36:00Z</dcterms:created>
  <dc:creator>Thorpe521</dc:creator>
  <cp:lastModifiedBy>Ushop</cp:lastModifiedBy>
  <cp:lastPrinted>2023-12-04T02:20:00Z</cp:lastPrinted>
  <dcterms:modified xsi:type="dcterms:W3CDTF">2025-03-31T06:46:13Z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y fmtid="{D5CDD505-2E9C-101B-9397-08002B2CF9AE}" pid="3" name="ICV">
    <vt:lpwstr>B49D2FD238A24DB7812EE8F7EE4FA85F_13</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KSOTemplateDocerSaveRecord">
    <vt:lpwstr>eyJoZGlkIjoiMzQ2YmQxMGIyNmJlMWExNzJmZDBhYzc3ZjYwNjU1YTQiLCJ1c2VySWQiOiI1Njg1MjY5MjQifQ==</vt:lpwstr>
  </property>
</Properties>
</file>