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pPr>
        <w:pStyle w:val="17"/>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台州市政府采购招标文件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TZTX-2024-GK068</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left="638" w:leftChars="304" w:right="745" w:rightChars="355" w:firstLine="0" w:firstLineChars="0"/>
        <w:jc w:val="center"/>
        <w:rPr>
          <w:rFonts w:hint="eastAsia" w:ascii="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“地信智服”成果服务子场景试点成果全市推广应用服务项目</w:t>
      </w: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人：台州市自然资源和规划信息中心</w:t>
      </w:r>
    </w:p>
    <w:p>
      <w:pPr>
        <w:autoSpaceDE w:val="0"/>
        <w:autoSpaceDN w:val="0"/>
        <w:adjustRightInd w:val="0"/>
        <w:spacing w:line="360" w:lineRule="auto"/>
        <w:rPr>
          <w:rFonts w:ascii="宋体"/>
          <w:color w:val="auto"/>
          <w:kern w:val="0"/>
          <w:sz w:val="28"/>
          <w:highlight w:val="none"/>
        </w:rPr>
      </w:pP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台州天兴工程管理咨询有限公司</w:t>
      </w:r>
    </w:p>
    <w:p>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color w:val="auto"/>
          <w:sz w:val="28"/>
          <w:szCs w:val="28"/>
          <w:highlight w:val="none"/>
        </w:rPr>
      </w:pPr>
      <w:r>
        <w:rPr>
          <w:rFonts w:hint="eastAsia" w:ascii="宋体" w:hAnsi="宋体" w:cs="宋体"/>
          <w:color w:val="auto"/>
          <w:kern w:val="0"/>
          <w:sz w:val="28"/>
          <w:szCs w:val="28"/>
          <w:highlight w:val="none"/>
        </w:rPr>
        <w:t>2024年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p>
    <w:p>
      <w:pPr>
        <w:pStyle w:val="27"/>
        <w:rPr>
          <w:color w:val="auto"/>
          <w:highlight w:val="none"/>
        </w:rPr>
      </w:pPr>
    </w:p>
    <w:p>
      <w:pPr>
        <w:spacing w:line="360" w:lineRule="auto"/>
        <w:rPr>
          <w:color w:val="auto"/>
          <w:highlight w:val="none"/>
        </w:rPr>
      </w:pPr>
    </w:p>
    <w:p>
      <w:pPr>
        <w:rPr>
          <w:rFonts w:ascii="宋体" w:hAnsi="宋体" w:cs="Arial"/>
          <w:b/>
          <w:bCs/>
          <w:color w:val="auto"/>
          <w:sz w:val="36"/>
          <w:szCs w:val="36"/>
          <w:highlight w:val="none"/>
        </w:rPr>
      </w:pPr>
      <w:r>
        <w:rPr>
          <w:rFonts w:hint="eastAsia" w:ascii="宋体" w:hAnsi="宋体" w:cs="Arial"/>
          <w:b/>
          <w:bCs/>
          <w:color w:val="auto"/>
          <w:sz w:val="36"/>
          <w:szCs w:val="36"/>
          <w:highlight w:val="none"/>
        </w:rPr>
        <w:br w:type="page"/>
      </w: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lang w:val="en-US"/>
        </w:rPr>
      </w:sdtEndPr>
      <w:sdtContent>
        <w:p>
          <w:pPr>
            <w:spacing w:line="480" w:lineRule="auto"/>
            <w:jc w:val="center"/>
            <w:rPr>
              <w:rFonts w:ascii="宋体" w:hAnsi="宋体"/>
              <w:color w:val="auto"/>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48"/>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asciiTheme="majorEastAsia" w:hAnsiTheme="majorEastAsia" w:eastAsiaTheme="majorEastAsia"/>
              <w:color w:val="auto"/>
              <w:sz w:val="28"/>
              <w:szCs w:val="28"/>
              <w:highlight w:val="none"/>
            </w:rPr>
            <w:t>第一章 投标邀请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pPr>
            <w:pStyle w:val="48"/>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第二章 投标人须知</w:t>
          </w:r>
          <w:r>
            <w:rPr>
              <w:color w:val="auto"/>
              <w:sz w:val="28"/>
              <w:szCs w:val="28"/>
              <w:highlight w:val="none"/>
            </w:rPr>
            <w:tab/>
          </w:r>
          <w:r>
            <w:rPr>
              <w:rFonts w:hint="eastAsia"/>
              <w:color w:val="auto"/>
              <w:sz w:val="28"/>
              <w:szCs w:val="28"/>
              <w:highlight w:val="none"/>
            </w:rPr>
            <w:t>7</w:t>
          </w:r>
          <w:r>
            <w:rPr>
              <w:rFonts w:hint="eastAsia"/>
              <w:color w:val="auto"/>
              <w:sz w:val="28"/>
              <w:szCs w:val="28"/>
              <w:highlight w:val="none"/>
            </w:rPr>
            <w:fldChar w:fldCharType="end"/>
          </w:r>
        </w:p>
        <w:p>
          <w:pPr>
            <w:pStyle w:val="48"/>
            <w:tabs>
              <w:tab w:val="right" w:leader="dot" w:pos="830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6</w:t>
          </w:r>
        </w:p>
        <w:p>
          <w:pPr>
            <w:pStyle w:val="48"/>
            <w:tabs>
              <w:tab w:val="right" w:leader="dot" w:pos="8300"/>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第四章 评标</w:t>
          </w:r>
          <w:r>
            <w:rPr>
              <w:color w:val="auto"/>
              <w:sz w:val="28"/>
              <w:szCs w:val="28"/>
              <w:highlight w:val="none"/>
            </w:rPr>
            <w:tab/>
          </w:r>
          <w:r>
            <w:rPr>
              <w:rFonts w:hint="eastAsia"/>
              <w:color w:val="auto"/>
              <w:sz w:val="28"/>
              <w:szCs w:val="28"/>
              <w:highlight w:val="none"/>
              <w:lang w:val="en-US" w:eastAsia="zh-CN"/>
            </w:rPr>
            <w:t>24</w:t>
          </w:r>
          <w:r>
            <w:rPr>
              <w:rFonts w:hint="eastAsia"/>
              <w:color w:val="auto"/>
              <w:sz w:val="28"/>
              <w:szCs w:val="28"/>
              <w:highlight w:val="none"/>
            </w:rPr>
            <w:fldChar w:fldCharType="end"/>
          </w:r>
        </w:p>
        <w:p>
          <w:pPr>
            <w:pStyle w:val="48"/>
            <w:tabs>
              <w:tab w:val="right" w:leader="dot" w:pos="8300"/>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33</w:t>
          </w:r>
        </w:p>
        <w:p>
          <w:pPr>
            <w:pStyle w:val="48"/>
            <w:tabs>
              <w:tab w:val="right" w:leader="dot" w:pos="8300"/>
            </w:tabs>
            <w:spacing w:line="480" w:lineRule="auto"/>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43</w:t>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2" w:name="_Toc4350_WPSOffice_Level1"/>
      <w:r>
        <w:rPr>
          <w:rFonts w:hint="eastAsia" w:ascii="宋体" w:hAnsi="宋体" w:cs="宋体"/>
          <w:b/>
          <w:color w:val="auto"/>
          <w:kern w:val="0"/>
          <w:sz w:val="36"/>
          <w:szCs w:val="36"/>
          <w:highlight w:val="none"/>
        </w:rPr>
        <w:t>投标邀请</w:t>
      </w:r>
      <w:bookmarkEnd w:id="2"/>
    </w:p>
    <w:p>
      <w:pPr>
        <w:pStyle w:val="6"/>
        <w:keepNext w:val="0"/>
        <w:keepLines w:val="0"/>
        <w:pageBreakBefore w:val="0"/>
        <w:widowControl/>
        <w:kinsoku/>
        <w:wordWrap/>
        <w:overflowPunct/>
        <w:topLinePunct w:val="0"/>
        <w:bidi w:val="0"/>
        <w:snapToGrid/>
        <w:spacing w:line="360" w:lineRule="auto"/>
        <w:ind w:firstLine="480" w:firstLineChars="200"/>
        <w:textAlignment w:val="auto"/>
        <w:rPr>
          <w:rFonts w:cs="宋体"/>
          <w:b w:val="0"/>
          <w:color w:val="auto"/>
          <w:sz w:val="24"/>
          <w:szCs w:val="24"/>
          <w:highlight w:val="none"/>
        </w:rPr>
      </w:pPr>
      <w:bookmarkStart w:id="3" w:name="_Toc28359079"/>
      <w:bookmarkStart w:id="4" w:name="_Toc35393790"/>
      <w:bookmarkStart w:id="5" w:name="_Toc28359002"/>
      <w:bookmarkStart w:id="6" w:name="_Toc35393621"/>
      <w:bookmarkStart w:id="7" w:name="_Hlk24379207"/>
      <w:bookmarkStart w:id="8" w:name="_Toc28359087"/>
      <w:bookmarkStart w:id="9" w:name="_Toc28359010"/>
      <w:r>
        <w:rPr>
          <w:rFonts w:cs="宋体"/>
          <w:b w:val="0"/>
          <w:color w:val="auto"/>
          <w:sz w:val="24"/>
          <w:szCs w:val="24"/>
          <w:highlight w:val="none"/>
        </w:rPr>
        <w:t>台州天兴工程管理咨询有限公司受</w:t>
      </w:r>
      <w:r>
        <w:rPr>
          <w:rFonts w:hint="eastAsia" w:cs="宋体"/>
          <w:b w:val="0"/>
          <w:color w:val="auto"/>
          <w:sz w:val="24"/>
          <w:szCs w:val="24"/>
          <w:highlight w:val="none"/>
        </w:rPr>
        <w:t>台州市自然资源和规划信息中心</w:t>
      </w:r>
      <w:r>
        <w:rPr>
          <w:rFonts w:cs="宋体"/>
          <w:b w:val="0"/>
          <w:color w:val="auto"/>
          <w:sz w:val="24"/>
          <w:szCs w:val="24"/>
          <w:highlight w:val="none"/>
        </w:rPr>
        <w:t>委托，根据政府采购（分散采购）预算执行确认书（</w:t>
      </w:r>
      <w:r>
        <w:rPr>
          <w:rFonts w:hint="eastAsia" w:cs="宋体"/>
          <w:b w:val="0"/>
          <w:color w:val="auto"/>
          <w:sz w:val="24"/>
          <w:szCs w:val="24"/>
          <w:highlight w:val="none"/>
        </w:rPr>
        <w:t>黄财采确临[2024]</w:t>
      </w:r>
      <w:r>
        <w:rPr>
          <w:rFonts w:hint="eastAsia" w:cs="宋体"/>
          <w:b w:val="0"/>
          <w:color w:val="auto"/>
          <w:sz w:val="24"/>
          <w:szCs w:val="24"/>
          <w:highlight w:val="none"/>
          <w:lang w:val="en-US" w:eastAsia="zh-CN"/>
        </w:rPr>
        <w:t>1410</w:t>
      </w:r>
      <w:r>
        <w:rPr>
          <w:rFonts w:hint="eastAsia" w:cs="宋体"/>
          <w:b w:val="0"/>
          <w:color w:val="auto"/>
          <w:sz w:val="24"/>
          <w:szCs w:val="24"/>
          <w:highlight w:val="none"/>
        </w:rPr>
        <w:t>号</w:t>
      </w:r>
      <w:r>
        <w:rPr>
          <w:rFonts w:hint="eastAsia" w:cs="宋体"/>
          <w:b w:val="0"/>
          <w:color w:val="auto"/>
          <w:sz w:val="24"/>
          <w:szCs w:val="24"/>
          <w:highlight w:val="none"/>
          <w:lang w:eastAsia="zh-CN"/>
        </w:rPr>
        <w:t>、</w:t>
      </w:r>
      <w:r>
        <w:rPr>
          <w:rFonts w:hint="eastAsia" w:cs="宋体"/>
          <w:b w:val="0"/>
          <w:color w:val="auto"/>
          <w:sz w:val="24"/>
          <w:szCs w:val="24"/>
          <w:highlight w:val="none"/>
          <w:lang w:val="en-US" w:eastAsia="zh-CN"/>
        </w:rPr>
        <w:t>路</w:t>
      </w:r>
      <w:r>
        <w:rPr>
          <w:rFonts w:hint="eastAsia" w:cs="宋体"/>
          <w:b w:val="0"/>
          <w:color w:val="auto"/>
          <w:sz w:val="24"/>
          <w:szCs w:val="24"/>
          <w:highlight w:val="none"/>
        </w:rPr>
        <w:t>财采确临[2024]</w:t>
      </w:r>
      <w:r>
        <w:rPr>
          <w:rFonts w:hint="eastAsia" w:cs="宋体"/>
          <w:b w:val="0"/>
          <w:color w:val="auto"/>
          <w:sz w:val="24"/>
          <w:szCs w:val="24"/>
          <w:highlight w:val="none"/>
          <w:lang w:val="en-US" w:eastAsia="zh-CN"/>
        </w:rPr>
        <w:t>4152</w:t>
      </w:r>
      <w:r>
        <w:rPr>
          <w:rFonts w:hint="eastAsia" w:cs="宋体"/>
          <w:b w:val="0"/>
          <w:color w:val="auto"/>
          <w:sz w:val="24"/>
          <w:szCs w:val="24"/>
          <w:highlight w:val="none"/>
        </w:rPr>
        <w:t>号</w:t>
      </w:r>
      <w:r>
        <w:rPr>
          <w:rFonts w:hint="eastAsia" w:cs="宋体"/>
          <w:b w:val="0"/>
          <w:color w:val="auto"/>
          <w:sz w:val="24"/>
          <w:szCs w:val="24"/>
          <w:highlight w:val="none"/>
          <w:lang w:eastAsia="zh-CN"/>
        </w:rPr>
        <w:t>、</w:t>
      </w:r>
      <w:r>
        <w:rPr>
          <w:rFonts w:hint="eastAsia" w:cs="宋体"/>
          <w:b w:val="0"/>
          <w:color w:val="auto"/>
          <w:sz w:val="24"/>
          <w:szCs w:val="24"/>
          <w:highlight w:val="none"/>
        </w:rPr>
        <w:t>温财采确临[2024]6418号</w:t>
      </w:r>
      <w:r>
        <w:rPr>
          <w:rFonts w:hint="eastAsia" w:cs="宋体"/>
          <w:b w:val="0"/>
          <w:color w:val="auto"/>
          <w:sz w:val="24"/>
          <w:szCs w:val="24"/>
          <w:highlight w:val="none"/>
          <w:lang w:eastAsia="zh-CN"/>
        </w:rPr>
        <w:t>、</w:t>
      </w:r>
      <w:r>
        <w:rPr>
          <w:rFonts w:hint="eastAsia" w:cs="宋体"/>
          <w:b w:val="0"/>
          <w:color w:val="auto"/>
          <w:sz w:val="24"/>
          <w:szCs w:val="24"/>
          <w:highlight w:val="none"/>
        </w:rPr>
        <w:t>温财采确[2024]6422号</w:t>
      </w:r>
      <w:r>
        <w:rPr>
          <w:rFonts w:hint="eastAsia" w:cs="宋体"/>
          <w:b w:val="0"/>
          <w:color w:val="auto"/>
          <w:sz w:val="24"/>
          <w:szCs w:val="24"/>
          <w:highlight w:val="none"/>
          <w:lang w:eastAsia="zh-CN"/>
        </w:rPr>
        <w:t>、</w:t>
      </w:r>
      <w:r>
        <w:rPr>
          <w:rFonts w:hint="eastAsia" w:cs="宋体"/>
          <w:b w:val="0"/>
          <w:color w:val="auto"/>
          <w:sz w:val="24"/>
          <w:szCs w:val="24"/>
          <w:highlight w:val="none"/>
        </w:rPr>
        <w:t>玉财采确[2024]3293号</w:t>
      </w:r>
      <w:r>
        <w:rPr>
          <w:rFonts w:hint="eastAsia" w:cs="宋体"/>
          <w:b w:val="0"/>
          <w:color w:val="auto"/>
          <w:sz w:val="24"/>
          <w:szCs w:val="24"/>
          <w:highlight w:val="none"/>
          <w:lang w:eastAsia="zh-CN"/>
        </w:rPr>
        <w:t>、</w:t>
      </w:r>
      <w:r>
        <w:rPr>
          <w:rFonts w:hint="eastAsia" w:cs="宋体"/>
          <w:b w:val="0"/>
          <w:color w:val="auto"/>
          <w:sz w:val="24"/>
          <w:szCs w:val="24"/>
          <w:highlight w:val="none"/>
        </w:rPr>
        <w:t>县财采确临[2024]1712号</w:t>
      </w:r>
      <w:r>
        <w:rPr>
          <w:rFonts w:hint="eastAsia" w:cs="宋体"/>
          <w:b w:val="0"/>
          <w:color w:val="auto"/>
          <w:sz w:val="24"/>
          <w:szCs w:val="24"/>
          <w:highlight w:val="none"/>
          <w:lang w:eastAsia="zh-CN"/>
        </w:rPr>
        <w:t>、</w:t>
      </w:r>
      <w:r>
        <w:rPr>
          <w:rFonts w:hint="eastAsia" w:cs="宋体"/>
          <w:b w:val="0"/>
          <w:color w:val="auto"/>
          <w:sz w:val="24"/>
          <w:szCs w:val="24"/>
          <w:highlight w:val="none"/>
        </w:rPr>
        <w:t>仙财采确临[2024]1888号</w:t>
      </w:r>
      <w:r>
        <w:rPr>
          <w:rFonts w:hint="eastAsia" w:cs="宋体"/>
          <w:b w:val="0"/>
          <w:color w:val="auto"/>
          <w:sz w:val="24"/>
          <w:szCs w:val="24"/>
          <w:highlight w:val="none"/>
          <w:lang w:eastAsia="zh-CN"/>
        </w:rPr>
        <w:t>、</w:t>
      </w:r>
      <w:r>
        <w:rPr>
          <w:rFonts w:hint="eastAsia" w:cs="宋体"/>
          <w:b w:val="0"/>
          <w:color w:val="auto"/>
          <w:sz w:val="24"/>
          <w:szCs w:val="24"/>
          <w:highlight w:val="none"/>
        </w:rPr>
        <w:t>定财采确临[2024]1254号</w:t>
      </w:r>
      <w:r>
        <w:rPr>
          <w:rFonts w:cs="宋体"/>
          <w:b w:val="0"/>
          <w:color w:val="auto"/>
          <w:sz w:val="24"/>
          <w:szCs w:val="24"/>
          <w:highlight w:val="none"/>
        </w:rPr>
        <w:t>）确认，现就</w:t>
      </w:r>
      <w:r>
        <w:rPr>
          <w:rFonts w:hint="eastAsia" w:cs="宋体"/>
          <w:b w:val="0"/>
          <w:color w:val="auto"/>
          <w:sz w:val="24"/>
          <w:szCs w:val="24"/>
          <w:highlight w:val="none"/>
          <w:lang w:eastAsia="zh-CN"/>
        </w:rPr>
        <w:t>“地信智服”成果服务子场景试点成果全市推广应用服务项目</w:t>
      </w:r>
      <w:r>
        <w:rPr>
          <w:rFonts w:cs="宋体"/>
          <w:b w:val="0"/>
          <w:color w:val="auto"/>
          <w:sz w:val="24"/>
          <w:szCs w:val="24"/>
          <w:highlight w:val="none"/>
        </w:rPr>
        <w:t>进行公开招标，欢迎符合资格条件的国内投标人参加投标。</w:t>
      </w:r>
    </w:p>
    <w:p>
      <w:pPr>
        <w:pStyle w:val="6"/>
        <w:keepNext w:val="0"/>
        <w:keepLines w:val="0"/>
        <w:pageBreakBefore w:val="0"/>
        <w:kinsoku/>
        <w:wordWrap/>
        <w:overflowPunct/>
        <w:topLinePunct w:val="0"/>
        <w:bidi w:val="0"/>
        <w:snapToGrid/>
        <w:spacing w:line="360" w:lineRule="auto"/>
        <w:ind w:firstLine="482" w:firstLineChars="200"/>
        <w:textAlignment w:val="auto"/>
        <w:rPr>
          <w:rFonts w:cs="宋体"/>
          <w:bCs/>
          <w:color w:val="auto"/>
          <w:sz w:val="24"/>
          <w:szCs w:val="24"/>
          <w:highlight w:val="none"/>
        </w:rPr>
      </w:pPr>
      <w:r>
        <w:rPr>
          <w:rFonts w:hint="eastAsia" w:cs="宋体"/>
          <w:bCs/>
          <w:color w:val="auto"/>
          <w:sz w:val="24"/>
          <w:szCs w:val="24"/>
          <w:highlight w:val="none"/>
        </w:rPr>
        <w:t>一、项目基本情况</w:t>
      </w:r>
      <w:bookmarkEnd w:id="3"/>
      <w:bookmarkEnd w:id="4"/>
      <w:bookmarkEnd w:id="5"/>
      <w:bookmarkEnd w:id="6"/>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TZTX-2024-GK068</w:t>
      </w:r>
    </w:p>
    <w:bookmarkEnd w:id="7"/>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kern w:val="0"/>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kern w:val="0"/>
          <w:sz w:val="24"/>
          <w:szCs w:val="24"/>
          <w:highlight w:val="none"/>
          <w:lang w:eastAsia="zh-CN"/>
        </w:rPr>
        <w:t>“地信智服”成果服务子场景试点成果全市推广应用服务项目</w:t>
      </w:r>
    </w:p>
    <w:tbl>
      <w:tblPr>
        <w:tblStyle w:val="25"/>
        <w:tblW w:w="9215" w:type="dxa"/>
        <w:jc w:val="center"/>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3"/>
        <w:gridCol w:w="1746"/>
        <w:gridCol w:w="2032"/>
        <w:gridCol w:w="765"/>
        <w:gridCol w:w="810"/>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3"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标项号</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firstLine="120" w:firstLineChars="5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项目名称</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简要技术要求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数量</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单位</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79"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1</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“地信智服”成果服务子场景试点成果全市推广应用服务项目</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spacing w:before="0" w:beforeAutospacing="0" w:after="0" w:afterAutospacing="0"/>
              <w:ind w:left="0" w:leftChars="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bidi="ar"/>
              </w:rPr>
              <w:t>“地信智服”成果服务子场景试点成果全市推广应用服务，服务区域包括黄岩区、</w:t>
            </w:r>
            <w:r>
              <w:rPr>
                <w:rFonts w:hint="eastAsia" w:ascii="宋体" w:hAnsi="宋体" w:cs="宋体"/>
                <w:color w:val="auto"/>
                <w:sz w:val="24"/>
                <w:szCs w:val="24"/>
                <w:highlight w:val="none"/>
                <w:lang w:val="en-US" w:eastAsia="zh-CN" w:bidi="ar"/>
              </w:rPr>
              <w:t>路桥区、</w:t>
            </w:r>
            <w:r>
              <w:rPr>
                <w:rFonts w:hint="eastAsia" w:ascii="宋体" w:hAnsi="宋体" w:eastAsia="宋体" w:cs="宋体"/>
                <w:color w:val="auto"/>
                <w:sz w:val="24"/>
                <w:szCs w:val="24"/>
                <w:highlight w:val="none"/>
                <w:lang w:bidi="ar"/>
              </w:rPr>
              <w:t>温岭市、玉环市、天台县、仙居县、三门县。</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项</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Cs/>
                <w:color w:val="auto"/>
                <w:kern w:val="2"/>
                <w:sz w:val="24"/>
                <w:szCs w:val="24"/>
                <w:highlight w:val="none"/>
                <w:lang w:val="en-US" w:eastAsia="zh-CN" w:bidi="ar"/>
              </w:rPr>
            </w:pPr>
            <w:r>
              <w:rPr>
                <w:rFonts w:hint="eastAsia" w:ascii="宋体" w:hAnsi="宋体" w:cs="宋体"/>
                <w:bCs/>
                <w:color w:val="auto"/>
                <w:kern w:val="2"/>
                <w:sz w:val="24"/>
                <w:szCs w:val="24"/>
                <w:highlight w:val="none"/>
                <w:lang w:val="en-US" w:eastAsia="zh-CN" w:bidi="ar"/>
              </w:rPr>
              <w:t>167</w:t>
            </w:r>
            <w:r>
              <w:rPr>
                <w:rFonts w:hint="eastAsia" w:ascii="宋体" w:hAnsi="宋体" w:eastAsia="宋体" w:cs="宋体"/>
                <w:bCs/>
                <w:color w:val="auto"/>
                <w:kern w:val="2"/>
                <w:sz w:val="24"/>
                <w:szCs w:val="24"/>
                <w:highlight w:val="none"/>
                <w:lang w:val="en-US" w:eastAsia="zh-CN" w:bidi="ar"/>
              </w:rPr>
              <w:t>.00万元</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仿宋_GB2312"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其中黄岩区12.00万元、路桥区12.00万元、温岭市39.00万元、玉环市18.00万元、天台县18.00万元、仙居县30.00万元、三门县38.00万元</w:t>
            </w:r>
            <w:r>
              <w:rPr>
                <w:rFonts w:hint="eastAsia" w:ascii="宋体" w:hAnsi="宋体" w:eastAsia="宋体" w:cs="宋体"/>
                <w:bCs/>
                <w:color w:val="auto"/>
                <w:kern w:val="2"/>
                <w:sz w:val="24"/>
                <w:szCs w:val="24"/>
                <w:highlight w:val="none"/>
                <w:lang w:val="en-US" w:eastAsia="zh-CN" w:bidi="ar"/>
              </w:rPr>
              <w:t>）</w:t>
            </w:r>
          </w:p>
        </w:tc>
      </w:tr>
    </w:tbl>
    <w:p>
      <w:pPr>
        <w:pStyle w:val="2"/>
        <w:rPr>
          <w:rFonts w:hint="eastAsia" w:ascii="宋体" w:hAnsi="宋体" w:cs="宋体"/>
          <w:color w:val="auto"/>
          <w:kern w:val="0"/>
          <w:sz w:val="24"/>
          <w:szCs w:val="24"/>
          <w:highlight w:val="none"/>
          <w:lang w:eastAsia="zh-CN"/>
        </w:rPr>
      </w:pPr>
    </w:p>
    <w:p>
      <w:pPr>
        <w:pStyle w:val="6"/>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auto"/>
          <w:sz w:val="24"/>
          <w:szCs w:val="24"/>
          <w:highlight w:val="none"/>
        </w:rPr>
      </w:pPr>
      <w:bookmarkStart w:id="10" w:name="_Toc28359080"/>
      <w:bookmarkStart w:id="11" w:name="_Toc35393622"/>
      <w:bookmarkStart w:id="12" w:name="_Toc35393791"/>
      <w:bookmarkStart w:id="13" w:name="_Toc28359003"/>
      <w:r>
        <w:rPr>
          <w:rFonts w:hint="eastAsia" w:ascii="宋体" w:hAnsi="宋体" w:eastAsia="宋体" w:cs="宋体"/>
          <w:bCs/>
          <w:color w:val="auto"/>
          <w:sz w:val="24"/>
          <w:szCs w:val="24"/>
          <w:highlight w:val="none"/>
        </w:rPr>
        <w:t>二、投标人的资格要求</w:t>
      </w:r>
      <w:bookmarkEnd w:id="10"/>
      <w:bookmarkEnd w:id="11"/>
      <w:bookmarkEnd w:id="12"/>
      <w:bookmarkEnd w:id="13"/>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b/>
          <w:bCs w:val="0"/>
          <w:snapToGrid w:val="0"/>
          <w:color w:val="auto"/>
          <w:kern w:val="10"/>
          <w:sz w:val="24"/>
          <w:szCs w:val="24"/>
          <w:highlight w:val="none"/>
          <w:lang w:val="en-US" w:eastAsia="zh-CN"/>
        </w:rPr>
      </w:pPr>
      <w:r>
        <w:rPr>
          <w:rFonts w:hint="eastAsia" w:ascii="宋体" w:hAnsi="宋体" w:eastAsia="宋体" w:cs="宋体"/>
          <w:color w:val="auto"/>
          <w:sz w:val="24"/>
          <w:szCs w:val="24"/>
          <w:highlight w:val="none"/>
        </w:rPr>
        <w:t>（二）本项目的特定资格要求：</w:t>
      </w:r>
      <w:r>
        <w:rPr>
          <w:rFonts w:hint="eastAsia" w:ascii="宋体" w:hAnsi="宋体" w:cs="宋体"/>
          <w:b/>
          <w:bCs w:val="0"/>
          <w:snapToGrid w:val="0"/>
          <w:color w:val="auto"/>
          <w:kern w:val="10"/>
          <w:sz w:val="24"/>
          <w:szCs w:val="24"/>
          <w:highlight w:val="none"/>
          <w:lang w:val="en-US" w:eastAsia="zh-CN"/>
        </w:rPr>
        <w:t>无。</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（三）本项目不接受联合体投标。</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highlight w:val="none"/>
          <w:lang w:bidi="ar"/>
        </w:rPr>
        <w:t>本项目非专门面向中小企业采购项目。</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（五）信用记录：未被列入“信用中国”失信被执行人或重大税收违法案件当事人名单；未处于“中国政府采购网”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"http://www.ccgp.gov.cn）政府采购严重违法失信行为信息记录中的禁止参加政府采购活动期间。"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政府采购严重违法失信行为信息记录中的禁止参加政府采购活动期间。</w:t>
      </w:r>
      <w:r>
        <w:rPr>
          <w:rFonts w:hint="eastAsia" w:ascii="宋体" w:hAnsi="宋体" w:eastAsia="宋体" w:cs="宋体"/>
          <w:color w:val="auto"/>
          <w:sz w:val="24"/>
          <w:szCs w:val="24"/>
          <w:highlight w:val="none"/>
        </w:rPr>
        <w:fldChar w:fldCharType="end"/>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6"/>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三、获取招标文件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（一）时间：公告发布时间至投标截止时间。</w:t>
      </w:r>
    </w:p>
    <w:p>
      <w:pPr>
        <w:pStyle w:val="27"/>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（二）方式：浙江政府采购网</w:t>
      </w:r>
      <w:r>
        <w:rPr>
          <w:rFonts w:hint="eastAsia" w:ascii="宋体" w:hAnsi="宋体" w:eastAsia="宋体" w:cs="宋体"/>
          <w:color w:val="auto"/>
          <w:kern w:val="2"/>
          <w:sz w:val="24"/>
          <w:szCs w:val="24"/>
          <w:highlight w:val="none"/>
        </w:rPr>
        <w:t>（https://zfcg.czt.zj.gov.cn）</w:t>
      </w:r>
      <w:r>
        <w:rPr>
          <w:rFonts w:hint="eastAsia" w:ascii="宋体" w:hAnsi="宋体" w:eastAsia="宋体" w:cs="宋体"/>
          <w:color w:val="auto"/>
          <w:sz w:val="24"/>
          <w:szCs w:val="24"/>
          <w:highlight w:val="none"/>
        </w:rPr>
        <w:t>免费下载</w:t>
      </w:r>
    </w:p>
    <w:p>
      <w:pPr>
        <w:pStyle w:val="6"/>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auto"/>
          <w:sz w:val="24"/>
          <w:szCs w:val="24"/>
          <w:highlight w:val="none"/>
        </w:rPr>
      </w:pPr>
      <w:bookmarkStart w:id="14" w:name="_Toc28359082"/>
      <w:bookmarkStart w:id="15" w:name="_Toc28359005"/>
      <w:bookmarkStart w:id="16" w:name="_Toc35393793"/>
      <w:bookmarkStart w:id="17" w:name="_Toc35393624"/>
      <w:r>
        <w:rPr>
          <w:rFonts w:hint="eastAsia" w:ascii="宋体" w:hAnsi="宋体" w:eastAsia="宋体" w:cs="宋体"/>
          <w:bCs/>
          <w:color w:val="auto"/>
          <w:sz w:val="24"/>
          <w:szCs w:val="24"/>
          <w:highlight w:val="none"/>
        </w:rPr>
        <w:t>四、提交投标文件</w:t>
      </w:r>
      <w:bookmarkEnd w:id="14"/>
      <w:bookmarkEnd w:id="15"/>
      <w:bookmarkEnd w:id="16"/>
      <w:bookmarkEnd w:id="17"/>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iCs/>
          <w:color w:val="auto"/>
          <w:sz w:val="24"/>
          <w:szCs w:val="24"/>
          <w:highlight w:val="none"/>
          <w:u w:val="single"/>
        </w:rPr>
      </w:pPr>
      <w:bookmarkStart w:id="18" w:name="_Toc28359007"/>
      <w:bookmarkStart w:id="19" w:name="_Toc35393794"/>
      <w:bookmarkStart w:id="20" w:name="_Toc35393625"/>
      <w:bookmarkStart w:id="21" w:name="_Toc28359084"/>
      <w:r>
        <w:rPr>
          <w:rFonts w:hint="eastAsia" w:ascii="宋体" w:hAnsi="宋体" w:eastAsia="宋体" w:cs="宋体"/>
          <w:color w:val="auto"/>
          <w:sz w:val="24"/>
          <w:szCs w:val="24"/>
          <w:highlight w:val="none"/>
        </w:rPr>
        <w:t>（一）截止时间（开标时间）：</w:t>
      </w:r>
      <w:r>
        <w:rPr>
          <w:rFonts w:hint="eastAsia" w:ascii="宋体" w:hAnsi="宋体" w:eastAsia="宋体" w:cs="宋体"/>
          <w:bCs/>
          <w:color w:val="auto"/>
          <w:sz w:val="24"/>
          <w:szCs w:val="24"/>
          <w:highlight w:val="none"/>
          <w:u w:val="single"/>
        </w:rPr>
        <w:t>2024年</w:t>
      </w:r>
      <w:r>
        <w:rPr>
          <w:rFonts w:hint="eastAsia" w:ascii="宋体" w:hAnsi="宋体" w:cs="宋体"/>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月</w:t>
      </w:r>
      <w:r>
        <w:rPr>
          <w:rFonts w:hint="eastAsia" w:ascii="宋体" w:hAnsi="宋体" w:cs="宋体"/>
          <w:color w:val="auto"/>
          <w:sz w:val="24"/>
          <w:szCs w:val="24"/>
          <w:highlight w:val="none"/>
          <w:u w:val="single"/>
          <w:lang w:val="en-US" w:eastAsia="zh-CN"/>
        </w:rPr>
        <w:t>14</w:t>
      </w:r>
      <w:bookmarkStart w:id="112" w:name="_GoBack"/>
      <w:bookmarkEnd w:id="112"/>
      <w:r>
        <w:rPr>
          <w:rFonts w:hint="eastAsia" w:ascii="宋体" w:hAnsi="宋体" w:eastAsia="宋体" w:cs="宋体"/>
          <w:bCs/>
          <w:color w:val="auto"/>
          <w:sz w:val="24"/>
          <w:szCs w:val="24"/>
          <w:highlight w:val="none"/>
          <w:u w:val="single"/>
        </w:rPr>
        <w:t>日09:00</w:t>
      </w:r>
      <w:r>
        <w:rPr>
          <w:rFonts w:hint="eastAsia" w:ascii="宋体" w:hAnsi="宋体" w:eastAsia="宋体" w:cs="宋体"/>
          <w:bCs/>
          <w:color w:val="auto"/>
          <w:sz w:val="24"/>
          <w:szCs w:val="24"/>
          <w:highlight w:val="none"/>
        </w:rPr>
        <w:t>（北京时间）</w:t>
      </w:r>
    </w:p>
    <w:p>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（二）投标网址：浙江政府采购云平台（http://www.zcygov.cn）</w:t>
      </w:r>
    </w:p>
    <w:bookmarkEnd w:id="18"/>
    <w:bookmarkEnd w:id="19"/>
    <w:bookmarkEnd w:id="20"/>
    <w:bookmarkEnd w:id="21"/>
    <w:p>
      <w:pPr>
        <w:pStyle w:val="17"/>
        <w:keepNext w:val="0"/>
        <w:keepLines w:val="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五、发布公告</w:t>
      </w:r>
    </w:p>
    <w:p>
      <w:pPr>
        <w:pStyle w:val="17"/>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（一）公告网址：</w:t>
      </w:r>
      <w:r>
        <w:rPr>
          <w:rFonts w:hint="eastAsia" w:ascii="宋体" w:hAnsi="宋体" w:eastAsia="宋体" w:cs="宋体"/>
          <w:color w:val="auto"/>
          <w:kern w:val="0"/>
          <w:sz w:val="24"/>
          <w:szCs w:val="24"/>
          <w:highlight w:val="none"/>
        </w:rPr>
        <w:t>浙江政府采购网（</w:t>
      </w:r>
      <w:r>
        <w:rPr>
          <w:rFonts w:hint="eastAsia" w:ascii="宋体" w:hAnsi="宋体" w:eastAsia="宋体" w:cs="宋体"/>
          <w:color w:val="auto"/>
          <w:sz w:val="24"/>
          <w:szCs w:val="24"/>
          <w:highlight w:val="none"/>
        </w:rPr>
        <w:t>https://zfcg.czt.zj.gov.cn</w:t>
      </w:r>
      <w:r>
        <w:rPr>
          <w:rFonts w:hint="eastAsia" w:ascii="宋体" w:hAnsi="宋体" w:eastAsia="宋体" w:cs="宋体"/>
          <w:color w:val="auto"/>
          <w:kern w:val="0"/>
          <w:sz w:val="24"/>
          <w:szCs w:val="24"/>
          <w:highlight w:val="none"/>
        </w:rPr>
        <w:t>）。</w:t>
      </w:r>
    </w:p>
    <w:p>
      <w:pPr>
        <w:pStyle w:val="17"/>
        <w:keepNext w:val="0"/>
        <w:keepLines w:val="0"/>
        <w:pageBreakBefore w:val="0"/>
        <w:kinsoku/>
        <w:wordWrap/>
        <w:overflowPunct/>
        <w:topLinePunct w:val="0"/>
        <w:bidi w:val="0"/>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（二）公告期限：</w:t>
      </w:r>
      <w:r>
        <w:rPr>
          <w:rFonts w:hint="eastAsia" w:ascii="宋体" w:hAnsi="宋体" w:eastAsia="宋体" w:cs="宋体"/>
          <w:color w:val="auto"/>
          <w:kern w:val="0"/>
          <w:sz w:val="24"/>
          <w:szCs w:val="24"/>
          <w:highlight w:val="none"/>
        </w:rPr>
        <w:t>本公告期限自发布之日起五个工作日。</w:t>
      </w:r>
    </w:p>
    <w:p>
      <w:pPr>
        <w:pStyle w:val="6"/>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Cs/>
          <w:color w:val="auto"/>
          <w:sz w:val="24"/>
          <w:szCs w:val="24"/>
          <w:highlight w:val="none"/>
        </w:rPr>
      </w:pPr>
      <w:bookmarkStart w:id="22" w:name="_Toc35393626"/>
      <w:bookmarkStart w:id="23" w:name="_Toc35393795"/>
      <w:r>
        <w:rPr>
          <w:rFonts w:hint="eastAsia" w:ascii="宋体" w:hAnsi="宋体" w:eastAsia="宋体" w:cs="宋体"/>
          <w:bCs/>
          <w:color w:val="auto"/>
          <w:sz w:val="24"/>
          <w:szCs w:val="24"/>
          <w:highlight w:val="none"/>
        </w:rPr>
        <w:t>六、</w:t>
      </w:r>
      <w:bookmarkEnd w:id="22"/>
      <w:bookmarkEnd w:id="23"/>
      <w:r>
        <w:rPr>
          <w:rFonts w:hint="eastAsia" w:ascii="宋体" w:hAnsi="宋体" w:eastAsia="宋体" w:cs="宋体"/>
          <w:bCs/>
          <w:color w:val="auto"/>
          <w:sz w:val="24"/>
          <w:szCs w:val="24"/>
          <w:highlight w:val="none"/>
        </w:rPr>
        <w:t>注册报名</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投标人需登录浙江省政府采购网（https://zfcg.czt.zj.gov.cn/）进行注册后报名。</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七、相关注意事项：</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（三）其他补充事宜</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0"/>
        <w:keepNext w:val="0"/>
        <w:keepLines w:val="0"/>
        <w:pageBreakBefore w:val="0"/>
        <w:widowControl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7"/>
        <w:keepNext w:val="0"/>
        <w:keepLines w:val="0"/>
        <w:pageBreakBefore w:val="0"/>
        <w:kinsoku/>
        <w:wordWrap/>
        <w:overflowPunct/>
        <w:topLinePunct w:val="0"/>
        <w:bidi w:val="0"/>
        <w:spacing w:line="360" w:lineRule="auto"/>
        <w:ind w:left="0" w:leftChars="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bookmarkStart w:id="24" w:name="_Toc35393796"/>
      <w:bookmarkStart w:id="25" w:name="_Toc35393627"/>
      <w:bookmarkStart w:id="26" w:name="_Toc28359008"/>
      <w:bookmarkStart w:id="27" w:name="_Toc28359085"/>
      <w:r>
        <w:rPr>
          <w:rFonts w:hint="eastAsia" w:ascii="宋体" w:hAnsi="宋体" w:eastAsia="宋体" w:cs="宋体"/>
          <w:b/>
          <w:bCs/>
          <w:color w:val="auto"/>
          <w:sz w:val="24"/>
          <w:szCs w:val="24"/>
          <w:highlight w:val="none"/>
        </w:rPr>
        <w:t>八、联系</w:t>
      </w:r>
      <w:bookmarkEnd w:id="24"/>
      <w:bookmarkEnd w:id="25"/>
      <w:bookmarkEnd w:id="26"/>
      <w:bookmarkEnd w:id="27"/>
      <w:r>
        <w:rPr>
          <w:rFonts w:hint="eastAsia" w:ascii="宋体" w:hAnsi="宋体" w:eastAsia="宋体" w:cs="宋体"/>
          <w:b/>
          <w:bCs/>
          <w:color w:val="auto"/>
          <w:sz w:val="24"/>
          <w:szCs w:val="24"/>
          <w:highlight w:val="none"/>
        </w:rPr>
        <w:t>方式</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（一）采购人（受理招标文件相关质疑及答复） </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台州市自然资源和规划信息中心</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椒江区市府大道468号</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询问联系人：</w:t>
      </w:r>
      <w:r>
        <w:rPr>
          <w:rFonts w:hint="eastAsia" w:ascii="宋体" w:hAnsi="宋体" w:eastAsia="宋体" w:cs="宋体"/>
          <w:color w:val="auto"/>
          <w:sz w:val="24"/>
          <w:szCs w:val="24"/>
          <w:highlight w:val="none"/>
          <w:u w:val="single"/>
        </w:rPr>
        <w:t>张老师</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询问联系电话：</w:t>
      </w:r>
      <w:r>
        <w:rPr>
          <w:rFonts w:hint="eastAsia" w:ascii="宋体" w:hAnsi="宋体" w:eastAsia="宋体" w:cs="宋体"/>
          <w:color w:val="auto"/>
          <w:sz w:val="24"/>
          <w:szCs w:val="24"/>
          <w:highlight w:val="none"/>
          <w:u w:val="single"/>
        </w:rPr>
        <w:t>0576-88517545</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质疑联系人：</w:t>
      </w:r>
      <w:bookmarkStart w:id="28" w:name="_Toc28359086"/>
      <w:bookmarkStart w:id="29" w:name="_Toc28359009"/>
      <w:r>
        <w:rPr>
          <w:rFonts w:hint="eastAsia" w:ascii="宋体" w:hAnsi="宋体" w:eastAsia="宋体" w:cs="宋体"/>
          <w:color w:val="auto"/>
          <w:sz w:val="24"/>
          <w:szCs w:val="24"/>
          <w:highlight w:val="none"/>
          <w:u w:val="single"/>
        </w:rPr>
        <w:t>朱老师</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质疑联系电话：</w:t>
      </w:r>
      <w:r>
        <w:rPr>
          <w:rFonts w:hint="eastAsia" w:ascii="宋体" w:hAnsi="宋体" w:eastAsia="宋体" w:cs="宋体"/>
          <w:color w:val="auto"/>
          <w:sz w:val="24"/>
          <w:szCs w:val="24"/>
          <w:highlight w:val="none"/>
          <w:u w:val="single"/>
        </w:rPr>
        <w:t>0576-88517803</w:t>
      </w:r>
    </w:p>
    <w:bookmarkEnd w:id="28"/>
    <w:bookmarkEnd w:id="29"/>
    <w:p>
      <w:pPr>
        <w:keepNext w:val="0"/>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（二）采购组织机构</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台州天兴工程管理咨询有限公司</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浙江省台州市椒江区海门街道建设路105-16号</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徐女士</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15057620383（座机）</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受理联系人：</w:t>
      </w:r>
      <w:r>
        <w:rPr>
          <w:rFonts w:hint="eastAsia" w:ascii="宋体" w:hAnsi="宋体" w:eastAsia="宋体" w:cs="宋体"/>
          <w:color w:val="auto"/>
          <w:sz w:val="24"/>
          <w:szCs w:val="24"/>
          <w:highlight w:val="none"/>
          <w:u w:val="single"/>
        </w:rPr>
        <w:t>洪先生（受理注册、中标结果相关质疑及答复）</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0576-88322665</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技术人员：</w:t>
      </w:r>
      <w:r>
        <w:rPr>
          <w:rFonts w:hint="eastAsia" w:ascii="宋体" w:hAnsi="宋体" w:eastAsia="宋体" w:cs="宋体"/>
          <w:color w:val="auto"/>
          <w:sz w:val="24"/>
          <w:szCs w:val="24"/>
          <w:highlight w:val="none"/>
          <w:u w:val="single"/>
        </w:rPr>
        <w:t>洪先生</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0576-88322665</w:t>
      </w:r>
    </w:p>
    <w:p>
      <w:pPr>
        <w:keepNext w:val="0"/>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（三）同级政府采购监管机构</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台州市财政局政府采购监管处</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台州市纬一路66号</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陈工</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0576-88206705</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李工</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0576-88206731</w:t>
      </w:r>
    </w:p>
    <w:p>
      <w:pPr>
        <w:keepNext w:val="0"/>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（四）政采云平台：联系电话：4008817190</w:t>
      </w:r>
    </w:p>
    <w:p>
      <w:pPr>
        <w:pStyle w:val="19"/>
        <w:rPr>
          <w:rFonts w:hint="eastAsia"/>
          <w:color w:val="auto"/>
          <w:highlight w:val="none"/>
        </w:rPr>
      </w:pP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firstLine="53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台州天兴工程管理咨询有限公司</w:t>
      </w:r>
    </w:p>
    <w:p>
      <w:pPr>
        <w:keepNext w:val="0"/>
        <w:keepLines w:val="0"/>
        <w:pageBreakBefore w:val="0"/>
        <w:widowControl/>
        <w:kinsoku/>
        <w:wordWrap/>
        <w:overflowPunct/>
        <w:topLinePunct w:val="0"/>
        <w:bidi w:val="0"/>
        <w:spacing w:line="360" w:lineRule="auto"/>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2024年</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月</w:t>
      </w:r>
    </w:p>
    <w:p>
      <w:pPr>
        <w:pStyle w:val="17"/>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br w:type="page"/>
      </w:r>
    </w:p>
    <w:p>
      <w:pPr>
        <w:rPr>
          <w:rFonts w:eastAsiaTheme="minorEastAsia"/>
          <w:color w:val="auto"/>
          <w:highlight w:val="none"/>
        </w:rPr>
      </w:pPr>
    </w:p>
    <w:bookmarkEnd w:id="8"/>
    <w:bookmarkEnd w:id="9"/>
    <w:p>
      <w:pPr>
        <w:keepNext w:val="0"/>
        <w:keepLines w:val="0"/>
        <w:widowControl w:val="0"/>
        <w:numPr>
          <w:ilvl w:val="0"/>
          <w:numId w:val="4"/>
        </w:numPr>
        <w:suppressLineNumbers w:val="0"/>
        <w:spacing w:before="0" w:beforeAutospacing="0" w:after="0" w:afterAutospacing="0" w:line="360" w:lineRule="auto"/>
        <w:ind w:left="0" w:right="0" w:firstLine="0"/>
        <w:jc w:val="center"/>
        <w:rPr>
          <w:rFonts w:hint="eastAsia" w:ascii="宋体" w:hAnsi="宋体" w:eastAsia="宋体" w:cs="宋体"/>
          <w:b/>
          <w:bCs w:val="0"/>
          <w:color w:val="auto"/>
          <w:sz w:val="36"/>
          <w:szCs w:val="36"/>
          <w:highlight w:val="none"/>
          <w:lang w:val="en-US"/>
        </w:rPr>
      </w:pPr>
      <w:bookmarkStart w:id="30" w:name="_Toc25017_WPSOffice_Level1"/>
      <w:bookmarkStart w:id="31" w:name="_Toc5481_WPSOffice_Level1"/>
      <w:r>
        <w:rPr>
          <w:rFonts w:hint="eastAsia" w:ascii="宋体" w:hAnsi="宋体" w:eastAsia="宋体" w:cs="宋体"/>
          <w:b/>
          <w:bCs w:val="0"/>
          <w:color w:val="auto"/>
          <w:kern w:val="2"/>
          <w:sz w:val="36"/>
          <w:szCs w:val="36"/>
          <w:highlight w:val="none"/>
          <w:lang w:val="en-US" w:eastAsia="zh-CN" w:bidi="ar"/>
        </w:rPr>
        <w:t>投标人须知</w:t>
      </w:r>
      <w:bookmarkEnd w:id="30"/>
    </w:p>
    <w:p>
      <w:pPr>
        <w:keepNext w:val="0"/>
        <w:keepLines w:val="0"/>
        <w:widowControl w:val="0"/>
        <w:numPr>
          <w:ilvl w:val="0"/>
          <w:numId w:val="5"/>
        </w:numPr>
        <w:suppressLineNumbers w:val="0"/>
        <w:spacing w:before="0" w:beforeAutospacing="0" w:after="0" w:afterAutospacing="0" w:line="360" w:lineRule="auto"/>
        <w:ind w:left="0" w:right="0" w:firstLine="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前附表</w:t>
      </w:r>
    </w:p>
    <w:tbl>
      <w:tblPr>
        <w:tblStyle w:val="25"/>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2009"/>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序号</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事项</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是否允许联合体</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default" w:ascii="宋体" w:hAnsi="宋体" w:eastAsia="宋体" w:cs="宋体"/>
                <w:color w:val="auto"/>
                <w:kern w:val="2"/>
                <w:sz w:val="24"/>
                <w:szCs w:val="24"/>
                <w:highlight w:val="none"/>
                <w:lang w:val="en-US" w:eastAsia="zh-CN" w:bidi="ar"/>
              </w:rPr>
              <w:sym w:font="Wingdings 2" w:char="0052"/>
            </w:r>
            <w:r>
              <w:rPr>
                <w:rFonts w:hint="eastAsia" w:ascii="宋体" w:hAnsi="宋体" w:eastAsia="宋体" w:cs="宋体"/>
                <w:color w:val="auto"/>
                <w:kern w:val="2"/>
                <w:sz w:val="24"/>
                <w:szCs w:val="24"/>
                <w:highlight w:val="none"/>
                <w:lang w:val="en-US" w:eastAsia="zh-CN" w:bidi="ar"/>
              </w:rPr>
              <w:t xml:space="preserve"> 不接受/</w:t>
            </w:r>
            <w:r>
              <w:rPr>
                <w:rFonts w:hint="default" w:ascii="宋体" w:hAnsi="宋体" w:eastAsia="宋体" w:cs="宋体"/>
                <w:color w:val="auto"/>
                <w:kern w:val="2"/>
                <w:sz w:val="24"/>
                <w:szCs w:val="24"/>
                <w:highlight w:val="none"/>
                <w:lang w:val="en-US" w:eastAsia="zh-CN" w:bidi="ar"/>
              </w:rPr>
              <w:sym w:font="Wingdings 2" w:char="00A3"/>
            </w:r>
            <w:r>
              <w:rPr>
                <w:rFonts w:hint="eastAsia" w:ascii="宋体" w:hAnsi="宋体" w:eastAsia="宋体" w:cs="宋体"/>
                <w:color w:val="auto"/>
                <w:kern w:val="2"/>
                <w:sz w:val="24"/>
                <w:szCs w:val="24"/>
                <w:highlight w:val="none"/>
                <w:lang w:val="en-US" w:eastAsia="zh-CN" w:bidi="ar"/>
              </w:rPr>
              <w:t xml:space="preserve">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是否允许分包</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0" w:lineRule="atLeast"/>
              <w:ind w:left="0" w:right="0" w:firstLine="0"/>
              <w:jc w:val="both"/>
              <w:rPr>
                <w:rFonts w:hint="eastAsia" w:ascii="宋体" w:hAnsi="宋体" w:eastAsia="宋体" w:cs="宋体"/>
                <w:b/>
                <w:bCs w:val="0"/>
                <w:color w:val="auto"/>
                <w:sz w:val="24"/>
                <w:szCs w:val="24"/>
                <w:highlight w:val="none"/>
                <w:lang w:val="en-US"/>
              </w:rPr>
            </w:pPr>
            <w:r>
              <w:rPr>
                <w:rFonts w:hint="default" w:ascii="宋体" w:hAnsi="宋体" w:eastAsia="宋体" w:cs="宋体"/>
                <w:color w:val="auto"/>
                <w:kern w:val="2"/>
                <w:sz w:val="24"/>
                <w:szCs w:val="24"/>
                <w:highlight w:val="none"/>
                <w:lang w:val="en-US" w:eastAsia="zh-CN" w:bidi="ar"/>
              </w:rPr>
              <w:sym w:font="Wingdings 2" w:char="0052"/>
            </w:r>
            <w:r>
              <w:rPr>
                <w:rFonts w:hint="eastAsia" w:ascii="宋体" w:hAnsi="宋体" w:eastAsia="宋体" w:cs="宋体"/>
                <w:color w:val="auto"/>
                <w:kern w:val="2"/>
                <w:sz w:val="24"/>
                <w:szCs w:val="24"/>
                <w:highlight w:val="none"/>
                <w:lang w:val="en-US" w:eastAsia="zh-CN" w:bidi="ar"/>
              </w:rPr>
              <w:t xml:space="preserve"> 不允许/</w:t>
            </w:r>
            <w:r>
              <w:rPr>
                <w:rFonts w:hint="default" w:ascii="宋体" w:hAnsi="宋体" w:eastAsia="宋体" w:cs="宋体"/>
                <w:color w:val="auto"/>
                <w:kern w:val="2"/>
                <w:sz w:val="24"/>
                <w:szCs w:val="24"/>
                <w:highlight w:val="none"/>
                <w:lang w:val="en-US" w:eastAsia="zh-CN" w:bidi="ar"/>
              </w:rPr>
              <w:sym w:font="Wingdings 2" w:char="00A3"/>
            </w:r>
            <w:r>
              <w:rPr>
                <w:rFonts w:hint="eastAsia" w:ascii="宋体" w:hAnsi="宋体" w:eastAsia="宋体" w:cs="宋体"/>
                <w:color w:val="auto"/>
                <w:kern w:val="2"/>
                <w:sz w:val="24"/>
                <w:szCs w:val="24"/>
                <w:highlight w:val="none"/>
                <w:lang w:val="en-US" w:eastAsia="zh-CN" w:bidi="ar"/>
              </w:rPr>
              <w:t xml:space="preserve">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答疑会或</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现场踏勘</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供应商自行至相关场地进行踏勘。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投标文件的制作和投标</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请投标人在投标前仔细阅读“政府采购项目电子交易操作指南”。</w:t>
            </w:r>
          </w:p>
          <w:p>
            <w:pPr>
              <w:keepNext w:val="0"/>
              <w:keepLines w:val="0"/>
              <w:widowControl w:val="0"/>
              <w:suppressLineNumbers w:val="0"/>
              <w:wordWrap w:val="0"/>
              <w:autoSpaceDE w:val="0"/>
              <w:autoSpaceDN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1.投标文件的制作：投标人按照本项目招标文件和政采云平台的要求,通过“政采云电子交易客户端”编制、加密并递交投标文件（下载网址：</w:t>
            </w:r>
            <w:r>
              <w:rPr>
                <w:rFonts w:hint="default" w:ascii="Times New Roman" w:hAnsi="Times New Roman" w:eastAsia="宋体" w:cs="Times New Roman"/>
                <w:color w:val="auto"/>
                <w:kern w:val="2"/>
                <w:sz w:val="21"/>
                <w:szCs w:val="24"/>
                <w:highlight w:val="none"/>
                <w:lang w:val="en-US" w:eastAsia="zh-CN" w:bidi="ar"/>
              </w:rPr>
              <w:fldChar w:fldCharType="begin"/>
            </w:r>
            <w:r>
              <w:rPr>
                <w:rFonts w:hint="default" w:ascii="Times New Roman" w:hAnsi="Times New Roman" w:eastAsia="宋体" w:cs="Times New Roman"/>
                <w:color w:val="auto"/>
                <w:kern w:val="2"/>
                <w:sz w:val="21"/>
                <w:szCs w:val="24"/>
                <w:highlight w:val="none"/>
                <w:lang w:val="en-US" w:eastAsia="zh-CN" w:bidi="ar"/>
              </w:rPr>
              <w:instrText xml:space="preserve"> HYPERLINK "http://www.zjzfcg.gov.cn/bidClientTemplate/2019-09-24/12975.html）。" </w:instrText>
            </w:r>
            <w:r>
              <w:rPr>
                <w:rFonts w:hint="default" w:ascii="Times New Roman" w:hAnsi="Times New Roman" w:eastAsia="宋体" w:cs="Times New Roman"/>
                <w:color w:val="auto"/>
                <w:kern w:val="2"/>
                <w:sz w:val="21"/>
                <w:szCs w:val="24"/>
                <w:highlight w:val="none"/>
                <w:lang w:val="en-US" w:eastAsia="zh-CN" w:bidi="ar"/>
              </w:rPr>
              <w:fldChar w:fldCharType="separate"/>
            </w:r>
            <w:r>
              <w:rPr>
                <w:rStyle w:val="23"/>
                <w:rFonts w:hint="eastAsia" w:ascii="宋体" w:hAnsi="宋体" w:eastAsia="宋体" w:cs="宋体"/>
                <w:color w:val="auto"/>
                <w:sz w:val="24"/>
                <w:szCs w:val="24"/>
                <w:highlight w:val="none"/>
                <w:u w:val="single"/>
                <w:lang w:val="en-US"/>
              </w:rPr>
              <w:t>https://zfcg.czt.zj.gov.cn/download/index.html）。</w:t>
            </w:r>
            <w:r>
              <w:rPr>
                <w:rFonts w:hint="default" w:ascii="Times New Roman" w:hAnsi="Times New Roman" w:eastAsia="宋体" w:cs="Times New Roman"/>
                <w:color w:val="auto"/>
                <w:kern w:val="2"/>
                <w:sz w:val="21"/>
                <w:szCs w:val="24"/>
                <w:highlight w:val="none"/>
                <w:lang w:val="en-US" w:eastAsia="zh-CN" w:bidi="ar"/>
              </w:rPr>
              <w:fldChar w:fldCharType="end"/>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投标人应当在投标截止时间前（开标当天北京时间09:00）完成投标文件的传输递交，逾期上传的投标文件恕不接受。补充或者修改投标文件的，应当先行撤回原文件，补充、修改后重新传输递交。投标截止时间前未完成上传的，视为撤回投标文件。</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3.投标文件解密：投标人应在开标当天北京时间09:00至09:30完成解密。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备份投标文件的递交</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备份投标文件是通过“政采云电子交易客户端”制做投标文件产生的备份文件，请投标人自行妥善保管。</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1.使用前提：投标人自行在线解密操作失败无法按时寻求技术人员帮助解密，或者寻求技术人员帮助仍无法按时完成解密。</w:t>
            </w:r>
          </w:p>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2.递交截止时间：开标当天</w:t>
            </w:r>
            <w:r>
              <w:rPr>
                <w:rFonts w:hint="eastAsia" w:ascii="宋体" w:hAnsi="宋体" w:eastAsia="宋体" w:cs="宋体"/>
                <w:color w:val="auto"/>
                <w:kern w:val="2"/>
                <w:sz w:val="24"/>
                <w:szCs w:val="24"/>
                <w:highlight w:val="none"/>
                <w:u w:val="single"/>
                <w:lang w:val="en-US" w:eastAsia="zh-CN" w:bidi="ar"/>
              </w:rPr>
              <w:t>09:00</w:t>
            </w:r>
            <w:r>
              <w:rPr>
                <w:rFonts w:hint="eastAsia" w:ascii="宋体" w:hAnsi="宋体" w:eastAsia="宋体" w:cs="宋体"/>
                <w:color w:val="auto"/>
                <w:kern w:val="2"/>
                <w:sz w:val="24"/>
                <w:szCs w:val="24"/>
                <w:highlight w:val="none"/>
                <w:lang w:val="en-US" w:eastAsia="zh-CN" w:bidi="ar"/>
              </w:rPr>
              <w:t>（北京时间）。</w:t>
            </w:r>
          </w:p>
          <w:p>
            <w:pPr>
              <w:pStyle w:val="20"/>
              <w:keepNext w:val="0"/>
              <w:keepLines w:val="0"/>
              <w:widowControl w:val="0"/>
              <w:suppressLineNumbers w:val="0"/>
              <w:spacing w:before="0" w:beforeAutospacing="0" w:after="0" w:afterAutospacing="0" w:line="0" w:lineRule="atLeast"/>
              <w:ind w:left="0" w:right="0"/>
              <w:jc w:val="both"/>
              <w:rPr>
                <w:rFonts w:ascii="宋体" w:hAnsi="宋体" w:eastAsia="宋体" w:cs="宋体"/>
                <w:color w:val="auto"/>
                <w:kern w:val="2"/>
                <w:highlight w:val="none"/>
                <w:lang w:val="en-US"/>
              </w:rPr>
            </w:pPr>
            <w:r>
              <w:rPr>
                <w:rFonts w:ascii="宋体" w:hAnsi="宋体" w:eastAsia="宋体" w:cs="宋体"/>
                <w:color w:val="auto"/>
                <w:kern w:val="2"/>
                <w:highlight w:val="none"/>
                <w:lang w:val="en-US"/>
              </w:rPr>
              <w:t>3.</w:t>
            </w:r>
            <w:r>
              <w:rPr>
                <w:rFonts w:ascii="宋体" w:hAnsi="宋体" w:eastAsia="宋体" w:cs="宋体"/>
                <w:color w:val="auto"/>
                <w:kern w:val="2"/>
                <w:highlight w:val="none"/>
              </w:rPr>
              <w:t>投递邮箱：</w:t>
            </w:r>
            <w:r>
              <w:rPr>
                <w:rFonts w:ascii="宋体" w:hAnsi="宋体" w:eastAsia="宋体" w:cs="宋体"/>
                <w:color w:val="auto"/>
                <w:kern w:val="2"/>
                <w:highlight w:val="none"/>
                <w:lang w:val="en-US"/>
              </w:rPr>
              <w:t>3059023954@qq.com</w:t>
            </w:r>
            <w:r>
              <w:rPr>
                <w:rFonts w:ascii="宋体" w:hAnsi="宋体" w:eastAsia="宋体" w:cs="宋体"/>
                <w:color w:val="auto"/>
                <w:kern w:val="2"/>
                <w:highlight w:val="none"/>
              </w:rPr>
              <w:t>。</w:t>
            </w:r>
          </w:p>
          <w:p>
            <w:pPr>
              <w:keepNext w:val="0"/>
              <w:keepLines w:val="0"/>
              <w:widowControl/>
              <w:suppressLineNumbers w:val="0"/>
              <w:spacing w:before="0" w:beforeAutospacing="0" w:after="0" w:afterAutospacing="0" w:line="0" w:lineRule="atLeast"/>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4.未按上述要求递交备份投标文件或所提供的备份投标文件不符合要求的视同放弃投标，仅提交备份投标文件的，投标无效。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0" w:lineRule="atLeast"/>
              <w:ind w:left="0" w:right="0"/>
              <w:jc w:val="both"/>
              <w:rPr>
                <w:rFonts w:ascii="宋体" w:hAnsi="宋体" w:eastAsia="宋体" w:cs="宋体"/>
                <w:color w:val="auto"/>
                <w:highlight w:val="none"/>
                <w:lang w:val="en-US"/>
              </w:rPr>
            </w:pPr>
            <w:r>
              <w:rPr>
                <w:rFonts w:ascii="宋体" w:hAnsi="宋体" w:eastAsia="宋体" w:cs="宋体"/>
                <w:color w:val="auto"/>
                <w:kern w:val="2"/>
                <w:highlight w:val="none"/>
              </w:rPr>
              <w:t>中标人存档纸质投标文件的要求</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0" w:lineRule="atLeast"/>
              <w:ind w:left="0" w:right="0"/>
              <w:jc w:val="both"/>
              <w:rPr>
                <w:rFonts w:ascii="宋体" w:hAnsi="宋体" w:eastAsia="宋体" w:cs="宋体"/>
                <w:color w:val="auto"/>
                <w:highlight w:val="none"/>
                <w:lang w:val="en-US"/>
              </w:rPr>
            </w:pPr>
            <w:r>
              <w:rPr>
                <w:rFonts w:ascii="宋体" w:hAnsi="宋体" w:eastAsia="宋体" w:cs="宋体"/>
                <w:color w:val="auto"/>
                <w:kern w:val="2"/>
                <w:highlight w:val="none"/>
                <w:lang w:val="en-US"/>
              </w:rPr>
              <w:t>1.</w:t>
            </w:r>
            <w:r>
              <w:rPr>
                <w:rFonts w:ascii="宋体" w:hAnsi="宋体" w:eastAsia="宋体" w:cs="宋体"/>
                <w:color w:val="auto"/>
                <w:kern w:val="2"/>
                <w:highlight w:val="none"/>
              </w:rPr>
              <w:t>存档纸质投标文件是中标人中标后提供给采购组织机构的用于本项目纸质存档备案用途的文件。</w:t>
            </w:r>
          </w:p>
          <w:p>
            <w:pPr>
              <w:pStyle w:val="20"/>
              <w:keepNext w:val="0"/>
              <w:keepLines w:val="0"/>
              <w:widowControl w:val="0"/>
              <w:suppressLineNumbers w:val="0"/>
              <w:spacing w:before="0" w:beforeAutospacing="0" w:after="0" w:afterAutospacing="0" w:line="0" w:lineRule="atLeast"/>
              <w:ind w:left="0" w:right="0"/>
              <w:jc w:val="both"/>
              <w:rPr>
                <w:rFonts w:ascii="宋体" w:hAnsi="宋体" w:eastAsia="宋体" w:cs="宋体"/>
                <w:color w:val="auto"/>
                <w:highlight w:val="none"/>
                <w:lang w:val="en-US"/>
              </w:rPr>
            </w:pPr>
            <w:r>
              <w:rPr>
                <w:rFonts w:ascii="宋体" w:hAnsi="宋体" w:eastAsia="宋体" w:cs="宋体"/>
                <w:color w:val="auto"/>
                <w:kern w:val="2"/>
                <w:highlight w:val="none"/>
                <w:lang w:val="en-US"/>
              </w:rPr>
              <w:t>2.</w:t>
            </w:r>
            <w:r>
              <w:rPr>
                <w:rFonts w:ascii="宋体" w:hAnsi="宋体" w:eastAsia="宋体" w:cs="宋体"/>
                <w:color w:val="auto"/>
                <w:kern w:val="2"/>
                <w:highlight w:val="none"/>
              </w:rPr>
              <w:t>存档纸质投标文件的装订要求：政采云电子投标文件复印件合计贰份，正副本各一份，正本须在封面标注“正本”字样并加盖公章及骑缝章，副本可以采用正本的复印件。如有不同标项，请按标项号分别装订。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0" w:lineRule="atLeast"/>
              <w:ind w:left="0" w:right="0"/>
              <w:jc w:val="both"/>
              <w:rPr>
                <w:rFonts w:ascii="宋体" w:hAnsi="宋体" w:eastAsia="宋体" w:cs="宋体"/>
                <w:color w:val="auto"/>
                <w:highlight w:val="none"/>
                <w:lang w:val="en-US"/>
              </w:rPr>
            </w:pPr>
            <w:r>
              <w:rPr>
                <w:rFonts w:ascii="宋体" w:hAnsi="宋体" w:eastAsia="宋体" w:cs="宋体"/>
                <w:color w:val="auto"/>
                <w:kern w:val="2"/>
                <w:highlight w:val="none"/>
              </w:rPr>
              <w:t>不见面开标</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0" w:lineRule="atLeast"/>
              <w:ind w:left="0" w:right="0"/>
              <w:jc w:val="both"/>
              <w:rPr>
                <w:rFonts w:ascii="宋体" w:hAnsi="宋体" w:eastAsia="宋体" w:cs="宋体"/>
                <w:color w:val="auto"/>
                <w:kern w:val="2"/>
                <w:highlight w:val="none"/>
                <w:lang w:val="en-US"/>
              </w:rPr>
            </w:pPr>
            <w:r>
              <w:rPr>
                <w:rFonts w:ascii="宋体" w:hAnsi="宋体" w:eastAsia="宋体" w:cs="宋体"/>
                <w:color w:val="auto"/>
                <w:kern w:val="2"/>
                <w:highlight w:val="none"/>
              </w:rPr>
              <w:t>采购组织机构按照招标文件规定的时间通过“政采云平台”组织开标，所有投标人均应当准时在线参加。如未参加，</w:t>
            </w:r>
            <w:r>
              <w:rPr>
                <w:rFonts w:ascii="宋体" w:hAnsi="宋体" w:eastAsia="宋体" w:cs="宋体"/>
                <w:bCs/>
                <w:color w:val="auto"/>
                <w:kern w:val="2"/>
                <w:highlight w:val="none"/>
              </w:rPr>
              <w:t>造成无法投标、投标失败等后果由投标人自行承担。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8</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样品递交要求</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9</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在线演示要求</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10</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节能、环保产品要求</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11</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投标与开标注意事项</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adjustRightInd w:val="0"/>
              <w:snapToGrid w:val="0"/>
              <w:spacing w:before="0" w:beforeAutospacing="0" w:after="0" w:afterAutospacing="0" w:line="0" w:lineRule="atLeast"/>
              <w:ind w:left="0" w:right="0"/>
              <w:jc w:val="both"/>
              <w:rPr>
                <w:rFonts w:ascii="宋体" w:hAnsi="宋体" w:eastAsia="宋体" w:cs="宋体"/>
                <w:bCs/>
                <w:color w:val="auto"/>
                <w:highlight w:val="none"/>
                <w:lang w:val="en-US"/>
              </w:rPr>
            </w:pPr>
            <w:r>
              <w:rPr>
                <w:rFonts w:ascii="宋体" w:hAnsi="宋体" w:eastAsia="宋体" w:cs="宋体"/>
                <w:bCs/>
                <w:color w:val="auto"/>
                <w:kern w:val="2"/>
                <w:highlight w:val="none"/>
                <w:lang w:val="en-US"/>
              </w:rPr>
              <w:t>1.</w:t>
            </w:r>
            <w:r>
              <w:rPr>
                <w:rFonts w:ascii="宋体" w:hAnsi="宋体" w:eastAsia="宋体" w:cs="宋体"/>
                <w:bCs/>
                <w:color w:val="auto"/>
                <w:kern w:val="2"/>
                <w:highlight w:val="none"/>
              </w:rPr>
              <w:t>本项目实行电子投标，投标人自行承担投标一切费用。</w:t>
            </w:r>
          </w:p>
          <w:p>
            <w:pPr>
              <w:pStyle w:val="20"/>
              <w:keepNext w:val="0"/>
              <w:keepLines w:val="0"/>
              <w:widowControl w:val="0"/>
              <w:suppressLineNumbers w:val="0"/>
              <w:adjustRightInd w:val="0"/>
              <w:snapToGrid w:val="0"/>
              <w:spacing w:before="0" w:beforeAutospacing="0" w:after="0" w:afterAutospacing="0" w:line="0" w:lineRule="atLeast"/>
              <w:ind w:left="0" w:right="0"/>
              <w:jc w:val="both"/>
              <w:rPr>
                <w:rFonts w:ascii="宋体" w:hAnsi="宋体" w:eastAsia="宋体" w:cs="宋体"/>
                <w:color w:val="auto"/>
                <w:highlight w:val="none"/>
                <w:lang w:val="en-US"/>
              </w:rPr>
            </w:pPr>
            <w:r>
              <w:rPr>
                <w:rFonts w:ascii="宋体" w:hAnsi="宋体" w:eastAsia="宋体" w:cs="宋体"/>
                <w:bCs/>
                <w:color w:val="auto"/>
                <w:kern w:val="2"/>
                <w:highlight w:val="none"/>
                <w:lang w:val="en-US"/>
              </w:rPr>
              <w:t>2.</w:t>
            </w:r>
            <w:r>
              <w:rPr>
                <w:rFonts w:ascii="宋体" w:hAnsi="宋体" w:eastAsia="宋体" w:cs="宋体"/>
                <w:bCs/>
                <w:color w:val="auto"/>
                <w:kern w:val="2"/>
                <w:highlight w:val="none"/>
              </w:rPr>
              <w:t>标前准备：投标人在开标前确保成为浙江省政府采购网正式注册用户，并完成</w:t>
            </w:r>
            <w:r>
              <w:rPr>
                <w:rFonts w:ascii="宋体" w:hAnsi="宋体" w:eastAsia="宋体" w:cs="宋体"/>
                <w:bCs/>
                <w:color w:val="auto"/>
                <w:kern w:val="2"/>
                <w:highlight w:val="none"/>
                <w:lang w:val="en-US"/>
              </w:rPr>
              <w:t>CA</w:t>
            </w:r>
            <w:r>
              <w:rPr>
                <w:rFonts w:ascii="宋体" w:hAnsi="宋体" w:eastAsia="宋体" w:cs="宋体"/>
                <w:bCs/>
                <w:color w:val="auto"/>
                <w:kern w:val="2"/>
                <w:highlight w:val="none"/>
              </w:rPr>
              <w:t>数字证书办理。（办理流程详见本招标公告附件：政采云</w:t>
            </w:r>
            <w:r>
              <w:rPr>
                <w:rFonts w:ascii="宋体" w:hAnsi="宋体" w:eastAsia="宋体" w:cs="宋体"/>
                <w:bCs/>
                <w:color w:val="auto"/>
                <w:kern w:val="2"/>
                <w:highlight w:val="none"/>
                <w:lang w:val="en-US"/>
              </w:rPr>
              <w:t>CA</w:t>
            </w:r>
            <w:r>
              <w:rPr>
                <w:rFonts w:ascii="宋体" w:hAnsi="宋体" w:eastAsia="宋体" w:cs="宋体"/>
                <w:bCs/>
                <w:color w:val="auto"/>
                <w:kern w:val="2"/>
                <w:highlight w:val="none"/>
              </w:rPr>
              <w:t>签章申领操作流程）。因未注册入库、未办理</w:t>
            </w:r>
            <w:r>
              <w:rPr>
                <w:rFonts w:ascii="宋体" w:hAnsi="宋体" w:eastAsia="宋体" w:cs="宋体"/>
                <w:bCs/>
                <w:color w:val="auto"/>
                <w:kern w:val="2"/>
                <w:highlight w:val="none"/>
                <w:lang w:val="en-US"/>
              </w:rPr>
              <w:t>CA</w:t>
            </w:r>
            <w:r>
              <w:rPr>
                <w:rFonts w:ascii="宋体" w:hAnsi="宋体" w:eastAsia="宋体" w:cs="宋体"/>
                <w:bCs/>
                <w:color w:val="auto"/>
                <w:kern w:val="2"/>
                <w:highlight w:val="none"/>
              </w:rPr>
              <w:t>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12</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信用信息查询渠道</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信用中国（网址：</w:t>
            </w:r>
            <w:r>
              <w:rPr>
                <w:rFonts w:hint="default" w:ascii="Times New Roman" w:hAnsi="Times New Roman" w:eastAsia="宋体" w:cs="Times New Roman"/>
                <w:color w:val="auto"/>
                <w:kern w:val="2"/>
                <w:sz w:val="21"/>
                <w:szCs w:val="24"/>
                <w:highlight w:val="none"/>
                <w:lang w:val="en-US" w:eastAsia="zh-CN" w:bidi="ar"/>
              </w:rPr>
              <w:fldChar w:fldCharType="begin"/>
            </w:r>
            <w:r>
              <w:rPr>
                <w:rFonts w:hint="default" w:ascii="Times New Roman" w:hAnsi="Times New Roman" w:eastAsia="宋体" w:cs="Times New Roman"/>
                <w:color w:val="auto"/>
                <w:kern w:val="2"/>
                <w:sz w:val="21"/>
                <w:szCs w:val="24"/>
                <w:highlight w:val="none"/>
                <w:lang w:val="en-US" w:eastAsia="zh-CN" w:bidi="ar"/>
              </w:rPr>
              <w:instrText xml:space="preserve"> HYPERLINK "http://www.creditchina.gov.cn" </w:instrText>
            </w:r>
            <w:r>
              <w:rPr>
                <w:rFonts w:hint="default" w:ascii="Times New Roman" w:hAnsi="Times New Roman" w:eastAsia="宋体" w:cs="Times New Roman"/>
                <w:color w:val="auto"/>
                <w:kern w:val="2"/>
                <w:sz w:val="21"/>
                <w:szCs w:val="24"/>
                <w:highlight w:val="none"/>
                <w:lang w:val="en-US" w:eastAsia="zh-CN" w:bidi="ar"/>
              </w:rPr>
              <w:fldChar w:fldCharType="separate"/>
            </w:r>
            <w:r>
              <w:rPr>
                <w:rStyle w:val="23"/>
                <w:rFonts w:hint="eastAsia" w:ascii="宋体" w:hAnsi="宋体" w:eastAsia="宋体" w:cs="宋体"/>
                <w:color w:val="auto"/>
                <w:sz w:val="24"/>
                <w:szCs w:val="24"/>
                <w:highlight w:val="none"/>
                <w:u w:val="single"/>
                <w:lang w:val="en-US"/>
              </w:rPr>
              <w:t>http://www.creditchina.gov.cn</w:t>
            </w:r>
            <w:r>
              <w:rPr>
                <w:rFonts w:hint="default" w:ascii="Times New Roman" w:hAnsi="Times New Roman" w:eastAsia="宋体" w:cs="Times New Roman"/>
                <w:color w:val="auto"/>
                <w:kern w:val="2"/>
                <w:sz w:val="21"/>
                <w:szCs w:val="24"/>
                <w:highlight w:val="none"/>
                <w:lang w:val="en-US" w:eastAsia="zh-CN" w:bidi="ar"/>
              </w:rPr>
              <w:fldChar w:fldCharType="end"/>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13</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中小企业预留份额情况</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lang w:val="en-US" w:eastAsia="zh-CN" w:bidi="ar"/>
              </w:rPr>
              <w:t>根据《政府采购促进中小企业发展管理办法》财库〔2020〕46号文件的规定，本项目</w:t>
            </w:r>
            <w:r>
              <w:rPr>
                <w:rFonts w:hint="eastAsia" w:ascii="宋体" w:hAnsi="宋体" w:eastAsia="宋体" w:cs="宋体"/>
                <w:b/>
                <w:bCs w:val="0"/>
                <w:color w:val="auto"/>
                <w:kern w:val="2"/>
                <w:sz w:val="24"/>
                <w:szCs w:val="24"/>
                <w:highlight w:val="none"/>
                <w:lang w:val="en-US" w:eastAsia="zh-CN" w:bidi="ar"/>
              </w:rPr>
              <w:t>不</w:t>
            </w:r>
            <w:r>
              <w:rPr>
                <w:rFonts w:hint="eastAsia" w:ascii="宋体" w:hAnsi="宋体" w:eastAsia="宋体" w:cs="宋体"/>
                <w:color w:val="auto"/>
                <w:kern w:val="2"/>
                <w:sz w:val="24"/>
                <w:szCs w:val="24"/>
                <w:highlight w:val="none"/>
                <w:lang w:val="en-US" w:eastAsia="zh-CN" w:bidi="ar"/>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14</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中小企业优惠措施</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1.项目属性（服务类）</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2.中小企业划分标准所属行业（具体根据《中小企业划型标准规定》执行）</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采购标的：“地信智服”成果服务子场景试点成果全市推广应用，</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所属行业：（十六）其他未列明行业。</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划分标准如下：从业人员300人以下的为中小微型企业。其中，从业人员100人及以上的为中型企业；从业人员10人及以上的为小型企业；从业人员10人以下的为微型企业。</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3.根据财库</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2017〕141号的相关规定，在政府采购活动中，残疾人福利性单位视同小型、微型企业，享受评审中价格扣除政策。属于享受政府采购支持政策的残疾人福利性单位，应满足财库</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2017〕141号文件第一条的规定，并在投标文件中提供残疾人福利性单位声明函（见附件）。</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4.根据财库</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(注：未提供以上材料或未填写必要内容的，均不给予价格扣除）。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15</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采购代理机构代理费用的收取标准和方式</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根据国家发改委发改价格</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2015〕299号通知，本次采购项目采购代理服务费：收取人民币</w:t>
            </w:r>
            <w:r>
              <w:rPr>
                <w:rFonts w:hint="eastAsia" w:ascii="宋体" w:hAnsi="宋体" w:cs="宋体"/>
                <w:color w:val="auto"/>
                <w:kern w:val="2"/>
                <w:sz w:val="24"/>
                <w:szCs w:val="24"/>
                <w:highlight w:val="none"/>
                <w:lang w:val="en-US" w:eastAsia="zh-CN" w:bidi="ar"/>
              </w:rPr>
              <w:t>壹万贰仟壹佰捌拾元整</w:t>
            </w:r>
            <w:r>
              <w:rPr>
                <w:rFonts w:hint="eastAsia" w:ascii="宋体" w:hAnsi="宋体" w:eastAsia="宋体" w:cs="宋体"/>
                <w:color w:val="auto"/>
                <w:kern w:val="2"/>
                <w:sz w:val="24"/>
                <w:szCs w:val="24"/>
                <w:highlight w:val="none"/>
                <w:lang w:val="en-US" w:eastAsia="zh-CN" w:bidi="ar"/>
              </w:rPr>
              <w:t>，由中标供应商在领取中标通知书之前支付给采购代理机构。</w:t>
            </w:r>
          </w:p>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服务费缴纳账户信息：</w:t>
            </w:r>
          </w:p>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开户行：台州银行椒江支行    账号：540017383000015</w:t>
            </w:r>
          </w:p>
          <w:p>
            <w:pPr>
              <w:keepNext w:val="0"/>
              <w:keepLines w:val="0"/>
              <w:widowControl w:val="0"/>
              <w:suppressLineNumbers w:val="0"/>
              <w:snapToGri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16</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zh-CN" w:eastAsia="zh-CN" w:bidi="ar"/>
              </w:rPr>
              <w:t>实质性条款</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zh-CN" w:eastAsia="zh-CN" w:bidi="ar"/>
              </w:rPr>
              <w:t>带“</w:t>
            </w:r>
            <w:r>
              <w:rPr>
                <w:rFonts w:hint="eastAsia" w:ascii="宋体" w:hAnsi="宋体" w:eastAsia="宋体" w:cs="宋体"/>
                <w:bCs/>
                <w:color w:val="auto"/>
                <w:kern w:val="2"/>
                <w:sz w:val="24"/>
                <w:szCs w:val="24"/>
                <w:highlight w:val="none"/>
                <w:lang w:val="en-US" w:eastAsia="zh-CN" w:bidi="ar"/>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17</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主要性能参数</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18</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书面形式</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19</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解释权</w:t>
            </w:r>
          </w:p>
        </w:tc>
        <w:tc>
          <w:tcPr>
            <w:tcW w:w="6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0"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本招标文件解释权属于采购人和采购组织机构</w:t>
            </w:r>
          </w:p>
        </w:tc>
      </w:tr>
    </w:tbl>
    <w:p>
      <w:pPr>
        <w:pStyle w:val="20"/>
        <w:keepNext w:val="0"/>
        <w:keepLines w:val="0"/>
        <w:widowControl w:val="0"/>
        <w:suppressLineNumbers w:val="0"/>
        <w:spacing w:before="0" w:beforeAutospacing="0" w:after="120" w:afterAutospacing="0"/>
        <w:ind w:left="0" w:leftChars="0" w:right="0" w:firstLine="0"/>
        <w:jc w:val="both"/>
        <w:rPr>
          <w:color w:val="auto"/>
          <w:highlight w:val="none"/>
          <w:lang w:val="en-US"/>
        </w:rPr>
      </w:pP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rPr>
          <w:rFonts w:ascii="宋体" w:hAnsi="宋体" w:eastAsia="宋体"/>
          <w:b/>
          <w:bCs w:val="0"/>
          <w:color w:val="auto"/>
          <w:sz w:val="24"/>
          <w:szCs w:val="24"/>
          <w:highlight w:val="none"/>
          <w:lang w:val="en-US"/>
        </w:rPr>
      </w:pPr>
      <w:r>
        <w:rPr>
          <w:rFonts w:hint="eastAsia" w:ascii="宋体" w:hAnsi="宋体" w:eastAsia="宋体" w:cs="Times New Roman"/>
          <w:b/>
          <w:bCs w:val="0"/>
          <w:color w:val="auto"/>
          <w:kern w:val="2"/>
          <w:sz w:val="24"/>
          <w:szCs w:val="24"/>
          <w:highlight w:val="none"/>
          <w:lang w:val="en-US" w:eastAsia="zh-CN" w:bidi="ar"/>
        </w:rPr>
        <w:t>二、说 明</w:t>
      </w: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rPr>
          <w:rFonts w:ascii="宋体" w:hAnsi="宋体" w:eastAsia="宋体"/>
          <w:b/>
          <w:bCs w:val="0"/>
          <w:color w:val="auto"/>
          <w:sz w:val="24"/>
          <w:szCs w:val="24"/>
          <w:highlight w:val="none"/>
          <w:lang w:val="en-US"/>
        </w:rPr>
      </w:pPr>
      <w:r>
        <w:rPr>
          <w:rFonts w:hint="eastAsia" w:ascii="宋体" w:hAnsi="宋体" w:eastAsia="宋体" w:cs="Times New Roman"/>
          <w:b/>
          <w:bCs w:val="0"/>
          <w:color w:val="auto"/>
          <w:kern w:val="2"/>
          <w:sz w:val="24"/>
          <w:szCs w:val="24"/>
          <w:highlight w:val="none"/>
          <w:lang w:val="en-US" w:eastAsia="zh-CN" w:bidi="ar"/>
        </w:rPr>
        <w:t>（一）总则</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招标文件依据《中华人民共和国政府采购法》、《中华人民共和国政府采购法实施条例》（国务院令第658号）和《政府采购货物和服务招标投标管理办法》（财政部令第87号）及国家和浙江省有关法律、法规、规章编制。</w:t>
      </w:r>
    </w:p>
    <w:p>
      <w:pPr>
        <w:keepNext w:val="0"/>
        <w:keepLines w:val="0"/>
        <w:widowControl w:val="0"/>
        <w:suppressLineNumbers w:val="0"/>
        <w:tabs>
          <w:tab w:val="left" w:pos="7980"/>
        </w:tabs>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pPr>
        <w:keepNext w:val="0"/>
        <w:keepLines w:val="0"/>
        <w:widowControl w:val="0"/>
        <w:suppressLineNumbers w:val="0"/>
        <w:snapToGrid w:val="0"/>
        <w:spacing w:before="0" w:beforeAutospacing="0" w:after="0" w:afterAutospacing="0" w:line="312" w:lineRule="auto"/>
        <w:ind w:left="0" w:right="0" w:firstLine="482" w:firstLineChars="200"/>
        <w:jc w:val="both"/>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（二）适用范围</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本招标文件适用于</w:t>
      </w:r>
      <w:r>
        <w:rPr>
          <w:rFonts w:hint="eastAsia" w:ascii="宋体" w:hAnsi="宋体" w:eastAsia="宋体" w:cs="宋体"/>
          <w:bCs/>
          <w:color w:val="auto"/>
          <w:kern w:val="2"/>
          <w:sz w:val="24"/>
          <w:szCs w:val="24"/>
          <w:highlight w:val="none"/>
          <w:lang w:val="en-US" w:eastAsia="zh-CN" w:bidi="ar"/>
        </w:rPr>
        <w:t>本次</w:t>
      </w:r>
      <w:r>
        <w:rPr>
          <w:rFonts w:hint="eastAsia" w:ascii="宋体" w:hAnsi="宋体" w:eastAsia="宋体" w:cs="宋体"/>
          <w:color w:val="auto"/>
          <w:kern w:val="2"/>
          <w:sz w:val="24"/>
          <w:szCs w:val="24"/>
          <w:highlight w:val="none"/>
          <w:lang w:val="en-US" w:eastAsia="zh-CN" w:bidi="ar"/>
        </w:rPr>
        <w:t>项目的招标、投标、评标、定标、验收、合同履约、付款等行为（法律、法规另有规定的，从其规定）。</w:t>
      </w:r>
    </w:p>
    <w:p>
      <w:pPr>
        <w:pStyle w:val="20"/>
        <w:keepNext w:val="0"/>
        <w:keepLines w:val="0"/>
        <w:widowControl w:val="0"/>
        <w:suppressLineNumbers w:val="0"/>
        <w:spacing w:before="0" w:beforeAutospacing="0" w:after="120" w:afterAutospacing="0" w:line="312" w:lineRule="auto"/>
        <w:ind w:left="0" w:right="0" w:firstLine="420" w:firstLineChars="200"/>
        <w:jc w:val="both"/>
        <w:rPr>
          <w:color w:val="auto"/>
          <w:highlight w:val="none"/>
          <w:lang w:val="en-US"/>
        </w:rPr>
      </w:pPr>
      <w:r>
        <w:rPr>
          <w:rFonts w:hint="eastAsia" w:ascii="Times New Roman" w:hAnsi="Times New Roman" w:eastAsia="宋体" w:cs="宋体"/>
          <w:color w:val="auto"/>
          <w:kern w:val="2"/>
          <w:sz w:val="21"/>
          <w:szCs w:val="24"/>
          <w:highlight w:val="none"/>
          <w:lang w:val="en-US" w:eastAsia="zh-CN" w:bidi="ar"/>
        </w:rPr>
        <w:t>本招标文件仅适用于本次招标公告中所涉及的项目和内容。</w:t>
      </w:r>
    </w:p>
    <w:p>
      <w:pPr>
        <w:keepNext w:val="0"/>
        <w:keepLines w:val="0"/>
        <w:widowControl w:val="0"/>
        <w:suppressLineNumbers w:val="0"/>
        <w:snapToGrid w:val="0"/>
        <w:spacing w:before="0" w:beforeAutospacing="0" w:after="0" w:afterAutospacing="0" w:line="312" w:lineRule="auto"/>
        <w:ind w:left="0" w:right="0" w:firstLine="482" w:firstLineChars="200"/>
        <w:jc w:val="both"/>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（三）当事人</w:t>
      </w:r>
    </w:p>
    <w:p>
      <w:pPr>
        <w:pStyle w:val="7"/>
        <w:keepNext w:val="0"/>
        <w:keepLines w:val="0"/>
        <w:widowControl w:val="0"/>
        <w:suppressLineNumbers w:val="0"/>
        <w:tabs>
          <w:tab w:val="left" w:pos="0"/>
          <w:tab w:val="left" w:pos="851"/>
        </w:tabs>
        <w:snapToGrid w:val="0"/>
        <w:spacing w:before="0" w:beforeAutospacing="0" w:after="0" w:afterAutospacing="0" w:line="312" w:lineRule="auto"/>
        <w:ind w:left="0" w:right="0" w:firstLine="480" w:firstLineChars="200"/>
        <w:rPr>
          <w:rFonts w:hint="eastAsia" w:ascii="宋体" w:hAnsi="宋体" w:eastAsia="宋体" w:cs="宋体"/>
          <w:bCs w:val="0"/>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Times New Roman" w:hAnsi="Times New Roman" w:eastAsia="宋体" w:cs="宋体"/>
          <w:bCs w:val="0"/>
          <w:color w:val="auto"/>
          <w:sz w:val="24"/>
          <w:szCs w:val="24"/>
          <w:highlight w:val="none"/>
          <w:lang w:val="zh-CN" w:eastAsia="zh-CN"/>
        </w:rPr>
        <w:t>采购组织机构：</w:t>
      </w:r>
      <w:r>
        <w:rPr>
          <w:rFonts w:hint="eastAsia" w:ascii="Times New Roman" w:hAnsi="Times New Roman" w:eastAsia="宋体" w:cs="宋体"/>
          <w:bCs w:val="0"/>
          <w:color w:val="auto"/>
          <w:sz w:val="24"/>
          <w:szCs w:val="24"/>
          <w:highlight w:val="none"/>
          <w:lang w:eastAsia="zh-CN"/>
        </w:rPr>
        <w:t>是</w:t>
      </w:r>
      <w:r>
        <w:rPr>
          <w:rFonts w:hint="eastAsia" w:ascii="Times New Roman" w:hAnsi="Times New Roman" w:eastAsia="宋体" w:cs="宋体"/>
          <w:bCs w:val="0"/>
          <w:color w:val="auto"/>
          <w:sz w:val="24"/>
          <w:szCs w:val="24"/>
          <w:highlight w:val="none"/>
          <w:lang w:val="zh-CN" w:eastAsia="zh-CN"/>
        </w:rPr>
        <w:t>指采购人委托组织招标的集中采购机构</w:t>
      </w:r>
      <w:r>
        <w:rPr>
          <w:rFonts w:hint="eastAsia" w:ascii="Times New Roman" w:hAnsi="Times New Roman" w:eastAsia="宋体" w:cs="Arial"/>
          <w:bCs w:val="0"/>
          <w:color w:val="auto"/>
          <w:sz w:val="24"/>
          <w:szCs w:val="24"/>
          <w:highlight w:val="none"/>
          <w:lang w:eastAsia="zh-CN"/>
        </w:rPr>
        <w:t>或</w:t>
      </w:r>
      <w:r>
        <w:rPr>
          <w:rFonts w:hint="eastAsia" w:ascii="Times New Roman" w:hAnsi="Times New Roman" w:eastAsia="宋体" w:cs="宋体"/>
          <w:bCs w:val="0"/>
          <w:color w:val="auto"/>
          <w:sz w:val="24"/>
          <w:szCs w:val="24"/>
          <w:highlight w:val="none"/>
          <w:lang w:val="zh-CN" w:eastAsia="zh-CN"/>
        </w:rPr>
        <w:t>采购代理机构。</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2.采购人：是指依法进行政府采购的国家机关、事业单位和团体组织。</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3.投标人：是指响应招标、参加投标竞争的法人、其他组织或者自然人。</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zh-CN" w:eastAsia="zh-CN" w:bidi="ar"/>
        </w:rPr>
        <w:t>中标</w:t>
      </w:r>
      <w:r>
        <w:rPr>
          <w:rFonts w:hint="eastAsia" w:ascii="宋体" w:hAnsi="宋体" w:eastAsia="宋体" w:cs="宋体"/>
          <w:color w:val="auto"/>
          <w:kern w:val="2"/>
          <w:sz w:val="24"/>
          <w:szCs w:val="24"/>
          <w:highlight w:val="none"/>
          <w:lang w:val="en-US" w:eastAsia="zh-CN" w:bidi="ar"/>
        </w:rPr>
        <w:t>人</w:t>
      </w:r>
      <w:r>
        <w:rPr>
          <w:rFonts w:hint="eastAsia" w:ascii="宋体" w:hAnsi="宋体" w:eastAsia="宋体" w:cs="宋体"/>
          <w:color w:val="auto"/>
          <w:kern w:val="2"/>
          <w:sz w:val="24"/>
          <w:szCs w:val="24"/>
          <w:highlight w:val="none"/>
          <w:lang w:val="zh-CN" w:eastAsia="zh-CN" w:bidi="ar"/>
        </w:rPr>
        <w:t>：是指经评</w:t>
      </w:r>
      <w:r>
        <w:rPr>
          <w:rFonts w:hint="eastAsia" w:ascii="宋体" w:hAnsi="宋体" w:eastAsia="宋体" w:cs="宋体"/>
          <w:color w:val="auto"/>
          <w:kern w:val="2"/>
          <w:sz w:val="24"/>
          <w:szCs w:val="24"/>
          <w:highlight w:val="none"/>
          <w:lang w:val="en-US" w:eastAsia="zh-CN" w:bidi="ar"/>
        </w:rPr>
        <w:t>标</w:t>
      </w:r>
      <w:r>
        <w:rPr>
          <w:rFonts w:hint="eastAsia" w:ascii="宋体" w:hAnsi="宋体" w:eastAsia="宋体" w:cs="宋体"/>
          <w:color w:val="auto"/>
          <w:kern w:val="2"/>
          <w:sz w:val="24"/>
          <w:szCs w:val="24"/>
          <w:highlight w:val="none"/>
          <w:lang w:val="zh-CN" w:eastAsia="zh-CN" w:bidi="ar"/>
        </w:rPr>
        <w:t>委员会评审确定的对招标文件</w:t>
      </w:r>
      <w:r>
        <w:rPr>
          <w:rFonts w:hint="eastAsia" w:ascii="宋体" w:hAnsi="宋体" w:eastAsia="宋体" w:cs="宋体"/>
          <w:color w:val="auto"/>
          <w:kern w:val="2"/>
          <w:sz w:val="24"/>
          <w:szCs w:val="24"/>
          <w:highlight w:val="none"/>
          <w:lang w:val="en-US" w:eastAsia="zh-CN" w:bidi="ar"/>
        </w:rPr>
        <w:t>作</w:t>
      </w:r>
      <w:r>
        <w:rPr>
          <w:rFonts w:hint="eastAsia" w:ascii="宋体" w:hAnsi="宋体" w:eastAsia="宋体" w:cs="宋体"/>
          <w:color w:val="auto"/>
          <w:kern w:val="2"/>
          <w:sz w:val="24"/>
          <w:szCs w:val="24"/>
          <w:highlight w:val="none"/>
          <w:lang w:val="zh-CN" w:eastAsia="zh-CN" w:bidi="ar"/>
        </w:rPr>
        <w:t>出实质性响应，经采购人按照规定在评</w:t>
      </w:r>
      <w:r>
        <w:rPr>
          <w:rFonts w:hint="eastAsia" w:ascii="宋体" w:hAnsi="宋体" w:eastAsia="宋体" w:cs="宋体"/>
          <w:color w:val="auto"/>
          <w:kern w:val="2"/>
          <w:sz w:val="24"/>
          <w:szCs w:val="24"/>
          <w:highlight w:val="none"/>
          <w:lang w:val="en-US" w:eastAsia="zh-CN" w:bidi="ar"/>
        </w:rPr>
        <w:t>标</w:t>
      </w:r>
      <w:r>
        <w:rPr>
          <w:rFonts w:hint="eastAsia" w:ascii="宋体" w:hAnsi="宋体" w:eastAsia="宋体" w:cs="宋体"/>
          <w:color w:val="auto"/>
          <w:kern w:val="2"/>
          <w:sz w:val="24"/>
          <w:szCs w:val="24"/>
          <w:highlight w:val="none"/>
          <w:lang w:val="zh-CN" w:eastAsia="zh-CN" w:bidi="ar"/>
        </w:rPr>
        <w:t>委员会推荐的中标候选人中确定的或受采购人委托直接确认的，与采购人签订合同资格的投标</w:t>
      </w:r>
      <w:r>
        <w:rPr>
          <w:rFonts w:hint="eastAsia" w:ascii="宋体" w:hAnsi="宋体" w:eastAsia="宋体" w:cs="宋体"/>
          <w:color w:val="auto"/>
          <w:kern w:val="2"/>
          <w:sz w:val="24"/>
          <w:szCs w:val="24"/>
          <w:highlight w:val="none"/>
          <w:lang w:val="en-US" w:eastAsia="zh-CN" w:bidi="ar"/>
        </w:rPr>
        <w:t>人</w:t>
      </w:r>
      <w:r>
        <w:rPr>
          <w:rFonts w:hint="eastAsia" w:ascii="宋体" w:hAnsi="宋体" w:eastAsia="宋体" w:cs="宋体"/>
          <w:color w:val="auto"/>
          <w:kern w:val="2"/>
          <w:sz w:val="24"/>
          <w:szCs w:val="24"/>
          <w:highlight w:val="none"/>
          <w:lang w:val="zh-CN" w:eastAsia="zh-CN" w:bidi="ar"/>
        </w:rPr>
        <w:t>。</w:t>
      </w:r>
    </w:p>
    <w:p>
      <w:pPr>
        <w:keepNext w:val="0"/>
        <w:keepLines w:val="0"/>
        <w:widowControl w:val="0"/>
        <w:suppressLineNumbers w:val="0"/>
        <w:snapToGrid w:val="0"/>
        <w:spacing w:before="0" w:beforeAutospacing="0" w:after="0" w:afterAutospacing="0" w:line="312" w:lineRule="auto"/>
        <w:ind w:left="0" w:right="0" w:firstLine="482" w:firstLineChars="200"/>
        <w:jc w:val="both"/>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（四）语言文字以及度量衡单位</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2.所有计量均采用中国法定的计量单位。</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3.所有报价一律使用人民币，货币单位：元。</w:t>
      </w:r>
    </w:p>
    <w:p>
      <w:pPr>
        <w:pStyle w:val="20"/>
        <w:keepNext w:val="0"/>
        <w:keepLines w:val="0"/>
        <w:widowControl w:val="0"/>
        <w:suppressLineNumbers w:val="0"/>
        <w:tabs>
          <w:tab w:val="left" w:pos="437"/>
        </w:tabs>
        <w:spacing w:before="0" w:beforeAutospacing="0" w:after="0" w:afterAutospacing="0" w:line="312" w:lineRule="auto"/>
        <w:ind w:left="0" w:right="0" w:firstLine="482" w:firstLineChars="200"/>
        <w:jc w:val="both"/>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（五）现场踏勘</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1.招标文件规定组织踏勘现场的，采购人按招标文件规定的时间、地点组织投标人踏勘项目现场。</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2.投标人自行承担踏勘现场发生的责任、风险和自身费用。</w:t>
      </w:r>
    </w:p>
    <w:p>
      <w:pPr>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3.采购人在踏勘现场中介绍的资料和数据等，不构成对招标文件的修改或不作为投标人编制投标文件的依据。</w:t>
      </w: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rPr>
          <w:rFonts w:hAnsi="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（六）特别说明</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Ansi="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1.投标人投标所使用的资格、信誉、荣誉、业绩与企业认证必须为本法人所拥有且所提供的资料都是真实有效的。投标人投标所使用的采购项目实施人员必须为本法人员工。</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3.本招标文件中关于电子招投标内容、流程如与政采云系统中最新的内容、操作不一致的，以政采云系统中的要求为准。</w:t>
      </w: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三、招标文件</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Times New Roman"/>
          <w:color w:val="auto"/>
          <w:sz w:val="24"/>
          <w:szCs w:val="22"/>
          <w:highlight w:val="none"/>
          <w:lang w:val="en-US"/>
        </w:rPr>
      </w:pPr>
      <w:r>
        <w:rPr>
          <w:rFonts w:hint="eastAsia" w:ascii="宋体" w:hAnsi="宋体" w:eastAsia="宋体" w:cs="Times New Roman"/>
          <w:color w:val="auto"/>
          <w:kern w:val="2"/>
          <w:sz w:val="24"/>
          <w:szCs w:val="22"/>
          <w:highlight w:val="none"/>
          <w:lang w:val="en-US" w:eastAsia="zh-CN" w:bidi="ar"/>
        </w:rPr>
        <w:t>（一）招标文件由招标文件总目录所列内容组成。</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Times New Roman"/>
          <w:color w:val="auto"/>
          <w:sz w:val="24"/>
          <w:szCs w:val="22"/>
          <w:highlight w:val="none"/>
          <w:lang w:val="en-US"/>
        </w:rPr>
      </w:pPr>
      <w:r>
        <w:rPr>
          <w:rFonts w:hint="eastAsia" w:ascii="宋体" w:hAnsi="宋体" w:eastAsia="宋体" w:cs="Times New Roman"/>
          <w:color w:val="auto"/>
          <w:kern w:val="2"/>
          <w:sz w:val="24"/>
          <w:szCs w:val="22"/>
          <w:highlight w:val="none"/>
          <w:lang w:val="en-US" w:eastAsia="zh-CN" w:bidi="ar"/>
        </w:rPr>
        <w:t>（二）投标人在规定的时间内未对招标文件提出疑问、质疑或要求澄清的，将视其为无异议。</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Times New Roman"/>
          <w:color w:val="auto"/>
          <w:sz w:val="24"/>
          <w:szCs w:val="22"/>
          <w:highlight w:val="none"/>
          <w:lang w:val="en-US"/>
        </w:rPr>
      </w:pPr>
      <w:r>
        <w:rPr>
          <w:rFonts w:hint="eastAsia" w:ascii="宋体" w:hAnsi="宋体" w:eastAsia="宋体" w:cs="Times New Roman"/>
          <w:color w:val="auto"/>
          <w:kern w:val="2"/>
          <w:sz w:val="24"/>
          <w:szCs w:val="22"/>
          <w:highlight w:val="none"/>
          <w:lang w:val="en-US" w:eastAsia="zh-CN" w:bidi="ar"/>
        </w:rPr>
        <w:t>（三）对招标文件中描述有歧义或前后不一致的地方，评标委员会有权进行评判，但对同一条款的评判应适用于每个投标人。</w:t>
      </w:r>
    </w:p>
    <w:p>
      <w:pPr>
        <w:pStyle w:val="20"/>
        <w:keepNext w:val="0"/>
        <w:keepLines w:val="0"/>
        <w:widowControl w:val="0"/>
        <w:suppressLineNumbers w:val="0"/>
        <w:snapToGrid w:val="0"/>
        <w:spacing w:before="0" w:beforeAutospacing="0" w:after="0" w:afterAutospacing="0" w:line="312" w:lineRule="auto"/>
        <w:ind w:left="0" w:right="0" w:firstLine="480" w:firstLineChars="200"/>
        <w:jc w:val="both"/>
        <w:rPr>
          <w:rFonts w:hint="eastAsia" w:ascii="宋体" w:hAnsi="宋体" w:eastAsia="宋体" w:cs="Times New Roman"/>
          <w:color w:val="auto"/>
          <w:sz w:val="24"/>
          <w:szCs w:val="22"/>
          <w:highlight w:val="none"/>
          <w:lang w:val="en-US"/>
        </w:rPr>
      </w:pPr>
      <w:r>
        <w:rPr>
          <w:rFonts w:hint="eastAsia" w:ascii="宋体" w:hAnsi="宋体" w:eastAsia="宋体" w:cs="Times New Roman"/>
          <w:color w:val="auto"/>
          <w:kern w:val="2"/>
          <w:sz w:val="24"/>
          <w:szCs w:val="22"/>
          <w:highlight w:val="none"/>
          <w:lang w:val="en-US" w:eastAsia="zh-CN" w:bidi="ar"/>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keepNext w:val="0"/>
        <w:keepLines w:val="0"/>
        <w:widowControl w:val="0"/>
        <w:suppressLineNumbers w:val="0"/>
        <w:tabs>
          <w:tab w:val="left" w:pos="1418"/>
        </w:tabs>
        <w:autoSpaceDE w:val="0"/>
        <w:autoSpaceDN w:val="0"/>
        <w:adjustRightInd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四、投标文件</w:t>
      </w:r>
    </w:p>
    <w:p>
      <w:pPr>
        <w:pStyle w:val="20"/>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（一）投标文件的编制</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auto"/>
          <w:kern w:val="0"/>
          <w:sz w:val="24"/>
          <w:szCs w:val="20"/>
          <w:highlight w:val="none"/>
          <w:lang w:val="en-US"/>
        </w:rPr>
      </w:pPr>
      <w:r>
        <w:rPr>
          <w:rFonts w:hint="eastAsia" w:ascii="宋体" w:hAnsi="宋体" w:eastAsia="宋体" w:cs="宋体"/>
          <w:color w:val="auto"/>
          <w:kern w:val="0"/>
          <w:sz w:val="24"/>
          <w:szCs w:val="20"/>
          <w:highlight w:val="none"/>
          <w:lang w:val="en-US" w:eastAsia="zh-CN" w:bidi="ar"/>
        </w:rPr>
        <w:t xml:space="preserve"> 投标人接到招标文件后，按照采购组织机构的要求提供：资格证明文件、商务与技术文件和报价</w:t>
      </w:r>
      <w:r>
        <w:rPr>
          <w:rFonts w:hint="eastAsia" w:ascii="宋体" w:hAnsi="宋体" w:eastAsia="宋体" w:cs="宋体"/>
          <w:color w:val="auto"/>
          <w:kern w:val="0"/>
          <w:sz w:val="24"/>
          <w:szCs w:val="20"/>
          <w:highlight w:val="none"/>
          <w:lang w:val="zh-CN" w:eastAsia="zh-CN" w:bidi="ar"/>
        </w:rPr>
        <w:t>文件。【特别提示：如在投标时有要求提供资料原件的，将原件扫描放入投标文件。】本招标文件中若有多标项的，若参与多标项投标的，则按每个标项分别独立编制投标文件。</w:t>
      </w:r>
    </w:p>
    <w:p>
      <w:pPr>
        <w:keepNext w:val="0"/>
        <w:keepLines w:val="0"/>
        <w:widowControl w:val="0"/>
        <w:suppressLineNumbers w:val="0"/>
        <w:snapToGrid w:val="0"/>
        <w:spacing w:before="0" w:beforeAutospacing="0" w:after="0" w:afterAutospacing="0" w:line="312" w:lineRule="auto"/>
        <w:ind w:left="0" w:right="0" w:firstLine="482"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▲1、资格证明文件的组成：</w:t>
      </w:r>
    </w:p>
    <w:p>
      <w:pPr>
        <w:keepNext w:val="0"/>
        <w:keepLines w:val="0"/>
        <w:widowControl/>
        <w:numPr>
          <w:ilvl w:val="0"/>
          <w:numId w:val="6"/>
        </w:numPr>
        <w:suppressLineNumbers w:val="0"/>
        <w:spacing w:before="0" w:beforeAutospacing="0" w:after="0" w:afterAutospacing="0" w:line="312" w:lineRule="auto"/>
        <w:ind w:left="0" w:right="60" w:firstLine="472" w:firstLineChars="197"/>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投标声明书；</w:t>
      </w:r>
    </w:p>
    <w:p>
      <w:pPr>
        <w:keepNext w:val="0"/>
        <w:keepLines w:val="0"/>
        <w:widowControl/>
        <w:numPr>
          <w:ilvl w:val="0"/>
          <w:numId w:val="6"/>
        </w:numPr>
        <w:suppressLineNumbers w:val="0"/>
        <w:spacing w:before="0" w:beforeAutospacing="0" w:after="0" w:afterAutospacing="0" w:line="312" w:lineRule="auto"/>
        <w:ind w:left="0" w:right="60" w:firstLine="472" w:firstLineChars="197"/>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授权委托书（法定代表人亲自办理投标事宜的，则无需提交）；</w:t>
      </w:r>
    </w:p>
    <w:p>
      <w:pPr>
        <w:keepNext w:val="0"/>
        <w:keepLines w:val="0"/>
        <w:widowControl/>
        <w:numPr>
          <w:ilvl w:val="0"/>
          <w:numId w:val="6"/>
        </w:numPr>
        <w:suppressLineNumbers w:val="0"/>
        <w:spacing w:before="0" w:beforeAutospacing="0" w:after="0" w:afterAutospacing="0" w:line="312" w:lineRule="auto"/>
        <w:ind w:left="0" w:right="60" w:firstLine="472" w:firstLineChars="197"/>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法人或者其他组织的营业执照等证明文件，自然人的身份证明；</w:t>
      </w:r>
    </w:p>
    <w:p>
      <w:pPr>
        <w:keepNext w:val="0"/>
        <w:keepLines w:val="0"/>
        <w:widowControl/>
        <w:numPr>
          <w:ilvl w:val="0"/>
          <w:numId w:val="6"/>
        </w:numPr>
        <w:suppressLineNumbers w:val="0"/>
        <w:spacing w:before="0" w:beforeAutospacing="0" w:after="0" w:afterAutospacing="0" w:line="312" w:lineRule="auto"/>
        <w:ind w:left="0" w:right="60" w:firstLine="472" w:firstLineChars="197"/>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财务状况报告，依法缴纳税收和社会保障资金的相关材料；</w:t>
      </w:r>
    </w:p>
    <w:p>
      <w:pPr>
        <w:pStyle w:val="20"/>
        <w:keepNext w:val="0"/>
        <w:keepLines w:val="0"/>
        <w:widowControl w:val="0"/>
        <w:suppressLineNumbers w:val="0"/>
        <w:spacing w:before="0" w:beforeAutospacing="0" w:after="120" w:afterAutospacing="0" w:line="312" w:lineRule="auto"/>
        <w:ind w:left="0" w:right="0" w:firstLine="480" w:firstLineChars="200"/>
        <w:jc w:val="both"/>
        <w:rPr>
          <w:rFonts w:cs="宋体"/>
          <w:color w:val="auto"/>
          <w:highlight w:val="none"/>
          <w:lang w:val="en-US"/>
        </w:rPr>
      </w:pPr>
      <w:r>
        <w:rPr>
          <w:rFonts w:cs="宋体"/>
          <w:color w:val="auto"/>
          <w:kern w:val="2"/>
          <w:highlight w:val="none"/>
          <w:lang w:eastAsia="zh-CN"/>
        </w:rPr>
        <w:t>（</w:t>
      </w:r>
      <w:r>
        <w:rPr>
          <w:rFonts w:cs="宋体"/>
          <w:color w:val="auto"/>
          <w:kern w:val="2"/>
          <w:highlight w:val="none"/>
          <w:lang w:val="en-US"/>
        </w:rPr>
        <w:t>5</w:t>
      </w:r>
      <w:r>
        <w:rPr>
          <w:rFonts w:cs="宋体"/>
          <w:color w:val="auto"/>
          <w:kern w:val="2"/>
          <w:highlight w:val="none"/>
          <w:lang w:eastAsia="zh-CN"/>
        </w:rPr>
        <w:t>）具备履行合同所必需的设备和专业技术能力的承诺函（根据项目性质提供）；</w:t>
      </w:r>
    </w:p>
    <w:p>
      <w:pPr>
        <w:keepNext w:val="0"/>
        <w:keepLines w:val="0"/>
        <w:widowControl/>
        <w:suppressLineNumbers w:val="0"/>
        <w:spacing w:before="0" w:beforeAutospacing="0" w:after="0" w:afterAutospacing="0" w:line="312" w:lineRule="auto"/>
        <w:ind w:left="0" w:right="60" w:firstLine="480" w:firstLineChars="200"/>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（6）提供采购公告中符合供应商特定条件的有效资质证书扫描件（投标供应商特定条件中有要求的必须提供），以及需要说明的其他资料；</w:t>
      </w:r>
    </w:p>
    <w:p>
      <w:pPr>
        <w:keepNext w:val="0"/>
        <w:keepLines w:val="0"/>
        <w:widowControl/>
        <w:suppressLineNumbers w:val="0"/>
        <w:spacing w:before="0" w:beforeAutospacing="0" w:after="0" w:afterAutospacing="0" w:line="312" w:lineRule="auto"/>
        <w:ind w:left="0" w:right="60" w:firstLine="482" w:firstLineChars="200"/>
        <w:jc w:val="left"/>
        <w:outlineLvl w:val="0"/>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keepNext w:val="0"/>
        <w:keepLines w:val="0"/>
        <w:widowControl w:val="0"/>
        <w:suppressLineNumbers w:val="0"/>
        <w:snapToGrid w:val="0"/>
        <w:spacing w:before="0" w:beforeAutospacing="0" w:after="0" w:afterAutospacing="0" w:line="312" w:lineRule="auto"/>
        <w:ind w:left="0" w:right="0" w:firstLine="482" w:firstLineChars="200"/>
        <w:jc w:val="both"/>
        <w:rPr>
          <w:rFonts w:hint="eastAsia" w:ascii="宋体" w:hAnsi="宋体" w:eastAsia="宋体" w:cs="宋体"/>
          <w:color w:val="auto"/>
          <w:sz w:val="24"/>
          <w:szCs w:val="24"/>
          <w:highlight w:val="none"/>
          <w:u w:val="single"/>
          <w:lang w:val="en-US"/>
        </w:rPr>
      </w:pPr>
      <w:r>
        <w:rPr>
          <w:rFonts w:hint="eastAsia" w:ascii="宋体" w:hAnsi="宋体" w:eastAsia="宋体" w:cs="宋体"/>
          <w:b/>
          <w:bCs w:val="0"/>
          <w:color w:val="auto"/>
          <w:kern w:val="2"/>
          <w:sz w:val="24"/>
          <w:szCs w:val="24"/>
          <w:highlight w:val="none"/>
          <w:lang w:val="en-US" w:eastAsia="zh-CN" w:bidi="ar"/>
        </w:rPr>
        <w:t>2、商务与技术文件的组成：</w:t>
      </w:r>
    </w:p>
    <w:p>
      <w:pPr>
        <w:pStyle w:val="20"/>
        <w:widowControl/>
        <w:adjustRightInd w:val="0"/>
        <w:snapToGrid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eastAsia="zh-CN"/>
        </w:rPr>
        <w:t>（</w:t>
      </w:r>
      <w:r>
        <w:rPr>
          <w:rFonts w:cs="宋体"/>
          <w:color w:val="auto"/>
          <w:kern w:val="2"/>
          <w:highlight w:val="none"/>
          <w:lang w:val="en-US"/>
        </w:rPr>
        <w:t>1</w:t>
      </w:r>
      <w:r>
        <w:rPr>
          <w:rFonts w:cs="宋体"/>
          <w:color w:val="auto"/>
          <w:kern w:val="2"/>
          <w:highlight w:val="none"/>
          <w:lang w:eastAsia="zh-CN"/>
        </w:rPr>
        <w:t>）技术方案描述部分</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cs="宋体"/>
          <w:color w:val="auto"/>
          <w:highlight w:val="none"/>
          <w:lang w:val="en-US"/>
        </w:rPr>
      </w:pPr>
      <w:r>
        <w:rPr>
          <w:rFonts w:cs="宋体"/>
          <w:color w:val="auto"/>
          <w:kern w:val="2"/>
          <w:highlight w:val="none"/>
          <w:lang w:eastAsia="zh-CN"/>
        </w:rPr>
        <w:t>投标人情况介绍（人员与技术力量、企业规模、经营业绩等）。</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cs="宋体"/>
          <w:color w:val="auto"/>
          <w:highlight w:val="none"/>
          <w:lang w:val="en-US"/>
        </w:rPr>
      </w:pPr>
      <w:r>
        <w:rPr>
          <w:rFonts w:cs="宋体"/>
          <w:color w:val="auto"/>
          <w:kern w:val="2"/>
          <w:highlight w:val="none"/>
          <w:lang w:eastAsia="zh-CN"/>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cs="宋体"/>
          <w:color w:val="auto"/>
          <w:highlight w:val="none"/>
          <w:lang w:val="en-US"/>
        </w:rPr>
      </w:pPr>
      <w:r>
        <w:rPr>
          <w:rFonts w:cs="宋体"/>
          <w:color w:val="auto"/>
          <w:kern w:val="2"/>
          <w:highlight w:val="none"/>
          <w:lang w:eastAsia="zh-CN"/>
        </w:rPr>
        <w:t>总体设计（技术、服务）方案。</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Calibri" w:hAnsi="Calibri" w:cs="Calibri"/>
          <w:color w:val="auto"/>
          <w:kern w:val="2"/>
          <w:highlight w:val="none"/>
          <w:lang w:eastAsia="zh-CN"/>
        </w:rPr>
        <w:t>质量保证方案。</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Calibri" w:hAnsi="Calibri" w:cs="Calibri"/>
          <w:color w:val="auto"/>
          <w:kern w:val="2"/>
          <w:highlight w:val="none"/>
          <w:lang w:eastAsia="zh-CN"/>
        </w:rPr>
        <w:t>项目实施方案（包括项目工期、确保项目进行的措施或方案、项目实施进度安排、项目实施人员及项目负责人的资质、类似经验及社保证明等）。</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Calibri" w:hAnsi="Calibri" w:cs="Calibri"/>
          <w:color w:val="auto"/>
          <w:kern w:val="2"/>
          <w:highlight w:val="none"/>
          <w:lang w:eastAsia="zh-CN"/>
        </w:rPr>
        <w:t>技术需求响应表。</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Calibri" w:hAnsi="Calibri" w:cs="Calibri"/>
          <w:color w:val="auto"/>
          <w:kern w:val="2"/>
          <w:highlight w:val="none"/>
          <w:lang w:eastAsia="zh-CN"/>
        </w:rPr>
        <w:t>项目实施人员一览表；</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Calibri" w:hAnsi="Calibri" w:cs="Calibri"/>
          <w:color w:val="auto"/>
          <w:kern w:val="2"/>
          <w:highlight w:val="none"/>
          <w:lang w:eastAsia="zh-CN"/>
        </w:rPr>
        <w:t>项目（技术）负责人资格情况表；</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Calibri" w:hAnsi="Calibri" w:cs="Calibri"/>
          <w:color w:val="auto"/>
          <w:kern w:val="2"/>
          <w:highlight w:val="none"/>
          <w:lang w:eastAsia="zh-CN"/>
        </w:rPr>
        <w:t>实施服务与保障的能力及方案（包括服务方式、服务网点、技术培训、实施期与运维期服务的内容和措施等）；</w:t>
      </w:r>
    </w:p>
    <w:p>
      <w:pPr>
        <w:pStyle w:val="20"/>
        <w:widowControl/>
        <w:numPr>
          <w:ilvl w:val="0"/>
          <w:numId w:val="7"/>
        </w:numPr>
        <w:adjustRightInd w:val="0"/>
        <w:snapToGrid w:val="0"/>
        <w:spacing w:before="0" w:beforeAutospacing="0" w:after="0" w:afterAutospacing="0" w:line="312" w:lineRule="auto"/>
        <w:ind w:left="26" w:right="0" w:firstLine="480" w:firstLineChars="200"/>
        <w:jc w:val="both"/>
        <w:rPr>
          <w:rFonts w:hint="default" w:ascii="Calibri" w:hAnsi="Calibri" w:cs="Calibri"/>
          <w:color w:val="auto"/>
          <w:highlight w:val="none"/>
          <w:lang w:val="en-US"/>
        </w:rPr>
      </w:pPr>
      <w:r>
        <w:rPr>
          <w:rFonts w:ascii="Times New Roman" w:hAnsi="Times New Roman" w:cs="宋体"/>
          <w:color w:val="auto"/>
          <w:kern w:val="2"/>
          <w:highlight w:val="none"/>
          <w:lang w:eastAsia="zh-CN"/>
        </w:rPr>
        <w:t>投标人需要说明的其他内容；（包括可能影响投标人技术性能评分项的各类证明材料）</w:t>
      </w:r>
    </w:p>
    <w:p>
      <w:pPr>
        <w:keepNext w:val="0"/>
        <w:keepLines w:val="0"/>
        <w:widowControl w:val="0"/>
        <w:suppressLineNumbers w:val="0"/>
        <w:autoSpaceDE w:val="0"/>
        <w:autoSpaceDN w:val="0"/>
        <w:adjustRightInd w:val="0"/>
        <w:spacing w:before="0" w:beforeAutospacing="0" w:after="0" w:afterAutospacing="0" w:line="312" w:lineRule="auto"/>
        <w:ind w:left="0" w:right="0" w:firstLine="424" w:firstLineChars="177"/>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（2）商务及其他部分</w:t>
      </w:r>
    </w:p>
    <w:p>
      <w:pPr>
        <w:keepNext w:val="0"/>
        <w:keepLines w:val="0"/>
        <w:widowControl w:val="0"/>
        <w:numPr>
          <w:ilvl w:val="0"/>
          <w:numId w:val="8"/>
        </w:numPr>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Times New Roman" w:hAnsi="Times New Roman" w:eastAsia="宋体" w:cs="宋体"/>
          <w:color w:val="auto"/>
          <w:kern w:val="2"/>
          <w:sz w:val="24"/>
          <w:szCs w:val="24"/>
          <w:highlight w:val="none"/>
          <w:lang w:val="en-US" w:eastAsia="zh-CN" w:bidi="ar"/>
        </w:rPr>
        <w:t>证书一览表（</w:t>
      </w:r>
      <w:r>
        <w:rPr>
          <w:rFonts w:hint="eastAsia" w:ascii="宋体" w:hAnsi="宋体" w:eastAsia="宋体" w:cs="宋体"/>
          <w:color w:val="auto"/>
          <w:kern w:val="0"/>
          <w:sz w:val="24"/>
          <w:szCs w:val="24"/>
          <w:highlight w:val="none"/>
          <w:lang w:val="en-US" w:eastAsia="zh-CN" w:bidi="ar"/>
        </w:rPr>
        <w:t>投标人通过的质量管理和质量保证体系、环保体系、</w:t>
      </w:r>
      <w:r>
        <w:rPr>
          <w:rFonts w:hint="eastAsia" w:ascii="宋体" w:hAnsi="宋体" w:eastAsia="宋体" w:cs="宋体"/>
          <w:color w:val="auto"/>
          <w:kern w:val="2"/>
          <w:sz w:val="24"/>
          <w:szCs w:val="24"/>
          <w:highlight w:val="none"/>
          <w:lang w:val="en-US" w:eastAsia="zh-CN" w:bidi="ar"/>
        </w:rPr>
        <w:t>软件著作权证等等与本项目相关</w:t>
      </w:r>
      <w:r>
        <w:rPr>
          <w:rFonts w:hint="eastAsia" w:ascii="宋体" w:hAnsi="宋体" w:eastAsia="宋体" w:cs="宋体"/>
          <w:color w:val="auto"/>
          <w:kern w:val="0"/>
          <w:sz w:val="24"/>
          <w:szCs w:val="24"/>
          <w:highlight w:val="none"/>
          <w:lang w:val="en-US" w:eastAsia="zh-CN" w:bidi="ar"/>
        </w:rPr>
        <w:t>的认证证书或文件；</w:t>
      </w:r>
      <w:r>
        <w:rPr>
          <w:rFonts w:hint="eastAsia" w:ascii="Times New Roman" w:hAnsi="Times New Roman" w:eastAsia="宋体" w:cs="宋体"/>
          <w:color w:val="auto"/>
          <w:kern w:val="2"/>
          <w:sz w:val="24"/>
          <w:szCs w:val="24"/>
          <w:highlight w:val="none"/>
          <w:lang w:val="en-US" w:eastAsia="zh-CN" w:bidi="ar"/>
        </w:rPr>
        <w:t>）</w:t>
      </w:r>
    </w:p>
    <w:p>
      <w:pPr>
        <w:pStyle w:val="20"/>
        <w:widowControl/>
        <w:numPr>
          <w:ilvl w:val="0"/>
          <w:numId w:val="8"/>
        </w:numPr>
        <w:adjustRightInd w:val="0"/>
        <w:snapToGrid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近三年来类似项目的成功案例（投标人类似项目实施情况一览表、合同复印件及其相应的发票、用户验收报告等；</w:t>
      </w:r>
    </w:p>
    <w:p>
      <w:pPr>
        <w:pStyle w:val="20"/>
        <w:widowControl/>
        <w:numPr>
          <w:ilvl w:val="0"/>
          <w:numId w:val="8"/>
        </w:numPr>
        <w:adjustRightInd w:val="0"/>
        <w:snapToGrid w:val="0"/>
        <w:spacing w:before="0" w:beforeAutospacing="0" w:after="0" w:afterAutospacing="0" w:line="312" w:lineRule="auto"/>
        <w:ind w:left="0" w:right="0" w:firstLine="480" w:firstLineChars="200"/>
        <w:jc w:val="both"/>
        <w:rPr>
          <w:rFonts w:cs="宋体"/>
          <w:color w:val="auto"/>
          <w:highlight w:val="none"/>
          <w:lang w:val="en-US"/>
        </w:rPr>
      </w:pPr>
      <w:r>
        <w:rPr>
          <w:rFonts w:ascii="Times New Roman" w:hAnsi="Times New Roman" w:cs="宋体"/>
          <w:color w:val="auto"/>
          <w:kern w:val="2"/>
          <w:highlight w:val="none"/>
          <w:lang w:eastAsia="zh-CN"/>
        </w:rPr>
        <w:t>商务需求响应表。</w:t>
      </w:r>
    </w:p>
    <w:p>
      <w:pPr>
        <w:keepNext w:val="0"/>
        <w:keepLines w:val="0"/>
        <w:widowControl w:val="0"/>
        <w:suppressLineNumbers w:val="0"/>
        <w:autoSpaceDE w:val="0"/>
        <w:autoSpaceDN w:val="0"/>
        <w:adjustRightInd w:val="0"/>
        <w:spacing w:before="0" w:beforeAutospacing="0" w:after="0" w:afterAutospacing="0" w:line="312" w:lineRule="auto"/>
        <w:ind w:left="426" w:right="0" w:firstLine="65" w:firstLineChars="27"/>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3、报价文件的组成</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（1）开标一览表</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（2）报价明细表</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（3）中小企业等声明函、残疾人福利性单位声明函</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（4）针对报价投标人认为其他需要说明的</w:t>
      </w:r>
    </w:p>
    <w:p>
      <w:pPr>
        <w:pStyle w:val="20"/>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（二）投标报价</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auto"/>
          <w:kern w:val="0"/>
          <w:sz w:val="24"/>
          <w:szCs w:val="20"/>
          <w:highlight w:val="none"/>
          <w:lang w:val="en-US"/>
        </w:rPr>
      </w:pPr>
      <w:r>
        <w:rPr>
          <w:rFonts w:hint="eastAsia" w:ascii="宋体" w:hAnsi="宋体" w:eastAsia="宋体" w:cs="宋体"/>
          <w:bCs/>
          <w:color w:val="auto"/>
          <w:kern w:val="0"/>
          <w:sz w:val="24"/>
          <w:szCs w:val="20"/>
          <w:highlight w:val="none"/>
          <w:lang w:val="en-US" w:eastAsia="zh-CN" w:bidi="ar"/>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auto"/>
          <w:kern w:val="0"/>
          <w:sz w:val="24"/>
          <w:szCs w:val="20"/>
          <w:highlight w:val="none"/>
          <w:lang w:val="en-US"/>
        </w:rPr>
      </w:pPr>
      <w:r>
        <w:rPr>
          <w:rFonts w:hint="eastAsia" w:ascii="宋体" w:hAnsi="宋体" w:eastAsia="宋体" w:cs="宋体"/>
          <w:bCs/>
          <w:color w:val="auto"/>
          <w:kern w:val="0"/>
          <w:sz w:val="24"/>
          <w:szCs w:val="20"/>
          <w:highlight w:val="none"/>
          <w:lang w:val="en-US" w:eastAsia="zh-CN" w:bidi="ar"/>
        </w:rPr>
        <w:t>2.投标报价包括本项目采购需求和投入使用的所有费用，包括但不限于本项目投入使用的服务费，包括测绘服务、软硬件设备、劳务、管理、材料、安装、安全文明、维护、验收费、设计评审费、措施费、风险费、保险、利润、规费、税金、工伤保险费、水电费、政策性文件规定、质保维护费及合同包含的所有风险、责任等所有费用。</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auto"/>
          <w:kern w:val="0"/>
          <w:sz w:val="24"/>
          <w:szCs w:val="20"/>
          <w:highlight w:val="none"/>
          <w:lang w:val="en-US"/>
        </w:rPr>
      </w:pPr>
      <w:r>
        <w:rPr>
          <w:rFonts w:hint="eastAsia" w:ascii="宋体" w:hAnsi="宋体" w:eastAsia="宋体" w:cs="宋体"/>
          <w:bCs/>
          <w:color w:val="auto"/>
          <w:kern w:val="0"/>
          <w:sz w:val="24"/>
          <w:szCs w:val="20"/>
          <w:highlight w:val="none"/>
          <w:lang w:val="en-US" w:eastAsia="zh-CN" w:bidi="ar"/>
        </w:rPr>
        <w:t>3.投标报价不得为选择性报价和附有条件的报价。</w:t>
      </w:r>
    </w:p>
    <w:p>
      <w:pPr>
        <w:pStyle w:val="20"/>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0"/>
          <w:highlight w:val="none"/>
          <w:lang w:val="en-US"/>
        </w:rPr>
      </w:pPr>
      <w:r>
        <w:rPr>
          <w:rFonts w:hint="eastAsia" w:ascii="宋体" w:hAnsi="宋体" w:eastAsia="宋体" w:cs="宋体"/>
          <w:b/>
          <w:bCs w:val="0"/>
          <w:color w:val="auto"/>
          <w:kern w:val="0"/>
          <w:sz w:val="24"/>
          <w:szCs w:val="20"/>
          <w:highlight w:val="none"/>
          <w:lang w:val="en-US" w:eastAsia="zh-CN" w:bidi="ar"/>
        </w:rPr>
        <w:t>（三）投标文件的有效期</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0"/>
          <w:highlight w:val="none"/>
          <w:lang w:val="en-US"/>
        </w:rPr>
      </w:pPr>
      <w:r>
        <w:rPr>
          <w:rFonts w:hint="eastAsia" w:ascii="宋体" w:hAnsi="宋体" w:eastAsia="宋体" w:cs="宋体"/>
          <w:color w:val="auto"/>
          <w:kern w:val="2"/>
          <w:sz w:val="24"/>
          <w:szCs w:val="20"/>
          <w:highlight w:val="none"/>
          <w:lang w:val="en-US" w:eastAsia="zh-CN" w:bidi="ar"/>
        </w:rPr>
        <w:t>1.投标文件有效期为投标截止日起90天。</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0"/>
          <w:highlight w:val="none"/>
          <w:lang w:val="en-US"/>
        </w:rPr>
      </w:pPr>
      <w:r>
        <w:rPr>
          <w:rFonts w:hint="eastAsia" w:ascii="宋体" w:hAnsi="宋体" w:eastAsia="宋体" w:cs="宋体"/>
          <w:color w:val="auto"/>
          <w:kern w:val="2"/>
          <w:sz w:val="24"/>
          <w:szCs w:val="20"/>
          <w:highlight w:val="none"/>
          <w:lang w:val="en-US" w:eastAsia="zh-CN" w:bidi="ar"/>
        </w:rPr>
        <w:t>2.在特殊情况下，采购人可与投标人协商延长投标文件的有效期，这种要求和答复均以书面形式进行。</w:t>
      </w:r>
    </w:p>
    <w:p>
      <w:pPr>
        <w:keepNext w:val="0"/>
        <w:keepLines w:val="0"/>
        <w:widowControl w:val="0"/>
        <w:suppressLineNumbers w:val="0"/>
        <w:snapToGrid w:val="0"/>
        <w:spacing w:before="0" w:beforeAutospacing="0" w:after="0" w:afterAutospacing="0" w:line="312" w:lineRule="auto"/>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3.中标人的投标文件自开标之日起至合同履行完毕均应保持有效。</w:t>
      </w:r>
    </w:p>
    <w:p>
      <w:pPr>
        <w:keepNext w:val="0"/>
        <w:keepLines w:val="0"/>
        <w:widowControl w:val="0"/>
        <w:suppressLineNumbers w:val="0"/>
        <w:snapToGrid w:val="0"/>
        <w:spacing w:before="0" w:beforeAutospacing="0" w:after="0" w:afterAutospacing="0" w:line="312" w:lineRule="auto"/>
        <w:ind w:left="0" w:right="0" w:firstLine="482" w:firstLineChars="200"/>
        <w:jc w:val="both"/>
        <w:outlineLvl w:val="0"/>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（四）投标文件的签署</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auto"/>
          <w:kern w:val="0"/>
          <w:sz w:val="24"/>
          <w:szCs w:val="20"/>
          <w:highlight w:val="none"/>
          <w:lang w:val="en-US"/>
        </w:rPr>
      </w:pPr>
      <w:r>
        <w:rPr>
          <w:rFonts w:hint="eastAsia" w:ascii="宋体" w:hAnsi="宋体" w:eastAsia="宋体" w:cs="宋体"/>
          <w:bCs/>
          <w:color w:val="auto"/>
          <w:kern w:val="0"/>
          <w:sz w:val="24"/>
          <w:szCs w:val="20"/>
          <w:highlight w:val="none"/>
          <w:lang w:val="en-US" w:eastAsia="zh-CN" w:bidi="ar"/>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auto"/>
          <w:kern w:val="0"/>
          <w:sz w:val="24"/>
          <w:szCs w:val="20"/>
          <w:highlight w:val="none"/>
          <w:lang w:val="en-US"/>
        </w:rPr>
      </w:pPr>
      <w:r>
        <w:rPr>
          <w:rFonts w:hint="eastAsia" w:ascii="宋体" w:hAnsi="宋体" w:eastAsia="宋体" w:cs="宋体"/>
          <w:bCs/>
          <w:color w:val="auto"/>
          <w:kern w:val="0"/>
          <w:sz w:val="24"/>
          <w:szCs w:val="20"/>
          <w:highlight w:val="none"/>
          <w:lang w:val="en-US" w:eastAsia="zh-CN" w:bidi="ar"/>
        </w:rPr>
        <w:t>2.投标文件中所有的插字、涂改和增删，必须由法定代表人或经其正式授权的代表在旁边签字或盖章才有效。</w:t>
      </w:r>
    </w:p>
    <w:p>
      <w:pPr>
        <w:keepNext w:val="0"/>
        <w:keepLines w:val="0"/>
        <w:widowControl w:val="0"/>
        <w:suppressLineNumbers w:val="0"/>
        <w:autoSpaceDE w:val="0"/>
        <w:autoSpaceDN w:val="0"/>
        <w:adjustRightInd w:val="0"/>
        <w:spacing w:before="0" w:beforeAutospacing="0" w:after="0" w:afterAutospacing="0" w:line="312" w:lineRule="auto"/>
        <w:ind w:left="0" w:right="0" w:firstLine="482" w:firstLineChars="200"/>
        <w:jc w:val="both"/>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（五）投标文件的递交要求</w:t>
      </w:r>
    </w:p>
    <w:p>
      <w:pPr>
        <w:keepNext w:val="0"/>
        <w:keepLines w:val="0"/>
        <w:widowControl w:val="0"/>
        <w:suppressLineNumbers w:val="0"/>
        <w:tabs>
          <w:tab w:val="left" w:pos="1418"/>
        </w:tabs>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2"/>
          <w:sz w:val="24"/>
          <w:szCs w:val="24"/>
          <w:highlight w:val="none"/>
          <w:lang w:val="en-US" w:eastAsia="zh-CN" w:bidi="ar"/>
        </w:rPr>
        <w:t>按照前附表要求提交，</w:t>
      </w:r>
      <w:r>
        <w:rPr>
          <w:rFonts w:hint="eastAsia" w:ascii="宋体" w:hAnsi="宋体" w:eastAsia="宋体" w:cs="宋体"/>
          <w:color w:val="auto"/>
          <w:kern w:val="0"/>
          <w:sz w:val="24"/>
          <w:szCs w:val="24"/>
          <w:highlight w:val="none"/>
          <w:lang w:val="en-US" w:eastAsia="zh-CN" w:bidi="ar"/>
        </w:rPr>
        <w:t>如采购组织机构延长截止时间和开标时间，采购组织机构和投标人的权利和义务将受到新的截止时间和开标时间的约束。</w:t>
      </w:r>
    </w:p>
    <w:p>
      <w:pPr>
        <w:keepNext w:val="0"/>
        <w:keepLines w:val="0"/>
        <w:widowControl w:val="0"/>
        <w:suppressLineNumbers w:val="0"/>
        <w:snapToGrid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五、开标</w:t>
      </w:r>
    </w:p>
    <w:p>
      <w:pPr>
        <w:keepNext w:val="0"/>
        <w:keepLines w:val="0"/>
        <w:widowControl w:val="0"/>
        <w:suppressLineNumbers w:val="0"/>
        <w:autoSpaceDE w:val="0"/>
        <w:autoSpaceDN w:val="0"/>
        <w:adjustRightInd w:val="0"/>
        <w:spacing w:before="0" w:beforeAutospacing="0" w:after="0" w:afterAutospacing="0" w:line="312"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（一）开标程序</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1.开标时间到后，主持人准时组织开标；</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2.宣布开标纪律；</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3.宣布采购组织机构工作人员；</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4.投标人登录政采云平台，用“项目采购-开标评标”功能对电子投标文件进行在线解密。在线解密时间为开标时间起半个小时内；</w:t>
      </w:r>
    </w:p>
    <w:p>
      <w:pPr>
        <w:pStyle w:val="20"/>
        <w:keepNext w:val="0"/>
        <w:keepLines w:val="0"/>
        <w:widowControl w:val="0"/>
        <w:suppressLineNumbers w:val="0"/>
        <w:spacing w:before="0" w:beforeAutospacing="0" w:after="0" w:afterAutospacing="0" w:line="312" w:lineRule="auto"/>
        <w:ind w:left="0" w:right="0" w:firstLine="480" w:firstLineChars="200"/>
        <w:jc w:val="both"/>
        <w:rPr>
          <w:color w:val="auto"/>
          <w:sz w:val="24"/>
          <w:szCs w:val="22"/>
          <w:highlight w:val="none"/>
          <w:lang w:val="en-US"/>
        </w:rPr>
      </w:pPr>
      <w:r>
        <w:rPr>
          <w:rFonts w:hint="eastAsia" w:ascii="宋体" w:hAnsi="宋体" w:eastAsia="宋体" w:cs="宋体"/>
          <w:color w:val="auto"/>
          <w:kern w:val="2"/>
          <w:sz w:val="24"/>
          <w:szCs w:val="24"/>
          <w:highlight w:val="none"/>
          <w:lang w:val="en-US" w:eastAsia="zh-CN" w:bidi="ar"/>
        </w:rPr>
        <w:t>5.采</w:t>
      </w:r>
      <w:r>
        <w:rPr>
          <w:rFonts w:hint="eastAsia" w:ascii="Times New Roman" w:hAnsi="Times New Roman" w:eastAsia="宋体" w:cs="宋体"/>
          <w:color w:val="auto"/>
          <w:kern w:val="2"/>
          <w:sz w:val="24"/>
          <w:szCs w:val="22"/>
          <w:highlight w:val="none"/>
          <w:lang w:val="en-US" w:eastAsia="zh-CN" w:bidi="ar"/>
        </w:rPr>
        <w:t>购组织机构工作人员当众宣布投标人名称、投标价格和招标文件规定的需要宣布的其他内容；（以开标一览表要求为准）</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6.公布开标结果。</w:t>
      </w:r>
    </w:p>
    <w:p>
      <w:pPr>
        <w:pStyle w:val="20"/>
        <w:keepNext w:val="0"/>
        <w:keepLines w:val="0"/>
        <w:widowControl w:val="0"/>
        <w:suppressLineNumbers w:val="0"/>
        <w:spacing w:before="0" w:beforeAutospacing="0" w:after="0" w:afterAutospacing="0" w:line="312" w:lineRule="auto"/>
        <w:ind w:left="0" w:right="0" w:firstLine="482" w:firstLineChars="200"/>
        <w:jc w:val="both"/>
        <w:rPr>
          <w:b/>
          <w:color w:val="auto"/>
          <w:sz w:val="24"/>
          <w:szCs w:val="22"/>
          <w:highlight w:val="none"/>
          <w:lang w:val="en-US"/>
        </w:rPr>
      </w:pPr>
      <w:r>
        <w:rPr>
          <w:rFonts w:hint="eastAsia" w:ascii="Times New Roman" w:hAnsi="Times New Roman" w:eastAsia="宋体" w:cs="宋体"/>
          <w:b/>
          <w:color w:val="auto"/>
          <w:kern w:val="2"/>
          <w:sz w:val="24"/>
          <w:szCs w:val="22"/>
          <w:highlight w:val="none"/>
          <w:lang w:val="en-US" w:eastAsia="zh-CN" w:bidi="ar"/>
        </w:rPr>
        <w:t>（二）开标异议</w:t>
      </w:r>
    </w:p>
    <w:p>
      <w:pPr>
        <w:pStyle w:val="20"/>
        <w:keepNext w:val="0"/>
        <w:keepLines w:val="0"/>
        <w:widowControl w:val="0"/>
        <w:suppressLineNumbers w:val="0"/>
        <w:spacing w:before="0" w:beforeAutospacing="0" w:after="0" w:afterAutospacing="0" w:line="312" w:lineRule="auto"/>
        <w:ind w:left="0" w:right="0" w:firstLine="480" w:firstLineChars="200"/>
        <w:jc w:val="both"/>
        <w:rPr>
          <w:color w:val="auto"/>
          <w:sz w:val="24"/>
          <w:szCs w:val="22"/>
          <w:highlight w:val="none"/>
          <w:lang w:val="en-US"/>
        </w:rPr>
      </w:pPr>
      <w:r>
        <w:rPr>
          <w:rFonts w:hint="eastAsia" w:ascii="Times New Roman" w:hAnsi="Times New Roman" w:eastAsia="宋体" w:cs="宋体"/>
          <w:color w:val="auto"/>
          <w:kern w:val="2"/>
          <w:sz w:val="24"/>
          <w:szCs w:val="22"/>
          <w:highlight w:val="none"/>
          <w:lang w:val="en-US" w:eastAsia="zh-CN" w:bidi="ar"/>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0"/>
        <w:keepNext w:val="0"/>
        <w:keepLines w:val="0"/>
        <w:widowControl w:val="0"/>
        <w:suppressLineNumbers w:val="0"/>
        <w:spacing w:before="0" w:beforeAutospacing="0" w:after="0" w:afterAutospacing="0" w:line="312" w:lineRule="auto"/>
        <w:ind w:left="0" w:right="0" w:firstLine="482" w:firstLineChars="200"/>
        <w:jc w:val="both"/>
        <w:rPr>
          <w:color w:val="auto"/>
          <w:sz w:val="24"/>
          <w:szCs w:val="22"/>
          <w:highlight w:val="none"/>
          <w:lang w:val="en-US"/>
        </w:rPr>
      </w:pPr>
      <w:r>
        <w:rPr>
          <w:rFonts w:hint="eastAsia" w:ascii="Times New Roman" w:hAnsi="Times New Roman" w:eastAsia="宋体" w:cs="宋体"/>
          <w:b/>
          <w:color w:val="auto"/>
          <w:kern w:val="2"/>
          <w:sz w:val="24"/>
          <w:szCs w:val="22"/>
          <w:highlight w:val="none"/>
          <w:lang w:val="en-US" w:eastAsia="zh-CN" w:bidi="ar"/>
        </w:rPr>
        <w:t>（三）</w:t>
      </w:r>
      <w:r>
        <w:rPr>
          <w:rFonts w:hint="eastAsia" w:ascii="Times New Roman" w:hAnsi="Times New Roman" w:eastAsia="宋体" w:cs="宋体"/>
          <w:color w:val="auto"/>
          <w:kern w:val="2"/>
          <w:sz w:val="24"/>
          <w:szCs w:val="22"/>
          <w:highlight w:val="none"/>
          <w:lang w:val="en-US" w:eastAsia="zh-CN" w:bidi="ar"/>
        </w:rPr>
        <w:t>投标人不足三家，不得开标。</w:t>
      </w: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outlineLvl w:val="1"/>
        <w:rPr>
          <w:rFonts w:ascii="宋体" w:hAnsi="宋体"/>
          <w:b/>
          <w:bCs w:val="0"/>
          <w:color w:val="auto"/>
          <w:sz w:val="24"/>
          <w:szCs w:val="24"/>
          <w:highlight w:val="none"/>
          <w:lang w:val="en-US"/>
        </w:rPr>
      </w:pPr>
      <w:r>
        <w:rPr>
          <w:rFonts w:hint="eastAsia" w:ascii="宋体" w:hAnsi="宋体" w:eastAsia="宋体" w:cs="Times New Roman"/>
          <w:b/>
          <w:bCs w:val="0"/>
          <w:color w:val="auto"/>
          <w:kern w:val="2"/>
          <w:sz w:val="24"/>
          <w:szCs w:val="24"/>
          <w:highlight w:val="none"/>
          <w:lang w:val="en-US" w:eastAsia="zh-CN" w:bidi="ar"/>
        </w:rPr>
        <w:t>六、评标（详见第四章）</w:t>
      </w:r>
    </w:p>
    <w:p>
      <w:pPr>
        <w:pStyle w:val="20"/>
        <w:widowControl/>
        <w:spacing w:before="0" w:beforeAutospacing="0" w:after="0" w:afterAutospacing="0" w:line="312" w:lineRule="auto"/>
        <w:ind w:left="0" w:right="0" w:firstLine="482" w:firstLineChars="200"/>
        <w:jc w:val="both"/>
        <w:rPr>
          <w:rFonts w:ascii="宋体" w:hAnsi="宋体" w:eastAsia="宋体"/>
          <w:b/>
          <w:bCs w:val="0"/>
          <w:color w:val="auto"/>
          <w:highlight w:val="none"/>
          <w:lang w:val="en-US"/>
        </w:rPr>
      </w:pPr>
      <w:r>
        <w:rPr>
          <w:rFonts w:ascii="宋体" w:hAnsi="宋体" w:eastAsia="宋体"/>
          <w:b/>
          <w:bCs w:val="0"/>
          <w:color w:val="auto"/>
          <w:highlight w:val="none"/>
          <w:lang w:eastAsia="zh-CN"/>
        </w:rPr>
        <w:t>七、定标</w:t>
      </w:r>
    </w:p>
    <w:p>
      <w:pPr>
        <w:pStyle w:val="20"/>
        <w:widowControl/>
        <w:spacing w:before="0" w:beforeAutospacing="0" w:after="0" w:afterAutospacing="0" w:line="312" w:lineRule="auto"/>
        <w:ind w:left="0" w:right="0" w:firstLine="480" w:firstLineChars="200"/>
        <w:jc w:val="both"/>
        <w:rPr>
          <w:rFonts w:ascii="宋体" w:hAnsi="宋体" w:eastAsia="宋体"/>
          <w:color w:val="auto"/>
          <w:highlight w:val="none"/>
          <w:lang w:val="en-US"/>
        </w:rPr>
      </w:pPr>
      <w:r>
        <w:rPr>
          <w:rFonts w:ascii="宋体" w:hAnsi="宋体" w:eastAsia="宋体"/>
          <w:color w:val="auto"/>
          <w:highlight w:val="none"/>
          <w:lang w:eastAsia="zh-CN"/>
        </w:rPr>
        <w:t>（一）</w:t>
      </w:r>
      <w:r>
        <w:rPr>
          <w:color w:val="auto"/>
          <w:highlight w:val="none"/>
          <w:lang w:eastAsia="zh-CN"/>
        </w:rPr>
        <w:t>确定中标人。</w:t>
      </w:r>
      <w:r>
        <w:rPr>
          <w:rFonts w:ascii="宋体" w:hAnsi="宋体" w:eastAsia="宋体"/>
          <w:color w:val="auto"/>
          <w:highlight w:val="none"/>
          <w:lang w:eastAsia="zh-CN"/>
        </w:rPr>
        <w:t>评标委员会根据采购单位的</w:t>
      </w:r>
      <w:r>
        <w:rPr>
          <w:color w:val="auto"/>
          <w:highlight w:val="none"/>
          <w:lang w:eastAsia="zh-CN"/>
        </w:rPr>
        <w:t>《授权意见确认书》</w:t>
      </w:r>
      <w:r>
        <w:rPr>
          <w:rFonts w:ascii="宋体" w:hAnsi="宋体" w:eastAsia="宋体"/>
          <w:color w:val="auto"/>
          <w:highlight w:val="none"/>
          <w:lang w:eastAsia="zh-CN"/>
        </w:rPr>
        <w:t>，推荐中标候选人或确定中标人。其中推荐中标候选人的，采购组织机构在评标结束后</w:t>
      </w:r>
      <w:r>
        <w:rPr>
          <w:rFonts w:ascii="宋体" w:hAnsi="宋体" w:eastAsia="宋体"/>
          <w:color w:val="auto"/>
          <w:highlight w:val="none"/>
          <w:lang w:val="en-US"/>
        </w:rPr>
        <w:t>2</w:t>
      </w:r>
      <w:r>
        <w:rPr>
          <w:rFonts w:ascii="宋体" w:hAnsi="宋体" w:eastAsia="宋体"/>
          <w:color w:val="auto"/>
          <w:highlight w:val="none"/>
          <w:lang w:eastAsia="zh-CN"/>
        </w:rPr>
        <w:t>个工作日内将评标报告送采购人，采购人自收到评标报告之日起</w:t>
      </w:r>
      <w:r>
        <w:rPr>
          <w:rFonts w:ascii="宋体" w:hAnsi="宋体" w:eastAsia="宋体"/>
          <w:color w:val="auto"/>
          <w:highlight w:val="none"/>
          <w:lang w:val="en-US"/>
        </w:rPr>
        <w:t>5</w:t>
      </w:r>
      <w:r>
        <w:rPr>
          <w:rFonts w:ascii="宋体" w:hAnsi="宋体" w:eastAsia="宋体"/>
          <w:color w:val="auto"/>
          <w:highlight w:val="none"/>
          <w:lang w:eastAsia="zh-CN"/>
        </w:rPr>
        <w:t>个工作日内在评标报告推荐的中标候选人中确定中标人。</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（二）发布中标结果公告。采购组织机构自中标人确定之日起2个工作日内，在浙江省政府采购网和台州市公共资源交易网上公告中标结果，中标结果公告期为 1 个工作日。</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（三）发放中标通知书。采购组织机构在发布中标结果公告的同时，通过政采云平台向中标人发放中标通知书。</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八、</w:t>
      </w:r>
      <w:r>
        <w:rPr>
          <w:rFonts w:hint="eastAsia" w:ascii="宋体" w:hAnsi="宋体" w:eastAsia="宋体" w:cs="宋体"/>
          <w:b/>
          <w:bCs w:val="0"/>
          <w:color w:val="auto"/>
          <w:kern w:val="0"/>
          <w:sz w:val="24"/>
          <w:szCs w:val="24"/>
          <w:highlight w:val="none"/>
          <w:lang w:val="en-US" w:eastAsia="zh-CN" w:bidi="ar"/>
        </w:rPr>
        <w:t>合同签订及公告</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auto"/>
          <w:kern w:val="0"/>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（一）签订合同</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1.</w:t>
      </w:r>
      <w:r>
        <w:rPr>
          <w:color w:val="auto"/>
          <w:highlight w:val="none"/>
          <w:lang w:eastAsia="zh-CN"/>
        </w:rPr>
        <w:t>采购人应当自中标通知书发出之日起</w:t>
      </w:r>
      <w:r>
        <w:rPr>
          <w:color w:val="auto"/>
          <w:highlight w:val="none"/>
          <w:lang w:val="en-US"/>
        </w:rPr>
        <w:t>30</w:t>
      </w:r>
      <w:r>
        <w:rPr>
          <w:color w:val="auto"/>
          <w:highlight w:val="none"/>
          <w:lang w:eastAsia="zh-CN"/>
        </w:rPr>
        <w:t>日内，按照招标文件和中标人投标文件内容要求，与中标人签订书面合同或者电子合同。所签订的合同不得对招标文件确定的事项和中标人投标文件作实质性修改。</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2.</w:t>
      </w:r>
      <w:r>
        <w:rPr>
          <w:color w:val="auto"/>
          <w:highlight w:val="none"/>
          <w:lang w:eastAsia="zh-CN"/>
        </w:rPr>
        <w:t>采购人不得向中标人提出任何不合理的要求作为签订合同的条件。</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3.</w:t>
      </w:r>
      <w:r>
        <w:rPr>
          <w:color w:val="auto"/>
          <w:highlight w:val="none"/>
          <w:lang w:eastAsia="zh-CN"/>
        </w:rPr>
        <w:t>中标人无故拖延、拒签合同的</w:t>
      </w:r>
      <w:r>
        <w:rPr>
          <w:color w:val="auto"/>
          <w:highlight w:val="none"/>
          <w:lang w:val="en-US"/>
        </w:rPr>
        <w:t>,</w:t>
      </w:r>
      <w:r>
        <w:rPr>
          <w:color w:val="auto"/>
          <w:highlight w:val="none"/>
          <w:lang w:eastAsia="zh-CN"/>
        </w:rPr>
        <w:t>将取消中标资格。</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4.</w:t>
      </w:r>
      <w:r>
        <w:rPr>
          <w:color w:val="auto"/>
          <w:highlight w:val="none"/>
          <w:lang w:eastAsia="zh-CN"/>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5.</w:t>
      </w:r>
      <w:r>
        <w:rPr>
          <w:color w:val="auto"/>
          <w:highlight w:val="none"/>
          <w:lang w:eastAsia="zh-CN"/>
        </w:rPr>
        <w:t>询问或者质疑事项可能影响中标结果的，采购人应当暂停签订合同，已经签订合同的，应当中止履行合同。</w:t>
      </w:r>
    </w:p>
    <w:p>
      <w:pPr>
        <w:pStyle w:val="20"/>
        <w:widowControl/>
        <w:spacing w:before="0" w:beforeAutospacing="0" w:after="0" w:afterAutospacing="0" w:line="312" w:lineRule="auto"/>
        <w:ind w:left="0" w:right="0" w:firstLine="482" w:firstLineChars="200"/>
        <w:jc w:val="both"/>
        <w:rPr>
          <w:rFonts w:cs="仿宋_GB2312"/>
          <w:b/>
          <w:bCs w:val="0"/>
          <w:color w:val="auto"/>
          <w:highlight w:val="none"/>
          <w:lang w:val="en-US"/>
        </w:rPr>
      </w:pPr>
      <w:r>
        <w:rPr>
          <w:b/>
          <w:bCs w:val="0"/>
          <w:color w:val="auto"/>
          <w:highlight w:val="none"/>
          <w:lang w:eastAsia="zh-CN"/>
        </w:rPr>
        <w:t>（二）合同公告及备案</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1.</w:t>
      </w:r>
      <w:r>
        <w:rPr>
          <w:color w:val="auto"/>
          <w:highlight w:val="none"/>
          <w:lang w:eastAsia="zh-CN"/>
        </w:rPr>
        <w:t>采购人应当自合同签订之日起</w:t>
      </w:r>
      <w:r>
        <w:rPr>
          <w:color w:val="auto"/>
          <w:highlight w:val="none"/>
          <w:lang w:val="en-US"/>
        </w:rPr>
        <w:t>2</w:t>
      </w:r>
      <w:r>
        <w:rPr>
          <w:color w:val="auto"/>
          <w:highlight w:val="none"/>
          <w:lang w:eastAsia="zh-CN"/>
        </w:rPr>
        <w:t>个工作日内，在省级以上财政部门指定的政府采购信息发布媒体及相关网站上公告。</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2.</w:t>
      </w:r>
      <w:r>
        <w:rPr>
          <w:color w:val="auto"/>
          <w:highlight w:val="none"/>
          <w:lang w:eastAsia="zh-CN"/>
        </w:rPr>
        <w:t>采购人应当自合同签订之日起</w:t>
      </w:r>
      <w:r>
        <w:rPr>
          <w:color w:val="auto"/>
          <w:highlight w:val="none"/>
          <w:lang w:val="en-US"/>
        </w:rPr>
        <w:t>7</w:t>
      </w:r>
      <w:r>
        <w:rPr>
          <w:color w:val="auto"/>
          <w:highlight w:val="none"/>
          <w:lang w:eastAsia="zh-CN"/>
        </w:rPr>
        <w:t>个工作日内，将合同通过政采云平台提交至同级人民政府财政部门备案存档。</w:t>
      </w:r>
    </w:p>
    <w:p>
      <w:pPr>
        <w:pStyle w:val="20"/>
        <w:widowControl/>
        <w:spacing w:before="0" w:beforeAutospacing="0" w:after="0" w:afterAutospacing="0" w:line="312" w:lineRule="auto"/>
        <w:ind w:left="0" w:right="0" w:firstLine="482" w:firstLineChars="200"/>
        <w:jc w:val="both"/>
        <w:rPr>
          <w:b/>
          <w:color w:val="auto"/>
          <w:highlight w:val="none"/>
          <w:lang w:val="en-US"/>
        </w:rPr>
      </w:pPr>
      <w:r>
        <w:rPr>
          <w:b/>
          <w:color w:val="auto"/>
          <w:highlight w:val="none"/>
          <w:lang w:eastAsia="zh-CN"/>
        </w:rPr>
        <w:t>九、询问、质疑与投诉</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（一）询问</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（二）质疑</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1.</w:t>
      </w:r>
      <w:r>
        <w:rPr>
          <w:color w:val="auto"/>
          <w:highlight w:val="none"/>
          <w:lang w:eastAsia="zh-CN"/>
        </w:rPr>
        <w:t>报名本项目的投标人认为招标文件、采购过程和中标结果使自己的权益受到损害的，以书面形式或政采云平台的质疑系统一次性向采购人或采购组织机构提出质疑：</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w:t>
      </w:r>
      <w:r>
        <w:rPr>
          <w:color w:val="auto"/>
          <w:highlight w:val="none"/>
          <w:lang w:val="en-US"/>
        </w:rPr>
        <w:t>1</w:t>
      </w:r>
      <w:r>
        <w:rPr>
          <w:color w:val="auto"/>
          <w:highlight w:val="none"/>
          <w:lang w:eastAsia="zh-CN"/>
        </w:rPr>
        <w:t>）投标人认为招标文件的内容损害其权益的，应当自获取之日起（获取截止日之后收到招标文件的，以获取截止日为准）</w:t>
      </w:r>
      <w:r>
        <w:rPr>
          <w:color w:val="auto"/>
          <w:highlight w:val="none"/>
          <w:lang w:val="en-US"/>
        </w:rPr>
        <w:t>7</w:t>
      </w:r>
      <w:r>
        <w:rPr>
          <w:color w:val="auto"/>
          <w:highlight w:val="none"/>
          <w:lang w:eastAsia="zh-CN"/>
        </w:rPr>
        <w:t>个工作日内提出质疑；</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w:t>
      </w:r>
      <w:r>
        <w:rPr>
          <w:color w:val="auto"/>
          <w:highlight w:val="none"/>
          <w:lang w:val="en-US"/>
        </w:rPr>
        <w:t>2</w:t>
      </w:r>
      <w:r>
        <w:rPr>
          <w:color w:val="auto"/>
          <w:highlight w:val="none"/>
          <w:lang w:eastAsia="zh-CN"/>
        </w:rPr>
        <w:t>）投标人对采购过程提出质疑的，应当在各采购程序环节结束之日起</w:t>
      </w:r>
      <w:r>
        <w:rPr>
          <w:color w:val="auto"/>
          <w:highlight w:val="none"/>
          <w:lang w:val="en-US"/>
        </w:rPr>
        <w:t>7</w:t>
      </w:r>
      <w:r>
        <w:rPr>
          <w:color w:val="auto"/>
          <w:highlight w:val="none"/>
          <w:lang w:eastAsia="zh-CN"/>
        </w:rPr>
        <w:t>个工作日内提出质疑；</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w:t>
      </w:r>
      <w:r>
        <w:rPr>
          <w:color w:val="auto"/>
          <w:highlight w:val="none"/>
          <w:lang w:val="en-US"/>
        </w:rPr>
        <w:t>3</w:t>
      </w:r>
      <w:r>
        <w:rPr>
          <w:color w:val="auto"/>
          <w:highlight w:val="none"/>
          <w:lang w:eastAsia="zh-CN"/>
        </w:rPr>
        <w:t>）投标人对中标结果提出质疑的，应当在中标结果公告期限届满之日起</w:t>
      </w:r>
      <w:r>
        <w:rPr>
          <w:color w:val="auto"/>
          <w:highlight w:val="none"/>
          <w:lang w:val="en-US"/>
        </w:rPr>
        <w:t>7</w:t>
      </w:r>
      <w:r>
        <w:rPr>
          <w:color w:val="auto"/>
          <w:highlight w:val="none"/>
          <w:lang w:eastAsia="zh-CN"/>
        </w:rPr>
        <w:t>个工作日内提出质疑；</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2.</w:t>
      </w:r>
      <w:r>
        <w:rPr>
          <w:color w:val="auto"/>
          <w:highlight w:val="none"/>
          <w:lang w:eastAsia="zh-CN"/>
        </w:rPr>
        <w:t>采购人或采购组织机构在收到投标人的书面质疑后</w:t>
      </w:r>
      <w:r>
        <w:rPr>
          <w:color w:val="auto"/>
          <w:highlight w:val="none"/>
          <w:lang w:val="en-US"/>
        </w:rPr>
        <w:t>7</w:t>
      </w:r>
      <w:r>
        <w:rPr>
          <w:color w:val="auto"/>
          <w:highlight w:val="none"/>
          <w:lang w:eastAsia="zh-CN"/>
        </w:rPr>
        <w:t>个工作日内作出答复，并以书面形式或政采云平台回复质疑投标人和其他有关投标人，但答复内容不涉及商业秘密。</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val="en-US"/>
        </w:rPr>
        <w:t>3.</w:t>
      </w:r>
      <w:r>
        <w:rPr>
          <w:color w:val="auto"/>
          <w:highlight w:val="none"/>
          <w:lang w:eastAsia="zh-CN"/>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（三）投诉</w:t>
      </w:r>
    </w:p>
    <w:p>
      <w:pPr>
        <w:pStyle w:val="20"/>
        <w:widowControl/>
        <w:spacing w:before="0" w:beforeAutospacing="0" w:after="0" w:afterAutospacing="0" w:line="312" w:lineRule="auto"/>
        <w:ind w:left="0" w:right="0" w:firstLine="480" w:firstLineChars="200"/>
        <w:jc w:val="both"/>
        <w:rPr>
          <w:color w:val="auto"/>
          <w:highlight w:val="none"/>
          <w:lang w:val="en-US"/>
        </w:rPr>
      </w:pPr>
      <w:r>
        <w:rPr>
          <w:color w:val="auto"/>
          <w:highlight w:val="none"/>
          <w:lang w:eastAsia="zh-CN"/>
        </w:rPr>
        <w:t>投标人对采购人或采购组织机构的质疑答复不满意或在规定时间内未得到答复的，可以在答复期满后</w:t>
      </w:r>
      <w:r>
        <w:rPr>
          <w:color w:val="auto"/>
          <w:highlight w:val="none"/>
          <w:lang w:val="en-US"/>
        </w:rPr>
        <w:t>15</w:t>
      </w:r>
      <w:r>
        <w:rPr>
          <w:color w:val="auto"/>
          <w:highlight w:val="none"/>
          <w:lang w:eastAsia="zh-CN"/>
        </w:rPr>
        <w:t>个工作日内，向同级政府采购监督管理机构投诉。</w:t>
      </w:r>
    </w:p>
    <w:p>
      <w:pPr>
        <w:pStyle w:val="20"/>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bCs w:val="0"/>
          <w:color w:val="auto"/>
          <w:sz w:val="36"/>
          <w:szCs w:val="36"/>
          <w:highlight w:val="none"/>
          <w:lang w:val="en-US"/>
        </w:rPr>
      </w:pPr>
      <w:r>
        <w:rPr>
          <w:rFonts w:hint="eastAsia" w:ascii="宋体" w:hAnsi="宋体" w:eastAsia="等线" w:cs="Times New Roman"/>
          <w:color w:val="auto"/>
          <w:kern w:val="2"/>
          <w:sz w:val="24"/>
          <w:szCs w:val="24"/>
          <w:highlight w:val="none"/>
          <w:lang w:val="en-US" w:eastAsia="zh-CN" w:bidi="ar"/>
        </w:rPr>
        <w:br w:type="page"/>
      </w:r>
    </w:p>
    <w:p>
      <w:pPr>
        <w:keepNext w:val="0"/>
        <w:keepLines w:val="0"/>
        <w:widowControl w:val="0"/>
        <w:numPr>
          <w:ilvl w:val="0"/>
          <w:numId w:val="4"/>
        </w:numPr>
        <w:suppressLineNumbers w:val="0"/>
        <w:spacing w:before="0" w:beforeAutospacing="0" w:after="0" w:afterAutospacing="0" w:line="360" w:lineRule="auto"/>
        <w:ind w:left="0" w:right="0" w:firstLine="0"/>
        <w:jc w:val="center"/>
        <w:rPr>
          <w:rFonts w:hint="eastAsia" w:ascii="宋体" w:hAnsi="宋体" w:eastAsia="宋体" w:cs="宋体"/>
          <w:b/>
          <w:bCs w:val="0"/>
          <w:color w:val="auto"/>
          <w:sz w:val="36"/>
          <w:szCs w:val="36"/>
          <w:highlight w:val="none"/>
          <w:lang w:val="en-US"/>
        </w:rPr>
      </w:pPr>
      <w:bookmarkStart w:id="32" w:name="_Toc13072_WPSOffice_Level1"/>
      <w:r>
        <w:rPr>
          <w:rFonts w:hint="eastAsia" w:ascii="宋体" w:hAnsi="宋体" w:eastAsia="宋体" w:cs="宋体"/>
          <w:b/>
          <w:bCs w:val="0"/>
          <w:color w:val="auto"/>
          <w:kern w:val="2"/>
          <w:sz w:val="36"/>
          <w:szCs w:val="36"/>
          <w:highlight w:val="none"/>
          <w:lang w:val="en-US" w:eastAsia="zh-CN" w:bidi="ar"/>
        </w:rPr>
        <w:t>招标需求</w:t>
      </w:r>
      <w:bookmarkEnd w:id="32"/>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一、招标项目一览表</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本次招标共一个标项，具体内容如下表：</w:t>
      </w:r>
    </w:p>
    <w:tbl>
      <w:tblPr>
        <w:tblStyle w:val="25"/>
        <w:tblW w:w="9215" w:type="dxa"/>
        <w:jc w:val="center"/>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3"/>
        <w:gridCol w:w="1746"/>
        <w:gridCol w:w="2032"/>
        <w:gridCol w:w="765"/>
        <w:gridCol w:w="810"/>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653"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标项号</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firstLine="120" w:firstLineChars="5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项目名称</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简要技术要求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数量</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单位</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79"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1</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“地信智服”成果服务子场景试点成果全市推广应用服务项目</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widowControl/>
              <w:spacing w:before="0" w:beforeAutospacing="0" w:after="0" w:afterAutospacing="0"/>
              <w:ind w:left="0" w:leftChars="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bidi="ar"/>
              </w:rPr>
              <w:t>“地信智服”成果服务子场景试点成果全市推广应用服务，服务区域包括黄岩区、</w:t>
            </w:r>
            <w:r>
              <w:rPr>
                <w:rFonts w:hint="eastAsia" w:ascii="宋体" w:hAnsi="宋体" w:cs="宋体"/>
                <w:color w:val="auto"/>
                <w:sz w:val="24"/>
                <w:szCs w:val="24"/>
                <w:highlight w:val="none"/>
                <w:lang w:val="en-US" w:eastAsia="zh-CN" w:bidi="ar"/>
              </w:rPr>
              <w:t>路桥区、</w:t>
            </w:r>
            <w:r>
              <w:rPr>
                <w:rFonts w:hint="eastAsia" w:ascii="宋体" w:hAnsi="宋体" w:eastAsia="宋体" w:cs="宋体"/>
                <w:color w:val="auto"/>
                <w:sz w:val="24"/>
                <w:szCs w:val="24"/>
                <w:highlight w:val="none"/>
                <w:lang w:bidi="ar"/>
              </w:rPr>
              <w:t>温岭市、玉环市、天台县、仙居县、三门县。</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项</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w:t>
            </w:r>
            <w:r>
              <w:rPr>
                <w:rFonts w:hint="eastAsia" w:ascii="宋体" w:hAnsi="宋体" w:cs="宋体"/>
                <w:bCs/>
                <w:color w:val="auto"/>
                <w:kern w:val="2"/>
                <w:sz w:val="24"/>
                <w:szCs w:val="24"/>
                <w:highlight w:val="none"/>
                <w:lang w:val="en-US" w:eastAsia="zh-CN" w:bidi="ar"/>
              </w:rPr>
              <w:t>67</w:t>
            </w:r>
            <w:r>
              <w:rPr>
                <w:rFonts w:hint="eastAsia" w:ascii="宋体" w:hAnsi="宋体" w:eastAsia="宋体" w:cs="宋体"/>
                <w:bCs/>
                <w:color w:val="auto"/>
                <w:kern w:val="2"/>
                <w:sz w:val="24"/>
                <w:szCs w:val="24"/>
                <w:highlight w:val="none"/>
                <w:lang w:val="en-US" w:eastAsia="zh-CN" w:bidi="ar"/>
              </w:rPr>
              <w:t>.00万元</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25"/>
              <w:jc w:val="center"/>
              <w:rPr>
                <w:rFonts w:hint="eastAsia" w:ascii="宋体" w:hAnsi="宋体" w:eastAsia="仿宋_GB2312"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其中黄岩区12.00万元、路桥区12.00万元、温岭市39.00万元、玉环市18.00万元、天台县18.00万元、仙居县30.00万元、三门县38.00万元</w:t>
            </w:r>
            <w:r>
              <w:rPr>
                <w:rFonts w:hint="eastAsia" w:ascii="宋体" w:hAnsi="宋体" w:eastAsia="宋体" w:cs="宋体"/>
                <w:bCs/>
                <w:color w:val="auto"/>
                <w:kern w:val="2"/>
                <w:sz w:val="24"/>
                <w:szCs w:val="24"/>
                <w:highlight w:val="none"/>
                <w:lang w:val="en-US" w:eastAsia="zh-CN" w:bidi="ar"/>
              </w:rPr>
              <w:t>）</w:t>
            </w:r>
          </w:p>
        </w:tc>
      </w:tr>
    </w:tbl>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二、技术服务要求</w:t>
      </w:r>
    </w:p>
    <w:p>
      <w:pPr>
        <w:keepNext w:val="0"/>
        <w:keepLines w:val="0"/>
        <w:widowControl w:val="0"/>
        <w:suppressLineNumbers w:val="0"/>
        <w:tabs>
          <w:tab w:val="left" w:pos="8280"/>
        </w:tabs>
        <w:autoSpaceDE w:val="0"/>
        <w:autoSpaceDN w:val="0"/>
        <w:adjustRightInd w:val="0"/>
        <w:spacing w:before="0" w:beforeAutospacing="0" w:after="0" w:afterAutospacing="0" w:line="360" w:lineRule="auto"/>
        <w:ind w:left="0" w:right="0" w:firstLine="506" w:firstLineChars="200"/>
        <w:jc w:val="both"/>
        <w:rPr>
          <w:rFonts w:hint="eastAsia" w:ascii="宋体" w:hAnsi="宋体" w:eastAsia="宋体" w:cs="宋体"/>
          <w:b/>
          <w:color w:val="auto"/>
          <w:spacing w:val="6"/>
          <w:sz w:val="24"/>
          <w:szCs w:val="24"/>
          <w:highlight w:val="none"/>
          <w:lang w:val="en-US"/>
        </w:rPr>
      </w:pPr>
      <w:r>
        <w:rPr>
          <w:rFonts w:hint="eastAsia" w:ascii="宋体" w:hAnsi="宋体" w:eastAsia="宋体" w:cs="宋体"/>
          <w:b/>
          <w:color w:val="auto"/>
          <w:spacing w:val="6"/>
          <w:kern w:val="2"/>
          <w:sz w:val="24"/>
          <w:szCs w:val="24"/>
          <w:highlight w:val="none"/>
          <w:lang w:val="en-US" w:eastAsia="zh-CN" w:bidi="ar"/>
        </w:rPr>
        <w:t>（一）项目内容</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1、项目背景</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2023年2月，根据《浙江省自然资源厅关于印发&lt;“地信智服”场景建设方案&gt;并开展场景应用试点和贯通工作的通知》（浙自然资函〔2023〕18号），台州市被列入“地信智服”成果服务子场景试点地区。我市积极开展成果服务子场试点创新工作，针对测绘地理信息成果服务中找图难、数据处理繁琐、分发易出错等问题，实现了测绘成果一键智能供图。2024年8月，“地信智服”成果服务子场景台州市应用试点项目已通过市数据局组织的专家验收，试点成果有效提升了市本级地理信息数据的应用效能和服务水平。为进一步赋能各县（市、区），做到全市“一盘棋”，现将试点成果向全市推广，并印发了《台州市自然资源和规划局关于印发&lt;“地信智服”成果服务子场景试点成果全市推广工作方案&gt;的通知》（台自然资规发〔2024〕86号）。</w:t>
      </w:r>
    </w:p>
    <w:p>
      <w:pPr>
        <w:pStyle w:val="20"/>
        <w:keepNext w:val="0"/>
        <w:keepLines w:val="0"/>
        <w:widowControl w:val="0"/>
        <w:suppressLineNumbers w:val="0"/>
        <w:spacing w:before="0" w:beforeAutospacing="0" w:after="0" w:afterAutospacing="0" w:line="360" w:lineRule="auto"/>
        <w:ind w:left="0" w:right="0" w:firstLine="506" w:firstLineChars="200"/>
        <w:jc w:val="both"/>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本项目由台州市自然资源和规划信息中心代台州市各县（市、区）局（分局）（台州市自然资源和规划局黄岩分局、台州市自然资源和规划局</w:t>
      </w:r>
      <w:r>
        <w:rPr>
          <w:rFonts w:hint="eastAsia" w:cs="宋体"/>
          <w:b/>
          <w:bCs w:val="0"/>
          <w:color w:val="auto"/>
          <w:spacing w:val="6"/>
          <w:kern w:val="2"/>
          <w:sz w:val="24"/>
          <w:szCs w:val="24"/>
          <w:highlight w:val="none"/>
          <w:lang w:val="en-US" w:eastAsia="zh-CN" w:bidi="ar"/>
        </w:rPr>
        <w:t>路桥</w:t>
      </w:r>
      <w:r>
        <w:rPr>
          <w:rFonts w:hint="eastAsia" w:ascii="宋体" w:hAnsi="宋体" w:eastAsia="宋体" w:cs="宋体"/>
          <w:b/>
          <w:bCs w:val="0"/>
          <w:color w:val="auto"/>
          <w:spacing w:val="6"/>
          <w:kern w:val="2"/>
          <w:sz w:val="24"/>
          <w:szCs w:val="24"/>
          <w:highlight w:val="none"/>
          <w:lang w:val="en-US" w:eastAsia="zh-CN" w:bidi="ar"/>
        </w:rPr>
        <w:t>分局</w:t>
      </w:r>
      <w:r>
        <w:rPr>
          <w:rFonts w:hint="eastAsia" w:cs="宋体"/>
          <w:b/>
          <w:bCs w:val="0"/>
          <w:color w:val="auto"/>
          <w:spacing w:val="6"/>
          <w:kern w:val="2"/>
          <w:sz w:val="24"/>
          <w:szCs w:val="24"/>
          <w:highlight w:val="none"/>
          <w:lang w:val="en-US" w:eastAsia="zh-CN" w:bidi="ar"/>
        </w:rPr>
        <w:t>、</w:t>
      </w:r>
      <w:r>
        <w:rPr>
          <w:rFonts w:hint="eastAsia" w:ascii="宋体" w:hAnsi="宋体" w:eastAsia="宋体" w:cs="宋体"/>
          <w:b/>
          <w:bCs w:val="0"/>
          <w:color w:val="auto"/>
          <w:spacing w:val="6"/>
          <w:kern w:val="2"/>
          <w:sz w:val="24"/>
          <w:szCs w:val="24"/>
          <w:highlight w:val="none"/>
          <w:lang w:val="en-US" w:eastAsia="zh-CN" w:bidi="ar"/>
        </w:rPr>
        <w:t>温岭市自然资源和规划局、玉环市自然资源和规划局、天台县城乡建设规划测绘室、仙居县自然资源和规划局、三门县自然资源和规划局）统一招标，各县（市、区）局（分局）为实际采购方，相关合同及费用由各县（市、区）局（分局）与中标人按照招标文件要求进行签订及结算。</w:t>
      </w:r>
    </w:p>
    <w:p>
      <w:pPr>
        <w:pStyle w:val="20"/>
        <w:keepNext w:val="0"/>
        <w:keepLines w:val="0"/>
        <w:widowControl w:val="0"/>
        <w:numPr>
          <w:ilvl w:val="0"/>
          <w:numId w:val="9"/>
        </w:numPr>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工作内容</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项目主要主要包括三方面工作内容</w:t>
      </w:r>
    </w:p>
    <w:p>
      <w:pPr>
        <w:pStyle w:val="20"/>
        <w:keepNext w:val="0"/>
        <w:keepLines w:val="0"/>
        <w:widowControl w:val="0"/>
        <w:suppressLineNumbers w:val="0"/>
        <w:spacing w:before="0" w:beforeAutospacing="0" w:after="0" w:afterAutospacing="0" w:line="360" w:lineRule="auto"/>
        <w:ind w:left="0" w:right="0" w:firstLine="506" w:firstLineChars="200"/>
        <w:jc w:val="both"/>
        <w:textAlignment w:val="center"/>
        <w:rPr>
          <w:rFonts w:hint="eastAsia" w:ascii="宋体" w:hAnsi="宋体" w:eastAsia="宋体" w:cs="宋体"/>
          <w:bCs/>
          <w:color w:val="auto"/>
          <w:spacing w:val="6"/>
          <w:sz w:val="24"/>
          <w:szCs w:val="24"/>
          <w:highlight w:val="none"/>
          <w:lang w:val="en-US"/>
        </w:rPr>
      </w:pPr>
      <w:bookmarkStart w:id="33" w:name="OLE_LINK10"/>
      <w:r>
        <w:rPr>
          <w:rFonts w:hint="eastAsia" w:ascii="宋体" w:hAnsi="宋体" w:eastAsia="宋体" w:cs="宋体"/>
          <w:b/>
          <w:bCs w:val="0"/>
          <w:color w:val="auto"/>
          <w:spacing w:val="6"/>
          <w:kern w:val="2"/>
          <w:sz w:val="24"/>
          <w:szCs w:val="24"/>
          <w:highlight w:val="none"/>
          <w:lang w:val="en-US" w:eastAsia="zh-CN" w:bidi="ar"/>
        </w:rPr>
        <w:t>（1）应用推广技术支持服务</w:t>
      </w:r>
      <w:bookmarkEnd w:id="33"/>
      <w:r>
        <w:rPr>
          <w:rFonts w:hint="eastAsia" w:ascii="宋体" w:hAnsi="宋体" w:eastAsia="宋体" w:cs="宋体"/>
          <w:b/>
          <w:bCs w:val="0"/>
          <w:color w:val="auto"/>
          <w:spacing w:val="6"/>
          <w:kern w:val="2"/>
          <w:sz w:val="24"/>
          <w:szCs w:val="24"/>
          <w:highlight w:val="none"/>
          <w:lang w:val="en-US" w:eastAsia="zh-CN" w:bidi="ar"/>
        </w:rPr>
        <w:t>。</w:t>
      </w:r>
      <w:bookmarkStart w:id="34" w:name="OLE_LINK8"/>
      <w:r>
        <w:rPr>
          <w:rFonts w:hint="eastAsia" w:ascii="宋体" w:hAnsi="宋体" w:eastAsia="宋体" w:cs="宋体"/>
          <w:bCs/>
          <w:color w:val="auto"/>
          <w:spacing w:val="6"/>
          <w:kern w:val="2"/>
          <w:sz w:val="24"/>
          <w:szCs w:val="24"/>
          <w:highlight w:val="none"/>
          <w:lang w:val="en-US" w:eastAsia="zh-CN" w:bidi="ar"/>
        </w:rPr>
        <w:t>支撑</w:t>
      </w:r>
      <w:bookmarkEnd w:id="34"/>
      <w:r>
        <w:rPr>
          <w:rFonts w:hint="eastAsia" w:ascii="宋体" w:hAnsi="宋体" w:eastAsia="宋体" w:cs="宋体"/>
          <w:bCs/>
          <w:color w:val="auto"/>
          <w:spacing w:val="6"/>
          <w:kern w:val="2"/>
          <w:sz w:val="24"/>
          <w:szCs w:val="24"/>
          <w:highlight w:val="none"/>
          <w:lang w:val="en-US" w:eastAsia="zh-CN" w:bidi="ar"/>
        </w:rPr>
        <w:t>各县（市、</w:t>
      </w:r>
      <w:bookmarkStart w:id="35" w:name="OLE_LINK4"/>
      <w:r>
        <w:rPr>
          <w:rFonts w:hint="eastAsia" w:ascii="宋体" w:hAnsi="宋体" w:eastAsia="宋体" w:cs="宋体"/>
          <w:bCs/>
          <w:color w:val="auto"/>
          <w:spacing w:val="6"/>
          <w:kern w:val="2"/>
          <w:sz w:val="24"/>
          <w:szCs w:val="24"/>
          <w:highlight w:val="none"/>
          <w:lang w:val="en-US" w:eastAsia="zh-CN" w:bidi="ar"/>
        </w:rPr>
        <w:t>区）</w:t>
      </w:r>
      <w:bookmarkEnd w:id="35"/>
      <w:r>
        <w:rPr>
          <w:rFonts w:hint="eastAsia" w:ascii="宋体" w:hAnsi="宋体" w:eastAsia="宋体" w:cs="宋体"/>
          <w:bCs/>
          <w:color w:val="auto"/>
          <w:spacing w:val="6"/>
          <w:kern w:val="2"/>
          <w:sz w:val="24"/>
          <w:szCs w:val="24"/>
          <w:highlight w:val="none"/>
          <w:lang w:val="en-US" w:eastAsia="zh-CN" w:bidi="ar"/>
        </w:rPr>
        <w:t>完成市局配发软件成果的安装部署并有效运行，</w:t>
      </w:r>
      <w:bookmarkStart w:id="36" w:name="OLE_LINK13"/>
      <w:r>
        <w:rPr>
          <w:rFonts w:hint="eastAsia" w:ascii="宋体" w:hAnsi="宋体" w:eastAsia="宋体" w:cs="宋体"/>
          <w:bCs/>
          <w:color w:val="auto"/>
          <w:spacing w:val="6"/>
          <w:kern w:val="2"/>
          <w:sz w:val="24"/>
          <w:szCs w:val="24"/>
          <w:highlight w:val="none"/>
          <w:lang w:val="en-US" w:eastAsia="zh-CN" w:bidi="ar"/>
        </w:rPr>
        <w:t>完成各地最新版本测绘成果数据/自然资源数据入库</w:t>
      </w:r>
      <w:bookmarkEnd w:id="36"/>
      <w:r>
        <w:rPr>
          <w:rFonts w:hint="eastAsia" w:ascii="宋体" w:hAnsi="宋体" w:eastAsia="宋体" w:cs="宋体"/>
          <w:bCs/>
          <w:color w:val="auto"/>
          <w:spacing w:val="6"/>
          <w:kern w:val="2"/>
          <w:sz w:val="24"/>
          <w:szCs w:val="24"/>
          <w:highlight w:val="none"/>
          <w:lang w:val="en-US" w:eastAsia="zh-CN" w:bidi="ar"/>
        </w:rPr>
        <w:t>，</w:t>
      </w:r>
      <w:bookmarkStart w:id="37" w:name="OLE_LINK14"/>
      <w:r>
        <w:rPr>
          <w:rFonts w:hint="eastAsia" w:ascii="宋体" w:hAnsi="宋体" w:eastAsia="宋体" w:cs="宋体"/>
          <w:bCs/>
          <w:color w:val="auto"/>
          <w:spacing w:val="6"/>
          <w:kern w:val="2"/>
          <w:sz w:val="24"/>
          <w:szCs w:val="24"/>
          <w:highlight w:val="none"/>
          <w:lang w:val="en-US" w:eastAsia="zh-CN" w:bidi="ar"/>
        </w:rPr>
        <w:t>将入库后导出的测绘成果元数据</w:t>
      </w:r>
      <w:bookmarkStart w:id="38" w:name="OLE_LINK5"/>
      <w:r>
        <w:rPr>
          <w:rFonts w:hint="eastAsia" w:ascii="宋体" w:hAnsi="宋体" w:eastAsia="宋体" w:cs="宋体"/>
          <w:bCs/>
          <w:color w:val="auto"/>
          <w:spacing w:val="6"/>
          <w:kern w:val="2"/>
          <w:sz w:val="24"/>
          <w:szCs w:val="24"/>
          <w:highlight w:val="none"/>
          <w:lang w:val="en-US" w:eastAsia="zh-CN" w:bidi="ar"/>
        </w:rPr>
        <w:t>更新至“地信智服”成果服务</w:t>
      </w:r>
      <w:bookmarkEnd w:id="38"/>
      <w:bookmarkStart w:id="39" w:name="OLE_LINK7"/>
      <w:r>
        <w:rPr>
          <w:rFonts w:hint="eastAsia" w:ascii="宋体" w:hAnsi="宋体" w:eastAsia="宋体" w:cs="宋体"/>
          <w:bCs/>
          <w:color w:val="auto"/>
          <w:spacing w:val="6"/>
          <w:kern w:val="2"/>
          <w:sz w:val="24"/>
          <w:szCs w:val="24"/>
          <w:highlight w:val="none"/>
          <w:lang w:val="en-US" w:eastAsia="zh-CN" w:bidi="ar"/>
        </w:rPr>
        <w:t>子场景</w:t>
      </w:r>
      <w:bookmarkEnd w:id="39"/>
      <w:bookmarkStart w:id="40" w:name="OLE_LINK11"/>
      <w:r>
        <w:rPr>
          <w:rFonts w:hint="eastAsia" w:ascii="宋体" w:hAnsi="宋体" w:eastAsia="宋体" w:cs="宋体"/>
          <w:bCs/>
          <w:color w:val="auto"/>
          <w:spacing w:val="6"/>
          <w:kern w:val="2"/>
          <w:sz w:val="24"/>
          <w:szCs w:val="24"/>
          <w:highlight w:val="none"/>
          <w:lang w:val="en-US" w:eastAsia="zh-CN" w:bidi="ar"/>
        </w:rPr>
        <w:t>，</w:t>
      </w:r>
      <w:bookmarkStart w:id="41" w:name="OLE_LINK18"/>
      <w:r>
        <w:rPr>
          <w:rFonts w:hint="eastAsia" w:ascii="宋体" w:hAnsi="宋体" w:eastAsia="宋体" w:cs="宋体"/>
          <w:bCs/>
          <w:color w:val="auto"/>
          <w:spacing w:val="6"/>
          <w:kern w:val="2"/>
          <w:sz w:val="24"/>
          <w:szCs w:val="24"/>
          <w:highlight w:val="none"/>
          <w:lang w:val="en-US" w:eastAsia="zh-CN" w:bidi="ar"/>
        </w:rPr>
        <w:t>并进行元数据核对</w:t>
      </w:r>
      <w:bookmarkEnd w:id="40"/>
      <w:r>
        <w:rPr>
          <w:rFonts w:hint="eastAsia" w:ascii="宋体" w:hAnsi="宋体" w:eastAsia="宋体" w:cs="宋体"/>
          <w:bCs/>
          <w:color w:val="auto"/>
          <w:spacing w:val="6"/>
          <w:kern w:val="2"/>
          <w:sz w:val="24"/>
          <w:szCs w:val="24"/>
          <w:highlight w:val="none"/>
          <w:lang w:val="en-US" w:eastAsia="zh-CN" w:bidi="ar"/>
        </w:rPr>
        <w:t>与处理</w:t>
      </w:r>
      <w:bookmarkEnd w:id="37"/>
      <w:r>
        <w:rPr>
          <w:rFonts w:hint="eastAsia" w:ascii="宋体" w:hAnsi="宋体" w:eastAsia="宋体" w:cs="宋体"/>
          <w:bCs/>
          <w:color w:val="auto"/>
          <w:spacing w:val="6"/>
          <w:kern w:val="2"/>
          <w:sz w:val="24"/>
          <w:szCs w:val="24"/>
          <w:highlight w:val="none"/>
          <w:lang w:val="en-US" w:eastAsia="zh-CN" w:bidi="ar"/>
        </w:rPr>
        <w:t>，</w:t>
      </w:r>
      <w:bookmarkEnd w:id="41"/>
      <w:r>
        <w:rPr>
          <w:rFonts w:hint="eastAsia" w:ascii="宋体" w:hAnsi="宋体" w:eastAsia="宋体" w:cs="宋体"/>
          <w:bCs/>
          <w:color w:val="auto"/>
          <w:spacing w:val="6"/>
          <w:kern w:val="2"/>
          <w:sz w:val="24"/>
          <w:szCs w:val="24"/>
          <w:highlight w:val="none"/>
          <w:lang w:val="en-US" w:eastAsia="zh-CN" w:bidi="ar"/>
        </w:rPr>
        <w:t>为各县（市、区）</w:t>
      </w:r>
      <w:bookmarkStart w:id="42" w:name="OLE_LINK16"/>
      <w:r>
        <w:rPr>
          <w:rFonts w:hint="eastAsia" w:ascii="宋体" w:hAnsi="宋体" w:eastAsia="宋体" w:cs="宋体"/>
          <w:bCs/>
          <w:color w:val="auto"/>
          <w:spacing w:val="6"/>
          <w:kern w:val="2"/>
          <w:sz w:val="24"/>
          <w:szCs w:val="24"/>
          <w:highlight w:val="none"/>
          <w:lang w:val="en-US" w:eastAsia="zh-CN" w:bidi="ar"/>
        </w:rPr>
        <w:t>提供一年的</w:t>
      </w:r>
      <w:bookmarkStart w:id="43" w:name="OLE_LINK12"/>
      <w:r>
        <w:rPr>
          <w:rFonts w:hint="eastAsia" w:ascii="宋体" w:hAnsi="宋体" w:eastAsia="宋体" w:cs="宋体"/>
          <w:bCs/>
          <w:color w:val="auto"/>
          <w:spacing w:val="6"/>
          <w:kern w:val="2"/>
          <w:sz w:val="24"/>
          <w:szCs w:val="24"/>
          <w:highlight w:val="none"/>
          <w:lang w:val="en-US" w:eastAsia="zh-CN" w:bidi="ar"/>
        </w:rPr>
        <w:t>日常技术支持服务</w:t>
      </w:r>
      <w:bookmarkEnd w:id="42"/>
      <w:bookmarkEnd w:id="43"/>
      <w:r>
        <w:rPr>
          <w:rFonts w:hint="eastAsia" w:ascii="宋体" w:hAnsi="宋体" w:eastAsia="宋体" w:cs="宋体"/>
          <w:bCs/>
          <w:color w:val="auto"/>
          <w:spacing w:val="6"/>
          <w:kern w:val="2"/>
          <w:sz w:val="24"/>
          <w:szCs w:val="24"/>
          <w:highlight w:val="none"/>
          <w:lang w:val="en-US" w:eastAsia="zh-CN" w:bidi="ar"/>
        </w:rPr>
        <w:t>。</w:t>
      </w:r>
    </w:p>
    <w:p>
      <w:pPr>
        <w:pStyle w:val="20"/>
        <w:keepNext w:val="0"/>
        <w:keepLines w:val="0"/>
        <w:widowControl w:val="0"/>
        <w:suppressLineNumbers w:val="0"/>
        <w:spacing w:before="0" w:beforeAutospacing="0" w:after="0" w:afterAutospacing="0" w:line="360" w:lineRule="auto"/>
        <w:ind w:left="0" w:right="0" w:firstLine="506"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（2）数字水印与安控软件集成。</w:t>
      </w:r>
      <w:r>
        <w:rPr>
          <w:rFonts w:hint="eastAsia" w:ascii="宋体" w:hAnsi="宋体" w:eastAsia="宋体" w:cs="宋体"/>
          <w:bCs/>
          <w:color w:val="auto"/>
          <w:spacing w:val="6"/>
          <w:kern w:val="2"/>
          <w:sz w:val="24"/>
          <w:szCs w:val="24"/>
          <w:highlight w:val="none"/>
          <w:lang w:val="en-US" w:eastAsia="zh-CN" w:bidi="ar"/>
        </w:rPr>
        <w:t>结合各地已采购使用的数字水印与安控软件，集成并适配本地数字水印与安控软件，在成果分发时支持对其自动调用。</w:t>
      </w:r>
    </w:p>
    <w:p>
      <w:pPr>
        <w:pStyle w:val="20"/>
        <w:keepNext w:val="0"/>
        <w:keepLines w:val="0"/>
        <w:widowControl w:val="0"/>
        <w:suppressLineNumbers w:val="0"/>
        <w:spacing w:before="0" w:beforeAutospacing="0" w:after="0" w:afterAutospacing="0" w:line="360" w:lineRule="auto"/>
        <w:ind w:left="0" w:right="0" w:firstLine="506"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（3）数字水印与安控格式扩展。</w:t>
      </w:r>
      <w:r>
        <w:rPr>
          <w:rFonts w:hint="eastAsia" w:ascii="宋体" w:hAnsi="宋体" w:eastAsia="宋体" w:cs="宋体"/>
          <w:bCs/>
          <w:color w:val="auto"/>
          <w:spacing w:val="6"/>
          <w:kern w:val="2"/>
          <w:sz w:val="24"/>
          <w:szCs w:val="24"/>
          <w:highlight w:val="none"/>
          <w:lang w:val="en-US" w:eastAsia="zh-CN" w:bidi="ar"/>
        </w:rPr>
        <w:t>在现有基础上，</w:t>
      </w:r>
      <w:bookmarkStart w:id="44" w:name="OLE_LINK9"/>
      <w:r>
        <w:rPr>
          <w:rFonts w:hint="eastAsia" w:ascii="宋体" w:hAnsi="宋体" w:eastAsia="宋体" w:cs="宋体"/>
          <w:bCs/>
          <w:color w:val="auto"/>
          <w:spacing w:val="6"/>
          <w:kern w:val="2"/>
          <w:sz w:val="24"/>
          <w:szCs w:val="24"/>
          <w:highlight w:val="none"/>
          <w:lang w:val="en-US" w:eastAsia="zh-CN" w:bidi="ar"/>
        </w:rPr>
        <w:t>结合各县（市、区）测绘成果管理、分发和安全监管需求，</w:t>
      </w:r>
      <w:bookmarkEnd w:id="44"/>
      <w:r>
        <w:rPr>
          <w:rFonts w:hint="eastAsia" w:ascii="宋体" w:hAnsi="宋体" w:eastAsia="宋体" w:cs="宋体"/>
          <w:bCs/>
          <w:color w:val="auto"/>
          <w:spacing w:val="6"/>
          <w:kern w:val="2"/>
          <w:sz w:val="24"/>
          <w:szCs w:val="24"/>
          <w:highlight w:val="none"/>
          <w:lang w:val="en-US" w:eastAsia="zh-CN" w:bidi="ar"/>
        </w:rPr>
        <w:t>扩展数字水印和数据安控支持的格式。</w:t>
      </w:r>
    </w:p>
    <w:p>
      <w:pPr>
        <w:pStyle w:val="20"/>
        <w:keepNext w:val="0"/>
        <w:keepLines w:val="0"/>
        <w:widowControl w:val="0"/>
        <w:suppressLineNumbers w:val="0"/>
        <w:spacing w:before="0" w:beforeAutospacing="0" w:after="0" w:afterAutospacing="0"/>
        <w:ind w:left="0" w:leftChars="0" w:right="0"/>
        <w:jc w:val="both"/>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pPr>
        <w:rPr>
          <w:rFonts w:hint="eastAsia" w:ascii="宋体" w:hAnsi="宋体" w:eastAsia="宋体" w:cs="宋体"/>
          <w:color w:val="auto"/>
          <w:kern w:val="2"/>
          <w:sz w:val="21"/>
          <w:szCs w:val="24"/>
          <w:highlight w:val="none"/>
          <w:lang w:val="en-US" w:eastAsia="zh-CN" w:bidi="ar"/>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p>
    <w:p>
      <w:pPr>
        <w:pStyle w:val="20"/>
        <w:keepNext w:val="0"/>
        <w:keepLines w:val="0"/>
        <w:widowControl/>
        <w:suppressLineNumbers w:val="0"/>
        <w:spacing w:before="0" w:beforeAutospacing="0" w:after="0" w:afterAutospacing="0"/>
        <w:ind w:left="0" w:right="0"/>
        <w:jc w:val="center"/>
        <w:rPr>
          <w:color w:val="auto"/>
          <w:sz w:val="24"/>
          <w:szCs w:val="36"/>
          <w:highlight w:val="none"/>
          <w:lang w:val="en-US"/>
        </w:rPr>
      </w:pPr>
      <w:bookmarkStart w:id="45" w:name="OLE_LINK6"/>
      <w:r>
        <w:rPr>
          <w:rFonts w:hint="eastAsia" w:ascii="Cambria" w:hAnsi="Cambria" w:eastAsia="黑体" w:cs="黑体"/>
          <w:color w:val="auto"/>
          <w:kern w:val="2"/>
          <w:sz w:val="24"/>
          <w:szCs w:val="36"/>
          <w:highlight w:val="none"/>
          <w:lang w:val="en-US" w:eastAsia="zh-CN" w:bidi="ar"/>
        </w:rPr>
        <w:t>表</w:t>
      </w:r>
      <w:r>
        <w:rPr>
          <w:rFonts w:hint="default" w:ascii="Cambria" w:hAnsi="Cambria" w:eastAsia="黑体" w:cs="Times New Roman"/>
          <w:color w:val="auto"/>
          <w:kern w:val="2"/>
          <w:sz w:val="24"/>
          <w:szCs w:val="36"/>
          <w:highlight w:val="none"/>
          <w:lang w:val="en-US" w:eastAsia="zh-CN" w:bidi="ar"/>
        </w:rPr>
        <w:t xml:space="preserve"> </w:t>
      </w:r>
      <w:r>
        <w:rPr>
          <w:rFonts w:hint="default" w:ascii="Cambria" w:hAnsi="Cambria" w:eastAsia="黑体" w:cs="Times New Roman"/>
          <w:color w:val="auto"/>
          <w:kern w:val="2"/>
          <w:sz w:val="20"/>
          <w:szCs w:val="20"/>
          <w:highlight w:val="none"/>
          <w:lang w:val="en-US" w:eastAsia="zh-CN" w:bidi="ar"/>
        </w:rPr>
        <w:fldChar w:fldCharType="begin"/>
      </w:r>
      <w:r>
        <w:rPr>
          <w:rFonts w:hint="default" w:ascii="Cambria" w:hAnsi="Cambria" w:eastAsia="黑体" w:cs="Times New Roman"/>
          <w:color w:val="auto"/>
          <w:kern w:val="2"/>
          <w:sz w:val="24"/>
          <w:szCs w:val="36"/>
          <w:highlight w:val="none"/>
          <w:lang w:val="en-US" w:eastAsia="zh-CN" w:bidi="ar"/>
        </w:rPr>
        <w:instrText xml:space="preserve"> SEQ </w:instrText>
      </w:r>
      <w:r>
        <w:rPr>
          <w:rFonts w:hint="eastAsia" w:ascii="Cambria" w:hAnsi="Cambria" w:eastAsia="黑体" w:cs="黑体"/>
          <w:color w:val="auto"/>
          <w:kern w:val="2"/>
          <w:sz w:val="24"/>
          <w:szCs w:val="36"/>
          <w:highlight w:val="none"/>
          <w:lang w:val="en-US" w:eastAsia="zh-CN" w:bidi="ar"/>
        </w:rPr>
        <w:instrText xml:space="preserve">表</w:instrText>
      </w:r>
      <w:r>
        <w:rPr>
          <w:rFonts w:hint="default" w:ascii="Cambria" w:hAnsi="Cambria" w:eastAsia="黑体" w:cs="Times New Roman"/>
          <w:color w:val="auto"/>
          <w:kern w:val="2"/>
          <w:sz w:val="24"/>
          <w:szCs w:val="36"/>
          <w:highlight w:val="none"/>
          <w:lang w:val="en-US" w:eastAsia="zh-CN" w:bidi="ar"/>
        </w:rPr>
        <w:instrText xml:space="preserve"> \* ARABIC </w:instrText>
      </w:r>
      <w:r>
        <w:rPr>
          <w:rFonts w:hint="default" w:ascii="Cambria" w:hAnsi="Cambria" w:eastAsia="黑体" w:cs="Times New Roman"/>
          <w:color w:val="auto"/>
          <w:kern w:val="2"/>
          <w:sz w:val="24"/>
          <w:szCs w:val="36"/>
          <w:highlight w:val="none"/>
          <w:lang w:val="en-US" w:eastAsia="zh-CN" w:bidi="ar"/>
        </w:rPr>
        <w:fldChar w:fldCharType="separate"/>
      </w:r>
      <w:r>
        <w:rPr>
          <w:rFonts w:hint="default" w:ascii="Cambria" w:hAnsi="Cambria" w:eastAsia="黑体" w:cs="Times New Roman"/>
          <w:color w:val="auto"/>
          <w:kern w:val="2"/>
          <w:sz w:val="24"/>
          <w:szCs w:val="36"/>
          <w:highlight w:val="none"/>
          <w:lang w:val="en-US" w:eastAsia="zh-CN" w:bidi="ar"/>
        </w:rPr>
        <w:t>1</w:t>
      </w:r>
      <w:r>
        <w:rPr>
          <w:rFonts w:hint="default" w:ascii="Cambria" w:hAnsi="Cambria" w:eastAsia="黑体" w:cs="Times New Roman"/>
          <w:color w:val="auto"/>
          <w:kern w:val="2"/>
          <w:sz w:val="20"/>
          <w:szCs w:val="20"/>
          <w:highlight w:val="none"/>
          <w:lang w:val="en-US" w:eastAsia="zh-CN" w:bidi="ar"/>
        </w:rPr>
        <w:fldChar w:fldCharType="end"/>
      </w:r>
      <w:r>
        <w:rPr>
          <w:rFonts w:hint="eastAsia" w:ascii="Cambria" w:hAnsi="Cambria" w:eastAsia="黑体" w:cs="黑体"/>
          <w:color w:val="auto"/>
          <w:kern w:val="2"/>
          <w:sz w:val="24"/>
          <w:szCs w:val="36"/>
          <w:highlight w:val="none"/>
          <w:lang w:val="en-US" w:eastAsia="zh-CN" w:bidi="ar"/>
        </w:rPr>
        <w:t>各县（市、区）具体采购需求内容</w:t>
      </w:r>
      <w:bookmarkEnd w:id="45"/>
    </w:p>
    <w:tbl>
      <w:tblPr>
        <w:tblStyle w:val="25"/>
        <w:tblW w:w="14637" w:type="dxa"/>
        <w:tblInd w:w="-463" w:type="dxa"/>
        <w:shd w:val="clear" w:color="auto" w:fill="auto"/>
        <w:tblLayout w:type="fixed"/>
        <w:tblCellMar>
          <w:top w:w="0" w:type="dxa"/>
          <w:left w:w="108" w:type="dxa"/>
          <w:bottom w:w="0" w:type="dxa"/>
          <w:right w:w="108" w:type="dxa"/>
        </w:tblCellMar>
      </w:tblPr>
      <w:tblGrid>
        <w:gridCol w:w="1288"/>
        <w:gridCol w:w="1618"/>
        <w:gridCol w:w="2455"/>
        <w:gridCol w:w="2753"/>
        <w:gridCol w:w="1817"/>
        <w:gridCol w:w="2262"/>
        <w:gridCol w:w="2444"/>
      </w:tblGrid>
      <w:tr>
        <w:tblPrEx>
          <w:shd w:val="clear" w:color="auto" w:fill="auto"/>
          <w:tblLayout w:type="fixed"/>
          <w:tblCellMar>
            <w:top w:w="0" w:type="dxa"/>
            <w:left w:w="108" w:type="dxa"/>
            <w:bottom w:w="0" w:type="dxa"/>
            <w:right w:w="108" w:type="dxa"/>
          </w:tblCellMar>
        </w:tblPrEx>
        <w:trPr>
          <w:trHeight w:val="720"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地区</w:t>
            </w:r>
          </w:p>
        </w:tc>
        <w:tc>
          <w:tcPr>
            <w:tcW w:w="8643" w:type="dxa"/>
            <w:gridSpan w:val="4"/>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应用推广技术支持服务</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bookmarkStart w:id="46" w:name="OLE_LINK20"/>
            <w:r>
              <w:rPr>
                <w:rFonts w:hint="eastAsia" w:ascii="仿宋_GB2312" w:hAnsi="宋体" w:eastAsia="仿宋_GB2312" w:cs="仿宋_GB2312"/>
                <w:b/>
                <w:color w:val="auto"/>
                <w:kern w:val="0"/>
                <w:sz w:val="24"/>
                <w:szCs w:val="24"/>
                <w:highlight w:val="none"/>
                <w:lang w:val="en-US" w:eastAsia="zh-CN" w:bidi="ar"/>
              </w:rPr>
              <w:t>数字水印与安控软件集成</w:t>
            </w:r>
            <w:bookmarkEnd w:id="46"/>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数字水印与安控格式扩展</w:t>
            </w:r>
          </w:p>
        </w:tc>
      </w:tr>
      <w:tr>
        <w:tblPrEx>
          <w:shd w:val="clear" w:color="auto" w:fill="auto"/>
          <w:tblLayout w:type="fixed"/>
          <w:tblCellMar>
            <w:top w:w="0" w:type="dxa"/>
            <w:left w:w="108" w:type="dxa"/>
            <w:bottom w:w="0" w:type="dxa"/>
            <w:right w:w="108" w:type="dxa"/>
          </w:tblCellMar>
        </w:tblPrEx>
        <w:trPr>
          <w:trHeight w:val="74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台州市自然资源和规划局（以下简称“市局”）配发软件的安装部署</w:t>
            </w:r>
          </w:p>
        </w:tc>
        <w:tc>
          <w:tcPr>
            <w:tcW w:w="245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数据成果入库</w:t>
            </w:r>
          </w:p>
        </w:tc>
        <w:tc>
          <w:tcPr>
            <w:tcW w:w="275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元数据更新与核对</w:t>
            </w:r>
          </w:p>
        </w:tc>
        <w:tc>
          <w:tcPr>
            <w:tcW w:w="1817"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日常技术支持服务</w:t>
            </w: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shd w:val="clear" w:color="auto" w:fill="auto"/>
          <w:tblLayout w:type="fixed"/>
          <w:tblCellMar>
            <w:top w:w="0" w:type="dxa"/>
            <w:left w:w="108" w:type="dxa"/>
            <w:bottom w:w="0" w:type="dxa"/>
            <w:right w:w="108" w:type="dxa"/>
          </w:tblCellMar>
        </w:tblPrEx>
        <w:trPr>
          <w:trHeight w:val="624"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黄岩区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完成2023年度（或最新）市局下发的测绘成果数据入库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集成市局提供的数字水印与安控数据格式授权，支持自动调用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shd w:val="clear" w:color="auto" w:fill="auto"/>
          <w:tblLayout w:type="fixed"/>
          <w:tblCellMar>
            <w:top w:w="0" w:type="dxa"/>
            <w:left w:w="108" w:type="dxa"/>
            <w:bottom w:w="0" w:type="dxa"/>
            <w:right w:w="108" w:type="dxa"/>
          </w:tblCellMar>
        </w:tblPrEx>
        <w:trPr>
          <w:trHeight w:val="624"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路桥区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完成2023年度（或最新）市局下发的测绘成果数据入库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集成市局提供的数字水印与安控数据格式授权，支持自动调用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shd w:val="clear" w:color="auto" w:fill="auto"/>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温岭市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w:t>
            </w:r>
            <w:bookmarkStart w:id="47" w:name="OLE_LINK3"/>
            <w:r>
              <w:rPr>
                <w:rFonts w:hint="eastAsia" w:ascii="仿宋_GB2312" w:hAnsi="宋体" w:eastAsia="仿宋_GB2312" w:cs="仿宋_GB2312"/>
                <w:color w:val="auto"/>
                <w:kern w:val="2"/>
                <w:sz w:val="24"/>
                <w:szCs w:val="24"/>
                <w:highlight w:val="none"/>
                <w:u w:val="none"/>
                <w:lang w:val="en-US" w:eastAsia="zh-CN" w:bidi="ar"/>
              </w:rPr>
              <w:t>和自然资源数据</w:t>
            </w:r>
            <w:bookmarkEnd w:id="47"/>
            <w:r>
              <w:rPr>
                <w:rFonts w:hint="eastAsia" w:ascii="Arial" w:hAnsi="宋体" w:eastAsia="宋体" w:cs="宋体"/>
                <w:color w:val="auto"/>
                <w:kern w:val="2"/>
                <w:sz w:val="20"/>
                <w:szCs w:val="20"/>
                <w:highlight w:val="none"/>
                <w:u w:val="none"/>
                <w:lang w:val="en-US" w:eastAsia="zh-CN" w:bidi="ar"/>
              </w:rPr>
              <w:t>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集成并适配本地已有数字水印与安控软件，支持自动调用。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数字水印增加tif、img格式</w:t>
            </w:r>
          </w:p>
        </w:tc>
      </w:tr>
      <w:tr>
        <w:tblPrEx>
          <w:shd w:val="clear" w:color="auto" w:fill="auto"/>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玉环市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bookmarkStart w:id="48" w:name="OLE_LINK17"/>
            <w:r>
              <w:rPr>
                <w:rFonts w:hint="eastAsia" w:ascii="仿宋_GB2312" w:hAnsi="宋体" w:eastAsia="仿宋_GB2312" w:cs="仿宋_GB2312"/>
                <w:color w:val="auto"/>
                <w:kern w:val="0"/>
                <w:sz w:val="24"/>
                <w:szCs w:val="24"/>
                <w:highlight w:val="none"/>
                <w:lang w:val="en-US" w:bidi="ar"/>
              </w:rPr>
              <w:t>/</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shd w:val="clear" w:color="auto" w:fill="auto"/>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天台县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bidi="ar"/>
              </w:rPr>
              <w:t>/</w:t>
            </w:r>
          </w:p>
          <w:bookmarkEnd w:id="48"/>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shd w:val="clear" w:color="auto" w:fill="auto"/>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仙居县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完成2019-2023年度测绘成果数据入库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集成并适配</w:t>
            </w:r>
            <w:bookmarkStart w:id="49" w:name="OLE_LINK19"/>
            <w:r>
              <w:rPr>
                <w:rFonts w:hint="eastAsia" w:ascii="仿宋_GB2312" w:hAnsi="宋体" w:eastAsia="仿宋_GB2312" w:cs="仿宋_GB2312"/>
                <w:color w:val="auto"/>
                <w:kern w:val="0"/>
                <w:sz w:val="24"/>
                <w:szCs w:val="24"/>
                <w:highlight w:val="none"/>
                <w:lang w:val="en-US" w:eastAsia="zh-CN" w:bidi="ar"/>
              </w:rPr>
              <w:t>本地</w:t>
            </w:r>
            <w:bookmarkEnd w:id="49"/>
            <w:r>
              <w:rPr>
                <w:rFonts w:hint="eastAsia" w:ascii="仿宋_GB2312" w:hAnsi="宋体" w:eastAsia="仿宋_GB2312" w:cs="仿宋_GB2312"/>
                <w:color w:val="auto"/>
                <w:kern w:val="0"/>
                <w:sz w:val="24"/>
                <w:szCs w:val="24"/>
                <w:highlight w:val="none"/>
                <w:lang w:val="en-US" w:eastAsia="zh-CN" w:bidi="ar"/>
              </w:rPr>
              <w:t>已有数字水印与安控软件，支持自动调用。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shd w:val="clear" w:color="auto" w:fill="auto"/>
          <w:tblLayout w:type="fixed"/>
          <w:tblCellMar>
            <w:top w:w="0" w:type="dxa"/>
            <w:left w:w="108" w:type="dxa"/>
            <w:bottom w:w="0" w:type="dxa"/>
            <w:right w:w="108" w:type="dxa"/>
          </w:tblCellMar>
        </w:tblPrEx>
        <w:trPr>
          <w:trHeight w:val="1540"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三门县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集成并适配本地已有数字水印与安控软件，支持自动调用。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数据安控增加对tif、img格式的支持</w:t>
            </w:r>
          </w:p>
        </w:tc>
      </w:tr>
    </w:tbl>
    <w:p>
      <w:pPr>
        <w:rPr>
          <w:rFonts w:hint="default" w:ascii="Times New Roman" w:hAnsi="Times New Roman" w:eastAsia="宋体" w:cs="Times New Roman"/>
          <w:color w:val="auto"/>
          <w:kern w:val="2"/>
          <w:sz w:val="21"/>
          <w:szCs w:val="24"/>
          <w:highlight w:val="none"/>
          <w:lang w:val="en-US" w:eastAsia="zh-CN" w:bidi="ar"/>
        </w:rPr>
        <w:sectPr>
          <w:pgSz w:w="16838" w:h="11906" w:orient="landscape"/>
          <w:pgMar w:top="1800" w:right="1440" w:bottom="1800" w:left="1440" w:header="851" w:footer="992" w:gutter="0"/>
          <w:cols w:space="425" w:num="1"/>
          <w:docGrid w:type="lines" w:linePitch="312" w:charSpace="0"/>
        </w:sectPr>
      </w:pPr>
    </w:p>
    <w:p>
      <w:pPr>
        <w:pStyle w:val="20"/>
        <w:keepNext w:val="0"/>
        <w:keepLines w:val="0"/>
        <w:widowControl w:val="0"/>
        <w:suppressLineNumbers w:val="0"/>
        <w:spacing w:before="0" w:beforeAutospacing="0" w:after="0" w:afterAutospacing="0" w:line="360" w:lineRule="auto"/>
        <w:ind w:left="0" w:right="0" w:firstLine="506" w:firstLineChars="200"/>
        <w:jc w:val="left"/>
        <w:textAlignment w:val="center"/>
        <w:rPr>
          <w:rFonts w:hint="eastAsia" w:ascii="宋体" w:hAnsi="宋体" w:eastAsia="宋体" w:cs="宋体"/>
          <w:b/>
          <w:color w:val="auto"/>
          <w:spacing w:val="6"/>
          <w:sz w:val="24"/>
          <w:szCs w:val="24"/>
          <w:highlight w:val="none"/>
          <w:lang w:val="en-US"/>
        </w:rPr>
      </w:pPr>
      <w:r>
        <w:rPr>
          <w:rFonts w:hint="eastAsia" w:ascii="宋体" w:hAnsi="宋体" w:eastAsia="宋体" w:cs="宋体"/>
          <w:b/>
          <w:color w:val="auto"/>
          <w:spacing w:val="6"/>
          <w:kern w:val="2"/>
          <w:sz w:val="24"/>
          <w:szCs w:val="24"/>
          <w:highlight w:val="none"/>
          <w:lang w:val="en-US" w:eastAsia="zh-CN" w:bidi="ar"/>
        </w:rPr>
        <w:t>（二）主要技术规格及要求：</w:t>
      </w:r>
    </w:p>
    <w:p>
      <w:pPr>
        <w:pStyle w:val="20"/>
        <w:keepNext w:val="0"/>
        <w:keepLines w:val="0"/>
        <w:widowControl w:val="0"/>
        <w:suppressLineNumbers w:val="0"/>
        <w:spacing w:before="0" w:beforeAutospacing="0" w:after="0" w:afterAutospacing="0" w:line="360" w:lineRule="auto"/>
        <w:ind w:left="0" w:right="0" w:firstLine="506" w:firstLineChars="200"/>
        <w:jc w:val="both"/>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1、工期要求</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2024年</w:t>
      </w:r>
      <w:bookmarkStart w:id="50" w:name="OLE_LINK25"/>
      <w:r>
        <w:rPr>
          <w:rFonts w:hint="eastAsia" w:ascii="宋体" w:hAnsi="宋体" w:eastAsia="宋体" w:cs="宋体"/>
          <w:bCs/>
          <w:color w:val="auto"/>
          <w:spacing w:val="6"/>
          <w:kern w:val="2"/>
          <w:sz w:val="24"/>
          <w:szCs w:val="24"/>
          <w:highlight w:val="none"/>
          <w:lang w:val="en-US" w:eastAsia="zh-CN" w:bidi="ar"/>
        </w:rPr>
        <w:t>1</w:t>
      </w:r>
      <w:bookmarkEnd w:id="50"/>
      <w:r>
        <w:rPr>
          <w:rFonts w:hint="eastAsia" w:ascii="宋体" w:hAnsi="宋体" w:eastAsia="宋体" w:cs="宋体"/>
          <w:bCs/>
          <w:color w:val="auto"/>
          <w:spacing w:val="6"/>
          <w:kern w:val="2"/>
          <w:sz w:val="24"/>
          <w:szCs w:val="24"/>
          <w:highlight w:val="none"/>
          <w:lang w:val="en-US" w:eastAsia="zh-CN" w:bidi="ar"/>
        </w:rPr>
        <w:t>2月31日前，完成系统安装部署</w:t>
      </w:r>
      <w:bookmarkStart w:id="51" w:name="OLE_LINK23"/>
      <w:r>
        <w:rPr>
          <w:rFonts w:hint="eastAsia" w:ascii="宋体" w:hAnsi="宋体" w:eastAsia="宋体" w:cs="宋体"/>
          <w:bCs/>
          <w:color w:val="auto"/>
          <w:spacing w:val="6"/>
          <w:kern w:val="2"/>
          <w:sz w:val="24"/>
          <w:szCs w:val="24"/>
          <w:highlight w:val="none"/>
          <w:lang w:val="en-US" w:eastAsia="zh-CN" w:bidi="ar"/>
        </w:rPr>
        <w:t>并有效运行</w:t>
      </w:r>
      <w:bookmarkEnd w:id="51"/>
      <w:r>
        <w:rPr>
          <w:rFonts w:hint="eastAsia" w:ascii="宋体" w:hAnsi="宋体" w:eastAsia="宋体" w:cs="宋体"/>
          <w:bCs/>
          <w:color w:val="auto"/>
          <w:spacing w:val="6"/>
          <w:kern w:val="2"/>
          <w:sz w:val="24"/>
          <w:szCs w:val="24"/>
          <w:highlight w:val="none"/>
          <w:lang w:val="en-US" w:eastAsia="zh-CN" w:bidi="ar"/>
        </w:rPr>
        <w:t>，完成测绘成果数据入库，</w:t>
      </w:r>
      <w:r>
        <w:rPr>
          <w:rFonts w:hint="eastAsia" w:ascii="宋体" w:hAnsi="宋体" w:eastAsia="宋体" w:cs="宋体"/>
          <w:color w:val="auto"/>
          <w:kern w:val="2"/>
          <w:sz w:val="24"/>
          <w:szCs w:val="24"/>
          <w:highlight w:val="none"/>
          <w:lang w:val="en-US" w:eastAsia="zh-CN" w:bidi="ar"/>
        </w:rPr>
        <w:t>同步更新线上场景的元数据</w:t>
      </w:r>
      <w:r>
        <w:rPr>
          <w:rFonts w:hint="eastAsia" w:ascii="宋体" w:hAnsi="宋体" w:eastAsia="宋体" w:cs="宋体"/>
          <w:bCs/>
          <w:color w:val="auto"/>
          <w:spacing w:val="6"/>
          <w:kern w:val="2"/>
          <w:sz w:val="24"/>
          <w:szCs w:val="24"/>
          <w:highlight w:val="none"/>
          <w:lang w:val="en-US" w:eastAsia="zh-CN" w:bidi="ar"/>
        </w:rPr>
        <w:t>，完成</w:t>
      </w:r>
      <w:r>
        <w:rPr>
          <w:rFonts w:hint="eastAsia" w:ascii="宋体" w:hAnsi="宋体" w:eastAsia="宋体" w:cs="宋体"/>
          <w:color w:val="auto"/>
          <w:kern w:val="2"/>
          <w:sz w:val="24"/>
          <w:szCs w:val="24"/>
          <w:highlight w:val="none"/>
          <w:lang w:val="en-US" w:eastAsia="zh-CN" w:bidi="ar"/>
        </w:rPr>
        <w:t>数字水印与安控软件集成适配工作</w:t>
      </w:r>
      <w:r>
        <w:rPr>
          <w:rFonts w:hint="eastAsia" w:ascii="宋体" w:hAnsi="宋体" w:eastAsia="宋体" w:cs="宋体"/>
          <w:bCs/>
          <w:color w:val="auto"/>
          <w:spacing w:val="6"/>
          <w:kern w:val="2"/>
          <w:sz w:val="24"/>
          <w:szCs w:val="24"/>
          <w:highlight w:val="none"/>
          <w:lang w:val="en-US" w:eastAsia="zh-CN" w:bidi="ar"/>
        </w:rPr>
        <w:t>。</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color w:val="auto"/>
          <w:sz w:val="24"/>
          <w:szCs w:val="24"/>
          <w:highlight w:val="none"/>
          <w:lang w:val="en-US"/>
        </w:rPr>
      </w:pPr>
      <w:bookmarkStart w:id="52" w:name="OLE_LINK24"/>
      <w:r>
        <w:rPr>
          <w:rFonts w:hint="eastAsia" w:ascii="宋体" w:hAnsi="宋体" w:eastAsia="宋体" w:cs="宋体"/>
          <w:bCs/>
          <w:color w:val="auto"/>
          <w:spacing w:val="6"/>
          <w:kern w:val="2"/>
          <w:sz w:val="24"/>
          <w:szCs w:val="24"/>
          <w:highlight w:val="none"/>
          <w:lang w:val="en-US" w:eastAsia="zh-CN" w:bidi="ar"/>
        </w:rPr>
        <w:t>2025年1月1日</w:t>
      </w:r>
      <w:bookmarkStart w:id="53" w:name="OLE_LINK29"/>
      <w:r>
        <w:rPr>
          <w:rFonts w:hint="eastAsia" w:ascii="宋体" w:hAnsi="宋体" w:eastAsia="宋体" w:cs="宋体"/>
          <w:bCs/>
          <w:color w:val="auto"/>
          <w:spacing w:val="6"/>
          <w:kern w:val="2"/>
          <w:sz w:val="24"/>
          <w:szCs w:val="24"/>
          <w:highlight w:val="none"/>
          <w:lang w:val="en-US" w:eastAsia="zh-CN" w:bidi="ar"/>
        </w:rPr>
        <w:t>开始，</w:t>
      </w:r>
      <w:bookmarkEnd w:id="53"/>
      <w:bookmarkStart w:id="54" w:name="OLE_LINK27"/>
      <w:bookmarkStart w:id="55" w:name="OLE_LINK32"/>
      <w:bookmarkStart w:id="56" w:name="OLE_LINK31"/>
      <w:r>
        <w:rPr>
          <w:rFonts w:hint="eastAsia" w:ascii="宋体" w:hAnsi="宋体" w:eastAsia="宋体" w:cs="宋体"/>
          <w:bCs/>
          <w:color w:val="auto"/>
          <w:spacing w:val="6"/>
          <w:kern w:val="2"/>
          <w:sz w:val="24"/>
          <w:szCs w:val="24"/>
          <w:highlight w:val="none"/>
          <w:lang w:val="en-US" w:eastAsia="zh-CN" w:bidi="ar"/>
        </w:rPr>
        <w:t>各县（市、区）进入常态化应用阶段</w:t>
      </w:r>
      <w:bookmarkEnd w:id="54"/>
      <w:r>
        <w:rPr>
          <w:rFonts w:hint="eastAsia" w:ascii="宋体" w:hAnsi="宋体" w:eastAsia="宋体" w:cs="宋体"/>
          <w:bCs/>
          <w:color w:val="auto"/>
          <w:spacing w:val="6"/>
          <w:kern w:val="2"/>
          <w:sz w:val="24"/>
          <w:szCs w:val="24"/>
          <w:highlight w:val="none"/>
          <w:lang w:val="en-US" w:eastAsia="zh-CN" w:bidi="ar"/>
        </w:rPr>
        <w:t>，</w:t>
      </w:r>
      <w:bookmarkStart w:id="57" w:name="OLE_LINK30"/>
      <w:r>
        <w:rPr>
          <w:rFonts w:hint="eastAsia" w:ascii="宋体" w:hAnsi="宋体" w:eastAsia="宋体" w:cs="宋体"/>
          <w:bCs/>
          <w:color w:val="auto"/>
          <w:spacing w:val="6"/>
          <w:kern w:val="2"/>
          <w:sz w:val="24"/>
          <w:szCs w:val="24"/>
          <w:highlight w:val="none"/>
          <w:lang w:val="en-US" w:eastAsia="zh-CN" w:bidi="ar"/>
        </w:rPr>
        <w:t>通过电话、通讯软件、现场对接等方式，为各县（市、区）用户提供日常技术支持，根据需求反馈迭代更新软件功能。</w:t>
      </w:r>
    </w:p>
    <w:bookmarkEnd w:id="52"/>
    <w:bookmarkEnd w:id="55"/>
    <w:bookmarkEnd w:id="56"/>
    <w:bookmarkEnd w:id="57"/>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rPr>
      </w:pPr>
      <w:bookmarkStart w:id="58" w:name="OLE_LINK26"/>
      <w:r>
        <w:rPr>
          <w:rFonts w:hint="eastAsia" w:ascii="宋体" w:hAnsi="宋体" w:eastAsia="宋体" w:cs="宋体"/>
          <w:color w:val="auto"/>
          <w:kern w:val="2"/>
          <w:sz w:val="24"/>
          <w:szCs w:val="24"/>
          <w:highlight w:val="none"/>
          <w:lang w:val="en-US" w:eastAsia="zh-CN" w:bidi="ar"/>
        </w:rPr>
        <w:t>2025年10月31日前，完成项目验收。</w:t>
      </w:r>
      <w:bookmarkEnd w:id="58"/>
    </w:p>
    <w:p>
      <w:pPr>
        <w:pStyle w:val="20"/>
        <w:keepNext w:val="0"/>
        <w:keepLines w:val="0"/>
        <w:widowControl w:val="0"/>
        <w:suppressLineNumbers w:val="0"/>
        <w:spacing w:before="0" w:beforeAutospacing="0" w:after="0" w:afterAutospacing="0" w:line="360" w:lineRule="auto"/>
        <w:ind w:left="0" w:right="0" w:firstLine="482" w:firstLineChars="200"/>
        <w:jc w:val="both"/>
        <w:textAlignment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2、技术要求</w:t>
      </w:r>
    </w:p>
    <w:p>
      <w:pPr>
        <w:pStyle w:val="102"/>
        <w:keepNext w:val="0"/>
        <w:keepLines w:val="0"/>
        <w:widowControl/>
        <w:suppressLineNumbers w:val="0"/>
        <w:ind w:left="0" w:firstLine="504"/>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eastAsia="zh-CN"/>
        </w:rPr>
        <w:t>投标人需熟练掌握配发软件成果的技术架构和相关功能，并完成台州市自然资源和规划局配发软件成果的安装部署以及支持数字水印软件与安控软件的集成，部署集成后需确保功能的有效运行。项目需提供的技术资料、服务和成果应当符合包括但不限于以下要求：</w:t>
      </w:r>
    </w:p>
    <w:p>
      <w:pPr>
        <w:pStyle w:val="20"/>
        <w:keepNext w:val="0"/>
        <w:keepLines w:val="0"/>
        <w:widowControl w:val="0"/>
        <w:numPr>
          <w:ilvl w:val="0"/>
          <w:numId w:val="10"/>
        </w:numPr>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配发软件成果的技术要求：该软件为C/S架构，且需具备</w:t>
      </w:r>
      <w:r>
        <w:rPr>
          <w:rFonts w:hint="eastAsia" w:ascii="宋体" w:hAnsi="宋体" w:eastAsia="宋体" w:cs="宋体"/>
          <w:b/>
          <w:bCs w:val="0"/>
          <w:color w:val="auto"/>
          <w:spacing w:val="6"/>
          <w:kern w:val="2"/>
          <w:sz w:val="24"/>
          <w:szCs w:val="24"/>
          <w:highlight w:val="none"/>
          <w:lang w:val="en-US" w:eastAsia="zh-CN" w:bidi="ar"/>
        </w:rPr>
        <w:t>数据资源管理</w:t>
      </w:r>
      <w:r>
        <w:rPr>
          <w:rFonts w:hint="eastAsia" w:ascii="宋体" w:hAnsi="宋体" w:eastAsia="宋体" w:cs="宋体"/>
          <w:bCs/>
          <w:color w:val="auto"/>
          <w:spacing w:val="6"/>
          <w:kern w:val="2"/>
          <w:sz w:val="24"/>
          <w:szCs w:val="24"/>
          <w:highlight w:val="none"/>
          <w:lang w:val="en-US" w:eastAsia="zh-CN" w:bidi="ar"/>
        </w:rPr>
        <w:t>（资源目录管理、元数据管理、数据入库、数据集成化展示预处理、数据提取与导出、数据分发电子台账）、</w:t>
      </w:r>
      <w:r>
        <w:rPr>
          <w:rFonts w:hint="eastAsia" w:ascii="宋体" w:hAnsi="宋体" w:eastAsia="宋体" w:cs="宋体"/>
          <w:b/>
          <w:bCs w:val="0"/>
          <w:color w:val="auto"/>
          <w:spacing w:val="6"/>
          <w:kern w:val="2"/>
          <w:sz w:val="24"/>
          <w:szCs w:val="24"/>
          <w:highlight w:val="none"/>
          <w:lang w:val="en-US" w:eastAsia="zh-CN" w:bidi="ar"/>
        </w:rPr>
        <w:t>数据浏览检索</w:t>
      </w:r>
      <w:r>
        <w:rPr>
          <w:rFonts w:hint="eastAsia" w:ascii="宋体" w:hAnsi="宋体" w:eastAsia="宋体" w:cs="宋体"/>
          <w:bCs/>
          <w:color w:val="auto"/>
          <w:spacing w:val="6"/>
          <w:kern w:val="2"/>
          <w:sz w:val="24"/>
          <w:szCs w:val="24"/>
          <w:highlight w:val="none"/>
          <w:lang w:val="en-US" w:eastAsia="zh-CN" w:bidi="ar"/>
        </w:rPr>
        <w:t>（符号化模板管理、二三维数据一体化展示、属性查看、数据资源检索、地名模糊定位、行政区划成果检索、多边形区域成果检索、空间量算）、</w:t>
      </w:r>
      <w:r>
        <w:rPr>
          <w:rFonts w:hint="eastAsia" w:ascii="宋体" w:hAnsi="宋体" w:eastAsia="宋体" w:cs="宋体"/>
          <w:b/>
          <w:bCs w:val="0"/>
          <w:color w:val="auto"/>
          <w:spacing w:val="6"/>
          <w:kern w:val="2"/>
          <w:sz w:val="24"/>
          <w:szCs w:val="24"/>
          <w:highlight w:val="none"/>
          <w:lang w:val="en-US" w:eastAsia="zh-CN" w:bidi="ar"/>
        </w:rPr>
        <w:t>数据成果服务</w:t>
      </w:r>
      <w:r>
        <w:rPr>
          <w:rFonts w:hint="eastAsia" w:ascii="宋体" w:hAnsi="宋体" w:eastAsia="宋体" w:cs="宋体"/>
          <w:bCs/>
          <w:color w:val="auto"/>
          <w:spacing w:val="6"/>
          <w:kern w:val="2"/>
          <w:sz w:val="24"/>
          <w:szCs w:val="24"/>
          <w:highlight w:val="none"/>
          <w:lang w:val="en-US" w:eastAsia="zh-CN" w:bidi="ar"/>
        </w:rPr>
        <w:t>（成果服务元数据导出、订单自动解析、智能一键找图、成果服务包自动生成）、</w:t>
      </w:r>
      <w:r>
        <w:rPr>
          <w:rFonts w:hint="eastAsia" w:ascii="宋体" w:hAnsi="宋体" w:eastAsia="宋体" w:cs="宋体"/>
          <w:b/>
          <w:bCs w:val="0"/>
          <w:color w:val="auto"/>
          <w:spacing w:val="6"/>
          <w:kern w:val="2"/>
          <w:sz w:val="24"/>
          <w:szCs w:val="24"/>
          <w:highlight w:val="none"/>
          <w:lang w:val="en-US" w:eastAsia="zh-CN" w:bidi="ar"/>
        </w:rPr>
        <w:t>数据统计分析</w:t>
      </w:r>
      <w:r>
        <w:rPr>
          <w:rFonts w:hint="eastAsia" w:ascii="宋体" w:hAnsi="宋体" w:eastAsia="宋体" w:cs="宋体"/>
          <w:bCs/>
          <w:color w:val="auto"/>
          <w:spacing w:val="6"/>
          <w:kern w:val="2"/>
          <w:sz w:val="24"/>
          <w:szCs w:val="24"/>
          <w:highlight w:val="none"/>
          <w:lang w:val="en-US" w:eastAsia="zh-CN" w:bidi="ar"/>
        </w:rPr>
        <w:t>（数据统计、图表输出）、</w:t>
      </w:r>
      <w:r>
        <w:rPr>
          <w:rFonts w:hint="eastAsia" w:ascii="宋体" w:hAnsi="宋体" w:eastAsia="宋体" w:cs="宋体"/>
          <w:b/>
          <w:bCs w:val="0"/>
          <w:color w:val="auto"/>
          <w:spacing w:val="6"/>
          <w:kern w:val="2"/>
          <w:sz w:val="24"/>
          <w:szCs w:val="24"/>
          <w:highlight w:val="none"/>
          <w:lang w:val="en-US" w:eastAsia="zh-CN" w:bidi="ar"/>
        </w:rPr>
        <w:t>系统管理与运维</w:t>
      </w:r>
      <w:r>
        <w:rPr>
          <w:rFonts w:hint="eastAsia" w:ascii="宋体" w:hAnsi="宋体" w:eastAsia="宋体" w:cs="宋体"/>
          <w:bCs/>
          <w:color w:val="auto"/>
          <w:spacing w:val="6"/>
          <w:kern w:val="2"/>
          <w:sz w:val="24"/>
          <w:szCs w:val="24"/>
          <w:highlight w:val="none"/>
          <w:lang w:val="en-US" w:eastAsia="zh-CN" w:bidi="ar"/>
        </w:rPr>
        <w:t>（用户管理、日志管理、系统配置）等功能。投标人需熟练掌握软件成果的信息，实现该成果软件的安装部署，并保障以上功能的有效运行。</w:t>
      </w:r>
    </w:p>
    <w:p>
      <w:pPr>
        <w:pStyle w:val="20"/>
        <w:keepNext w:val="0"/>
        <w:keepLines w:val="0"/>
        <w:widowControl w:val="0"/>
        <w:numPr>
          <w:ilvl w:val="0"/>
          <w:numId w:val="10"/>
        </w:numPr>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数字水印技术要求：软件能够在数据中嵌入版权、用户、时间、用途等水印信息，水印信息与数据融为一体，并且不可抹除、不可篡改，能够起到区分不同用户、追踪违法行为、明确用户责任等作用。</w:t>
      </w:r>
      <w:r>
        <w:rPr>
          <w:rFonts w:hint="eastAsia" w:ascii="宋体" w:hAnsi="宋体" w:eastAsia="宋体" w:cs="宋体"/>
          <w:b/>
          <w:bCs w:val="0"/>
          <w:color w:val="auto"/>
          <w:spacing w:val="6"/>
          <w:kern w:val="2"/>
          <w:sz w:val="24"/>
          <w:szCs w:val="24"/>
          <w:highlight w:val="none"/>
          <w:lang w:val="en-US" w:eastAsia="zh-CN" w:bidi="ar"/>
        </w:rPr>
        <w:t>水印信息容量的要求：</w:t>
      </w:r>
      <w:r>
        <w:rPr>
          <w:rFonts w:hint="eastAsia" w:ascii="宋体" w:hAnsi="宋体" w:eastAsia="宋体" w:cs="宋体"/>
          <w:bCs/>
          <w:color w:val="auto"/>
          <w:spacing w:val="6"/>
          <w:kern w:val="2"/>
          <w:sz w:val="24"/>
          <w:szCs w:val="24"/>
          <w:highlight w:val="none"/>
          <w:lang w:val="en-US" w:eastAsia="zh-CN" w:bidi="ar"/>
        </w:rPr>
        <w:t>水印信息内容可支持汉字、数字、英文字符、特殊字符等的任意组合；水印信息容量要求满足实际应用需求。</w:t>
      </w:r>
      <w:r>
        <w:rPr>
          <w:rFonts w:hint="eastAsia" w:ascii="宋体" w:hAnsi="宋体" w:eastAsia="宋体" w:cs="宋体"/>
          <w:b/>
          <w:bCs w:val="0"/>
          <w:color w:val="auto"/>
          <w:spacing w:val="6"/>
          <w:kern w:val="2"/>
          <w:sz w:val="24"/>
          <w:szCs w:val="24"/>
          <w:highlight w:val="none"/>
          <w:lang w:val="en-US" w:eastAsia="zh-CN" w:bidi="ar"/>
        </w:rPr>
        <w:t>嵌入水印后数据精度要求：</w:t>
      </w:r>
      <w:r>
        <w:rPr>
          <w:rFonts w:hint="eastAsia" w:ascii="宋体" w:hAnsi="宋体" w:eastAsia="宋体" w:cs="宋体"/>
          <w:bCs/>
          <w:color w:val="auto"/>
          <w:spacing w:val="6"/>
          <w:kern w:val="2"/>
          <w:sz w:val="24"/>
          <w:szCs w:val="24"/>
          <w:highlight w:val="none"/>
          <w:lang w:val="en-US" w:eastAsia="zh-CN" w:bidi="ar"/>
        </w:rPr>
        <w:t>嵌入水印后数据不影响后续应用和分析，不改变数据拓扑结构。</w:t>
      </w:r>
      <w:r>
        <w:rPr>
          <w:rFonts w:hint="eastAsia" w:ascii="宋体" w:hAnsi="宋体" w:eastAsia="宋体" w:cs="宋体"/>
          <w:b/>
          <w:bCs w:val="0"/>
          <w:color w:val="auto"/>
          <w:spacing w:val="6"/>
          <w:kern w:val="2"/>
          <w:sz w:val="24"/>
          <w:szCs w:val="24"/>
          <w:highlight w:val="none"/>
          <w:lang w:val="en-US" w:eastAsia="zh-CN" w:bidi="ar"/>
        </w:rPr>
        <w:t>日志管理分析要求：</w:t>
      </w:r>
      <w:r>
        <w:rPr>
          <w:rFonts w:hint="eastAsia" w:ascii="宋体" w:hAnsi="宋体" w:eastAsia="宋体" w:cs="宋体"/>
          <w:bCs/>
          <w:color w:val="auto"/>
          <w:spacing w:val="6"/>
          <w:kern w:val="2"/>
          <w:sz w:val="24"/>
          <w:szCs w:val="24"/>
          <w:highlight w:val="none"/>
          <w:lang w:val="en-US" w:eastAsia="zh-CN" w:bidi="ar"/>
        </w:rPr>
        <w:t>记录数据分发的信息，包括数据类型、数据量、文件数量、水印信息等，并可对记录的信息进行浏览、查询、统计、可视化表达、导出与自动备份等。</w:t>
      </w:r>
    </w:p>
    <w:p>
      <w:pPr>
        <w:pStyle w:val="20"/>
        <w:keepNext w:val="0"/>
        <w:keepLines w:val="0"/>
        <w:widowControl w:val="0"/>
        <w:numPr>
          <w:ilvl w:val="0"/>
          <w:numId w:val="10"/>
        </w:numPr>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安控技术要求：软件能够对数据进行加密、授权和自动控制等操作，起到严格控制数据使用期限、使用平台、使用范围、操作权限等作用。</w:t>
      </w:r>
      <w:r>
        <w:rPr>
          <w:rFonts w:hint="eastAsia" w:ascii="宋体" w:hAnsi="宋体" w:eastAsia="宋体" w:cs="宋体"/>
          <w:b/>
          <w:bCs w:val="0"/>
          <w:color w:val="auto"/>
          <w:spacing w:val="6"/>
          <w:kern w:val="2"/>
          <w:sz w:val="24"/>
          <w:szCs w:val="24"/>
          <w:highlight w:val="none"/>
          <w:lang w:val="en-US" w:eastAsia="zh-CN" w:bidi="ar"/>
        </w:rPr>
        <w:t>数据加密要求：</w:t>
      </w:r>
      <w:r>
        <w:rPr>
          <w:rFonts w:hint="eastAsia" w:ascii="宋体" w:hAnsi="宋体" w:eastAsia="宋体" w:cs="宋体"/>
          <w:bCs/>
          <w:color w:val="auto"/>
          <w:spacing w:val="6"/>
          <w:kern w:val="2"/>
          <w:sz w:val="24"/>
          <w:szCs w:val="24"/>
          <w:highlight w:val="none"/>
          <w:lang w:val="en-US" w:eastAsia="zh-CN" w:bidi="ar"/>
        </w:rPr>
        <w:t>控制数据使用期限，超过规定的使用期限，数据领取单位无法继续使用数据；到期的数据，能够提供延期功能。</w:t>
      </w:r>
      <w:r>
        <w:rPr>
          <w:rFonts w:hint="eastAsia" w:ascii="宋体" w:hAnsi="宋体" w:eastAsia="宋体" w:cs="宋体"/>
          <w:b/>
          <w:bCs w:val="0"/>
          <w:color w:val="auto"/>
          <w:spacing w:val="6"/>
          <w:kern w:val="2"/>
          <w:sz w:val="24"/>
          <w:szCs w:val="24"/>
          <w:highlight w:val="none"/>
          <w:lang w:val="en-US" w:eastAsia="zh-CN" w:bidi="ar"/>
        </w:rPr>
        <w:t>数据加密模式要求：</w:t>
      </w:r>
      <w:r>
        <w:rPr>
          <w:rFonts w:hint="eastAsia" w:ascii="宋体" w:hAnsi="宋体" w:eastAsia="宋体" w:cs="宋体"/>
          <w:bCs/>
          <w:color w:val="auto"/>
          <w:spacing w:val="6"/>
          <w:kern w:val="2"/>
          <w:sz w:val="24"/>
          <w:szCs w:val="24"/>
          <w:highlight w:val="none"/>
          <w:lang w:val="en-US" w:eastAsia="zh-CN" w:bidi="ar"/>
        </w:rPr>
        <w:t>采用文件级加密方式，数据加密后，不改变数据格式和后缀，不改变用户操作习惯。</w:t>
      </w:r>
      <w:r>
        <w:rPr>
          <w:rFonts w:hint="eastAsia" w:ascii="宋体" w:hAnsi="宋体" w:eastAsia="宋体" w:cs="宋体"/>
          <w:b/>
          <w:bCs w:val="0"/>
          <w:color w:val="auto"/>
          <w:spacing w:val="6"/>
          <w:kern w:val="2"/>
          <w:sz w:val="24"/>
          <w:szCs w:val="24"/>
          <w:highlight w:val="none"/>
          <w:lang w:val="en-US" w:eastAsia="zh-CN" w:bidi="ar"/>
        </w:rPr>
        <w:t>用户授权要求：</w:t>
      </w:r>
      <w:r>
        <w:rPr>
          <w:rFonts w:hint="eastAsia" w:ascii="宋体" w:hAnsi="宋体" w:eastAsia="宋体" w:cs="宋体"/>
          <w:bCs/>
          <w:color w:val="auto"/>
          <w:spacing w:val="6"/>
          <w:kern w:val="2"/>
          <w:sz w:val="24"/>
          <w:szCs w:val="24"/>
          <w:highlight w:val="none"/>
          <w:lang w:val="en-US" w:eastAsia="zh-CN" w:bidi="ar"/>
        </w:rPr>
        <w:t>能够对加密数据使用单位的计算机进行批量授权，只有授权的计算机才能使用加密数据。</w:t>
      </w:r>
      <w:r>
        <w:rPr>
          <w:rFonts w:hint="eastAsia" w:ascii="宋体" w:hAnsi="宋体" w:eastAsia="宋体" w:cs="宋体"/>
          <w:b/>
          <w:bCs w:val="0"/>
          <w:color w:val="auto"/>
          <w:spacing w:val="6"/>
          <w:kern w:val="2"/>
          <w:sz w:val="24"/>
          <w:szCs w:val="24"/>
          <w:highlight w:val="none"/>
          <w:lang w:val="en-US" w:eastAsia="zh-CN" w:bidi="ar"/>
        </w:rPr>
        <w:t>数据使用操作要求：</w:t>
      </w:r>
      <w:r>
        <w:rPr>
          <w:rFonts w:hint="eastAsia" w:ascii="宋体" w:hAnsi="宋体" w:eastAsia="宋体" w:cs="宋体"/>
          <w:bCs/>
          <w:color w:val="auto"/>
          <w:spacing w:val="6"/>
          <w:kern w:val="2"/>
          <w:sz w:val="24"/>
          <w:szCs w:val="24"/>
          <w:highlight w:val="none"/>
          <w:lang w:val="en-US" w:eastAsia="zh-CN" w:bidi="ar"/>
        </w:rPr>
        <w:t>数据领取单位可同时使用加密数据和非加密数据；加密数据编辑、另存、裁剪、导入、导出、格式转换等方式产生的数据都自动加密。</w:t>
      </w:r>
      <w:r>
        <w:rPr>
          <w:rFonts w:hint="eastAsia" w:ascii="宋体" w:hAnsi="宋体" w:eastAsia="宋体" w:cs="宋体"/>
          <w:b/>
          <w:bCs w:val="0"/>
          <w:color w:val="auto"/>
          <w:spacing w:val="6"/>
          <w:kern w:val="2"/>
          <w:sz w:val="24"/>
          <w:szCs w:val="24"/>
          <w:highlight w:val="none"/>
          <w:lang w:val="en-US" w:eastAsia="zh-CN" w:bidi="ar"/>
        </w:rPr>
        <w:t>联网报警要求：</w:t>
      </w:r>
      <w:r>
        <w:rPr>
          <w:rFonts w:hint="eastAsia" w:ascii="宋体" w:hAnsi="宋体" w:eastAsia="宋体" w:cs="宋体"/>
          <w:bCs/>
          <w:color w:val="auto"/>
          <w:spacing w:val="6"/>
          <w:kern w:val="2"/>
          <w:sz w:val="24"/>
          <w:szCs w:val="24"/>
          <w:highlight w:val="none"/>
          <w:lang w:val="en-US" w:eastAsia="zh-CN" w:bidi="ar"/>
        </w:rPr>
        <w:t>使用加密数据时计算机一旦连接到互联网，系统能够自动切断加密数据的使用，并有相关报警信息。</w:t>
      </w:r>
      <w:r>
        <w:rPr>
          <w:rFonts w:hint="eastAsia" w:ascii="宋体" w:hAnsi="宋体" w:eastAsia="宋体" w:cs="宋体"/>
          <w:b/>
          <w:bCs w:val="0"/>
          <w:color w:val="auto"/>
          <w:spacing w:val="6"/>
          <w:kern w:val="2"/>
          <w:sz w:val="24"/>
          <w:szCs w:val="24"/>
          <w:highlight w:val="none"/>
          <w:lang w:val="en-US" w:eastAsia="zh-CN" w:bidi="ar"/>
        </w:rPr>
        <w:t>日志管理分析要求：</w:t>
      </w:r>
      <w:r>
        <w:rPr>
          <w:rFonts w:hint="eastAsia" w:ascii="宋体" w:hAnsi="宋体" w:eastAsia="宋体" w:cs="宋体"/>
          <w:bCs/>
          <w:color w:val="auto"/>
          <w:spacing w:val="6"/>
          <w:kern w:val="2"/>
          <w:sz w:val="24"/>
          <w:szCs w:val="24"/>
          <w:highlight w:val="none"/>
          <w:lang w:val="en-US" w:eastAsia="zh-CN" w:bidi="ar"/>
        </w:rPr>
        <w:t>系统可自动记录数据加密时的相关信息，便于查询和统计分析，记录的信息包括加密数据、加密时间、使用单位、到期时间等，并可对记录信息进行浏览、查询、统计、可视化表达、导出与自动备份等。</w:t>
      </w:r>
    </w:p>
    <w:p>
      <w:pPr>
        <w:pStyle w:val="20"/>
        <w:keepNext w:val="0"/>
        <w:keepLines w:val="0"/>
        <w:widowControl w:val="0"/>
        <w:numPr>
          <w:ilvl w:val="0"/>
          <w:numId w:val="10"/>
        </w:numPr>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集成要求：配发软件成果需结合已有数字水印与安控软件进行专门适配，以支持数据的自动加密和数字水印的自动嵌入。</w:t>
      </w:r>
    </w:p>
    <w:p>
      <w:pPr>
        <w:pStyle w:val="20"/>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3、提交成果</w:t>
      </w:r>
    </w:p>
    <w:tbl>
      <w:tblPr>
        <w:tblStyle w:val="25"/>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5"/>
        <w:gridCol w:w="4172"/>
        <w:gridCol w:w="1163"/>
        <w:gridCol w:w="116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序号</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成果名称</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单位</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数量</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1</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设计方案</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本</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1</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2</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总结报告</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本</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1</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3</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用户手册</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本</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1</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4</w:t>
            </w:r>
          </w:p>
        </w:tc>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适配部署后的“地信智服”成果服务子场景试点成果的软件成果</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套</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1</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电子</w:t>
            </w:r>
          </w:p>
        </w:tc>
      </w:tr>
    </w:tbl>
    <w:p>
      <w:pPr>
        <w:pStyle w:val="20"/>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4、服务要求</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提供7*24小时技术服务，在接到采购人故障报告后响应时间不超过3小时，一般性故障6小时处理完成，对于复杂故障问题12小时内处理完成，必要时提供现场支持。</w:t>
      </w:r>
    </w:p>
    <w:p>
      <w:pPr>
        <w:keepNext/>
        <w:keepLines/>
        <w:widowControl w:val="0"/>
        <w:suppressLineNumbers w:val="0"/>
        <w:tabs>
          <w:tab w:val="left" w:pos="706"/>
          <w:tab w:val="left" w:pos="1110"/>
        </w:tabs>
        <w:adjustRightInd w:val="0"/>
        <w:spacing w:before="0" w:beforeAutospacing="0" w:after="0" w:afterAutospacing="0" w:line="360" w:lineRule="auto"/>
        <w:ind w:left="0" w:right="0" w:firstLine="482" w:firstLineChars="200"/>
        <w:jc w:val="both"/>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5、人员要求</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投标人需具有较强的服务能力，具有较强的专业技术队伍，能提供快速的售后服务响应。投入本项目的人员未经采购人同意不得随意变更，如随意变更人员，采购人有权解除合同，并追究其相关责任。</w:t>
      </w:r>
    </w:p>
    <w:p>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（三）验收要求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zh-TW" w:eastAsia="zh-TW"/>
        </w:rPr>
      </w:pPr>
      <w:bookmarkStart w:id="59" w:name="_Hlk92920579"/>
      <w:r>
        <w:rPr>
          <w:rFonts w:hint="eastAsia" w:ascii="宋体" w:hAnsi="宋体" w:eastAsia="宋体" w:cs="宋体"/>
          <w:snapToGrid w:val="0"/>
          <w:color w:val="auto"/>
          <w:kern w:val="0"/>
          <w:sz w:val="24"/>
          <w:szCs w:val="24"/>
          <w:highlight w:val="none"/>
          <w:lang w:val="en-US" w:eastAsia="zh-CN" w:bidi="ar"/>
        </w:rPr>
        <w:t>1、</w:t>
      </w:r>
      <w:r>
        <w:rPr>
          <w:rFonts w:hint="eastAsia" w:ascii="宋体" w:hAnsi="宋体" w:eastAsia="宋体" w:cs="宋体"/>
          <w:snapToGrid w:val="0"/>
          <w:color w:val="auto"/>
          <w:kern w:val="0"/>
          <w:sz w:val="24"/>
          <w:szCs w:val="24"/>
          <w:highlight w:val="none"/>
          <w:lang w:val="zh-TW" w:eastAsia="zh-CN" w:bidi="ar"/>
        </w:rPr>
        <w:t>验收标准</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8"/>
          <w:sz w:val="24"/>
          <w:szCs w:val="24"/>
          <w:highlight w:val="none"/>
          <w:lang w:val="en-US" w:bidi="ar"/>
        </w:rPr>
      </w:pPr>
      <w:r>
        <w:rPr>
          <w:rFonts w:hint="eastAsia" w:ascii="宋体" w:hAnsi="宋体" w:eastAsia="宋体" w:cs="宋体"/>
          <w:color w:val="auto"/>
          <w:kern w:val="28"/>
          <w:sz w:val="24"/>
          <w:szCs w:val="24"/>
          <w:highlight w:val="none"/>
          <w:lang w:val="en-US" w:eastAsia="zh-CN" w:bidi="ar"/>
        </w:rPr>
        <w:t>根据《中华人民共和国政府采购法》、《中华人民共和国民法典》、《中华人民共和国政府采购法实施条例》、财政部《财政部关于进一步加强政府采购需求和履约验收管理的指导意见》（财库[2016]205号）等相关法律、法规、规范性文件要求，</w:t>
      </w:r>
      <w:r>
        <w:rPr>
          <w:rFonts w:hint="eastAsia" w:ascii="宋体" w:hAnsi="宋体" w:eastAsia="宋体" w:cs="宋体"/>
          <w:color w:val="auto"/>
          <w:kern w:val="28"/>
          <w:sz w:val="24"/>
          <w:szCs w:val="24"/>
          <w:highlight w:val="none"/>
          <w:lang w:val="zh-CN" w:eastAsia="zh-CN" w:bidi="ar"/>
        </w:rPr>
        <w:t>依据本项目的</w:t>
      </w:r>
      <w:r>
        <w:rPr>
          <w:rFonts w:hint="eastAsia" w:ascii="宋体" w:hAnsi="宋体" w:eastAsia="宋体" w:cs="宋体"/>
          <w:color w:val="auto"/>
          <w:kern w:val="28"/>
          <w:sz w:val="24"/>
          <w:szCs w:val="24"/>
          <w:highlight w:val="none"/>
          <w:lang w:val="en-US" w:eastAsia="zh-CN" w:bidi="ar"/>
        </w:rPr>
        <w:t>招标</w:t>
      </w:r>
      <w:r>
        <w:rPr>
          <w:rFonts w:hint="eastAsia" w:ascii="宋体" w:hAnsi="宋体" w:eastAsia="宋体" w:cs="宋体"/>
          <w:color w:val="auto"/>
          <w:kern w:val="28"/>
          <w:sz w:val="24"/>
          <w:szCs w:val="24"/>
          <w:highlight w:val="none"/>
          <w:lang w:val="zh-CN" w:eastAsia="zh-CN" w:bidi="ar"/>
        </w:rPr>
        <w:t>文件、</w:t>
      </w:r>
      <w:r>
        <w:rPr>
          <w:rFonts w:hint="eastAsia" w:ascii="宋体" w:hAnsi="宋体" w:eastAsia="宋体" w:cs="宋体"/>
          <w:color w:val="auto"/>
          <w:kern w:val="28"/>
          <w:sz w:val="24"/>
          <w:szCs w:val="24"/>
          <w:highlight w:val="none"/>
          <w:lang w:val="en-US" w:eastAsia="zh-CN" w:bidi="ar"/>
        </w:rPr>
        <w:t>中标人投标文件、技术设计书要求进行验收。</w:t>
      </w:r>
    </w:p>
    <w:p>
      <w:pPr>
        <w:keepNext w:val="0"/>
        <w:keepLines w:val="0"/>
        <w:widowControl w:val="0"/>
        <w:suppressLineNumbers w:val="0"/>
        <w:adjustRightInd w:val="0"/>
        <w:snapToGrid w:val="0"/>
        <w:spacing w:before="0" w:beforeAutospacing="0" w:after="0" w:afterAutospacing="0" w:line="360" w:lineRule="auto"/>
        <w:ind w:left="420" w:leftChars="200" w:right="0"/>
        <w:jc w:val="both"/>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2、验收组织程序</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28"/>
          <w:sz w:val="24"/>
          <w:szCs w:val="24"/>
          <w:highlight w:val="none"/>
          <w:lang w:val="en-US" w:bidi="ar"/>
        </w:rPr>
      </w:pPr>
      <w:r>
        <w:rPr>
          <w:rFonts w:hint="eastAsia" w:ascii="宋体" w:hAnsi="宋体" w:eastAsia="宋体" w:cs="宋体"/>
          <w:color w:val="auto"/>
          <w:kern w:val="28"/>
          <w:sz w:val="24"/>
          <w:szCs w:val="24"/>
          <w:highlight w:val="none"/>
          <w:lang w:val="en-US" w:eastAsia="zh-CN" w:bidi="ar"/>
        </w:rPr>
        <w:t>中标人服务完成后，由各县（市、区）采购人（用户单位）组织本地验收，台州市自然资源和规划局对本项目进行综合验收。</w:t>
      </w:r>
    </w:p>
    <w:p>
      <w:pPr>
        <w:pStyle w:val="6"/>
        <w:widowControl/>
        <w:ind w:left="0" w:firstLine="481"/>
        <w:rPr>
          <w:rFonts w:cs="宋体"/>
          <w:color w:val="auto"/>
          <w:sz w:val="24"/>
          <w:szCs w:val="24"/>
          <w:highlight w:val="none"/>
          <w:lang w:val="en-US" w:bidi="ar"/>
        </w:rPr>
      </w:pPr>
      <w:r>
        <w:rPr>
          <w:rFonts w:cs="宋体"/>
          <w:color w:val="auto"/>
          <w:sz w:val="24"/>
          <w:szCs w:val="24"/>
          <w:highlight w:val="none"/>
          <w:lang w:val="en-US" w:bidi="ar"/>
        </w:rPr>
        <w:t>3</w:t>
      </w:r>
      <w:r>
        <w:rPr>
          <w:rFonts w:cs="宋体"/>
          <w:color w:val="auto"/>
          <w:sz w:val="24"/>
          <w:szCs w:val="24"/>
          <w:highlight w:val="none"/>
          <w:lang w:eastAsia="zh-CN" w:bidi="ar"/>
        </w:rPr>
        <w:t>、其他要求</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（1）本项目验收费用由中标人承担。</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2"/>
          <w:sz w:val="24"/>
          <w:szCs w:val="24"/>
          <w:highlight w:val="none"/>
          <w:lang w:val="en-US" w:eastAsia="zh-CN" w:bidi="ar"/>
        </w:rPr>
        <w:t>（2）中标人未通过验收，采购人有权要求中标人进行整改，相关费用（包括但不限于重新组织验收等费用）由中标人承担；如中标人未在要求期限内整改完成或整改后仍不合格或已经无法整改的，采购人有权要求中标人承担违约责任，并拒绝支付相关款项。</w:t>
      </w:r>
      <w:bookmarkEnd w:id="59"/>
    </w:p>
    <w:p>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三、商务需求</w:t>
      </w:r>
    </w:p>
    <w:p>
      <w:pPr>
        <w:pStyle w:val="20"/>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1、服务期：1年（自合同签订之日起计）。</w:t>
      </w:r>
    </w:p>
    <w:p>
      <w:pPr>
        <w:pStyle w:val="20"/>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2、付款方式</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黄岩区：合同签订生效及项目通过本地验收和市局综合验收后，并根据财政预算经费实际安排到位时，采购人收到中标人开具的合同款有效发票后,一次性支付合同金额。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路桥区</w:t>
      </w:r>
      <w:r>
        <w:rPr>
          <w:rFonts w:hint="eastAsia" w:ascii="宋体" w:hAnsi="宋体" w:eastAsia="宋体" w:cs="宋体"/>
          <w:color w:val="auto"/>
          <w:kern w:val="2"/>
          <w:sz w:val="24"/>
          <w:szCs w:val="24"/>
          <w:highlight w:val="none"/>
          <w:lang w:val="en-US" w:eastAsia="zh-CN" w:bidi="ar"/>
        </w:rPr>
        <w:t>：合同签订生效及项目通过本地验收和市局综合验收后，并根据财政预算经费实际安排到位时，采购人收到中标人开具的合同款有效发票后,一次性支付合同金额。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温岭市：合同签订生效以及具备实施条件后7个工作日内，采购人在收到中标人开具的合同款有效发票后,支付合同金额的40%作为预付款；完成系统安装部署并有效运行，完成测绘成果数据入库，同步更新线上场景的元数据，完成数字水印与安控软件集成适配工作，采购人收到中标人开具的合同款有效发票后,支付合同金额的40%。在项目通过本地验收和市局综合验收后，采购人收到中标人开具的合同款有效发票后,支付合同金额的20%。</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玉环市：合同签订生效及项目通过本地验收和市局综合验收后，并根据财政预算经费实际安排到位时，采购人收到中标人开具的合同款有效发票后,一次性支付合同金额。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天台县：合同签订生效及项目通过本地验收和市局综合验收后，并根据财政预算经费实际安排到位时，采购人收到中标人开具的合同款有效发票后,一次性支付合同金额。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仙居县：合同签订生效以及具备实施条件后7个工作日内，采购人在收到中标人开具的合同款有效发票后,支付合同金额的40%作为预付款；在项目通过本地验收和市局综合验收后，采购人收到中标人开具的合同款有效发票后,支付合同金额的60%。</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三门县：合同签订生效以及具备实施条件后7个工作日内，采购人在收到中标人开具的合同款有效发票后,支付合同金额的40%作为预付款；在项目通过本地验收和市局综合验收后，采购人收到中标人开具的合同款有效发票后,支付合同金额的60%。（如支付的总金额超过当年政府预算额度，则超额部分结转下一年度结算。）</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因本合同项目为政府财政资金项目，合同款支付还应符合政府财政支付计划，若财政支付计划发生调整，则从其调整。双方确认，因财政支付计划导致</w:t>
      </w:r>
      <w:r>
        <w:rPr>
          <w:rFonts w:hint="eastAsia" w:ascii="宋体" w:hAnsi="宋体" w:eastAsia="宋体" w:cs="宋体"/>
          <w:color w:val="auto"/>
          <w:kern w:val="2"/>
          <w:sz w:val="24"/>
          <w:szCs w:val="24"/>
          <w:highlight w:val="none"/>
          <w:lang w:val="en-US" w:eastAsia="zh-CN" w:bidi="ar"/>
        </w:rPr>
        <w:t>采购人</w:t>
      </w:r>
      <w:r>
        <w:rPr>
          <w:rFonts w:hint="eastAsia" w:ascii="宋体" w:hAnsi="宋体" w:eastAsia="宋体" w:cs="宋体"/>
          <w:bCs/>
          <w:color w:val="auto"/>
          <w:spacing w:val="6"/>
          <w:kern w:val="2"/>
          <w:sz w:val="24"/>
          <w:szCs w:val="24"/>
          <w:highlight w:val="none"/>
          <w:lang w:val="en-US" w:eastAsia="zh-CN" w:bidi="ar"/>
        </w:rPr>
        <w:t>付款延迟的，</w:t>
      </w:r>
      <w:r>
        <w:rPr>
          <w:rFonts w:hint="eastAsia" w:ascii="宋体" w:hAnsi="宋体" w:eastAsia="宋体" w:cs="宋体"/>
          <w:color w:val="auto"/>
          <w:kern w:val="2"/>
          <w:sz w:val="24"/>
          <w:szCs w:val="24"/>
          <w:highlight w:val="none"/>
          <w:lang w:val="en-US" w:eastAsia="zh-CN" w:bidi="ar"/>
        </w:rPr>
        <w:t>采购人</w:t>
      </w:r>
      <w:r>
        <w:rPr>
          <w:rFonts w:hint="eastAsia" w:ascii="宋体" w:hAnsi="宋体" w:eastAsia="宋体" w:cs="宋体"/>
          <w:bCs/>
          <w:color w:val="auto"/>
          <w:spacing w:val="6"/>
          <w:kern w:val="2"/>
          <w:sz w:val="24"/>
          <w:szCs w:val="24"/>
          <w:highlight w:val="none"/>
          <w:lang w:val="en-US" w:eastAsia="zh-CN" w:bidi="ar"/>
        </w:rPr>
        <w:t>不承担违约责任。</w:t>
      </w:r>
    </w:p>
    <w:p>
      <w:pPr>
        <w:pStyle w:val="20"/>
        <w:keepNext w:val="0"/>
        <w:keepLines w:val="0"/>
        <w:widowControl w:val="0"/>
        <w:suppressLineNumbers w:val="0"/>
        <w:tabs>
          <w:tab w:val="left" w:pos="630"/>
        </w:tabs>
        <w:snapToGrid w:val="0"/>
        <w:spacing w:before="0" w:beforeAutospacing="0" w:after="0" w:afterAutospacing="0" w:line="360" w:lineRule="auto"/>
        <w:ind w:left="0" w:right="0"/>
        <w:jc w:val="both"/>
        <w:rPr>
          <w:rFonts w:ascii="宋体" w:hAnsi="宋体" w:eastAsia="宋体" w:cs="宋体"/>
          <w:b/>
          <w:bCs w:val="0"/>
          <w:color w:val="auto"/>
          <w:kern w:val="2"/>
          <w:highlight w:val="none"/>
          <w:lang w:val="en-US"/>
        </w:rPr>
      </w:pPr>
      <w:r>
        <w:rPr>
          <w:rFonts w:hint="eastAsia" w:ascii="宋体" w:hAnsi="宋体" w:eastAsia="宋体" w:cs="宋体"/>
          <w:b/>
          <w:bCs w:val="0"/>
          <w:color w:val="auto"/>
          <w:kern w:val="2"/>
          <w:sz w:val="24"/>
          <w:szCs w:val="24"/>
          <w:highlight w:val="none"/>
          <w:lang w:val="en-US" w:eastAsia="zh-CN" w:bidi="ar"/>
        </w:rPr>
        <w:br w:type="page"/>
      </w:r>
    </w:p>
    <w:p>
      <w:pPr>
        <w:pStyle w:val="20"/>
        <w:keepNext w:val="0"/>
        <w:keepLines w:val="0"/>
        <w:widowControl w:val="0"/>
        <w:suppressLineNumbers w:val="0"/>
        <w:tabs>
          <w:tab w:val="left" w:pos="630"/>
        </w:tabs>
        <w:snapToGrid w:val="0"/>
        <w:spacing w:before="0" w:beforeAutospacing="0" w:after="0" w:afterAutospacing="0" w:line="360" w:lineRule="auto"/>
        <w:ind w:left="0" w:right="0"/>
        <w:jc w:val="both"/>
        <w:rPr>
          <w:rFonts w:cs="宋体"/>
          <w:b/>
          <w:bCs w:val="0"/>
          <w:color w:val="auto"/>
          <w:kern w:val="2"/>
          <w:highlight w:val="none"/>
          <w:lang w:val="en-US"/>
        </w:rPr>
      </w:pPr>
    </w:p>
    <w:p>
      <w:pPr>
        <w:pStyle w:val="20"/>
        <w:keepNext w:val="0"/>
        <w:keepLines w:val="0"/>
        <w:widowControl w:val="0"/>
        <w:suppressLineNumbers w:val="0"/>
        <w:tabs>
          <w:tab w:val="left" w:pos="630"/>
        </w:tabs>
        <w:snapToGrid w:val="0"/>
        <w:spacing w:before="0" w:beforeAutospacing="0" w:after="0" w:afterAutospacing="0" w:line="360" w:lineRule="auto"/>
        <w:ind w:left="0" w:right="0"/>
        <w:jc w:val="center"/>
        <w:rPr>
          <w:rFonts w:ascii="宋体" w:hAnsi="宋体" w:eastAsia="宋体"/>
          <w:b/>
          <w:bCs w:val="0"/>
          <w:color w:val="auto"/>
          <w:sz w:val="32"/>
          <w:szCs w:val="32"/>
          <w:highlight w:val="none"/>
          <w:lang w:val="en-US"/>
        </w:rPr>
      </w:pPr>
      <w:bookmarkStart w:id="60" w:name="_Toc31173_WPSOffice_Level1"/>
      <w:r>
        <w:rPr>
          <w:rFonts w:hint="eastAsia" w:ascii="宋体" w:hAnsi="宋体" w:eastAsia="宋体" w:cs="Times New Roman"/>
          <w:b/>
          <w:bCs w:val="0"/>
          <w:color w:val="auto"/>
          <w:kern w:val="2"/>
          <w:sz w:val="32"/>
          <w:szCs w:val="32"/>
          <w:highlight w:val="none"/>
          <w:lang w:val="en-US" w:eastAsia="zh-CN" w:bidi="ar"/>
        </w:rPr>
        <w:t>第四章  评标</w:t>
      </w:r>
      <w:bookmarkEnd w:id="60"/>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一、评标方法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综合评分法,是指投标文件满足招标文件全部实质性要求，且按照评审因素的量化指标评审得分最高的投标人为中标候选人的评标方法。</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二、评标原则</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（一）评标活动遵循公平、公正、科学和择优的原则，以招标文件和投标文件为评标的基本依据，并按照招标文件规定的评标方法和评标标准进行评标。</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（二）任何单位和个人不得干扰、影响评标的正常进行；评标委员会及有关工作人员应不带任何倾向性和启发性，不得向外界透露任何与评标有关的内容，不得私下与投标人接触。</w:t>
      </w:r>
    </w:p>
    <w:p>
      <w:pPr>
        <w:pStyle w:val="20"/>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auto"/>
          <w:highlight w:val="none"/>
          <w:lang w:val="en-US"/>
        </w:rPr>
      </w:pPr>
      <w:r>
        <w:rPr>
          <w:rFonts w:cs="宋体"/>
          <w:b/>
          <w:bCs w:val="0"/>
          <w:color w:val="auto"/>
          <w:kern w:val="2"/>
          <w:highlight w:val="none"/>
          <w:lang w:eastAsia="zh-CN"/>
        </w:rPr>
        <w:t>三、评标委员会</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eastAsia="zh-CN"/>
        </w:rPr>
        <w:t>（一）本项目评标委员会由采购人代表和评审专家组成，成员人数为</w:t>
      </w:r>
      <w:r>
        <w:rPr>
          <w:rFonts w:cs="宋体"/>
          <w:color w:val="auto"/>
          <w:kern w:val="2"/>
          <w:highlight w:val="none"/>
          <w:lang w:val="en-US"/>
        </w:rPr>
        <w:t>5</w:t>
      </w:r>
      <w:r>
        <w:rPr>
          <w:rFonts w:cs="宋体"/>
          <w:color w:val="auto"/>
          <w:kern w:val="2"/>
          <w:highlight w:val="none"/>
          <w:lang w:eastAsia="zh-CN"/>
        </w:rPr>
        <w:t>人，其中评审专家不得少于成员总数的三分之二。</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eastAsia="zh-CN"/>
        </w:rPr>
        <w:t>（二）评标委员会成员与参与投标的供应商有下列情形之一的，应当回避：</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1.</w:t>
      </w:r>
      <w:r>
        <w:rPr>
          <w:rFonts w:cs="宋体"/>
          <w:color w:val="auto"/>
          <w:kern w:val="2"/>
          <w:highlight w:val="none"/>
          <w:lang w:eastAsia="zh-CN"/>
        </w:rPr>
        <w:t>参加采购活动前</w:t>
      </w:r>
      <w:r>
        <w:rPr>
          <w:rFonts w:cs="宋体"/>
          <w:color w:val="auto"/>
          <w:kern w:val="2"/>
          <w:highlight w:val="none"/>
          <w:lang w:val="en-US"/>
        </w:rPr>
        <w:t>3</w:t>
      </w:r>
      <w:r>
        <w:rPr>
          <w:rFonts w:cs="宋体"/>
          <w:color w:val="auto"/>
          <w:kern w:val="2"/>
          <w:highlight w:val="none"/>
          <w:lang w:eastAsia="zh-CN"/>
        </w:rPr>
        <w:t>年内与供应商存在劳动关系；</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2.</w:t>
      </w:r>
      <w:r>
        <w:rPr>
          <w:rFonts w:cs="宋体"/>
          <w:color w:val="auto"/>
          <w:kern w:val="2"/>
          <w:highlight w:val="none"/>
          <w:lang w:eastAsia="zh-CN"/>
        </w:rPr>
        <w:t>参加采购活动前</w:t>
      </w:r>
      <w:r>
        <w:rPr>
          <w:rFonts w:cs="宋体"/>
          <w:color w:val="auto"/>
          <w:kern w:val="2"/>
          <w:highlight w:val="none"/>
          <w:lang w:val="en-US"/>
        </w:rPr>
        <w:t>3</w:t>
      </w:r>
      <w:r>
        <w:rPr>
          <w:rFonts w:cs="宋体"/>
          <w:color w:val="auto"/>
          <w:kern w:val="2"/>
          <w:highlight w:val="none"/>
          <w:lang w:eastAsia="zh-CN"/>
        </w:rPr>
        <w:t>年内担任供应商的董事、监事；</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3.</w:t>
      </w:r>
      <w:r>
        <w:rPr>
          <w:rFonts w:cs="宋体"/>
          <w:color w:val="auto"/>
          <w:kern w:val="2"/>
          <w:highlight w:val="none"/>
          <w:lang w:eastAsia="zh-CN"/>
        </w:rPr>
        <w:t>参加采购活动前</w:t>
      </w:r>
      <w:r>
        <w:rPr>
          <w:rFonts w:cs="宋体"/>
          <w:color w:val="auto"/>
          <w:kern w:val="2"/>
          <w:highlight w:val="none"/>
          <w:lang w:val="en-US"/>
        </w:rPr>
        <w:t>3</w:t>
      </w:r>
      <w:r>
        <w:rPr>
          <w:rFonts w:cs="宋体"/>
          <w:color w:val="auto"/>
          <w:kern w:val="2"/>
          <w:highlight w:val="none"/>
          <w:lang w:eastAsia="zh-CN"/>
        </w:rPr>
        <w:t>年内是供应商的控股股东或者实际控制人；</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4.</w:t>
      </w:r>
      <w:r>
        <w:rPr>
          <w:rFonts w:cs="宋体"/>
          <w:color w:val="auto"/>
          <w:kern w:val="2"/>
          <w:highlight w:val="none"/>
          <w:lang w:eastAsia="zh-CN"/>
        </w:rPr>
        <w:t>与供应商的法定代表人或者负责人有夫妻、直系血亲、三代以内旁系血亲或者近姻亲关系；</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5.</w:t>
      </w:r>
      <w:r>
        <w:rPr>
          <w:rFonts w:cs="宋体"/>
          <w:color w:val="auto"/>
          <w:kern w:val="2"/>
          <w:highlight w:val="none"/>
          <w:lang w:eastAsia="zh-CN"/>
        </w:rPr>
        <w:t>与供应商有其他可能影响政府采购活动公平、公正进行的关系。</w:t>
      </w:r>
    </w:p>
    <w:p>
      <w:pPr>
        <w:pStyle w:val="20"/>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auto"/>
          <w:highlight w:val="none"/>
          <w:lang w:val="en-US"/>
        </w:rPr>
      </w:pPr>
      <w:r>
        <w:rPr>
          <w:rFonts w:cs="宋体"/>
          <w:b/>
          <w:bCs w:val="0"/>
          <w:color w:val="auto"/>
          <w:kern w:val="2"/>
          <w:highlight w:val="none"/>
          <w:lang w:eastAsia="zh-CN"/>
        </w:rPr>
        <w:t>（三）评标委员会负责具体评标事务，并独立履行下列职责：</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1.</w:t>
      </w:r>
      <w:r>
        <w:rPr>
          <w:rFonts w:cs="宋体"/>
          <w:color w:val="auto"/>
          <w:kern w:val="2"/>
          <w:highlight w:val="none"/>
          <w:lang w:eastAsia="zh-CN"/>
        </w:rPr>
        <w:t>审查、评价投标文件是否符合招标文件的商务、技术等实质性要求；</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2.</w:t>
      </w:r>
      <w:r>
        <w:rPr>
          <w:rFonts w:cs="宋体"/>
          <w:color w:val="auto"/>
          <w:kern w:val="2"/>
          <w:highlight w:val="none"/>
          <w:lang w:eastAsia="zh-CN"/>
        </w:rPr>
        <w:t>要求投标人对投标文件有关事项作出澄清或者说明；</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3.</w:t>
      </w:r>
      <w:r>
        <w:rPr>
          <w:rFonts w:cs="宋体"/>
          <w:color w:val="auto"/>
          <w:kern w:val="2"/>
          <w:highlight w:val="none"/>
          <w:lang w:eastAsia="zh-CN"/>
        </w:rPr>
        <w:t>对投标文件进行比较和评价；</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4.</w:t>
      </w:r>
      <w:r>
        <w:rPr>
          <w:rFonts w:cs="宋体"/>
          <w:color w:val="auto"/>
          <w:kern w:val="2"/>
          <w:highlight w:val="none"/>
          <w:lang w:eastAsia="zh-CN"/>
        </w:rPr>
        <w:t>确定中标候选人名单，以及根据采购人委托直接确定中标人；</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5.</w:t>
      </w:r>
      <w:r>
        <w:rPr>
          <w:rFonts w:cs="宋体"/>
          <w:color w:val="auto"/>
          <w:kern w:val="2"/>
          <w:highlight w:val="none"/>
          <w:lang w:eastAsia="zh-CN"/>
        </w:rPr>
        <w:t>向采购人、采购组织机构或者有关部门报告评标中发现的违法行为；</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6.</w:t>
      </w:r>
      <w:r>
        <w:rPr>
          <w:rFonts w:cs="宋体"/>
          <w:color w:val="auto"/>
          <w:kern w:val="2"/>
          <w:highlight w:val="none"/>
          <w:lang w:eastAsia="zh-CN"/>
        </w:rPr>
        <w:t>法律法规规定的其他职责。</w:t>
      </w:r>
    </w:p>
    <w:p>
      <w:pPr>
        <w:pStyle w:val="20"/>
        <w:widowControl/>
        <w:spacing w:before="0" w:beforeAutospacing="0" w:after="0" w:afterAutospacing="0" w:line="312" w:lineRule="auto"/>
        <w:ind w:left="0" w:right="0" w:firstLine="482" w:firstLineChars="200"/>
        <w:jc w:val="both"/>
        <w:rPr>
          <w:rFonts w:cs="宋体"/>
          <w:b/>
          <w:bCs w:val="0"/>
          <w:color w:val="auto"/>
          <w:highlight w:val="none"/>
          <w:lang w:val="en-US"/>
        </w:rPr>
      </w:pPr>
      <w:r>
        <w:rPr>
          <w:rFonts w:cs="宋体"/>
          <w:b/>
          <w:bCs w:val="0"/>
          <w:color w:val="auto"/>
          <w:highlight w:val="none"/>
          <w:lang w:eastAsia="zh-CN"/>
        </w:rPr>
        <w:t>四、无效标情形</w:t>
      </w:r>
    </w:p>
    <w:p>
      <w:pPr>
        <w:keepNext w:val="0"/>
        <w:keepLines w:val="0"/>
        <w:widowControl w:val="0"/>
        <w:suppressLineNumbers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（一）在资格证明文件或商务与技术文件中出现投标报价的，或者报价文件中报价的货物跟商务与技术文件中的投标货物出现重大偏差的；</w:t>
      </w:r>
    </w:p>
    <w:p>
      <w:pPr>
        <w:pStyle w:val="20"/>
        <w:widowControl/>
        <w:tabs>
          <w:tab w:val="left" w:pos="7380"/>
        </w:tabs>
        <w:adjustRightInd w:val="0"/>
        <w:snapToGrid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（二）不具备招标文件中规定的资格要求的；</w:t>
      </w:r>
      <w:r>
        <w:rPr>
          <w:rFonts w:cs="宋体"/>
          <w:color w:val="auto"/>
          <w:highlight w:val="none"/>
          <w:lang w:val="en-US"/>
        </w:rPr>
        <w:tab/>
      </w:r>
    </w:p>
    <w:p>
      <w:pPr>
        <w:pStyle w:val="20"/>
        <w:widowControl/>
        <w:adjustRightInd w:val="0"/>
        <w:snapToGrid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（三）投标文件含有采购人不能接受的附加条件的；</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bCs/>
          <w:color w:val="auto"/>
          <w:highlight w:val="none"/>
          <w:lang w:val="en-US"/>
        </w:rPr>
      </w:pPr>
      <w:r>
        <w:rPr>
          <w:rFonts w:cs="宋体"/>
          <w:color w:val="auto"/>
          <w:highlight w:val="none"/>
          <w:lang w:eastAsia="zh-CN"/>
        </w:rPr>
        <w:t>（四）</w:t>
      </w:r>
      <w:r>
        <w:rPr>
          <w:rFonts w:cs="宋体"/>
          <w:color w:val="auto"/>
          <w:kern w:val="2"/>
          <w:highlight w:val="none"/>
          <w:shd w:val="clear" w:fill="FFFFFF"/>
          <w:lang w:eastAsia="zh-CN"/>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keepNext w:val="0"/>
        <w:keepLines w:val="0"/>
        <w:widowControl w:val="0"/>
        <w:suppressLineNumbers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（五）报价超过招标文件中规定的预算金额/最高限价或未填写投标报价的； </w:t>
      </w:r>
    </w:p>
    <w:p>
      <w:pPr>
        <w:keepNext w:val="0"/>
        <w:keepLines w:val="0"/>
        <w:widowControl w:val="0"/>
        <w:suppressLineNumbers w:val="0"/>
        <w:tabs>
          <w:tab w:val="left" w:pos="1898"/>
        </w:tabs>
        <w:autoSpaceDE w:val="0"/>
        <w:autoSpaceDN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（六）投标文件存在虚假材料的； </w:t>
      </w:r>
    </w:p>
    <w:p>
      <w:pPr>
        <w:keepNext w:val="0"/>
        <w:keepLines w:val="0"/>
        <w:widowControl w:val="0"/>
        <w:suppressLineNumbers w:val="0"/>
        <w:tabs>
          <w:tab w:val="left" w:pos="1898"/>
        </w:tabs>
        <w:autoSpaceDE w:val="0"/>
        <w:autoSpaceDN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（七）有中华人民共和国财政部令第87号《政府采购货物和服务招标投标管理办法》第三十七条情形之一的，视为投标人串通投标，其投标无效，并移送采购监管部门：</w:t>
      </w:r>
    </w:p>
    <w:p>
      <w:pPr>
        <w:keepNext w:val="0"/>
        <w:keepLines w:val="0"/>
        <w:widowControl w:val="0"/>
        <w:suppressLineNumbers w:val="0"/>
        <w:tabs>
          <w:tab w:val="left" w:pos="1898"/>
        </w:tabs>
        <w:autoSpaceDE w:val="0"/>
        <w:autoSpaceDN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1、不同投标人的投标文件由同一单位或者个人编制；</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val="en-US"/>
        </w:rPr>
        <w:t>2</w:t>
      </w:r>
      <w:r>
        <w:rPr>
          <w:rFonts w:cs="宋体"/>
          <w:color w:val="auto"/>
          <w:highlight w:val="none"/>
          <w:lang w:eastAsia="zh-CN"/>
        </w:rPr>
        <w:t>、不同投标人委托同一单位或者个人办理投标事宜；</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val="en-US"/>
        </w:rPr>
        <w:t>3</w:t>
      </w:r>
      <w:r>
        <w:rPr>
          <w:rFonts w:cs="宋体"/>
          <w:color w:val="auto"/>
          <w:highlight w:val="none"/>
          <w:lang w:eastAsia="zh-CN"/>
        </w:rPr>
        <w:t>、不同投标人的投标文件载明的项目管理成员或者联系人员为同一人；</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val="en-US"/>
        </w:rPr>
        <w:t>4</w:t>
      </w:r>
      <w:r>
        <w:rPr>
          <w:rFonts w:cs="宋体"/>
          <w:color w:val="auto"/>
          <w:highlight w:val="none"/>
          <w:lang w:eastAsia="zh-CN"/>
        </w:rPr>
        <w:t>、不同投标人的投标文件异常一致或者投标报价呈规律性差异；</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shd w:val="clear" w:fill="FFFFFF"/>
          <w:lang w:val="en-US"/>
        </w:rPr>
        <w:t>5</w:t>
      </w:r>
      <w:r>
        <w:rPr>
          <w:rFonts w:cs="宋体"/>
          <w:color w:val="auto"/>
          <w:highlight w:val="none"/>
          <w:shd w:val="clear" w:fill="FFFFFF"/>
          <w:lang w:eastAsia="zh-CN"/>
        </w:rPr>
        <w:t>、不同投标人的投标文件相互混装；</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（八）实质性要求（招标文件中打“▲”内容）不响应的；</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（九）商务条款不响应的；</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（十）投标文件有效期不足的；</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（十一）逾期或未按要求提交投标文件的；</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（十二）其他不符合法律法规相关规定的。</w:t>
      </w:r>
    </w:p>
    <w:p>
      <w:pPr>
        <w:keepNext w:val="0"/>
        <w:keepLines w:val="0"/>
        <w:widowControl w:val="0"/>
        <w:suppressLineNumbers w:val="0"/>
        <w:autoSpaceDE w:val="0"/>
        <w:autoSpaceDN w:val="0"/>
        <w:adjustRightInd w:val="0"/>
        <w:spacing w:before="0" w:beforeAutospacing="0" w:after="0" w:afterAutospacing="0" w:line="312" w:lineRule="auto"/>
        <w:ind w:left="0" w:right="0" w:firstLine="482"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五、废标情形</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（一）出现影响采购公正的违法、违规行为的；</w:t>
      </w:r>
    </w:p>
    <w:p>
      <w:pPr>
        <w:pStyle w:val="20"/>
        <w:widowControl/>
        <w:spacing w:before="0" w:beforeAutospacing="0" w:after="0" w:afterAutospacing="0" w:line="312" w:lineRule="auto"/>
        <w:ind w:left="0" w:right="0" w:firstLine="480" w:firstLineChars="200"/>
        <w:jc w:val="both"/>
        <w:rPr>
          <w:rFonts w:cs="宋体"/>
          <w:b/>
          <w:bCs w:val="0"/>
          <w:color w:val="auto"/>
          <w:highlight w:val="none"/>
          <w:lang w:val="en-US"/>
        </w:rPr>
      </w:pPr>
      <w:r>
        <w:rPr>
          <w:rFonts w:cs="宋体"/>
          <w:color w:val="auto"/>
          <w:highlight w:val="none"/>
          <w:lang w:eastAsia="zh-CN"/>
        </w:rPr>
        <w:t>（二）评标委员会发现招标文件存在歧义、重大缺陷导致评标工作无法进行，或者招标文件内容违反国家有关强制性规定的；</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（三）因重大变故，采购任务取消的；</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（四）法律、法规和招标文件规定的其他导致评标结果无效的。</w:t>
      </w: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rPr>
          <w:rFonts w:cs="宋体"/>
          <w:b/>
          <w:bCs w:val="0"/>
          <w:color w:val="auto"/>
          <w:highlight w:val="none"/>
          <w:lang w:val="en-US"/>
        </w:rPr>
      </w:pPr>
      <w:r>
        <w:rPr>
          <w:rFonts w:cs="宋体"/>
          <w:b/>
          <w:bCs w:val="0"/>
          <w:color w:val="auto"/>
          <w:kern w:val="2"/>
          <w:highlight w:val="none"/>
          <w:lang w:eastAsia="zh-CN"/>
        </w:rPr>
        <w:t>六、评标过程的监控</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eastAsia="zh-CN"/>
        </w:rPr>
        <w:t>本项目评标过程实行全程录音、录像监控，政府采购监管部门视情进行现场监督，投标人在评标过程中所进行的试图影响评标结果的不公正活动，可能导致其投标被拒绝。</w:t>
      </w: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rPr>
          <w:rFonts w:cs="宋体"/>
          <w:b/>
          <w:bCs w:val="0"/>
          <w:color w:val="auto"/>
          <w:highlight w:val="none"/>
          <w:lang w:val="en-US"/>
        </w:rPr>
      </w:pPr>
      <w:r>
        <w:rPr>
          <w:rFonts w:cs="宋体"/>
          <w:b/>
          <w:bCs w:val="0"/>
          <w:color w:val="auto"/>
          <w:kern w:val="2"/>
          <w:highlight w:val="none"/>
          <w:lang w:eastAsia="zh-CN"/>
        </w:rPr>
        <w:t>七、政府采购政策落实</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zh-CN" w:eastAsia="zh-CN" w:bidi="ar"/>
        </w:rPr>
        <w:t>政府采购政策及优惠：</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zh-CN" w:eastAsia="zh-CN" w:bidi="ar"/>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hAnsi="宋体" w:eastAsia="宋体" w:cs="宋体"/>
          <w:color w:val="auto"/>
          <w:kern w:val="2"/>
          <w:sz w:val="24"/>
          <w:szCs w:val="24"/>
          <w:highlight w:val="none"/>
          <w:lang w:val="en-US" w:eastAsia="zh-CN" w:bidi="ar"/>
        </w:rPr>
        <w:t>中</w:t>
      </w:r>
      <w:r>
        <w:rPr>
          <w:rFonts w:hint="eastAsia" w:ascii="宋体" w:hAnsi="宋体" w:eastAsia="宋体" w:cs="宋体"/>
          <w:color w:val="auto"/>
          <w:kern w:val="2"/>
          <w:sz w:val="24"/>
          <w:szCs w:val="24"/>
          <w:highlight w:val="none"/>
          <w:lang w:val="zh-CN" w:eastAsia="zh-CN" w:bidi="ar"/>
        </w:rPr>
        <w:t>小企业声明函》（</w:t>
      </w:r>
      <w:r>
        <w:rPr>
          <w:rFonts w:hint="eastAsia" w:ascii="宋体" w:hAnsi="宋体" w:eastAsia="宋体" w:cs="宋体"/>
          <w:color w:val="auto"/>
          <w:kern w:val="2"/>
          <w:sz w:val="24"/>
          <w:szCs w:val="24"/>
          <w:highlight w:val="none"/>
          <w:lang w:val="en-US" w:eastAsia="zh-CN" w:bidi="ar"/>
        </w:rPr>
        <w:t>见附件</w:t>
      </w:r>
      <w:r>
        <w:rPr>
          <w:rFonts w:hint="eastAsia" w:ascii="宋体" w:hAnsi="宋体" w:eastAsia="宋体" w:cs="宋体"/>
          <w:color w:val="auto"/>
          <w:kern w:val="2"/>
          <w:sz w:val="24"/>
          <w:szCs w:val="24"/>
          <w:highlight w:val="none"/>
          <w:lang w:val="zh-CN" w:eastAsia="zh-CN" w:bidi="ar"/>
        </w:rPr>
        <w:t>），</w:t>
      </w:r>
      <w:r>
        <w:rPr>
          <w:rFonts w:hint="eastAsia" w:ascii="宋体" w:hAnsi="宋体" w:eastAsia="宋体" w:cs="宋体"/>
          <w:color w:val="auto"/>
          <w:kern w:val="2"/>
          <w:sz w:val="24"/>
          <w:szCs w:val="24"/>
          <w:highlight w:val="none"/>
          <w:lang w:val="en-US" w:eastAsia="zh-CN" w:bidi="ar"/>
        </w:rPr>
        <w:t>投标人未提供以上资料或者经</w:t>
      </w:r>
      <w:r>
        <w:rPr>
          <w:rFonts w:hint="eastAsia" w:ascii="宋体" w:hAnsi="宋体" w:eastAsia="宋体" w:cs="宋体"/>
          <w:color w:val="auto"/>
          <w:kern w:val="2"/>
          <w:sz w:val="24"/>
          <w:szCs w:val="24"/>
          <w:highlight w:val="none"/>
          <w:lang w:val="zh-CN" w:eastAsia="zh-CN" w:bidi="ar"/>
        </w:rPr>
        <w:t>评标委员会核查不符的</w:t>
      </w:r>
      <w:r>
        <w:rPr>
          <w:rFonts w:hint="eastAsia" w:ascii="宋体" w:hAnsi="宋体" w:eastAsia="宋体" w:cs="宋体"/>
          <w:color w:val="auto"/>
          <w:kern w:val="2"/>
          <w:sz w:val="24"/>
          <w:szCs w:val="24"/>
          <w:highlight w:val="none"/>
          <w:lang w:val="en-US" w:eastAsia="zh-CN" w:bidi="ar"/>
        </w:rPr>
        <w:t>，将不能享受相应的小微企业优惠政策。</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zh-CN" w:eastAsia="zh-CN" w:bidi="ar"/>
        </w:rPr>
        <w:t>监狱企业参加政府采购活动时，应当提供由省级以上监狱管理局、戒毒管理局（含新疆生产建设兵团）出具的属于监狱企业的证明文件，视同小型、微型企业，享受小微企业政府采购优惠政策；</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zh-CN" w:eastAsia="zh-CN" w:bidi="ar"/>
        </w:rPr>
        <w:t>残疾人福利性单位在参加政府采购活动时，应提供《残疾人福利性单位声明函》，视同小型、微型企业，享受小微企业政府采购优惠政策。</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val="en-US"/>
        </w:rPr>
        <w:t>4.</w:t>
      </w:r>
      <w:r>
        <w:rPr>
          <w:rFonts w:cs="宋体"/>
          <w:color w:val="auto"/>
          <w:kern w:val="2"/>
          <w:highlight w:val="none"/>
          <w:lang w:eastAsia="zh-CN"/>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zh-CN" w:eastAsia="zh-CN"/>
        </w:rPr>
      </w:pPr>
      <w:r>
        <w:rPr>
          <w:rFonts w:cs="宋体"/>
          <w:color w:val="auto"/>
          <w:kern w:val="2"/>
          <w:highlight w:val="none"/>
          <w:lang w:val="en-US"/>
        </w:rPr>
        <w:t>5.</w:t>
      </w:r>
      <w:r>
        <w:rPr>
          <w:rFonts w:cs="宋体"/>
          <w:color w:val="auto"/>
          <w:kern w:val="2"/>
          <w:highlight w:val="none"/>
          <w:lang w:eastAsia="zh-CN"/>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Next w:val="0"/>
        <w:keepLines w:val="0"/>
        <w:widowControl w:val="0"/>
        <w:suppressLineNumbers w:val="0"/>
        <w:autoSpaceDE w:val="0"/>
        <w:autoSpaceDN w:val="0"/>
        <w:adjustRightInd w:val="0"/>
        <w:spacing w:before="0" w:beforeAutospacing="0" w:after="0" w:afterAutospacing="0" w:line="312" w:lineRule="auto"/>
        <w:ind w:left="0" w:right="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（二）价格扣除相关要求：</w:t>
      </w:r>
    </w:p>
    <w:p>
      <w:pPr>
        <w:pStyle w:val="20"/>
        <w:widowControl/>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highlight w:val="none"/>
          <w:lang w:val="zh-CN" w:eastAsia="zh-CN"/>
        </w:rPr>
        <w:t>对于小型微型企业产品（</w:t>
      </w:r>
      <w:r>
        <w:rPr>
          <w:rFonts w:cs="宋体"/>
          <w:color w:val="auto"/>
          <w:highlight w:val="none"/>
          <w:lang w:eastAsia="zh-CN"/>
        </w:rPr>
        <w:t>服务</w:t>
      </w:r>
      <w:r>
        <w:rPr>
          <w:rFonts w:cs="宋体"/>
          <w:color w:val="auto"/>
          <w:highlight w:val="none"/>
          <w:lang w:val="zh-CN" w:eastAsia="zh-CN"/>
        </w:rPr>
        <w:t>）的价格给予</w:t>
      </w:r>
      <w:r>
        <w:rPr>
          <w:rFonts w:cs="宋体"/>
          <w:color w:val="auto"/>
          <w:highlight w:val="none"/>
          <w:lang w:val="en-US"/>
        </w:rPr>
        <w:t>10</w:t>
      </w:r>
      <w:r>
        <w:rPr>
          <w:rFonts w:cs="宋体"/>
          <w:color w:val="auto"/>
          <w:highlight w:val="none"/>
          <w:lang w:val="zh-CN" w:eastAsia="zh-CN"/>
        </w:rPr>
        <w:t>%的扣除，用扣除后的价格计算评标基准价和投标报价。同一投标人，小微企业、监狱企业、残疾人福利性单位价格扣除优惠只享受一次，不得重复享受。</w:t>
      </w:r>
    </w:p>
    <w:p>
      <w:pPr>
        <w:pStyle w:val="20"/>
        <w:keepNext w:val="0"/>
        <w:keepLines w:val="0"/>
        <w:widowControl w:val="0"/>
        <w:suppressLineNumbers w:val="0"/>
        <w:snapToGrid w:val="0"/>
        <w:spacing w:before="0" w:beforeAutospacing="0" w:after="0" w:afterAutospacing="0" w:line="312" w:lineRule="auto"/>
        <w:ind w:left="0" w:right="0" w:firstLine="482" w:firstLineChars="200"/>
        <w:jc w:val="both"/>
        <w:rPr>
          <w:b/>
          <w:bCs w:val="0"/>
          <w:color w:val="auto"/>
          <w:highlight w:val="none"/>
          <w:lang w:val="en-US"/>
        </w:rPr>
      </w:pPr>
      <w:r>
        <w:rPr>
          <w:rFonts w:cs="宋体"/>
          <w:b/>
          <w:bCs w:val="0"/>
          <w:color w:val="auto"/>
          <w:kern w:val="2"/>
          <w:highlight w:val="none"/>
          <w:lang w:eastAsia="zh-CN"/>
        </w:rPr>
        <w:t>八、评标程序</w:t>
      </w:r>
    </w:p>
    <w:p>
      <w:pPr>
        <w:keepNext w:val="0"/>
        <w:keepLines w:val="0"/>
        <w:widowControl w:val="0"/>
        <w:suppressLineNumbers w:val="0"/>
        <w:snapToGrid w:val="0"/>
        <w:spacing w:before="0" w:beforeAutospacing="0" w:after="0" w:afterAutospacing="0" w:line="312"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（一）资格性审查</w:t>
      </w:r>
    </w:p>
    <w:p>
      <w:pPr>
        <w:pStyle w:val="20"/>
        <w:keepNext w:val="0"/>
        <w:keepLines w:val="0"/>
        <w:widowControl w:val="0"/>
        <w:suppressLineNumbers w:val="0"/>
        <w:spacing w:before="0" w:beforeAutospacing="0" w:after="0" w:afterAutospacing="0" w:line="312" w:lineRule="auto"/>
        <w:ind w:left="0" w:right="0" w:firstLine="480" w:firstLineChars="200"/>
        <w:jc w:val="both"/>
        <w:rPr>
          <w:rFonts w:cs="宋体"/>
          <w:color w:val="auto"/>
          <w:highlight w:val="none"/>
          <w:lang w:val="en-US"/>
        </w:rPr>
      </w:pPr>
      <w:r>
        <w:rPr>
          <w:rFonts w:cs="宋体"/>
          <w:color w:val="auto"/>
          <w:kern w:val="2"/>
          <w:highlight w:val="none"/>
          <w:lang w:eastAsia="zh-CN"/>
        </w:rPr>
        <w:t>投标文件解密后，采购人或采购组织机构依法对投标人的资格进行审查，对审查发现无效的进行必要的询标，在政采云平台公布无效投标的投标人名单、投标无效的原因。</w:t>
      </w:r>
    </w:p>
    <w:tbl>
      <w:tblPr>
        <w:tblStyle w:val="25"/>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95"/>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具有独立承担民事责任的能力</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在中华人民共和国境内注册的法人或其他组织或自然人，投标时提交有效的营业执照（或事业法人登记证或身份证等相关证明）副本扫描件。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12"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有依法缴纳税收和社会保障资金的良好记录</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提供投标截止日前近三个月依法缴纳税收和社会保障资金的相关材料。如依法免税或不需要缴纳社会保障资金的，提供相应证明材料。</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1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具有良好的商业信誉和健全的财务会计制度</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提供上一年度财务状况报告或基本开户行出具的资信证明。</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1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履行合同所必需的设备和专业技术能力</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提供履行合同所必需的设备和专业技术能力的承诺函（根据项目性质提供或按投标文件格式填报设备及专业技术能力情况等）。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3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参加采购活动前3年内，在经营活动中没有重大违法记录</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891"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信用记录</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1.截止时点：开标后评标前。</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2.信用信息查询记录和证据留存的具体方式：由采购组织机构在规定查询时间内打印信用信息查询记录并归入项目档案。</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65"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必须符合法律、行政法规规定的其他条件</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1.单位负责人为同一人或者存在直接控股、管理关系的不同供应商，不得同时参加本项目投标。</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5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联合体投标</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2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资质</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bCs/>
                <w:snapToGrid w:val="0"/>
                <w:color w:val="auto"/>
                <w:kern w:val="10"/>
                <w:sz w:val="24"/>
                <w:szCs w:val="24"/>
                <w:highlight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2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落实政府采购政策需满足的资格要求</w:t>
            </w:r>
          </w:p>
        </w:tc>
        <w:tc>
          <w:tcPr>
            <w:tcW w:w="7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本项目不专门针对中小企业采购项目</w:t>
            </w:r>
          </w:p>
        </w:tc>
      </w:tr>
    </w:tbl>
    <w:p>
      <w:pPr>
        <w:pStyle w:val="20"/>
        <w:keepNext w:val="0"/>
        <w:keepLines w:val="0"/>
        <w:widowControl w:val="0"/>
        <w:suppressLineNumbers w:val="0"/>
        <w:spacing w:before="0" w:beforeAutospacing="0" w:after="0" w:afterAutospacing="0" w:line="360" w:lineRule="auto"/>
        <w:ind w:left="0" w:right="0" w:firstLine="482" w:firstLineChars="200"/>
        <w:jc w:val="both"/>
        <w:rPr>
          <w:rFonts w:cs="宋体"/>
          <w:b/>
          <w:bCs w:val="0"/>
          <w:color w:val="auto"/>
          <w:highlight w:val="none"/>
          <w:lang w:val="en-US"/>
        </w:rPr>
      </w:pPr>
      <w:r>
        <w:rPr>
          <w:rFonts w:cs="宋体"/>
          <w:b/>
          <w:bCs w:val="0"/>
          <w:color w:val="auto"/>
          <w:kern w:val="2"/>
          <w:highlight w:val="none"/>
          <w:lang w:eastAsia="zh-CN"/>
        </w:rPr>
        <w:t>（二）符合性审查</w:t>
      </w:r>
    </w:p>
    <w:p>
      <w:pPr>
        <w:pStyle w:val="20"/>
        <w:keepNext w:val="0"/>
        <w:keepLines w:val="0"/>
        <w:widowControl w:val="0"/>
        <w:suppressLineNumbers w:val="0"/>
        <w:spacing w:before="0" w:beforeAutospacing="0" w:after="0" w:afterAutospacing="0" w:line="360" w:lineRule="auto"/>
        <w:ind w:left="0" w:right="0" w:firstLine="480" w:firstLineChars="200"/>
        <w:jc w:val="both"/>
        <w:rPr>
          <w:rFonts w:cs="宋体"/>
          <w:color w:val="auto"/>
          <w:highlight w:val="none"/>
          <w:lang w:val="en-US"/>
        </w:rPr>
      </w:pPr>
      <w:r>
        <w:rPr>
          <w:rFonts w:cs="宋体"/>
          <w:color w:val="auto"/>
          <w:kern w:val="2"/>
          <w:highlight w:val="none"/>
          <w:lang w:eastAsia="zh-CN"/>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70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36"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146"/>
              <w:jc w:val="both"/>
              <w:rPr>
                <w:color w:val="auto"/>
                <w:highlight w:val="none"/>
                <w:lang w:val="en-US"/>
              </w:rPr>
            </w:pPr>
            <w:r>
              <w:rPr>
                <w:rFonts w:cs="宋体"/>
                <w:color w:val="auto"/>
                <w:kern w:val="2"/>
                <w:highlight w:val="none"/>
              </w:rPr>
              <w:t>投标文件</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48" w:beforeAutospacing="0" w:after="0" w:afterAutospacing="0"/>
              <w:ind w:left="0" w:right="0"/>
              <w:jc w:val="both"/>
              <w:rPr>
                <w:color w:val="auto"/>
                <w:highlight w:val="none"/>
                <w:lang w:val="en-US"/>
              </w:rPr>
            </w:pPr>
            <w:r>
              <w:rPr>
                <w:rFonts w:cs="宋体"/>
                <w:color w:val="auto"/>
                <w:kern w:val="2"/>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01"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146"/>
              <w:jc w:val="both"/>
              <w:rPr>
                <w:color w:val="auto"/>
                <w:highlight w:val="none"/>
                <w:lang w:val="en-US"/>
              </w:rPr>
            </w:pPr>
            <w:r>
              <w:rPr>
                <w:rFonts w:cs="宋体"/>
                <w:color w:val="auto"/>
                <w:kern w:val="2"/>
                <w:highlight w:val="none"/>
              </w:rPr>
              <w:t>法定代表人</w:t>
            </w:r>
            <w:r>
              <w:rPr>
                <w:rFonts w:cs="宋体"/>
                <w:color w:val="auto"/>
                <w:kern w:val="2"/>
                <w:highlight w:val="none"/>
                <w:lang w:val="en-US"/>
              </w:rPr>
              <w:t>/</w:t>
            </w:r>
            <w:r>
              <w:rPr>
                <w:rFonts w:cs="宋体"/>
                <w:color w:val="auto"/>
                <w:kern w:val="2"/>
                <w:highlight w:val="none"/>
              </w:rPr>
              <w:t>负责人资格证明书及授权委托书</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48" w:beforeAutospacing="0" w:after="0" w:afterAutospacing="0"/>
              <w:ind w:left="0" w:right="0"/>
              <w:jc w:val="both"/>
              <w:rPr>
                <w:color w:val="auto"/>
                <w:highlight w:val="none"/>
                <w:lang w:val="en-US"/>
              </w:rPr>
            </w:pPr>
            <w:r>
              <w:rPr>
                <w:rFonts w:cs="宋体"/>
                <w:color w:val="auto"/>
                <w:kern w:val="2"/>
                <w:highlight w:val="none"/>
              </w:rPr>
              <w:t>法定代表人</w:t>
            </w:r>
            <w:r>
              <w:rPr>
                <w:rFonts w:cs="宋体"/>
                <w:color w:val="auto"/>
                <w:kern w:val="2"/>
                <w:highlight w:val="none"/>
                <w:lang w:val="en-US"/>
              </w:rPr>
              <w:t>/</w:t>
            </w:r>
            <w:r>
              <w:rPr>
                <w:rFonts w:cs="宋体"/>
                <w:color w:val="auto"/>
                <w:kern w:val="2"/>
                <w:highlight w:val="none"/>
              </w:rPr>
              <w:t>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5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146"/>
              <w:jc w:val="both"/>
              <w:rPr>
                <w:color w:val="auto"/>
                <w:highlight w:val="none"/>
                <w:lang w:val="en-US"/>
              </w:rPr>
            </w:pPr>
            <w:r>
              <w:rPr>
                <w:rFonts w:cs="宋体"/>
                <w:color w:val="auto"/>
                <w:kern w:val="2"/>
                <w:highlight w:val="none"/>
              </w:rPr>
              <w:t>“▲”实质性条款</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48" w:beforeAutospacing="0" w:after="0" w:afterAutospacing="0"/>
              <w:ind w:left="0" w:right="0"/>
              <w:jc w:val="both"/>
              <w:rPr>
                <w:color w:val="auto"/>
                <w:highlight w:val="none"/>
                <w:lang w:val="en-US"/>
              </w:rPr>
            </w:pPr>
            <w:r>
              <w:rPr>
                <w:rFonts w:cs="宋体"/>
                <w:color w:val="auto"/>
                <w:kern w:val="2"/>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5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146"/>
              <w:jc w:val="both"/>
              <w:rPr>
                <w:color w:val="auto"/>
                <w:highlight w:val="none"/>
                <w:lang w:val="en-US"/>
              </w:rPr>
            </w:pPr>
            <w:r>
              <w:rPr>
                <w:rFonts w:cs="宋体"/>
                <w:color w:val="auto"/>
                <w:kern w:val="2"/>
                <w:highlight w:val="none"/>
              </w:rPr>
              <w:t>串通投标</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48" w:beforeAutospacing="0" w:after="0" w:afterAutospacing="0"/>
              <w:ind w:left="0" w:right="0"/>
              <w:jc w:val="both"/>
              <w:rPr>
                <w:color w:val="auto"/>
                <w:highlight w:val="none"/>
                <w:lang w:val="en-US"/>
              </w:rPr>
            </w:pPr>
            <w:r>
              <w:rPr>
                <w:rFonts w:cs="宋体"/>
                <w:color w:val="auto"/>
                <w:kern w:val="2"/>
                <w:highlight w:val="none"/>
              </w:rPr>
              <w:t>未出现财政部</w:t>
            </w:r>
            <w:r>
              <w:rPr>
                <w:rFonts w:cs="宋体"/>
                <w:color w:val="auto"/>
                <w:kern w:val="2"/>
                <w:highlight w:val="none"/>
                <w:lang w:val="en-US"/>
              </w:rPr>
              <w:t>87</w:t>
            </w:r>
            <w:r>
              <w:rPr>
                <w:rFonts w:cs="宋体"/>
                <w:color w:val="auto"/>
                <w:kern w:val="2"/>
                <w:highlight w:val="none"/>
              </w:rPr>
              <w:t>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5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146"/>
              <w:jc w:val="both"/>
              <w:rPr>
                <w:color w:val="auto"/>
                <w:highlight w:val="none"/>
                <w:lang w:val="en-US"/>
              </w:rPr>
            </w:pPr>
            <w:r>
              <w:rPr>
                <w:rFonts w:cs="宋体"/>
                <w:color w:val="auto"/>
                <w:kern w:val="2"/>
                <w:highlight w:val="none"/>
              </w:rPr>
              <w:t>附加条件</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48" w:beforeAutospacing="0" w:after="0" w:afterAutospacing="0"/>
              <w:ind w:left="0" w:right="0"/>
              <w:jc w:val="both"/>
              <w:rPr>
                <w:color w:val="auto"/>
                <w:highlight w:val="none"/>
                <w:lang w:val="en-US"/>
              </w:rPr>
            </w:pPr>
            <w:r>
              <w:rPr>
                <w:rFonts w:cs="宋体"/>
                <w:color w:val="auto"/>
                <w:kern w:val="2"/>
                <w:highlight w:val="none"/>
              </w:rPr>
              <w:t>投标文件未含有采购人不可接受的附加条件。</w:t>
            </w:r>
          </w:p>
        </w:tc>
      </w:tr>
    </w:tbl>
    <w:p>
      <w:pPr>
        <w:pStyle w:val="20"/>
        <w:widowControl/>
        <w:spacing w:before="0" w:beforeAutospacing="0" w:after="0" w:afterAutospacing="0" w:line="360" w:lineRule="auto"/>
        <w:ind w:left="0" w:right="0" w:firstLine="482" w:firstLineChars="200"/>
        <w:jc w:val="both"/>
        <w:rPr>
          <w:rFonts w:cs="宋体"/>
          <w:b/>
          <w:bCs w:val="0"/>
          <w:color w:val="auto"/>
          <w:highlight w:val="none"/>
          <w:lang w:val="en-US"/>
        </w:rPr>
      </w:pPr>
      <w:r>
        <w:rPr>
          <w:rFonts w:cs="宋体"/>
          <w:b/>
          <w:bCs w:val="0"/>
          <w:color w:val="auto"/>
          <w:highlight w:val="none"/>
          <w:lang w:eastAsia="zh-CN"/>
        </w:rPr>
        <w:t>（三）商务技术及价格评审</w:t>
      </w:r>
    </w:p>
    <w:p>
      <w:pPr>
        <w:keepNext w:val="0"/>
        <w:keepLines w:val="0"/>
        <w:widowControl w:val="0"/>
        <w:suppressLineNumbers w:val="0"/>
        <w:autoSpaceDE w:val="0"/>
        <w:autoSpaceDN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本项目评标方法为综合评分法，总计100分，评标按以下标准及要求进行：</w:t>
      </w:r>
    </w:p>
    <w:p>
      <w:pPr>
        <w:keepNext w:val="0"/>
        <w:keepLines w:val="0"/>
        <w:widowControl w:val="0"/>
        <w:numPr>
          <w:ilvl w:val="0"/>
          <w:numId w:val="11"/>
        </w:numPr>
        <w:suppressLineNumbers w:val="0"/>
        <w:autoSpaceDE w:val="0"/>
        <w:autoSpaceDN w:val="0"/>
        <w:adjustRightInd w:val="0"/>
        <w:spacing w:before="0" w:beforeAutospacing="0" w:after="0" w:afterAutospacing="0" w:line="360" w:lineRule="auto"/>
        <w:ind w:left="0" w:right="85" w:firstLine="482" w:firstLineChars="200"/>
        <w:jc w:val="both"/>
        <w:rPr>
          <w:rFonts w:hint="eastAsia" w:ascii="宋体" w:hAnsi="Times New Roman" w:eastAsia="宋体" w:cs="宋体"/>
          <w:b/>
          <w:bCs w:val="0"/>
          <w:color w:val="auto"/>
          <w:sz w:val="24"/>
          <w:szCs w:val="24"/>
          <w:highlight w:val="none"/>
          <w:lang w:val="en-US"/>
        </w:rPr>
      </w:pPr>
      <w:r>
        <w:rPr>
          <w:rFonts w:hint="eastAsia" w:ascii="宋体" w:hAnsi="Times New Roman" w:eastAsia="宋体" w:cs="宋体"/>
          <w:b/>
          <w:bCs w:val="0"/>
          <w:color w:val="auto"/>
          <w:kern w:val="2"/>
          <w:sz w:val="24"/>
          <w:szCs w:val="24"/>
          <w:highlight w:val="none"/>
          <w:lang w:val="en-US" w:eastAsia="zh-CN" w:bidi="ar"/>
        </w:rPr>
        <w:t>评分标准</w:t>
      </w:r>
    </w:p>
    <w:tbl>
      <w:tblPr>
        <w:tblStyle w:val="25"/>
        <w:tblW w:w="8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1188"/>
        <w:gridCol w:w="5144"/>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bCs w:val="0"/>
                <w:color w:val="auto"/>
                <w:sz w:val="24"/>
                <w:szCs w:val="24"/>
                <w:highlight w:val="none"/>
                <w:lang w:val="en-US" w:bidi="ar"/>
              </w:rPr>
            </w:pPr>
            <w:r>
              <w:rPr>
                <w:rFonts w:hint="eastAsia" w:ascii="宋体" w:hAnsi="宋体" w:eastAsia="宋体" w:cs="宋体"/>
                <w:b/>
                <w:bCs w:val="0"/>
                <w:color w:val="auto"/>
                <w:kern w:val="2"/>
                <w:sz w:val="24"/>
                <w:szCs w:val="24"/>
                <w:highlight w:val="none"/>
                <w:lang w:val="en-US" w:eastAsia="zh-CN" w:bidi="ar"/>
              </w:rPr>
              <w:t>评分项目</w:t>
            </w: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评分细则</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技术实力性能</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（66分）</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项目理解分析（7分）</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en-US"/>
              </w:rPr>
            </w:pPr>
            <w:r>
              <w:rPr>
                <w:rFonts w:hint="eastAsia" w:ascii="宋体" w:hAnsi="宋体" w:eastAsia="宋体" w:cs="宋体"/>
                <w:color w:val="auto"/>
                <w:kern w:val="2"/>
                <w:sz w:val="21"/>
                <w:szCs w:val="21"/>
                <w:highlight w:val="none"/>
                <w:lang w:val="en-US" w:eastAsia="zh-CN" w:bidi="ar"/>
              </w:rPr>
              <w:t>1.根据投标人提出的结合本项目背景和项目实际情况</w:t>
            </w:r>
            <w:r>
              <w:rPr>
                <w:rFonts w:hint="eastAsia" w:ascii="宋体" w:hAnsi="宋体" w:eastAsia="宋体" w:cs="宋体"/>
                <w:snapToGrid w:val="0"/>
                <w:color w:val="auto"/>
                <w:kern w:val="2"/>
                <w:sz w:val="21"/>
                <w:szCs w:val="21"/>
                <w:highlight w:val="none"/>
                <w:lang w:val="en-US" w:eastAsia="zh-CN" w:bidi="ar"/>
              </w:rPr>
              <w:t>针对</w:t>
            </w:r>
            <w:r>
              <w:rPr>
                <w:rFonts w:hint="eastAsia" w:ascii="宋体" w:hAnsi="宋体" w:eastAsia="宋体" w:cs="宋体"/>
                <w:snapToGrid w:val="0"/>
                <w:color w:val="auto"/>
                <w:kern w:val="2"/>
                <w:sz w:val="21"/>
                <w:szCs w:val="21"/>
                <w:highlight w:val="none"/>
                <w:lang w:val="zh-CN" w:eastAsia="zh-CN" w:bidi="ar"/>
              </w:rPr>
              <w:t>本项目的理解分析</w:t>
            </w:r>
            <w:r>
              <w:rPr>
                <w:rFonts w:hint="eastAsia" w:ascii="宋体" w:hAnsi="宋体" w:eastAsia="宋体" w:cs="宋体"/>
                <w:snapToGrid w:val="0"/>
                <w:color w:val="auto"/>
                <w:kern w:val="2"/>
                <w:sz w:val="21"/>
                <w:szCs w:val="21"/>
                <w:highlight w:val="none"/>
                <w:lang w:val="en-US" w:eastAsia="zh-CN" w:bidi="ar"/>
              </w:rPr>
              <w:t>情况进行评分。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bCs/>
                <w:color w:val="auto"/>
                <w:kern w:val="2"/>
                <w:sz w:val="21"/>
                <w:szCs w:val="21"/>
                <w:highlight w:val="none"/>
                <w:lang w:val="en-US" w:eastAsia="zh-CN" w:bidi="ar"/>
              </w:rPr>
              <w:t>理解分析精准到位、</w:t>
            </w:r>
            <w:r>
              <w:rPr>
                <w:rFonts w:hint="eastAsia" w:ascii="宋体" w:hAnsi="宋体" w:eastAsia="宋体" w:cs="宋体"/>
                <w:color w:val="auto"/>
                <w:kern w:val="2"/>
                <w:sz w:val="21"/>
                <w:szCs w:val="24"/>
                <w:highlight w:val="none"/>
                <w:lang w:val="en-US" w:eastAsia="zh-CN" w:bidi="ar"/>
              </w:rPr>
              <w:t>思路明确、针对性强、内容完整全面的得7.0-5.1分；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思路较为明确、具有针对性、需求分析合理、内容详尽的得5.0-3.1分；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bidi="ar"/>
              </w:rPr>
            </w:pPr>
            <w:r>
              <w:rPr>
                <w:rFonts w:hint="eastAsia" w:ascii="宋体" w:hAnsi="宋体" w:eastAsia="宋体" w:cs="宋体"/>
                <w:color w:val="auto"/>
                <w:kern w:val="2"/>
                <w:sz w:val="21"/>
                <w:szCs w:val="24"/>
                <w:highlight w:val="none"/>
                <w:lang w:val="en-US" w:eastAsia="zh-CN" w:bidi="ar"/>
              </w:rPr>
              <w:t>思路模糊、针对性弱、内容简单的得3.0-1.1分；</w:t>
            </w:r>
          </w:p>
          <w:p>
            <w:pPr>
              <w:pStyle w:val="20"/>
              <w:keepNext w:val="0"/>
              <w:keepLines w:val="0"/>
              <w:widowControl w:val="0"/>
              <w:suppressLineNumbers w:val="0"/>
              <w:spacing w:before="0" w:beforeAutospacing="0" w:after="120" w:afterAutospacing="0"/>
              <w:ind w:left="0" w:right="0" w:firstLine="0" w:firstLineChars="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内容简略仅有提及的得1.0-0.1分；</w:t>
            </w:r>
          </w:p>
          <w:p>
            <w:pPr>
              <w:keepNext w:val="0"/>
              <w:keepLines w:val="0"/>
              <w:widowControl w:val="0"/>
              <w:suppressLineNumbers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color w:val="auto"/>
                <w:kern w:val="2"/>
                <w:sz w:val="21"/>
                <w:szCs w:val="24"/>
                <w:highlight w:val="none"/>
                <w:lang w:val="en-US" w:eastAsia="zh-CN" w:bidi="ar"/>
              </w:rPr>
              <w:t>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项目技术方案（24分）</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2.根据投标人结合项目实际提出完成2023年度（或最新）测绘成果数据/自然资源数据入库的方案情况（科学性、合理性、可操作性以及对相关技术标准及要求的符合性）进行评分：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针对本项目提出的方案内容科学合理</w:t>
            </w:r>
            <w:r>
              <w:rPr>
                <w:rFonts w:hint="eastAsia" w:ascii="宋体" w:hAnsi="宋体" w:eastAsia="宋体" w:cs="宋体"/>
                <w:color w:val="auto"/>
                <w:kern w:val="2"/>
                <w:sz w:val="21"/>
                <w:szCs w:val="24"/>
                <w:highlight w:val="none"/>
                <w:lang w:val="en-US" w:eastAsia="zh-CN" w:bidi="ar"/>
              </w:rPr>
              <w:t>完整全面</w:t>
            </w:r>
            <w:r>
              <w:rPr>
                <w:rFonts w:hint="eastAsia" w:ascii="宋体" w:hAnsi="宋体" w:eastAsia="宋体" w:cs="宋体"/>
                <w:color w:val="auto"/>
                <w:kern w:val="2"/>
                <w:sz w:val="21"/>
                <w:szCs w:val="21"/>
                <w:highlight w:val="none"/>
                <w:lang w:val="en-US" w:eastAsia="zh-CN" w:bidi="ar"/>
              </w:rPr>
              <w:t>、方法措施切实可行可操作性强、与相关技术标准及要求相符合</w:t>
            </w:r>
            <w:r>
              <w:rPr>
                <w:rFonts w:hint="eastAsia" w:ascii="宋体" w:hAnsi="宋体" w:eastAsia="宋体" w:cs="宋体"/>
                <w:color w:val="auto"/>
                <w:kern w:val="2"/>
                <w:sz w:val="21"/>
                <w:szCs w:val="24"/>
                <w:highlight w:val="none"/>
                <w:lang w:val="en-US" w:eastAsia="zh-CN" w:bidi="ar"/>
              </w:rPr>
              <w:t>的得8.0-6.1分；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方案内容较科学合理、可操作性较强、与相关技术标准及要求相符合、内容详尽的得6.0-4.1分；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方案对本项目的针对性、科学合理性、实施操作性等方面内容简单的得4.0-2.1分；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内容简略仅有提及的得2.0-0.1分；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25"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根据投标人结合项目实际提出数据入库后导出的测绘成果元数据更新至“地信智服”成果服务子场景并实现元数据核对与处理的方案情况（科学性、合理性、可操作性以及对相关技术标准及要求的符合性）进行评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针对本项目提出的方案内容科学合理</w:t>
            </w:r>
            <w:r>
              <w:rPr>
                <w:rFonts w:hint="eastAsia" w:ascii="宋体" w:hAnsi="宋体" w:eastAsia="宋体" w:cs="宋体"/>
                <w:color w:val="auto"/>
                <w:kern w:val="2"/>
                <w:sz w:val="21"/>
                <w:szCs w:val="24"/>
                <w:highlight w:val="none"/>
                <w:lang w:val="en-US" w:eastAsia="zh-CN" w:bidi="ar"/>
              </w:rPr>
              <w:t>完整全面</w:t>
            </w:r>
            <w:r>
              <w:rPr>
                <w:rFonts w:hint="eastAsia" w:ascii="宋体" w:hAnsi="宋体" w:eastAsia="宋体" w:cs="宋体"/>
                <w:color w:val="auto"/>
                <w:kern w:val="2"/>
                <w:sz w:val="21"/>
                <w:szCs w:val="21"/>
                <w:highlight w:val="none"/>
                <w:lang w:val="en-US" w:eastAsia="zh-CN" w:bidi="ar"/>
              </w:rPr>
              <w:t>、方法措施切实可行可操作性强、与相关技术标准及要求相符合</w:t>
            </w:r>
            <w:r>
              <w:rPr>
                <w:rFonts w:hint="eastAsia" w:ascii="宋体" w:hAnsi="宋体" w:eastAsia="宋体" w:cs="宋体"/>
                <w:color w:val="auto"/>
                <w:kern w:val="2"/>
                <w:sz w:val="21"/>
                <w:szCs w:val="24"/>
                <w:highlight w:val="none"/>
                <w:lang w:val="en-US" w:eastAsia="zh-CN" w:bidi="ar"/>
              </w:rPr>
              <w:t>的得8.0-6.1分；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方案内容较科学合理、可操作性较强、与相关技术标准及要求相符合、内容详尽的得6.0-4.1分；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方案对本项目的针对性、科学合理性、实施操作性等方面内容简单的得4.0-2.1分；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内容简略仅有提及的得2.0-0.1分；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4.根据投标人结合项目实际提出在成果分发时支持对数字水印与安控软件自动调用的方案情况（科学性、合理性、可操作性以及对相关技术标准及要求的符合性）进行评分：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针对本项目提出的方案内容科学合理</w:t>
            </w:r>
            <w:r>
              <w:rPr>
                <w:rFonts w:hint="eastAsia" w:ascii="宋体" w:hAnsi="宋体" w:eastAsia="宋体" w:cs="宋体"/>
                <w:color w:val="auto"/>
                <w:kern w:val="2"/>
                <w:sz w:val="21"/>
                <w:szCs w:val="24"/>
                <w:highlight w:val="none"/>
                <w:lang w:val="en-US" w:eastAsia="zh-CN" w:bidi="ar"/>
              </w:rPr>
              <w:t>完整全面</w:t>
            </w:r>
            <w:r>
              <w:rPr>
                <w:rFonts w:hint="eastAsia" w:ascii="宋体" w:hAnsi="宋体" w:eastAsia="宋体" w:cs="宋体"/>
                <w:color w:val="auto"/>
                <w:kern w:val="2"/>
                <w:sz w:val="21"/>
                <w:szCs w:val="21"/>
                <w:highlight w:val="none"/>
                <w:lang w:val="en-US" w:eastAsia="zh-CN" w:bidi="ar"/>
              </w:rPr>
              <w:t>、方法措施切实可行可操作性强、与相关技术标准及要求相符合</w:t>
            </w:r>
            <w:r>
              <w:rPr>
                <w:rFonts w:hint="eastAsia" w:ascii="宋体" w:hAnsi="宋体" w:eastAsia="宋体" w:cs="宋体"/>
                <w:color w:val="auto"/>
                <w:kern w:val="2"/>
                <w:sz w:val="21"/>
                <w:szCs w:val="24"/>
                <w:highlight w:val="none"/>
                <w:lang w:val="en-US" w:eastAsia="zh-CN" w:bidi="ar"/>
              </w:rPr>
              <w:t>的得8.0-6.1分；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方案内容较科学合理、可操作性较强、与相关技术标准及要求相符合、内容详尽的得6.0-4.1分；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方案对本项目的针对性、科学合理性、实施操作性等方面内容简单的得4.0-2.1分；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内容简略仅有提及的得2.0-0.1分；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
              </w:rPr>
              <w:t>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重难点分析及</w:t>
            </w:r>
            <w:r>
              <w:rPr>
                <w:rFonts w:hint="eastAsia" w:ascii="宋体" w:hAnsi="宋体" w:eastAsia="宋体" w:cs="宋体"/>
                <w:snapToGrid w:val="0"/>
                <w:color w:val="auto"/>
                <w:kern w:val="2"/>
                <w:sz w:val="21"/>
                <w:szCs w:val="21"/>
                <w:highlight w:val="none"/>
                <w:lang w:val="en-US" w:eastAsia="zh-CN" w:bidi="ar"/>
              </w:rPr>
              <w:t>应对措施（</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snapToGrid w:val="0"/>
                <w:color w:val="auto"/>
                <w:kern w:val="2"/>
                <w:sz w:val="21"/>
                <w:szCs w:val="21"/>
                <w:highlight w:val="none"/>
                <w:lang w:val="en-US" w:eastAsia="zh-CN" w:bidi="ar"/>
              </w:rPr>
              <w:t>分）</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color w:val="auto"/>
                <w:kern w:val="2"/>
                <w:sz w:val="21"/>
                <w:szCs w:val="21"/>
                <w:highlight w:val="none"/>
                <w:lang w:val="en-US" w:eastAsia="zh-CN" w:bidi="ar"/>
              </w:rPr>
              <w:t>5.根据投标人针对本项目提出的</w:t>
            </w:r>
            <w:r>
              <w:rPr>
                <w:rFonts w:hint="eastAsia" w:ascii="宋体" w:hAnsi="宋体" w:eastAsia="宋体" w:cs="宋体"/>
                <w:snapToGrid w:val="0"/>
                <w:color w:val="auto"/>
                <w:kern w:val="2"/>
                <w:sz w:val="21"/>
                <w:szCs w:val="21"/>
                <w:highlight w:val="none"/>
                <w:lang w:val="zh-CN" w:eastAsia="zh-CN" w:bidi="ar"/>
              </w:rPr>
              <w:t>重难点工作的分析、应对举措进行</w:t>
            </w:r>
            <w:r>
              <w:rPr>
                <w:rFonts w:hint="eastAsia" w:ascii="宋体" w:hAnsi="宋体" w:eastAsia="宋体" w:cs="宋体"/>
                <w:snapToGrid w:val="0"/>
                <w:color w:val="auto"/>
                <w:kern w:val="2"/>
                <w:sz w:val="21"/>
                <w:szCs w:val="21"/>
                <w:highlight w:val="none"/>
                <w:lang w:val="en-US" w:eastAsia="zh-CN" w:bidi="ar"/>
              </w:rPr>
              <w:t>评分</w:t>
            </w:r>
            <w:r>
              <w:rPr>
                <w:rFonts w:hint="eastAsia" w:ascii="宋体" w:hAnsi="宋体" w:eastAsia="宋体" w:cs="宋体"/>
                <w:snapToGrid w:val="0"/>
                <w:color w:val="auto"/>
                <w:kern w:val="2"/>
                <w:sz w:val="21"/>
                <w:szCs w:val="21"/>
                <w:highlight w:val="none"/>
                <w:lang w:val="zh-CN"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color w:val="auto"/>
                <w:kern w:val="2"/>
                <w:sz w:val="21"/>
                <w:szCs w:val="21"/>
                <w:highlight w:val="none"/>
                <w:lang w:val="en-US" w:eastAsia="zh-CN" w:bidi="ar"/>
              </w:rPr>
              <w:t>对本项目重点、难点的把握准确，且针对该重点难点提出的解决措施切实可行的，内容完整全面得5.0-3.1分；内容基本可行，针对性较强的得3.0-2.1分；内容简单的得2.0-1.1分；内容简略仅有提及的得1.0-0.1分，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技术培训（3分）</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kern w:val="2"/>
                <w:sz w:val="21"/>
                <w:szCs w:val="21"/>
                <w:highlight w:val="none"/>
                <w:lang w:val="en-US" w:eastAsia="zh-CN" w:bidi="ar"/>
              </w:rPr>
              <w:t>6.</w:t>
            </w:r>
            <w:r>
              <w:rPr>
                <w:rFonts w:hint="eastAsia" w:ascii="宋体" w:hAnsi="宋体" w:eastAsia="宋体" w:cs="宋体"/>
                <w:snapToGrid w:val="0"/>
                <w:color w:val="auto"/>
                <w:kern w:val="2"/>
                <w:sz w:val="21"/>
                <w:szCs w:val="21"/>
                <w:highlight w:val="none"/>
                <w:lang w:val="zh-CN" w:eastAsia="zh-CN" w:bidi="ar"/>
              </w:rPr>
              <w:t>根据投标人</w:t>
            </w:r>
            <w:r>
              <w:rPr>
                <w:rFonts w:hint="eastAsia" w:ascii="宋体" w:hAnsi="宋体" w:eastAsia="宋体" w:cs="宋体"/>
                <w:snapToGrid w:val="0"/>
                <w:color w:val="auto"/>
                <w:kern w:val="2"/>
                <w:sz w:val="21"/>
                <w:szCs w:val="21"/>
                <w:highlight w:val="none"/>
                <w:lang w:val="en-US" w:eastAsia="zh-CN" w:bidi="ar"/>
              </w:rPr>
              <w:t>针对</w:t>
            </w:r>
            <w:r>
              <w:rPr>
                <w:rFonts w:hint="eastAsia" w:ascii="宋体" w:hAnsi="宋体" w:eastAsia="宋体" w:cs="宋体"/>
                <w:snapToGrid w:val="0"/>
                <w:color w:val="auto"/>
                <w:kern w:val="2"/>
                <w:sz w:val="21"/>
                <w:szCs w:val="21"/>
                <w:highlight w:val="none"/>
                <w:lang w:val="zh-CN" w:eastAsia="zh-CN" w:bidi="ar"/>
              </w:rPr>
              <w:t>本项目</w:t>
            </w:r>
            <w:r>
              <w:rPr>
                <w:rFonts w:hint="eastAsia" w:ascii="宋体" w:hAnsi="宋体" w:eastAsia="宋体" w:cs="宋体"/>
                <w:snapToGrid w:val="0"/>
                <w:color w:val="auto"/>
                <w:kern w:val="2"/>
                <w:sz w:val="21"/>
                <w:szCs w:val="21"/>
                <w:highlight w:val="none"/>
                <w:lang w:val="en-US" w:eastAsia="zh-CN" w:bidi="ar"/>
              </w:rPr>
              <w:t>提供的</w:t>
            </w:r>
            <w:r>
              <w:rPr>
                <w:rFonts w:hint="eastAsia" w:ascii="宋体" w:hAnsi="宋体" w:eastAsia="宋体" w:cs="宋体"/>
                <w:snapToGrid w:val="0"/>
                <w:color w:val="auto"/>
                <w:kern w:val="2"/>
                <w:sz w:val="21"/>
                <w:szCs w:val="21"/>
                <w:highlight w:val="none"/>
                <w:lang w:val="zh-CN" w:eastAsia="zh-CN" w:bidi="ar"/>
              </w:rPr>
              <w:t>技术培训方案进行评分。</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kern w:val="2"/>
                <w:sz w:val="21"/>
                <w:szCs w:val="21"/>
                <w:highlight w:val="none"/>
                <w:lang w:val="en-US" w:eastAsia="zh-CN" w:bidi="ar"/>
              </w:rPr>
              <w:t>培训</w:t>
            </w:r>
            <w:r>
              <w:rPr>
                <w:rFonts w:hint="eastAsia" w:ascii="宋体" w:hAnsi="宋体" w:eastAsia="宋体" w:cs="宋体"/>
                <w:snapToGrid w:val="0"/>
                <w:color w:val="auto"/>
                <w:kern w:val="2"/>
                <w:sz w:val="21"/>
                <w:szCs w:val="21"/>
                <w:highlight w:val="none"/>
                <w:lang w:val="zh-CN" w:eastAsia="zh-CN" w:bidi="ar"/>
              </w:rPr>
              <w:t>方案的完整清晰</w:t>
            </w:r>
            <w:r>
              <w:rPr>
                <w:rFonts w:hint="eastAsia" w:ascii="宋体" w:hAnsi="宋体" w:eastAsia="宋体" w:cs="宋体"/>
                <w:snapToGrid w:val="0"/>
                <w:color w:val="auto"/>
                <w:kern w:val="2"/>
                <w:sz w:val="21"/>
                <w:szCs w:val="21"/>
                <w:highlight w:val="none"/>
                <w:lang w:val="en-US" w:eastAsia="zh-CN" w:bidi="ar"/>
              </w:rPr>
              <w:t>有条理，针对本项目具有</w:t>
            </w:r>
            <w:r>
              <w:rPr>
                <w:rFonts w:hint="eastAsia" w:ascii="宋体" w:hAnsi="宋体" w:eastAsia="宋体" w:cs="宋体"/>
                <w:snapToGrid w:val="0"/>
                <w:color w:val="auto"/>
                <w:kern w:val="2"/>
                <w:sz w:val="21"/>
                <w:szCs w:val="21"/>
                <w:highlight w:val="none"/>
                <w:lang w:val="zh-CN" w:eastAsia="zh-CN" w:bidi="ar"/>
              </w:rPr>
              <w:t>可行性，培训组织实施科学合理，</w:t>
            </w:r>
            <w:r>
              <w:rPr>
                <w:rFonts w:hint="eastAsia" w:ascii="宋体" w:hAnsi="宋体" w:eastAsia="宋体" w:cs="宋体"/>
                <w:snapToGrid w:val="0"/>
                <w:color w:val="auto"/>
                <w:kern w:val="2"/>
                <w:sz w:val="21"/>
                <w:szCs w:val="21"/>
                <w:highlight w:val="none"/>
                <w:lang w:val="en-US" w:eastAsia="zh-CN" w:bidi="ar"/>
              </w:rPr>
              <w:t>内容完整全面的</w:t>
            </w:r>
            <w:r>
              <w:rPr>
                <w:rFonts w:hint="eastAsia" w:ascii="宋体" w:hAnsi="宋体" w:eastAsia="宋体" w:cs="宋体"/>
                <w:snapToGrid w:val="0"/>
                <w:color w:val="auto"/>
                <w:kern w:val="2"/>
                <w:sz w:val="21"/>
                <w:szCs w:val="21"/>
                <w:highlight w:val="none"/>
                <w:lang w:val="zh-CN" w:eastAsia="zh-CN" w:bidi="ar"/>
              </w:rPr>
              <w:t>得</w:t>
            </w:r>
            <w:r>
              <w:rPr>
                <w:rFonts w:hint="eastAsia" w:ascii="宋体" w:hAnsi="宋体" w:eastAsia="宋体" w:cs="宋体"/>
                <w:snapToGrid w:val="0"/>
                <w:color w:val="auto"/>
                <w:kern w:val="2"/>
                <w:sz w:val="21"/>
                <w:szCs w:val="21"/>
                <w:highlight w:val="none"/>
                <w:lang w:val="en-US" w:eastAsia="zh-CN" w:bidi="ar"/>
              </w:rPr>
              <w:t>3.0-2.1</w:t>
            </w:r>
            <w:r>
              <w:rPr>
                <w:rFonts w:hint="eastAsia" w:ascii="宋体" w:hAnsi="宋体" w:eastAsia="宋体" w:cs="宋体"/>
                <w:snapToGrid w:val="0"/>
                <w:color w:val="auto"/>
                <w:kern w:val="2"/>
                <w:sz w:val="21"/>
                <w:szCs w:val="21"/>
                <w:highlight w:val="none"/>
                <w:lang w:val="zh-CN" w:eastAsia="zh-CN" w:bidi="ar"/>
              </w:rPr>
              <w:t>分；</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color w:val="auto"/>
                <w:kern w:val="2"/>
                <w:sz w:val="21"/>
                <w:szCs w:val="21"/>
                <w:highlight w:val="none"/>
                <w:lang w:val="en-US" w:eastAsia="zh-CN" w:bidi="ar"/>
              </w:rPr>
              <w:t>方案内容简单的得2.0-1.1分；内容简略仅有提及的得1.0-0.1分；未提供的不得分。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进度保障（4分）</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kern w:val="2"/>
                <w:sz w:val="21"/>
                <w:szCs w:val="21"/>
                <w:highlight w:val="none"/>
                <w:lang w:val="en-US" w:eastAsia="zh-CN" w:bidi="ar"/>
              </w:rPr>
              <w:t>7.</w:t>
            </w:r>
            <w:r>
              <w:rPr>
                <w:rFonts w:hint="eastAsia" w:ascii="宋体" w:hAnsi="宋体" w:eastAsia="宋体" w:cs="宋体"/>
                <w:snapToGrid w:val="0"/>
                <w:color w:val="auto"/>
                <w:kern w:val="2"/>
                <w:sz w:val="21"/>
                <w:szCs w:val="21"/>
                <w:highlight w:val="none"/>
                <w:lang w:val="zh-CN" w:eastAsia="zh-CN" w:bidi="ar"/>
              </w:rPr>
              <w:t>根据投标人</w:t>
            </w:r>
            <w:r>
              <w:rPr>
                <w:rFonts w:hint="eastAsia" w:ascii="宋体" w:hAnsi="宋体" w:eastAsia="宋体" w:cs="宋体"/>
                <w:snapToGrid w:val="0"/>
                <w:color w:val="auto"/>
                <w:kern w:val="2"/>
                <w:sz w:val="21"/>
                <w:szCs w:val="21"/>
                <w:highlight w:val="none"/>
                <w:lang w:val="en-US" w:eastAsia="zh-CN" w:bidi="ar"/>
              </w:rPr>
              <w:t>针对本项目</w:t>
            </w:r>
            <w:r>
              <w:rPr>
                <w:rFonts w:hint="eastAsia" w:ascii="宋体" w:hAnsi="宋体" w:eastAsia="宋体" w:cs="宋体"/>
                <w:snapToGrid w:val="0"/>
                <w:color w:val="auto"/>
                <w:kern w:val="2"/>
                <w:sz w:val="21"/>
                <w:szCs w:val="21"/>
                <w:highlight w:val="none"/>
                <w:lang w:val="zh-CN" w:eastAsia="zh-CN" w:bidi="ar"/>
              </w:rPr>
              <w:t>制定的工期进度计划及保障措施</w:t>
            </w:r>
            <w:r>
              <w:rPr>
                <w:rFonts w:hint="eastAsia" w:ascii="宋体" w:hAnsi="宋体" w:eastAsia="宋体" w:cs="宋体"/>
                <w:snapToGrid w:val="0"/>
                <w:color w:val="auto"/>
                <w:kern w:val="2"/>
                <w:sz w:val="21"/>
                <w:szCs w:val="21"/>
                <w:highlight w:val="none"/>
                <w:lang w:val="en-US" w:eastAsia="zh-CN" w:bidi="ar"/>
              </w:rPr>
              <w:t>进行评分</w:t>
            </w:r>
            <w:r>
              <w:rPr>
                <w:rFonts w:hint="eastAsia" w:ascii="宋体" w:hAnsi="宋体" w:eastAsia="宋体" w:cs="宋体"/>
                <w:snapToGrid w:val="0"/>
                <w:color w:val="auto"/>
                <w:kern w:val="2"/>
                <w:sz w:val="21"/>
                <w:szCs w:val="21"/>
                <w:highlight w:val="none"/>
                <w:lang w:val="zh-CN"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color w:val="auto"/>
                <w:kern w:val="2"/>
                <w:sz w:val="21"/>
                <w:szCs w:val="21"/>
                <w:highlight w:val="none"/>
                <w:lang w:val="en-US" w:eastAsia="zh-CN" w:bidi="ar"/>
              </w:rPr>
              <w:t>工期进度计划及保障措施科学合理，</w:t>
            </w:r>
            <w:r>
              <w:rPr>
                <w:rFonts w:hint="eastAsia" w:ascii="宋体" w:hAnsi="宋体" w:eastAsia="宋体" w:cs="宋体"/>
                <w:bCs/>
                <w:color w:val="auto"/>
                <w:kern w:val="2"/>
                <w:sz w:val="21"/>
                <w:szCs w:val="21"/>
                <w:highlight w:val="none"/>
                <w:lang w:val="en-US" w:eastAsia="zh-CN" w:bidi="ar"/>
              </w:rPr>
              <w:t>内容</w:t>
            </w:r>
            <w:r>
              <w:rPr>
                <w:rFonts w:hint="eastAsia" w:ascii="宋体" w:hAnsi="宋体" w:eastAsia="宋体" w:cs="宋体"/>
                <w:color w:val="auto"/>
                <w:kern w:val="2"/>
                <w:sz w:val="21"/>
                <w:szCs w:val="21"/>
                <w:highlight w:val="none"/>
                <w:lang w:val="en-US" w:eastAsia="zh-CN" w:bidi="ar"/>
              </w:rPr>
              <w:t>完整全面，对本项目实际情况具有针对性且切实可行得4.0-3.1分；内容详尽的得3.0-2.1分；内容简单的得2.0-1.1；内容简略仅有提及的得1.0-0.1分；未提供的不得分。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snapToGrid w:val="0"/>
                <w:color w:val="auto"/>
                <w:szCs w:val="21"/>
                <w:highlight w:val="none"/>
                <w:lang w:val="en-US"/>
              </w:rPr>
            </w:pPr>
            <w:r>
              <w:rPr>
                <w:rFonts w:hint="eastAsia" w:ascii="宋体" w:hAnsi="宋体" w:eastAsia="宋体" w:cs="宋体"/>
                <w:snapToGrid w:val="0"/>
                <w:color w:val="auto"/>
                <w:kern w:val="2"/>
                <w:sz w:val="21"/>
                <w:szCs w:val="21"/>
                <w:highlight w:val="none"/>
                <w:lang w:val="en-US" w:eastAsia="zh-CN" w:bidi="ar"/>
              </w:rPr>
              <w:t>质量保障（</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snapToGrid w:val="0"/>
                <w:color w:val="auto"/>
                <w:kern w:val="2"/>
                <w:sz w:val="21"/>
                <w:szCs w:val="21"/>
                <w:highlight w:val="none"/>
                <w:lang w:val="en-US" w:eastAsia="zh-CN" w:bidi="ar"/>
              </w:rPr>
              <w:t>分）</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kern w:val="2"/>
                <w:sz w:val="21"/>
                <w:szCs w:val="21"/>
                <w:highlight w:val="none"/>
                <w:lang w:val="en-US" w:eastAsia="zh-CN" w:bidi="ar"/>
              </w:rPr>
              <w:t>8.</w:t>
            </w:r>
            <w:r>
              <w:rPr>
                <w:rFonts w:hint="eastAsia" w:ascii="宋体" w:hAnsi="宋体" w:eastAsia="宋体" w:cs="宋体"/>
                <w:snapToGrid w:val="0"/>
                <w:color w:val="auto"/>
                <w:kern w:val="2"/>
                <w:sz w:val="21"/>
                <w:szCs w:val="21"/>
                <w:highlight w:val="none"/>
                <w:lang w:val="zh-CN" w:eastAsia="zh-CN" w:bidi="ar"/>
              </w:rPr>
              <w:t>根据投标人</w:t>
            </w:r>
            <w:r>
              <w:rPr>
                <w:rFonts w:hint="eastAsia" w:ascii="宋体" w:hAnsi="宋体" w:eastAsia="宋体" w:cs="宋体"/>
                <w:snapToGrid w:val="0"/>
                <w:color w:val="auto"/>
                <w:kern w:val="2"/>
                <w:sz w:val="21"/>
                <w:szCs w:val="21"/>
                <w:highlight w:val="none"/>
                <w:lang w:val="en-US" w:eastAsia="zh-CN" w:bidi="ar"/>
              </w:rPr>
              <w:t>针对本项目</w:t>
            </w:r>
            <w:r>
              <w:rPr>
                <w:rFonts w:hint="eastAsia" w:ascii="宋体" w:hAnsi="宋体" w:eastAsia="宋体" w:cs="宋体"/>
                <w:snapToGrid w:val="0"/>
                <w:color w:val="auto"/>
                <w:kern w:val="2"/>
                <w:sz w:val="21"/>
                <w:szCs w:val="21"/>
                <w:highlight w:val="none"/>
                <w:lang w:val="zh-CN" w:eastAsia="zh-CN" w:bidi="ar"/>
              </w:rPr>
              <w:t>制定的质量保障措施</w:t>
            </w:r>
            <w:r>
              <w:rPr>
                <w:rFonts w:hint="eastAsia" w:ascii="宋体" w:hAnsi="宋体" w:eastAsia="宋体" w:cs="宋体"/>
                <w:snapToGrid w:val="0"/>
                <w:color w:val="auto"/>
                <w:kern w:val="2"/>
                <w:sz w:val="21"/>
                <w:szCs w:val="21"/>
                <w:highlight w:val="none"/>
                <w:lang w:val="en-US" w:eastAsia="zh-CN" w:bidi="ar"/>
              </w:rPr>
              <w:t>进行评分</w:t>
            </w:r>
            <w:r>
              <w:rPr>
                <w:rFonts w:hint="eastAsia" w:ascii="宋体" w:hAnsi="宋体" w:eastAsia="宋体" w:cs="宋体"/>
                <w:snapToGrid w:val="0"/>
                <w:color w:val="auto"/>
                <w:kern w:val="2"/>
                <w:sz w:val="21"/>
                <w:szCs w:val="21"/>
                <w:highlight w:val="none"/>
                <w:lang w:val="zh-CN"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color w:val="auto"/>
                <w:kern w:val="2"/>
                <w:sz w:val="21"/>
                <w:szCs w:val="21"/>
                <w:highlight w:val="none"/>
                <w:lang w:val="en-US" w:eastAsia="zh-CN" w:bidi="ar"/>
              </w:rPr>
              <w:t>质量保障措施能切合本项目实际情况、完整全面、内容详尽的得5.0-4.1分；质量保障措施内容较完整，基本可行，针对性较强的得4.0-2.1分；内容简单的得2.0-1.1；内容简略仅有提及的得1.0-0.1分；未提供的不得分。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zh-CN" w:eastAsia="zh-CN" w:bidi="ar"/>
              </w:rPr>
              <w:t>人员投入（</w:t>
            </w:r>
            <w:r>
              <w:rPr>
                <w:rFonts w:hint="eastAsia" w:ascii="宋体" w:hAnsi="宋体" w:eastAsia="宋体" w:cs="宋体"/>
                <w:color w:val="auto"/>
                <w:kern w:val="2"/>
                <w:sz w:val="21"/>
                <w:szCs w:val="21"/>
                <w:highlight w:val="none"/>
                <w:lang w:val="en-US" w:eastAsia="zh-CN" w:bidi="ar"/>
              </w:rPr>
              <w:t>18分</w:t>
            </w:r>
            <w:r>
              <w:rPr>
                <w:rFonts w:hint="eastAsia" w:ascii="宋体" w:hAnsi="宋体" w:eastAsia="宋体" w:cs="宋体"/>
                <w:color w:val="auto"/>
                <w:kern w:val="2"/>
                <w:sz w:val="21"/>
                <w:szCs w:val="21"/>
                <w:highlight w:val="none"/>
                <w:lang w:val="zh-CN" w:eastAsia="zh-CN" w:bidi="ar"/>
              </w:rPr>
              <w:t>）</w:t>
            </w: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9.投标人对本项目拟投入的项目总负责人：</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（1）具有测绘地理信息相关专业正高级（教授级）工程师职称，得2分；具有测绘地理信息相关专业高级（副高）工程师职称，得1分；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（2）具有注册测绘师资格，得1分；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（3）具有测绘地理信息保密知识培训证书，得1分；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本项最高得4分。</w:t>
            </w:r>
          </w:p>
          <w:p>
            <w:pPr>
              <w:pStyle w:val="20"/>
              <w:keepNext w:val="0"/>
              <w:keepLines w:val="0"/>
              <w:widowControl w:val="0"/>
              <w:suppressLineNumbers w:val="0"/>
              <w:spacing w:before="0" w:beforeAutospacing="0" w:after="120" w:afterAutospacing="0"/>
              <w:ind w:left="0" w:right="0" w:firstLine="0" w:firstLineChars="0"/>
              <w:jc w:val="both"/>
              <w:rPr>
                <w:rFonts w:hint="eastAsia" w:ascii="宋体" w:hAnsi="宋体" w:eastAsia="宋体" w:cs="宋体"/>
                <w:color w:val="auto"/>
                <w:highlight w:val="none"/>
                <w:lang w:val="en-US"/>
              </w:rPr>
            </w:pPr>
            <w:r>
              <w:rPr>
                <w:rFonts w:hint="eastAsia" w:ascii="宋体" w:hAnsi="宋体" w:eastAsia="宋体" w:cs="宋体"/>
                <w:b/>
                <w:bCs w:val="0"/>
                <w:color w:val="auto"/>
                <w:kern w:val="2"/>
                <w:sz w:val="21"/>
                <w:szCs w:val="21"/>
                <w:highlight w:val="none"/>
                <w:lang w:val="en-US" w:eastAsia="zh-CN" w:bidi="ar"/>
              </w:rPr>
              <w:t>注：须</w:t>
            </w:r>
            <w:r>
              <w:rPr>
                <w:rFonts w:hint="eastAsia" w:ascii="宋体" w:hAnsi="宋体" w:eastAsia="宋体" w:cs="宋体"/>
                <w:b/>
                <w:bCs/>
                <w:color w:val="auto"/>
                <w:spacing w:val="-2"/>
                <w:kern w:val="2"/>
                <w:sz w:val="21"/>
                <w:szCs w:val="21"/>
                <w:highlight w:val="none"/>
                <w:lang w:val="en-US" w:eastAsia="zh-CN" w:bidi="ar"/>
              </w:rPr>
              <w:t>提供人员证书扫描件及投标人为其缴纳的近三个月的单位社保缴纳证明材料。</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959"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10.项目技术负责人：</w:t>
            </w:r>
          </w:p>
          <w:p>
            <w:pPr>
              <w:keepNext w:val="0"/>
              <w:keepLines w:val="0"/>
              <w:widowControl w:val="0"/>
              <w:numPr>
                <w:ilvl w:val="0"/>
                <w:numId w:val="12"/>
              </w:numPr>
              <w:suppressLineNumbers w:val="0"/>
              <w:adjustRightInd w:val="0"/>
              <w:spacing w:before="0" w:beforeAutospacing="0" w:after="0" w:afterAutospacing="0"/>
              <w:ind w:left="0" w:right="0" w:firstLine="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具有测绘地理信息相关专业正高级（教授级）工程师职称，得2分；具有测绘地理信息相关专业高级（副高）工程师职称，得1分；</w:t>
            </w:r>
          </w:p>
          <w:p>
            <w:pPr>
              <w:keepNext w:val="0"/>
              <w:keepLines w:val="0"/>
              <w:widowControl w:val="0"/>
              <w:numPr>
                <w:ilvl w:val="0"/>
                <w:numId w:val="12"/>
              </w:numPr>
              <w:suppressLineNumbers w:val="0"/>
              <w:adjustRightInd w:val="0"/>
              <w:spacing w:before="0" w:beforeAutospacing="0" w:after="0" w:afterAutospacing="0"/>
              <w:ind w:left="0" w:right="0" w:firstLine="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具有注册测绘师资格的，得1分；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（3）具有测绘地理信息保密知识培训证书，得1分；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本项最高得4分。</w:t>
            </w:r>
          </w:p>
          <w:p>
            <w:pPr>
              <w:pStyle w:val="20"/>
              <w:keepNext w:val="0"/>
              <w:keepLines w:val="0"/>
              <w:widowControl w:val="0"/>
              <w:suppressLineNumbers w:val="0"/>
              <w:spacing w:before="0" w:beforeAutospacing="0" w:after="120" w:afterAutospacing="0"/>
              <w:ind w:left="0" w:right="0" w:firstLine="0" w:firstLineChars="0"/>
              <w:jc w:val="both"/>
              <w:rPr>
                <w:rFonts w:hint="eastAsia" w:ascii="宋体" w:hAnsi="宋体" w:eastAsia="宋体" w:cs="宋体"/>
                <w:color w:val="auto"/>
                <w:highlight w:val="none"/>
                <w:lang w:val="en-US"/>
              </w:rPr>
            </w:pPr>
            <w:r>
              <w:rPr>
                <w:rFonts w:hint="eastAsia" w:ascii="宋体" w:hAnsi="宋体" w:eastAsia="宋体" w:cs="宋体"/>
                <w:b/>
                <w:bCs w:val="0"/>
                <w:color w:val="auto"/>
                <w:kern w:val="2"/>
                <w:sz w:val="21"/>
                <w:szCs w:val="21"/>
                <w:highlight w:val="none"/>
                <w:lang w:val="en-US" w:eastAsia="zh-CN" w:bidi="ar"/>
              </w:rPr>
              <w:t>注：须</w:t>
            </w:r>
            <w:r>
              <w:rPr>
                <w:rFonts w:hint="eastAsia" w:ascii="宋体" w:hAnsi="宋体" w:eastAsia="宋体" w:cs="宋体"/>
                <w:b/>
                <w:bCs/>
                <w:color w:val="auto"/>
                <w:spacing w:val="-2"/>
                <w:kern w:val="2"/>
                <w:sz w:val="21"/>
                <w:szCs w:val="21"/>
                <w:highlight w:val="none"/>
                <w:lang w:val="en-US" w:eastAsia="zh-CN" w:bidi="ar"/>
              </w:rPr>
              <w:t>提供人员证书扫描件及投标人为其缴纳的近三个月的单位社保缴纳证明材料。</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11.根据投标人拟投入本项目的其他人员：</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（1）同时具有测绘地理信息相关专业高级工程师及注册测绘师的，每人得0.5分，本项最高得4分。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（2）具有信息系统项目管理师或系统分析师或软件设计师等软件类相关证书8人以上的得3分，5-8人得2分，1-4人得1分，最高得3分。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（3）具有互联网地图安全审校人员上岗证书8人以上的得3分，5-8人得2分，1-4人得1分，最高得3分。</w:t>
            </w:r>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snapToGrid w:val="0"/>
                <w:color w:val="auto"/>
                <w:szCs w:val="21"/>
                <w:highlight w:val="none"/>
                <w:lang w:val="zh-CN"/>
              </w:rPr>
            </w:pPr>
            <w:r>
              <w:rPr>
                <w:rFonts w:hint="eastAsia" w:ascii="宋体" w:hAnsi="宋体" w:eastAsia="宋体" w:cs="宋体"/>
                <w:b/>
                <w:color w:val="auto"/>
                <w:kern w:val="2"/>
                <w:sz w:val="21"/>
                <w:szCs w:val="21"/>
                <w:highlight w:val="none"/>
                <w:lang w:val="en-US" w:eastAsia="zh-CN" w:bidi="ar"/>
              </w:rPr>
              <w:t>注：以上人员不包括项目总负责人及项目技术负责人，投标人须</w:t>
            </w:r>
            <w:r>
              <w:rPr>
                <w:rFonts w:hint="eastAsia" w:ascii="宋体" w:hAnsi="宋体" w:eastAsia="宋体" w:cs="宋体"/>
                <w:b/>
                <w:color w:val="auto"/>
                <w:spacing w:val="-2"/>
                <w:kern w:val="2"/>
                <w:sz w:val="21"/>
                <w:szCs w:val="21"/>
                <w:highlight w:val="none"/>
                <w:lang w:val="en-US" w:eastAsia="zh-CN" w:bidi="ar"/>
              </w:rPr>
              <w:t>提供对应人员证书扫描件及投标人为其缴纳的近三个月的单位社保缴纳证明材料，不</w:t>
            </w:r>
            <w:r>
              <w:rPr>
                <w:rFonts w:hint="eastAsia" w:ascii="宋体" w:hAnsi="宋体" w:eastAsia="宋体" w:cs="宋体"/>
                <w:b/>
                <w:color w:val="auto"/>
                <w:kern w:val="2"/>
                <w:sz w:val="21"/>
                <w:szCs w:val="21"/>
                <w:highlight w:val="none"/>
                <w:lang w:val="en-US" w:eastAsia="zh-CN" w:bidi="ar"/>
              </w:rPr>
              <w:t>提供不得分。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企业实力（9分）</w:t>
            </w: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1.具备互联网地图服务甲级资质得2分；具备互联网地图服务乙级资质得1分。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注：须提供资质证书扫描件，不提供不得分。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2.具备地理信息系统工程甲级资质的得2分；具备地理信息系统工程乙级资质得1分。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Cs/>
                <w:color w:val="auto"/>
                <w:szCs w:val="21"/>
                <w:highlight w:val="none"/>
                <w:lang w:val="en-US"/>
              </w:rPr>
            </w:pPr>
            <w:r>
              <w:rPr>
                <w:rFonts w:hint="eastAsia" w:ascii="宋体" w:hAnsi="宋体" w:eastAsia="宋体" w:cs="宋体"/>
                <w:bCs/>
                <w:color w:val="auto"/>
                <w:kern w:val="2"/>
                <w:sz w:val="21"/>
                <w:szCs w:val="21"/>
                <w:highlight w:val="none"/>
                <w:lang w:val="en-US" w:eastAsia="zh-CN" w:bidi="ar"/>
              </w:rPr>
              <w:t>注：须提供资质证书扫描件，不提供不得分。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投标人具有质量管理体系认证、环境管理体系认证、职业健康安全管理体系认证、信息技术服务管理体系认证、信息安全管理体系认证证书，每一项得1分，最高5分。注：须提供有效期内的证书扫描件及全国认证认可信息公共服务平台的网页截图，不提供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企业荣誉（3分）</w:t>
            </w: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napToGrid w:val="0"/>
              <w:spacing w:before="0" w:beforeAutospacing="0" w:after="0" w:afterAutospacing="0"/>
              <w:ind w:left="0" w:right="0"/>
              <w:rPr>
                <w:rFonts w:ascii="宋体" w:hAnsi="宋体" w:eastAsia="宋体" w:cs="宋体"/>
                <w:color w:val="auto"/>
                <w:kern w:val="2"/>
                <w:sz w:val="21"/>
                <w:szCs w:val="21"/>
                <w:highlight w:val="none"/>
                <w:lang w:val="en-US" w:bidi="ar"/>
              </w:rPr>
            </w:pPr>
            <w:r>
              <w:rPr>
                <w:rFonts w:ascii="宋体" w:hAnsi="宋体" w:eastAsia="宋体" w:cs="宋体"/>
                <w:bCs/>
                <w:color w:val="auto"/>
                <w:kern w:val="2"/>
                <w:sz w:val="21"/>
                <w:szCs w:val="21"/>
                <w:highlight w:val="none"/>
                <w:lang w:val="en-US" w:bidi="ar"/>
              </w:rPr>
              <w:t>2021</w:t>
            </w:r>
            <w:r>
              <w:rPr>
                <w:rFonts w:ascii="宋体" w:hAnsi="宋体" w:eastAsia="宋体" w:cs="宋体"/>
                <w:bCs/>
                <w:color w:val="auto"/>
                <w:kern w:val="2"/>
                <w:sz w:val="21"/>
                <w:szCs w:val="21"/>
                <w:highlight w:val="none"/>
                <w:lang w:bidi="ar"/>
              </w:rPr>
              <w:t>年</w:t>
            </w:r>
            <w:r>
              <w:rPr>
                <w:rFonts w:ascii="宋体" w:hAnsi="宋体" w:eastAsia="宋体" w:cs="宋体"/>
                <w:bCs/>
                <w:color w:val="auto"/>
                <w:kern w:val="2"/>
                <w:sz w:val="21"/>
                <w:szCs w:val="21"/>
                <w:highlight w:val="none"/>
                <w:lang w:val="en-US" w:bidi="ar"/>
              </w:rPr>
              <w:t>1</w:t>
            </w:r>
            <w:r>
              <w:rPr>
                <w:rFonts w:ascii="宋体" w:hAnsi="宋体" w:eastAsia="宋体" w:cs="宋体"/>
                <w:bCs/>
                <w:color w:val="auto"/>
                <w:kern w:val="2"/>
                <w:sz w:val="21"/>
                <w:szCs w:val="21"/>
                <w:highlight w:val="none"/>
                <w:lang w:bidi="ar"/>
              </w:rPr>
              <w:t>月</w:t>
            </w:r>
            <w:r>
              <w:rPr>
                <w:rFonts w:ascii="宋体" w:hAnsi="宋体" w:eastAsia="宋体" w:cs="宋体"/>
                <w:bCs/>
                <w:color w:val="auto"/>
                <w:kern w:val="2"/>
                <w:sz w:val="21"/>
                <w:szCs w:val="21"/>
                <w:highlight w:val="none"/>
                <w:lang w:val="en-US" w:bidi="ar"/>
              </w:rPr>
              <w:t>1</w:t>
            </w:r>
            <w:r>
              <w:rPr>
                <w:rFonts w:ascii="宋体" w:hAnsi="宋体" w:eastAsia="宋体" w:cs="宋体"/>
                <w:bCs/>
                <w:color w:val="auto"/>
                <w:kern w:val="2"/>
                <w:sz w:val="21"/>
                <w:szCs w:val="21"/>
                <w:highlight w:val="none"/>
                <w:lang w:bidi="ar"/>
              </w:rPr>
              <w:t>日以来投标人承担的地理信息系统平台建设类项目获得过国家级（含学会或协会）优秀工程奖：金奖的每项</w:t>
            </w:r>
            <w:r>
              <w:rPr>
                <w:rFonts w:ascii="宋体" w:hAnsi="宋体" w:eastAsia="宋体" w:cs="宋体"/>
                <w:bCs/>
                <w:color w:val="auto"/>
                <w:kern w:val="2"/>
                <w:sz w:val="21"/>
                <w:szCs w:val="21"/>
                <w:highlight w:val="none"/>
                <w:lang w:val="en-US" w:bidi="ar"/>
              </w:rPr>
              <w:t>2</w:t>
            </w:r>
            <w:r>
              <w:rPr>
                <w:rFonts w:ascii="宋体" w:hAnsi="宋体" w:eastAsia="宋体" w:cs="宋体"/>
                <w:bCs/>
                <w:color w:val="auto"/>
                <w:kern w:val="2"/>
                <w:sz w:val="21"/>
                <w:szCs w:val="21"/>
                <w:highlight w:val="none"/>
                <w:lang w:bidi="ar"/>
              </w:rPr>
              <w:t>分，银奖的每项</w:t>
            </w:r>
            <w:r>
              <w:rPr>
                <w:rFonts w:ascii="宋体" w:hAnsi="宋体" w:eastAsia="宋体" w:cs="宋体"/>
                <w:bCs/>
                <w:color w:val="auto"/>
                <w:kern w:val="2"/>
                <w:sz w:val="21"/>
                <w:szCs w:val="21"/>
                <w:highlight w:val="none"/>
                <w:lang w:val="en-US" w:bidi="ar"/>
              </w:rPr>
              <w:t>1</w:t>
            </w:r>
            <w:r>
              <w:rPr>
                <w:rFonts w:ascii="宋体" w:hAnsi="宋体" w:eastAsia="宋体" w:cs="宋体"/>
                <w:bCs/>
                <w:color w:val="auto"/>
                <w:kern w:val="2"/>
                <w:sz w:val="21"/>
                <w:szCs w:val="21"/>
                <w:highlight w:val="none"/>
                <w:lang w:bidi="ar"/>
              </w:rPr>
              <w:t>分，铜奖的每项</w:t>
            </w:r>
            <w:r>
              <w:rPr>
                <w:rFonts w:ascii="宋体" w:hAnsi="宋体" w:eastAsia="宋体" w:cs="宋体"/>
                <w:bCs/>
                <w:color w:val="auto"/>
                <w:kern w:val="2"/>
                <w:sz w:val="21"/>
                <w:szCs w:val="21"/>
                <w:highlight w:val="none"/>
                <w:lang w:val="en-US" w:bidi="ar"/>
              </w:rPr>
              <w:t>0.5</w:t>
            </w:r>
            <w:r>
              <w:rPr>
                <w:rFonts w:ascii="宋体" w:hAnsi="宋体" w:eastAsia="宋体" w:cs="宋体"/>
                <w:bCs/>
                <w:color w:val="auto"/>
                <w:kern w:val="2"/>
                <w:sz w:val="21"/>
                <w:szCs w:val="21"/>
                <w:highlight w:val="none"/>
                <w:lang w:bidi="ar"/>
              </w:rPr>
              <w:t>分；获得过省级（含学会或协会）优秀工程奖：</w:t>
            </w:r>
            <w:r>
              <w:rPr>
                <w:rFonts w:ascii="宋体" w:hAnsi="宋体" w:eastAsia="宋体" w:cs="宋体"/>
                <w:color w:val="auto"/>
                <w:kern w:val="2"/>
                <w:sz w:val="21"/>
                <w:szCs w:val="21"/>
                <w:highlight w:val="none"/>
                <w:lang w:bidi="ar"/>
              </w:rPr>
              <w:t>金奖的每项得</w:t>
            </w:r>
            <w:r>
              <w:rPr>
                <w:rFonts w:ascii="宋体" w:hAnsi="宋体" w:eastAsia="宋体" w:cs="宋体"/>
                <w:color w:val="auto"/>
                <w:kern w:val="2"/>
                <w:sz w:val="21"/>
                <w:szCs w:val="21"/>
                <w:highlight w:val="none"/>
                <w:lang w:val="en-US" w:bidi="ar"/>
              </w:rPr>
              <w:t>0.5</w:t>
            </w:r>
            <w:r>
              <w:rPr>
                <w:rFonts w:ascii="宋体" w:hAnsi="宋体" w:eastAsia="宋体" w:cs="宋体"/>
                <w:color w:val="auto"/>
                <w:kern w:val="2"/>
                <w:sz w:val="21"/>
                <w:szCs w:val="21"/>
                <w:highlight w:val="none"/>
                <w:lang w:bidi="ar"/>
              </w:rPr>
              <w:t>分，银奖的每项得</w:t>
            </w:r>
            <w:r>
              <w:rPr>
                <w:rFonts w:ascii="宋体" w:hAnsi="宋体" w:eastAsia="宋体" w:cs="宋体"/>
                <w:color w:val="auto"/>
                <w:kern w:val="2"/>
                <w:sz w:val="21"/>
                <w:szCs w:val="21"/>
                <w:highlight w:val="none"/>
                <w:lang w:val="en-US" w:bidi="ar"/>
              </w:rPr>
              <w:t>0.2</w:t>
            </w:r>
            <w:r>
              <w:rPr>
                <w:rFonts w:ascii="宋体" w:hAnsi="宋体" w:eastAsia="宋体" w:cs="宋体"/>
                <w:color w:val="auto"/>
                <w:kern w:val="2"/>
                <w:sz w:val="21"/>
                <w:szCs w:val="21"/>
                <w:highlight w:val="none"/>
                <w:lang w:bidi="ar"/>
              </w:rPr>
              <w:t>分；</w:t>
            </w:r>
            <w:r>
              <w:rPr>
                <w:rFonts w:ascii="宋体" w:hAnsi="宋体" w:eastAsia="宋体" w:cs="宋体"/>
                <w:bCs/>
                <w:color w:val="auto"/>
                <w:kern w:val="2"/>
                <w:sz w:val="21"/>
                <w:szCs w:val="21"/>
                <w:highlight w:val="none"/>
                <w:lang w:bidi="ar"/>
              </w:rPr>
              <w:t>获得过市级（含学会或协会）优秀工程奖：</w:t>
            </w:r>
            <w:r>
              <w:rPr>
                <w:rFonts w:ascii="宋体" w:hAnsi="宋体" w:eastAsia="宋体" w:cs="宋体"/>
                <w:color w:val="auto"/>
                <w:kern w:val="2"/>
                <w:sz w:val="21"/>
                <w:szCs w:val="21"/>
                <w:highlight w:val="none"/>
                <w:lang w:bidi="ar"/>
              </w:rPr>
              <w:t>金奖的每项得</w:t>
            </w:r>
            <w:r>
              <w:rPr>
                <w:rFonts w:ascii="宋体" w:hAnsi="宋体" w:eastAsia="宋体" w:cs="宋体"/>
                <w:color w:val="auto"/>
                <w:kern w:val="2"/>
                <w:sz w:val="21"/>
                <w:szCs w:val="21"/>
                <w:highlight w:val="none"/>
                <w:lang w:val="en-US" w:bidi="ar"/>
              </w:rPr>
              <w:t xml:space="preserve"> 0.2 </w:t>
            </w:r>
            <w:r>
              <w:rPr>
                <w:rFonts w:ascii="宋体" w:hAnsi="宋体" w:eastAsia="宋体" w:cs="宋体"/>
                <w:color w:val="auto"/>
                <w:kern w:val="2"/>
                <w:sz w:val="21"/>
                <w:szCs w:val="21"/>
                <w:highlight w:val="none"/>
                <w:lang w:bidi="ar"/>
              </w:rPr>
              <w:t>分。本项最高得</w:t>
            </w:r>
            <w:r>
              <w:rPr>
                <w:rFonts w:ascii="宋体" w:hAnsi="宋体" w:eastAsia="宋体" w:cs="宋体"/>
                <w:color w:val="auto"/>
                <w:kern w:val="2"/>
                <w:sz w:val="21"/>
                <w:szCs w:val="21"/>
                <w:highlight w:val="none"/>
                <w:lang w:val="en-US" w:bidi="ar"/>
              </w:rPr>
              <w:t>3</w:t>
            </w:r>
            <w:r>
              <w:rPr>
                <w:rFonts w:ascii="宋体" w:hAnsi="宋体" w:eastAsia="宋体" w:cs="宋体"/>
                <w:color w:val="auto"/>
                <w:kern w:val="2"/>
                <w:sz w:val="21"/>
                <w:szCs w:val="21"/>
                <w:highlight w:val="none"/>
                <w:lang w:bidi="ar"/>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Cs w:val="21"/>
                <w:highlight w:val="none"/>
                <w:lang w:val="en-US"/>
              </w:rPr>
            </w:pPr>
            <w:r>
              <w:rPr>
                <w:rFonts w:hint="eastAsia" w:ascii="宋体" w:hAnsi="宋体" w:eastAsia="宋体" w:cs="宋体"/>
                <w:color w:val="auto"/>
                <w:kern w:val="2"/>
                <w:sz w:val="21"/>
                <w:szCs w:val="21"/>
                <w:highlight w:val="none"/>
                <w:lang w:val="en-US" w:eastAsia="zh-CN" w:bidi="ar"/>
              </w:rPr>
              <w:t>注：须提供证书扫描件，不提供不得分。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合同业绩（2分）</w:t>
            </w: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szCs w:val="21"/>
                <w:highlight w:val="none"/>
                <w:lang w:val="en-US" w:bidi="ar"/>
              </w:rPr>
            </w:pPr>
            <w:r>
              <w:rPr>
                <w:rFonts w:hint="eastAsia" w:ascii="宋体" w:hAnsi="宋体" w:eastAsia="宋体" w:cs="宋体"/>
                <w:color w:val="auto"/>
                <w:kern w:val="2"/>
                <w:sz w:val="21"/>
                <w:szCs w:val="21"/>
                <w:highlight w:val="none"/>
                <w:lang w:val="en-US" w:eastAsia="zh-CN" w:bidi="ar"/>
              </w:rPr>
              <w:t>自2021年1月1日以来(以合同签订时间为准），投标人承担类似项目，每个得0.5分，最高2分。</w:t>
            </w:r>
          </w:p>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注：投标文件中须提供业绩项目的合同及中标通知书扫描件并盖单位公章或电子章，未提供不得分。</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34"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highlight w:val="none"/>
                <w:lang w:val="en-US" w:bidi="ar"/>
              </w:rPr>
            </w:pPr>
            <w:r>
              <w:rPr>
                <w:rFonts w:hint="eastAsia" w:ascii="宋体" w:hAnsi="宋体" w:eastAsia="宋体" w:cs="宋体"/>
                <w:b/>
                <w:bCs w:val="0"/>
                <w:color w:val="auto"/>
                <w:kern w:val="2"/>
                <w:sz w:val="21"/>
                <w:szCs w:val="24"/>
                <w:highlight w:val="none"/>
                <w:lang w:val="en-US" w:eastAsia="zh-CN" w:bidi="ar"/>
              </w:rPr>
              <w:t>价格（20分）</w:t>
            </w:r>
          </w:p>
        </w:tc>
        <w:tc>
          <w:tcPr>
            <w:tcW w:w="63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suppressLineNumbers w:val="0"/>
              <w:spacing w:before="0" w:beforeAutospacing="0" w:after="0" w:afterAutospacing="0"/>
              <w:ind w:left="0" w:right="0"/>
              <w:rPr>
                <w:rFonts w:ascii="宋体" w:hAnsi="宋体" w:eastAsia="宋体" w:cs="宋体"/>
                <w:color w:val="auto"/>
                <w:highlight w:val="none"/>
                <w:lang w:val="en-US"/>
              </w:rPr>
            </w:pPr>
            <w:r>
              <w:rPr>
                <w:rFonts w:ascii="宋体" w:hAnsi="宋体" w:eastAsia="宋体" w:cs="宋体"/>
                <w:color w:val="auto"/>
                <w:kern w:val="2"/>
                <w:sz w:val="21"/>
                <w:szCs w:val="21"/>
                <w:highlight w:val="none"/>
                <w:lang w:bidi="ar"/>
              </w:rPr>
              <w:t>以合格投标人有效投标总报价中的最低价为基准价，基准价为</w:t>
            </w:r>
            <w:r>
              <w:rPr>
                <w:rFonts w:ascii="宋体" w:hAnsi="宋体" w:eastAsia="宋体" w:cs="宋体"/>
                <w:color w:val="auto"/>
                <w:kern w:val="2"/>
                <w:sz w:val="21"/>
                <w:szCs w:val="21"/>
                <w:highlight w:val="none"/>
                <w:lang w:val="en-US" w:bidi="ar"/>
              </w:rPr>
              <w:t>20</w:t>
            </w:r>
            <w:r>
              <w:rPr>
                <w:rFonts w:ascii="宋体" w:hAnsi="宋体" w:eastAsia="宋体" w:cs="宋体"/>
                <w:color w:val="auto"/>
                <w:kern w:val="2"/>
                <w:sz w:val="21"/>
                <w:szCs w:val="21"/>
                <w:highlight w:val="none"/>
                <w:lang w:bidi="ar"/>
              </w:rPr>
              <w:t>分。投标报价得分＝（评标基准价</w:t>
            </w:r>
            <w:r>
              <w:rPr>
                <w:rFonts w:ascii="宋体" w:hAnsi="宋体" w:eastAsia="宋体" w:cs="宋体"/>
                <w:color w:val="auto"/>
                <w:kern w:val="2"/>
                <w:sz w:val="21"/>
                <w:szCs w:val="21"/>
                <w:highlight w:val="none"/>
                <w:lang w:val="en-US" w:bidi="ar"/>
              </w:rPr>
              <w:t>/</w:t>
            </w:r>
            <w:r>
              <w:rPr>
                <w:rFonts w:ascii="宋体" w:hAnsi="宋体" w:eastAsia="宋体" w:cs="宋体"/>
                <w:color w:val="auto"/>
                <w:kern w:val="2"/>
                <w:sz w:val="21"/>
                <w:szCs w:val="21"/>
                <w:highlight w:val="none"/>
                <w:lang w:bidi="ar"/>
              </w:rPr>
              <w:t>投标报价）×</w:t>
            </w:r>
            <w:r>
              <w:rPr>
                <w:rFonts w:ascii="宋体" w:hAnsi="宋体" w:eastAsia="宋体" w:cs="宋体"/>
                <w:color w:val="auto"/>
                <w:sz w:val="21"/>
                <w:szCs w:val="21"/>
                <w:highlight w:val="none"/>
                <w:lang w:val="en-US" w:bidi="ar"/>
              </w:rPr>
              <w:t>20%</w:t>
            </w:r>
            <w:r>
              <w:rPr>
                <w:rFonts w:ascii="宋体" w:hAnsi="宋体" w:eastAsia="宋体" w:cs="宋体"/>
                <w:color w:val="auto"/>
                <w:kern w:val="2"/>
                <w:sz w:val="21"/>
                <w:szCs w:val="21"/>
                <w:highlight w:val="none"/>
                <w:lang w:bidi="ar"/>
              </w:rPr>
              <w:t>×</w:t>
            </w:r>
            <w:r>
              <w:rPr>
                <w:rFonts w:ascii="宋体" w:hAnsi="宋体" w:eastAsia="宋体" w:cs="宋体"/>
                <w:color w:val="auto"/>
                <w:sz w:val="21"/>
                <w:szCs w:val="21"/>
                <w:highlight w:val="none"/>
                <w:lang w:val="en-US" w:bidi="ar"/>
              </w:rPr>
              <w:t>100</w:t>
            </w:r>
            <w:r>
              <w:rPr>
                <w:rFonts w:ascii="宋体" w:hAnsi="宋体" w:eastAsia="宋体" w:cs="宋体"/>
                <w:color w:val="auto"/>
                <w:kern w:val="2"/>
                <w:sz w:val="21"/>
                <w:szCs w:val="21"/>
                <w:highlight w:val="none"/>
                <w:lang w:bidi="ar"/>
              </w:rPr>
              <w:t>（小数点后保留</w:t>
            </w:r>
            <w:r>
              <w:rPr>
                <w:rFonts w:ascii="宋体" w:hAnsi="宋体" w:eastAsia="宋体" w:cs="宋体"/>
                <w:color w:val="auto"/>
                <w:kern w:val="2"/>
                <w:sz w:val="21"/>
                <w:szCs w:val="21"/>
                <w:highlight w:val="none"/>
                <w:lang w:val="en-US" w:bidi="ar"/>
              </w:rPr>
              <w:t>2</w:t>
            </w:r>
            <w:r>
              <w:rPr>
                <w:rFonts w:ascii="宋体" w:hAnsi="宋体" w:eastAsia="宋体" w:cs="宋体"/>
                <w:color w:val="auto"/>
                <w:kern w:val="2"/>
                <w:sz w:val="21"/>
                <w:szCs w:val="21"/>
                <w:highlight w:val="none"/>
                <w:lang w:bidi="ar"/>
              </w:rPr>
              <w:t>位小数）。</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4"/>
                <w:highlight w:val="none"/>
                <w:lang w:val="en-US" w:eastAsia="zh-CN" w:bidi="ar"/>
              </w:rPr>
              <w:t>20分</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①请扫描上传合同、证书、报告及其他相关证明材料的原件至投标文件，并加盖电子印章。</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rFonts w:cs="宋体"/>
          <w:b/>
          <w:bCs w:val="0"/>
          <w:color w:val="auto"/>
          <w:kern w:val="2"/>
          <w:highlight w:val="none"/>
          <w:lang w:val="en-US"/>
        </w:rPr>
        <w:t>2.</w:t>
      </w:r>
      <w:r>
        <w:rPr>
          <w:rFonts w:cs="宋体"/>
          <w:b/>
          <w:bCs w:val="0"/>
          <w:color w:val="auto"/>
          <w:kern w:val="2"/>
          <w:highlight w:val="none"/>
          <w:lang w:eastAsia="zh-CN"/>
        </w:rPr>
        <w:t>评审要求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（1）评标委员会应当按照招标文件中规定的评标方法和标准，对符合性审查合格的投标文件的商务部分和技术部分进行综合比较与评价，其中</w:t>
      </w:r>
      <w:r>
        <w:rPr>
          <w:rFonts w:hint="eastAsia" w:ascii="宋体" w:hAnsi="宋体" w:eastAsia="宋体" w:cs="宋体"/>
          <w:bCs/>
          <w:color w:val="auto"/>
          <w:kern w:val="2"/>
          <w:sz w:val="24"/>
          <w:szCs w:val="24"/>
          <w:highlight w:val="none"/>
          <w:lang w:val="zh-CN" w:eastAsia="zh-CN" w:bidi="ar"/>
        </w:rPr>
        <w:t>客观</w:t>
      </w:r>
      <w:r>
        <w:rPr>
          <w:rFonts w:hint="eastAsia" w:ascii="宋体" w:hAnsi="宋体" w:eastAsia="宋体" w:cs="宋体"/>
          <w:bCs/>
          <w:color w:val="auto"/>
          <w:kern w:val="2"/>
          <w:sz w:val="24"/>
          <w:szCs w:val="24"/>
          <w:highlight w:val="none"/>
          <w:lang w:val="en-US" w:eastAsia="zh-CN" w:bidi="ar"/>
        </w:rPr>
        <w:t>评分项的分值</w:t>
      </w:r>
      <w:r>
        <w:rPr>
          <w:rFonts w:hint="eastAsia" w:ascii="宋体" w:hAnsi="宋体" w:eastAsia="宋体" w:cs="宋体"/>
          <w:bCs/>
          <w:color w:val="auto"/>
          <w:kern w:val="2"/>
          <w:sz w:val="24"/>
          <w:szCs w:val="24"/>
          <w:highlight w:val="none"/>
          <w:lang w:val="zh-CN" w:eastAsia="zh-CN" w:bidi="ar"/>
        </w:rPr>
        <w:t>应当一致。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（2）对于投标文件报价出现前后不一致的，除招标文件另有规定外，按照下列规定修正：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①‘政府采购云平台’上开启的投标报价与电子投标文件中开标一览表（报价表）内容不一致的，以电子投标文件中开标一览表（报价表）为准。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②投标文件中开标一览表（报价表）内容与投标文件中相应内容不一致的，以开标一览表（报价表）为准；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③大写金额和小写金额不一致的，以大写金额为准；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④单价金额小数点或者百分比有明显错位的，以开标一览表的总价为准，并修改单价；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fldChar w:fldCharType="begin"/>
      </w:r>
      <w:r>
        <w:rPr>
          <w:rFonts w:hint="eastAsia" w:ascii="宋体" w:hAnsi="宋体" w:eastAsia="宋体" w:cs="宋体"/>
          <w:color w:val="auto"/>
          <w:kern w:val="2"/>
          <w:sz w:val="24"/>
          <w:szCs w:val="24"/>
          <w:highlight w:val="none"/>
          <w:lang w:val="en-US" w:eastAsia="zh-CN" w:bidi="ar"/>
        </w:rPr>
        <w:instrText xml:space="preserve"> = 5 \* GB3 \* MERGEFORMAT </w:instrText>
      </w:r>
      <w:r>
        <w:rPr>
          <w:rFonts w:hint="eastAsia" w:ascii="宋体" w:hAnsi="宋体" w:eastAsia="宋体" w:cs="宋体"/>
          <w:color w:val="auto"/>
          <w:kern w:val="2"/>
          <w:sz w:val="24"/>
          <w:szCs w:val="24"/>
          <w:highlight w:val="none"/>
          <w:lang w:val="en-US" w:eastAsia="zh-CN" w:bidi="ar"/>
        </w:rPr>
        <w:fldChar w:fldCharType="separate"/>
      </w:r>
      <w:r>
        <w:rPr>
          <w:rFonts w:hint="eastAsia" w:ascii="宋体" w:hAnsi="宋体" w:eastAsia="宋体" w:cs="宋体"/>
          <w:color w:val="auto"/>
          <w:kern w:val="2"/>
          <w:sz w:val="24"/>
          <w:szCs w:val="24"/>
          <w:highlight w:val="none"/>
          <w:lang w:val="en-US" w:eastAsia="zh-CN" w:bidi="ar"/>
        </w:rPr>
        <w:t>⑤</w:t>
      </w:r>
      <w:r>
        <w:rPr>
          <w:rFonts w:hint="eastAsia" w:ascii="宋体" w:hAnsi="宋体" w:eastAsia="宋体" w:cs="宋体"/>
          <w:color w:val="auto"/>
          <w:kern w:val="2"/>
          <w:sz w:val="24"/>
          <w:szCs w:val="24"/>
          <w:highlight w:val="none"/>
          <w:lang w:val="en-US" w:eastAsia="zh-CN" w:bidi="ar"/>
        </w:rPr>
        <w:fldChar w:fldCharType="end"/>
      </w:r>
      <w:r>
        <w:rPr>
          <w:rFonts w:hint="eastAsia" w:ascii="宋体" w:hAnsi="宋体" w:eastAsia="宋体" w:cs="宋体"/>
          <w:color w:val="auto"/>
          <w:kern w:val="2"/>
          <w:sz w:val="24"/>
          <w:szCs w:val="24"/>
          <w:highlight w:val="none"/>
          <w:lang w:val="en-US" w:eastAsia="zh-CN" w:bidi="ar"/>
        </w:rPr>
        <w:t>总价金额与按单价汇总金额不一致的，以单价金额计算结果为准。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同时出现两种以上不一致的，按照前款规定的顺序修正。修正应当采用电子询标的形式，并加盖公章（电子印章）。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（3）对于投标文件中含义不明确、同类问题表述不一致或者有明显文字和计算错误的内容，评标委员会应当要求投标人作出必要的澄清、说明或者补正。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（4）投标人的澄清、说明或者补正采用书面形式，并加盖公章（电子印章）或者由法定代表人或授权委托代理人签字，且不得超出投标文件的范围或者改变投标文件的实质性内容。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（四）结果汇总及排序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宋体"/>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
        </w:rPr>
        <w:t>评标委员会各成员应当独立对每个投标人的投标文件进行评价，并汇总每个投标人的得分。评标结果按评审后综合得分由高到低顺序排列，</w:t>
      </w:r>
      <w:r>
        <w:rPr>
          <w:rFonts w:hint="eastAsia" w:ascii="宋体" w:hAnsi="Times New Roman" w:eastAsia="宋体" w:cs="宋体"/>
          <w:color w:val="auto"/>
          <w:kern w:val="2"/>
          <w:sz w:val="24"/>
          <w:szCs w:val="24"/>
          <w:highlight w:val="none"/>
          <w:lang w:val="zh-CN" w:eastAsia="zh-CN" w:bidi="ar"/>
        </w:rPr>
        <w:t>如综合得分相同，投标报价低者为先；如综合得分且投标报价相同的，服务类采购项目以实力信誉及业绩得分较高者为先。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（五）评标报告撰写</w:t>
      </w:r>
    </w:p>
    <w:p>
      <w:pPr>
        <w:keepNext w:val="0"/>
        <w:keepLines w:val="0"/>
        <w:widowControl w:val="0"/>
        <w:suppressLineNumbers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2"/>
          <w:sz w:val="24"/>
          <w:szCs w:val="24"/>
          <w:highlight w:val="none"/>
          <w:lang w:val="en-US" w:eastAsia="zh-CN" w:bidi="ar"/>
        </w:rPr>
        <w:t>评标委员会根据全体评标成员签字的原始评标记录和评标结果编写评标报告。</w:t>
      </w:r>
      <w:r>
        <w:rPr>
          <w:rFonts w:hint="default" w:ascii="Times New Roman" w:hAnsi="Times New Roman" w:eastAsia="宋体" w:cs="Times New Roman"/>
          <w:color w:val="auto"/>
          <w:kern w:val="2"/>
          <w:sz w:val="21"/>
          <w:szCs w:val="24"/>
          <w:highlight w:val="none"/>
          <w:lang w:val="en-US" w:eastAsia="zh-CN" w:bidi="ar"/>
        </w:rPr>
        <w:br w:type="page"/>
      </w:r>
    </w:p>
    <w:p>
      <w:pPr>
        <w:pStyle w:val="20"/>
        <w:keepNext w:val="0"/>
        <w:keepLines w:val="0"/>
        <w:widowControl/>
        <w:suppressLineNumbers w:val="0"/>
        <w:adjustRightInd w:val="0"/>
        <w:snapToGrid w:val="0"/>
        <w:spacing w:before="0" w:beforeAutospacing="0" w:after="0" w:afterAutospacing="0"/>
        <w:ind w:left="0" w:right="0"/>
        <w:jc w:val="left"/>
        <w:rPr>
          <w:color w:val="auto"/>
          <w:highlight w:val="none"/>
          <w:lang w:val="en-US"/>
        </w:rPr>
      </w:pP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2"/>
          <w:sz w:val="36"/>
          <w:szCs w:val="36"/>
          <w:highlight w:val="none"/>
          <w:lang w:val="en-US" w:eastAsia="zh-CN" w:bidi="ar"/>
        </w:rPr>
        <w:t>第五章 拟签订的合同文本</w:t>
      </w:r>
    </w:p>
    <w:p>
      <w:pPr>
        <w:keepNext w:val="0"/>
        <w:keepLines w:val="0"/>
        <w:widowControl/>
        <w:suppressLineNumbers w:val="0"/>
        <w:spacing w:before="0" w:beforeAutospacing="0" w:after="0" w:afterAutospacing="0" w:line="360" w:lineRule="auto"/>
        <w:ind w:left="0" w:right="0" w:firstLine="403"/>
        <w:jc w:val="center"/>
        <w:textAlignment w:val="baseline"/>
        <w:rPr>
          <w:rFonts w:hint="eastAsia" w:ascii="仿宋_GB2312" w:hAnsi="宋体" w:eastAsia="仿宋_GB2312" w:cs="宋体"/>
          <w:b/>
          <w:bCs w:val="0"/>
          <w:color w:val="auto"/>
          <w:kern w:val="0"/>
          <w:sz w:val="36"/>
          <w:szCs w:val="36"/>
          <w:highlight w:val="none"/>
          <w:vertAlign w:val="baseline"/>
          <w:lang w:val="en-US"/>
        </w:rPr>
      </w:pPr>
      <w:r>
        <w:rPr>
          <w:rFonts w:hint="eastAsia" w:ascii="仿宋_GB2312" w:hAnsi="宋体" w:eastAsia="仿宋_GB2312" w:cs="宋体"/>
          <w:b/>
          <w:bCs w:val="0"/>
          <w:color w:val="auto"/>
          <w:kern w:val="0"/>
          <w:sz w:val="36"/>
          <w:szCs w:val="36"/>
          <w:highlight w:val="none"/>
          <w:vertAlign w:val="baseline"/>
          <w:lang w:val="en-US" w:eastAsia="zh-CN" w:bidi="ar"/>
        </w:rPr>
        <w:t>浙江省政府采购合同主要条款指引</w:t>
      </w:r>
    </w:p>
    <w:p>
      <w:pPr>
        <w:keepNext w:val="0"/>
        <w:keepLines w:val="0"/>
        <w:widowControl w:val="0"/>
        <w:suppressLineNumbers w:val="0"/>
        <w:spacing w:before="0" w:beforeAutospacing="0" w:after="120" w:afterAutospacing="0"/>
        <w:ind w:left="0" w:right="0"/>
        <w:jc w:val="center"/>
        <w:textAlignment w:val="baseline"/>
        <w:rPr>
          <w:color w:val="auto"/>
          <w:sz w:val="24"/>
          <w:szCs w:val="24"/>
          <w:highlight w:val="none"/>
          <w:vertAlign w:val="baseline"/>
          <w:lang w:val="en-US"/>
        </w:rPr>
      </w:pPr>
      <w:r>
        <w:rPr>
          <w:rFonts w:hint="eastAsia" w:ascii="宋体" w:hAnsi="宋体" w:eastAsia="宋体" w:cs="宋体"/>
          <w:b/>
          <w:bCs w:val="0"/>
          <w:color w:val="auto"/>
          <w:kern w:val="2"/>
          <w:sz w:val="32"/>
          <w:szCs w:val="32"/>
          <w:highlight w:val="none"/>
          <w:vertAlign w:val="baseline"/>
          <w:lang w:val="en-US" w:eastAsia="zh-CN" w:bidi="ar"/>
        </w:rPr>
        <w:t>（此稿为合同样本，最终定稿待各县、市协商后各自签订）</w:t>
      </w:r>
    </w:p>
    <w:p>
      <w:pPr>
        <w:keepNext w:val="0"/>
        <w:keepLines w:val="0"/>
        <w:widowControl w:val="0"/>
        <w:suppressLineNumbers w:val="0"/>
        <w:spacing w:before="0" w:beforeAutospacing="0" w:after="0" w:afterAutospacing="0" w:line="360" w:lineRule="auto"/>
        <w:ind w:left="0" w:right="0" w:firstLine="2415" w:firstLineChars="802"/>
        <w:jc w:val="both"/>
        <w:textAlignment w:val="baseline"/>
        <w:rPr>
          <w:rFonts w:hint="eastAsia" w:ascii="黑体" w:hAnsi="宋体" w:eastAsia="黑体" w:cs="黑体"/>
          <w:b/>
          <w:bCs w:val="0"/>
          <w:color w:val="auto"/>
          <w:sz w:val="30"/>
          <w:szCs w:val="30"/>
          <w:highlight w:val="none"/>
          <w:vertAlign w:val="baseline"/>
          <w:lang w:val="en-US"/>
        </w:rPr>
      </w:pPr>
    </w:p>
    <w:p>
      <w:pPr>
        <w:keepNext w:val="0"/>
        <w:keepLines w:val="0"/>
        <w:widowControl w:val="0"/>
        <w:suppressLineNumbers w:val="0"/>
        <w:spacing w:before="0" w:beforeAutospacing="0" w:after="0" w:afterAutospacing="0" w:line="360" w:lineRule="auto"/>
        <w:ind w:left="0" w:right="0" w:firstLine="482"/>
        <w:jc w:val="both"/>
        <w:rPr>
          <w:rFonts w:hint="eastAsia" w:ascii="黑体" w:hAnsi="宋体" w:eastAsia="黑体" w:cs="黑体"/>
          <w:b/>
          <w:bCs w:val="0"/>
          <w:color w:val="auto"/>
          <w:sz w:val="24"/>
          <w:szCs w:val="24"/>
          <w:highlight w:val="none"/>
          <w:lang w:val="en-US"/>
        </w:rPr>
      </w:pPr>
      <w:r>
        <w:rPr>
          <w:rFonts w:hint="eastAsia" w:ascii="黑体" w:hAnsi="宋体" w:eastAsia="黑体" w:cs="黑体"/>
          <w:b/>
          <w:bCs w:val="0"/>
          <w:color w:val="auto"/>
          <w:kern w:val="2"/>
          <w:sz w:val="24"/>
          <w:szCs w:val="24"/>
          <w:highlight w:val="none"/>
          <w:lang w:val="en-US" w:eastAsia="zh-CN" w:bidi="ar"/>
        </w:rPr>
        <w:t>委托方：</w:t>
      </w:r>
      <w:r>
        <w:rPr>
          <w:rFonts w:hint="eastAsia" w:ascii="宋体" w:hAnsi="宋体" w:eastAsia="宋体" w:cs="黑体"/>
          <w:color w:val="auto"/>
          <w:kern w:val="0"/>
          <w:sz w:val="24"/>
          <w:szCs w:val="24"/>
          <w:highlight w:val="none"/>
          <w:lang w:val="en-US" w:eastAsia="zh-CN" w:bidi="ar"/>
        </w:rPr>
        <w:t xml:space="preserve">         （以下简称甲方）</w:t>
      </w:r>
    </w:p>
    <w:p>
      <w:pPr>
        <w:keepNext w:val="0"/>
        <w:keepLines w:val="0"/>
        <w:widowControl w:val="0"/>
        <w:suppressLineNumbers w:val="0"/>
        <w:spacing w:before="0" w:beforeAutospacing="0" w:after="0" w:afterAutospacing="0" w:line="360" w:lineRule="auto"/>
        <w:ind w:left="0" w:right="0" w:firstLine="482"/>
        <w:jc w:val="both"/>
        <w:rPr>
          <w:rFonts w:hint="eastAsia" w:ascii="黑体" w:hAnsi="宋体" w:eastAsia="黑体" w:cs="黑体"/>
          <w:b/>
          <w:bCs w:val="0"/>
          <w:color w:val="auto"/>
          <w:sz w:val="24"/>
          <w:szCs w:val="24"/>
          <w:highlight w:val="none"/>
          <w:u w:val="single"/>
          <w:lang w:val="en-US"/>
        </w:rPr>
      </w:pPr>
      <w:r>
        <w:rPr>
          <w:rFonts w:hint="eastAsia" w:ascii="黑体" w:hAnsi="宋体" w:eastAsia="黑体" w:cs="黑体"/>
          <w:b/>
          <w:bCs w:val="0"/>
          <w:color w:val="auto"/>
          <w:kern w:val="2"/>
          <w:sz w:val="24"/>
          <w:szCs w:val="24"/>
          <w:highlight w:val="none"/>
          <w:lang w:val="en-US" w:eastAsia="zh-CN" w:bidi="ar"/>
        </w:rPr>
        <w:t>承接方：</w:t>
      </w:r>
      <w:r>
        <w:rPr>
          <w:rFonts w:hint="eastAsia" w:ascii="宋体" w:hAnsi="宋体" w:eastAsia="宋体" w:cs="黑体"/>
          <w:color w:val="auto"/>
          <w:kern w:val="0"/>
          <w:sz w:val="24"/>
          <w:szCs w:val="24"/>
          <w:highlight w:val="none"/>
          <w:lang w:val="en-US" w:eastAsia="zh-CN" w:bidi="ar"/>
        </w:rPr>
        <w:t xml:space="preserve">         （以下简称乙方）</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根据《中华人民共和国民法典》、《中华人民共和国测绘法》及其他有关法律法规，经双方协商一致签订本协议。</w:t>
      </w:r>
    </w:p>
    <w:p>
      <w:pPr>
        <w:pStyle w:val="20"/>
        <w:keepNext w:val="0"/>
        <w:keepLines w:val="0"/>
        <w:widowControl/>
        <w:suppressLineNumbers w:val="0"/>
        <w:spacing w:before="0" w:beforeAutospacing="0" w:after="0" w:afterAutospacing="0" w:line="360" w:lineRule="auto"/>
        <w:ind w:left="0" w:right="0" w:firstLine="506" w:firstLineChars="200"/>
        <w:jc w:val="both"/>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第一条 服务范围：</w:t>
      </w:r>
    </w:p>
    <w:p>
      <w:pPr>
        <w:pStyle w:val="20"/>
        <w:widowControl/>
        <w:ind w:left="0" w:firstLine="482"/>
        <w:rPr>
          <w:color w:val="auto"/>
          <w:highlight w:val="none"/>
          <w:lang w:val="en-US"/>
        </w:rPr>
      </w:pPr>
      <w:r>
        <w:rPr>
          <w:color w:val="auto"/>
          <w:highlight w:val="none"/>
          <w:lang w:eastAsia="zh-CN"/>
        </w:rPr>
        <w:t>黄岩区：甲方指定地点</w:t>
      </w:r>
    </w:p>
    <w:p>
      <w:pPr>
        <w:pStyle w:val="20"/>
        <w:widowControl/>
        <w:ind w:left="0" w:firstLine="482"/>
        <w:rPr>
          <w:color w:val="auto"/>
          <w:highlight w:val="none"/>
          <w:lang w:val="en-US"/>
        </w:rPr>
      </w:pPr>
      <w:r>
        <w:rPr>
          <w:color w:val="auto"/>
          <w:highlight w:val="none"/>
          <w:lang w:eastAsia="zh-CN"/>
        </w:rPr>
        <w:t>路桥区：甲方指定地点</w:t>
      </w:r>
    </w:p>
    <w:p>
      <w:pPr>
        <w:pStyle w:val="20"/>
        <w:widowControl/>
        <w:ind w:left="0" w:firstLine="482"/>
        <w:rPr>
          <w:color w:val="auto"/>
          <w:highlight w:val="none"/>
          <w:lang w:val="en-US"/>
        </w:rPr>
      </w:pPr>
      <w:r>
        <w:rPr>
          <w:color w:val="auto"/>
          <w:highlight w:val="none"/>
          <w:lang w:eastAsia="zh-CN"/>
        </w:rPr>
        <w:t>温岭市：甲方指定地点</w:t>
      </w:r>
    </w:p>
    <w:p>
      <w:pPr>
        <w:pStyle w:val="20"/>
        <w:widowControl/>
        <w:ind w:left="0" w:firstLine="482"/>
        <w:rPr>
          <w:color w:val="auto"/>
          <w:highlight w:val="none"/>
          <w:lang w:val="en-US"/>
        </w:rPr>
      </w:pPr>
      <w:r>
        <w:rPr>
          <w:color w:val="auto"/>
          <w:highlight w:val="none"/>
          <w:lang w:eastAsia="zh-CN"/>
        </w:rPr>
        <w:t>玉环市：甲方指定地点</w:t>
      </w:r>
    </w:p>
    <w:p>
      <w:pPr>
        <w:pStyle w:val="20"/>
        <w:widowControl/>
        <w:ind w:left="0" w:firstLine="482"/>
        <w:rPr>
          <w:color w:val="auto"/>
          <w:highlight w:val="none"/>
          <w:lang w:val="en-US"/>
        </w:rPr>
      </w:pPr>
      <w:r>
        <w:rPr>
          <w:color w:val="auto"/>
          <w:highlight w:val="none"/>
          <w:lang w:eastAsia="zh-CN"/>
        </w:rPr>
        <w:t>天台县：甲方指定地点</w:t>
      </w:r>
    </w:p>
    <w:p>
      <w:pPr>
        <w:pStyle w:val="20"/>
        <w:widowControl/>
        <w:ind w:left="0" w:firstLine="482"/>
        <w:rPr>
          <w:color w:val="auto"/>
          <w:highlight w:val="none"/>
          <w:lang w:val="en-US"/>
        </w:rPr>
      </w:pPr>
      <w:r>
        <w:rPr>
          <w:color w:val="auto"/>
          <w:highlight w:val="none"/>
          <w:lang w:eastAsia="zh-CN"/>
        </w:rPr>
        <w:t>仙居县：甲方指定地点</w:t>
      </w:r>
    </w:p>
    <w:p>
      <w:pPr>
        <w:pStyle w:val="20"/>
        <w:widowControl/>
        <w:ind w:left="0" w:firstLine="482"/>
        <w:rPr>
          <w:color w:val="auto"/>
          <w:highlight w:val="none"/>
          <w:lang w:val="en-US"/>
        </w:rPr>
      </w:pPr>
      <w:r>
        <w:rPr>
          <w:color w:val="auto"/>
          <w:highlight w:val="none"/>
          <w:lang w:eastAsia="zh-CN"/>
        </w:rPr>
        <w:t>三门县：甲方指定地点</w:t>
      </w:r>
    </w:p>
    <w:p>
      <w:pPr>
        <w:pStyle w:val="20"/>
        <w:keepNext w:val="0"/>
        <w:keepLines w:val="0"/>
        <w:widowControl/>
        <w:suppressLineNumbers w:val="0"/>
        <w:spacing w:before="0" w:beforeAutospacing="0" w:after="0" w:afterAutospacing="0" w:line="360" w:lineRule="auto"/>
        <w:ind w:left="0" w:right="0" w:firstLine="506" w:firstLineChars="200"/>
        <w:jc w:val="both"/>
        <w:textAlignment w:val="center"/>
        <w:rPr>
          <w:rFonts w:hint="eastAsia" w:ascii="宋体" w:hAnsi="宋体" w:eastAsia="宋体" w:cs="宋体"/>
          <w:b/>
          <w:bCs w:val="0"/>
          <w:color w:val="auto"/>
          <w:spacing w:val="6"/>
          <w:sz w:val="24"/>
          <w:szCs w:val="24"/>
          <w:highlight w:val="none"/>
          <w:lang w:val="en-US"/>
        </w:rPr>
      </w:pPr>
      <w:r>
        <w:rPr>
          <w:rFonts w:hint="eastAsia" w:ascii="宋体" w:hAnsi="宋体" w:eastAsia="宋体" w:cs="宋体"/>
          <w:b/>
          <w:bCs w:val="0"/>
          <w:color w:val="auto"/>
          <w:spacing w:val="6"/>
          <w:kern w:val="2"/>
          <w:sz w:val="24"/>
          <w:szCs w:val="24"/>
          <w:highlight w:val="none"/>
          <w:lang w:val="en-US" w:eastAsia="zh-CN" w:bidi="ar"/>
        </w:rPr>
        <w:t>第二条 服务内容</w:t>
      </w:r>
    </w:p>
    <w:p>
      <w:pPr>
        <w:pStyle w:val="20"/>
        <w:keepNext w:val="0"/>
        <w:keepLines w:val="0"/>
        <w:widowControl/>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（一）乙方为甲方在各县（市、区）提供的服务内容如下表所示：</w:t>
      </w:r>
    </w:p>
    <w:p>
      <w:pPr>
        <w:rPr>
          <w:rFonts w:hint="eastAsia" w:ascii="宋体" w:hAnsi="宋体" w:eastAsia="宋体" w:cs="宋体"/>
          <w:bCs/>
          <w:color w:val="auto"/>
          <w:spacing w:val="6"/>
          <w:kern w:val="2"/>
          <w:sz w:val="24"/>
          <w:szCs w:val="24"/>
          <w:highlight w:val="none"/>
          <w:lang w:val="en-US" w:eastAsia="zh-CN" w:bidi="ar"/>
        </w:rPr>
        <w:sectPr>
          <w:pgSz w:w="11906" w:h="16838"/>
          <w:pgMar w:top="1440" w:right="1800" w:bottom="1440" w:left="1800" w:header="851" w:footer="992" w:gutter="0"/>
          <w:cols w:space="425" w:num="1"/>
          <w:docGrid w:type="lines" w:linePitch="312" w:charSpace="0"/>
        </w:sectPr>
      </w:pPr>
    </w:p>
    <w:p>
      <w:pPr>
        <w:pStyle w:val="102"/>
        <w:keepNext w:val="0"/>
        <w:keepLines w:val="0"/>
        <w:widowControl/>
        <w:suppressLineNumbers w:val="0"/>
        <w:ind w:left="0" w:firstLine="504"/>
        <w:rPr>
          <w:rFonts w:hint="eastAsia" w:ascii="宋体" w:hAnsi="宋体" w:eastAsia="宋体" w:cs="宋体"/>
          <w:bCs/>
          <w:color w:val="auto"/>
          <w:spacing w:val="6"/>
          <w:highlight w:val="none"/>
          <w:lang w:val="en-US"/>
        </w:rPr>
      </w:pPr>
    </w:p>
    <w:tbl>
      <w:tblPr>
        <w:tblStyle w:val="25"/>
        <w:tblW w:w="14637" w:type="dxa"/>
        <w:tblInd w:w="-463" w:type="dxa"/>
        <w:shd w:val="clear" w:color="auto" w:fill="auto"/>
        <w:tblLayout w:type="fixed"/>
        <w:tblCellMar>
          <w:top w:w="0" w:type="dxa"/>
          <w:left w:w="108" w:type="dxa"/>
          <w:bottom w:w="0" w:type="dxa"/>
          <w:right w:w="108" w:type="dxa"/>
        </w:tblCellMar>
      </w:tblPr>
      <w:tblGrid>
        <w:gridCol w:w="1288"/>
        <w:gridCol w:w="1618"/>
        <w:gridCol w:w="2455"/>
        <w:gridCol w:w="2753"/>
        <w:gridCol w:w="1817"/>
        <w:gridCol w:w="2262"/>
        <w:gridCol w:w="2444"/>
      </w:tblGrid>
      <w:tr>
        <w:tblPrEx>
          <w:tblLayout w:type="fixed"/>
          <w:tblCellMar>
            <w:top w:w="0" w:type="dxa"/>
            <w:left w:w="108" w:type="dxa"/>
            <w:bottom w:w="0" w:type="dxa"/>
            <w:right w:w="108" w:type="dxa"/>
          </w:tblCellMar>
        </w:tblPrEx>
        <w:trPr>
          <w:trHeight w:val="720" w:hRule="atLeast"/>
        </w:trPr>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地区</w:t>
            </w:r>
          </w:p>
        </w:tc>
        <w:tc>
          <w:tcPr>
            <w:tcW w:w="8643" w:type="dxa"/>
            <w:gridSpan w:val="4"/>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应用推广技术支持服务</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数字水印与安控软件集成</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数字水印与安控格式扩展</w:t>
            </w:r>
          </w:p>
        </w:tc>
      </w:tr>
      <w:tr>
        <w:tblPrEx>
          <w:tblLayout w:type="fixed"/>
          <w:tblCellMar>
            <w:top w:w="0" w:type="dxa"/>
            <w:left w:w="108" w:type="dxa"/>
            <w:bottom w:w="0" w:type="dxa"/>
            <w:right w:w="108" w:type="dxa"/>
          </w:tblCellMar>
        </w:tblPrEx>
        <w:trPr>
          <w:trHeight w:val="740" w:hRule="atLeast"/>
        </w:trPr>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台州市自然资源和规划局（以下简称“市局”）配发软件的安装部署</w:t>
            </w:r>
          </w:p>
        </w:tc>
        <w:tc>
          <w:tcPr>
            <w:tcW w:w="2455"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数据成果入库</w:t>
            </w:r>
          </w:p>
        </w:tc>
        <w:tc>
          <w:tcPr>
            <w:tcW w:w="2753"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元数据更新与核对</w:t>
            </w:r>
          </w:p>
        </w:tc>
        <w:tc>
          <w:tcPr>
            <w:tcW w:w="1817" w:type="dxa"/>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color w:val="auto"/>
                <w:sz w:val="24"/>
                <w:szCs w:val="24"/>
                <w:highlight w:val="none"/>
                <w:lang w:val="en-US"/>
              </w:rPr>
            </w:pPr>
            <w:r>
              <w:rPr>
                <w:rFonts w:hint="eastAsia" w:ascii="仿宋_GB2312" w:hAnsi="宋体" w:eastAsia="仿宋_GB2312" w:cs="仿宋_GB2312"/>
                <w:b/>
                <w:color w:val="auto"/>
                <w:kern w:val="0"/>
                <w:sz w:val="24"/>
                <w:szCs w:val="24"/>
                <w:highlight w:val="none"/>
                <w:lang w:val="en-US" w:eastAsia="zh-CN" w:bidi="ar"/>
              </w:rPr>
              <w:t>日常技术支持服务</w:t>
            </w: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6A6A6"/>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Layout w:type="fixed"/>
          <w:tblCellMar>
            <w:top w:w="0" w:type="dxa"/>
            <w:left w:w="108" w:type="dxa"/>
            <w:bottom w:w="0" w:type="dxa"/>
            <w:right w:w="108" w:type="dxa"/>
          </w:tblCellMar>
        </w:tblPrEx>
        <w:trPr>
          <w:trHeight w:val="624"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黄岩区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完成2023年度（或最新）市局下发的测绘成果数据入库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集成市局提供的数字水印与安控数据格式授权，支持自动调用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tblLayout w:type="fixed"/>
          <w:tblCellMar>
            <w:top w:w="0" w:type="dxa"/>
            <w:left w:w="108" w:type="dxa"/>
            <w:bottom w:w="0" w:type="dxa"/>
            <w:right w:w="108" w:type="dxa"/>
          </w:tblCellMar>
        </w:tblPrEx>
        <w:trPr>
          <w:trHeight w:val="624"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路桥区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完成2023年度（或最新）市局下发的测绘成果数据入库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集成市局提供的数字水印与安控数据格式授权，支持自动调用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温岭市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w:t>
            </w:r>
            <w:r>
              <w:rPr>
                <w:rFonts w:hint="eastAsia" w:ascii="仿宋_GB2312" w:hAnsi="宋体" w:eastAsia="仿宋_GB2312" w:cs="仿宋_GB2312"/>
                <w:color w:val="auto"/>
                <w:kern w:val="2"/>
                <w:sz w:val="24"/>
                <w:szCs w:val="24"/>
                <w:highlight w:val="none"/>
                <w:u w:val="none"/>
                <w:lang w:val="en-US" w:eastAsia="zh-CN" w:bidi="ar"/>
              </w:rPr>
              <w:t>和自然资源数据</w:t>
            </w:r>
            <w:r>
              <w:rPr>
                <w:rFonts w:hint="eastAsia" w:ascii="Arial" w:hAnsi="宋体" w:eastAsia="宋体" w:cs="宋体"/>
                <w:color w:val="auto"/>
                <w:kern w:val="2"/>
                <w:sz w:val="20"/>
                <w:szCs w:val="20"/>
                <w:highlight w:val="none"/>
                <w:u w:val="none"/>
                <w:lang w:val="en-US" w:eastAsia="zh-CN" w:bidi="ar"/>
              </w:rPr>
              <w:t>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集成并适配本地已有数字水印与安控软件，支持自动调用。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数字水印增加tif、img格式</w:t>
            </w:r>
          </w:p>
        </w:tc>
      </w:tr>
      <w:tr>
        <w:tblPrEx>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玉环市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天台县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tblLayout w:type="fixed"/>
          <w:tblCellMar>
            <w:top w:w="0" w:type="dxa"/>
            <w:left w:w="108" w:type="dxa"/>
            <w:bottom w:w="0" w:type="dxa"/>
            <w:right w:w="108" w:type="dxa"/>
          </w:tblCellMar>
        </w:tblPrEx>
        <w:trPr>
          <w:trHeight w:val="936"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仙居县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完成2019-2023年度测绘成果数据入库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集成并适配本地已有数字水印与安控软件，支持自动调用。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w:t>
            </w:r>
          </w:p>
        </w:tc>
      </w:tr>
      <w:tr>
        <w:tblPrEx>
          <w:tblLayout w:type="fixed"/>
          <w:tblCellMar>
            <w:top w:w="0" w:type="dxa"/>
            <w:left w:w="108" w:type="dxa"/>
            <w:bottom w:w="0" w:type="dxa"/>
            <w:right w:w="108" w:type="dxa"/>
          </w:tblCellMar>
        </w:tblPrEx>
        <w:trPr>
          <w:trHeight w:val="1540"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三门县</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完成市局配发软件成果的安装部署并有效运行</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完成2023年度（或最新）测绘成果数据入库</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将入库后导出的测绘成果元数据更新至“地信智服”成果服务子场景，并进行元数据核对与处理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提供一年的日常技术支持服务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集成并适配本地已有数字水印与安控软件，支持自动调用。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0"/>
                <w:sz w:val="24"/>
                <w:szCs w:val="24"/>
                <w:highlight w:val="none"/>
                <w:lang w:val="en-US" w:eastAsia="zh-CN" w:bidi="ar"/>
              </w:rPr>
              <w:t>数据安控增加对tif、img格式的支持</w:t>
            </w:r>
          </w:p>
        </w:tc>
      </w:tr>
    </w:tbl>
    <w:p>
      <w:pPr>
        <w:rPr>
          <w:rFonts w:hint="eastAsia" w:ascii="宋体" w:hAnsi="宋体" w:eastAsia="宋体" w:cs="宋体"/>
          <w:bCs/>
          <w:color w:val="auto"/>
          <w:spacing w:val="6"/>
          <w:kern w:val="2"/>
          <w:sz w:val="24"/>
          <w:szCs w:val="24"/>
          <w:highlight w:val="none"/>
          <w:lang w:val="en-US" w:eastAsia="zh-CN" w:bidi="ar"/>
        </w:rPr>
        <w:sectPr>
          <w:pgSz w:w="16838" w:h="11906" w:orient="landscape"/>
          <w:pgMar w:top="1800" w:right="1440" w:bottom="1800" w:left="1440" w:header="851" w:footer="992" w:gutter="0"/>
          <w:cols w:space="425" w:num="1"/>
          <w:docGrid w:type="lines" w:linePitch="312" w:charSpace="0"/>
        </w:sectPr>
      </w:pPr>
    </w:p>
    <w:p>
      <w:pPr>
        <w:pStyle w:val="102"/>
        <w:keepNext w:val="0"/>
        <w:keepLines w:val="0"/>
        <w:widowControl/>
        <w:suppressLineNumbers w:val="0"/>
        <w:ind w:left="0" w:firstLine="504"/>
        <w:rPr>
          <w:rFonts w:hint="eastAsia" w:ascii="宋体" w:hAnsi="宋体" w:eastAsia="宋体" w:cs="宋体"/>
          <w:bCs/>
          <w:color w:val="auto"/>
          <w:spacing w:val="6"/>
          <w:highlight w:val="none"/>
          <w:lang w:val="en-US"/>
        </w:rPr>
      </w:pPr>
    </w:p>
    <w:p>
      <w:pPr>
        <w:pStyle w:val="102"/>
        <w:keepNext w:val="0"/>
        <w:keepLines w:val="0"/>
        <w:widowControl/>
        <w:suppressLineNumbers w:val="0"/>
        <w:ind w:left="0" w:firstLine="504"/>
        <w:rPr>
          <w:rFonts w:hint="eastAsia" w:ascii="宋体" w:hAnsi="宋体" w:eastAsia="宋体" w:cs="宋体"/>
          <w:bCs/>
          <w:color w:val="auto"/>
          <w:spacing w:val="6"/>
          <w:highlight w:val="none"/>
          <w:lang w:val="en-US"/>
        </w:rPr>
      </w:pPr>
    </w:p>
    <w:p>
      <w:pPr>
        <w:pStyle w:val="20"/>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2"/>
          <w:highlight w:val="none"/>
          <w:lang w:val="en-US"/>
        </w:rPr>
      </w:pPr>
      <w:r>
        <w:rPr>
          <w:rFonts w:hint="eastAsia" w:ascii="宋体" w:hAnsi="宋体" w:eastAsia="宋体" w:cs="宋体"/>
          <w:b/>
          <w:bCs w:val="0"/>
          <w:color w:val="auto"/>
          <w:kern w:val="2"/>
          <w:sz w:val="24"/>
          <w:szCs w:val="22"/>
          <w:highlight w:val="none"/>
          <w:lang w:val="en-US" w:eastAsia="zh-CN" w:bidi="ar"/>
        </w:rPr>
        <w:t>（二） 技术要求</w:t>
      </w:r>
    </w:p>
    <w:p>
      <w:pPr>
        <w:pStyle w:val="102"/>
        <w:keepNext w:val="0"/>
        <w:keepLines w:val="0"/>
        <w:widowControl/>
        <w:suppressLineNumbers w:val="0"/>
        <w:ind w:left="0" w:firstLine="504"/>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eastAsia="zh-CN"/>
        </w:rPr>
        <w:t>乙方需熟练掌握配发软件成果的技术架构和相关功能，并完成台州市自然资源和规划局局配发软件成果的安装部署以及支持数字水印软件与安控软件的集成，部署集成后需确保功能的有效运行。乙方提供的技术资料、服务和成果应当符合包括但不限于以下要求：</w:t>
      </w:r>
    </w:p>
    <w:p>
      <w:pPr>
        <w:pStyle w:val="102"/>
        <w:keepNext w:val="0"/>
        <w:keepLines w:val="0"/>
        <w:widowControl/>
        <w:numPr>
          <w:ilvl w:val="0"/>
          <w:numId w:val="13"/>
        </w:numPr>
        <w:suppressLineNumbers w:val="0"/>
        <w:ind w:left="0" w:firstLine="504"/>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eastAsia="zh-CN"/>
        </w:rPr>
        <w:t>配发软件成果的技术要求：该软件为</w:t>
      </w:r>
      <w:r>
        <w:rPr>
          <w:rFonts w:hint="eastAsia" w:ascii="宋体" w:hAnsi="宋体" w:eastAsia="宋体" w:cs="宋体"/>
          <w:bCs/>
          <w:color w:val="auto"/>
          <w:spacing w:val="6"/>
          <w:highlight w:val="none"/>
          <w:lang w:val="en-US"/>
        </w:rPr>
        <w:t>C/S</w:t>
      </w:r>
      <w:r>
        <w:rPr>
          <w:rFonts w:hint="eastAsia" w:ascii="宋体" w:hAnsi="宋体" w:eastAsia="宋体" w:cs="宋体"/>
          <w:bCs/>
          <w:color w:val="auto"/>
          <w:spacing w:val="6"/>
          <w:highlight w:val="none"/>
          <w:lang w:eastAsia="zh-CN"/>
        </w:rPr>
        <w:t>架构，且需具备</w:t>
      </w:r>
      <w:r>
        <w:rPr>
          <w:rFonts w:hint="eastAsia" w:ascii="宋体" w:hAnsi="宋体" w:eastAsia="宋体" w:cs="宋体"/>
          <w:b/>
          <w:bCs w:val="0"/>
          <w:color w:val="auto"/>
          <w:spacing w:val="6"/>
          <w:highlight w:val="none"/>
          <w:lang w:eastAsia="zh-CN"/>
        </w:rPr>
        <w:t>数据资源管理</w:t>
      </w:r>
      <w:r>
        <w:rPr>
          <w:rFonts w:hint="eastAsia" w:ascii="宋体" w:hAnsi="宋体" w:eastAsia="宋体" w:cs="宋体"/>
          <w:bCs/>
          <w:color w:val="auto"/>
          <w:spacing w:val="6"/>
          <w:highlight w:val="none"/>
          <w:lang w:eastAsia="zh-CN"/>
        </w:rPr>
        <w:t>（资源目录管理、元数据管理、数据入库、数据集成化展示预处理、数据提取与导出、数据分发电子台账）、</w:t>
      </w:r>
      <w:r>
        <w:rPr>
          <w:rFonts w:hint="eastAsia" w:ascii="宋体" w:hAnsi="宋体" w:eastAsia="宋体" w:cs="宋体"/>
          <w:b/>
          <w:bCs w:val="0"/>
          <w:color w:val="auto"/>
          <w:spacing w:val="6"/>
          <w:highlight w:val="none"/>
          <w:lang w:eastAsia="zh-CN"/>
        </w:rPr>
        <w:t>数据浏览检索</w:t>
      </w:r>
      <w:r>
        <w:rPr>
          <w:rFonts w:hint="eastAsia" w:ascii="宋体" w:hAnsi="宋体" w:eastAsia="宋体" w:cs="宋体"/>
          <w:bCs/>
          <w:color w:val="auto"/>
          <w:spacing w:val="6"/>
          <w:highlight w:val="none"/>
          <w:lang w:eastAsia="zh-CN"/>
        </w:rPr>
        <w:t>（符号化模板管理、二三维数据一体化展示、属性查看、数据资源检索、地名模糊定位、行政区划成果检索、多边形区域成果检索、空间量算）、</w:t>
      </w:r>
      <w:r>
        <w:rPr>
          <w:rFonts w:hint="eastAsia" w:ascii="宋体" w:hAnsi="宋体" w:eastAsia="宋体" w:cs="宋体"/>
          <w:b/>
          <w:bCs w:val="0"/>
          <w:color w:val="auto"/>
          <w:spacing w:val="6"/>
          <w:highlight w:val="none"/>
          <w:lang w:eastAsia="zh-CN"/>
        </w:rPr>
        <w:t>数据成果服务</w:t>
      </w:r>
      <w:r>
        <w:rPr>
          <w:rFonts w:hint="eastAsia" w:ascii="宋体" w:hAnsi="宋体" w:eastAsia="宋体" w:cs="宋体"/>
          <w:bCs/>
          <w:color w:val="auto"/>
          <w:spacing w:val="6"/>
          <w:highlight w:val="none"/>
          <w:lang w:eastAsia="zh-CN"/>
        </w:rPr>
        <w:t>（成果服务元数据导出、订单自动解析、智能一键找图、成果服务包自动生成）、</w:t>
      </w:r>
      <w:r>
        <w:rPr>
          <w:rFonts w:hint="eastAsia" w:ascii="宋体" w:hAnsi="宋体" w:eastAsia="宋体" w:cs="宋体"/>
          <w:b/>
          <w:bCs w:val="0"/>
          <w:color w:val="auto"/>
          <w:spacing w:val="6"/>
          <w:highlight w:val="none"/>
          <w:lang w:eastAsia="zh-CN"/>
        </w:rPr>
        <w:t>数据统计分析</w:t>
      </w:r>
      <w:r>
        <w:rPr>
          <w:rFonts w:hint="eastAsia" w:ascii="宋体" w:hAnsi="宋体" w:eastAsia="宋体" w:cs="宋体"/>
          <w:bCs/>
          <w:color w:val="auto"/>
          <w:spacing w:val="6"/>
          <w:highlight w:val="none"/>
          <w:lang w:eastAsia="zh-CN"/>
        </w:rPr>
        <w:t>（数据统计、图表输出）、</w:t>
      </w:r>
      <w:r>
        <w:rPr>
          <w:rFonts w:hint="eastAsia" w:ascii="宋体" w:hAnsi="宋体" w:eastAsia="宋体" w:cs="宋体"/>
          <w:b/>
          <w:bCs w:val="0"/>
          <w:color w:val="auto"/>
          <w:spacing w:val="6"/>
          <w:highlight w:val="none"/>
          <w:lang w:eastAsia="zh-CN"/>
        </w:rPr>
        <w:t>系统管理与运维</w:t>
      </w:r>
      <w:r>
        <w:rPr>
          <w:rFonts w:hint="eastAsia" w:ascii="宋体" w:hAnsi="宋体" w:eastAsia="宋体" w:cs="宋体"/>
          <w:bCs/>
          <w:color w:val="auto"/>
          <w:spacing w:val="6"/>
          <w:highlight w:val="none"/>
          <w:lang w:eastAsia="zh-CN"/>
        </w:rPr>
        <w:t>（用户管理、日志管理、系统配置）等功能。乙方需熟练掌握软件成果的信息，实现该成果软件的安装部署，并保障以上功能的有效运行。</w:t>
      </w:r>
    </w:p>
    <w:p>
      <w:pPr>
        <w:pStyle w:val="102"/>
        <w:keepNext w:val="0"/>
        <w:keepLines w:val="0"/>
        <w:widowControl/>
        <w:numPr>
          <w:ilvl w:val="0"/>
          <w:numId w:val="13"/>
        </w:numPr>
        <w:suppressLineNumbers w:val="0"/>
        <w:ind w:left="0" w:firstLine="504"/>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eastAsia="zh-CN"/>
        </w:rPr>
        <w:t>数字水印技术要求：软件能够在数据中嵌入版权、用户、时间、用途等水印信息，水印信息与数据融为一体，并且不可抹除、不可篡改，能够起到区分不同用户、追踪违法行为、明确用户责任等作用。</w:t>
      </w:r>
      <w:r>
        <w:rPr>
          <w:rFonts w:hint="eastAsia" w:ascii="宋体" w:hAnsi="宋体" w:eastAsia="宋体" w:cs="宋体"/>
          <w:b/>
          <w:bCs w:val="0"/>
          <w:color w:val="auto"/>
          <w:spacing w:val="6"/>
          <w:highlight w:val="none"/>
          <w:lang w:eastAsia="zh-CN"/>
        </w:rPr>
        <w:t>水印信息容量的要求：</w:t>
      </w:r>
      <w:r>
        <w:rPr>
          <w:rFonts w:hint="eastAsia" w:ascii="宋体" w:hAnsi="宋体" w:eastAsia="宋体" w:cs="宋体"/>
          <w:bCs/>
          <w:color w:val="auto"/>
          <w:spacing w:val="6"/>
          <w:highlight w:val="none"/>
          <w:lang w:eastAsia="zh-CN"/>
        </w:rPr>
        <w:t>水印信息内容可支持汉字、数字、英文字符、特殊字符等的任意组合；水印信息容量要求满足实际应用需求。</w:t>
      </w:r>
      <w:r>
        <w:rPr>
          <w:rFonts w:hint="eastAsia" w:ascii="宋体" w:hAnsi="宋体" w:eastAsia="宋体" w:cs="宋体"/>
          <w:b/>
          <w:bCs w:val="0"/>
          <w:color w:val="auto"/>
          <w:spacing w:val="6"/>
          <w:highlight w:val="none"/>
          <w:lang w:eastAsia="zh-CN"/>
        </w:rPr>
        <w:t>嵌入水印后数据精度要求：</w:t>
      </w:r>
      <w:r>
        <w:rPr>
          <w:rFonts w:hint="eastAsia" w:ascii="宋体" w:hAnsi="宋体" w:eastAsia="宋体" w:cs="宋体"/>
          <w:bCs/>
          <w:color w:val="auto"/>
          <w:spacing w:val="6"/>
          <w:highlight w:val="none"/>
          <w:lang w:eastAsia="zh-CN"/>
        </w:rPr>
        <w:t>嵌入水印后数据不影响后续应用和分析，不改变数据拓扑结构。</w:t>
      </w:r>
      <w:r>
        <w:rPr>
          <w:rFonts w:hint="eastAsia" w:ascii="宋体" w:hAnsi="宋体" w:eastAsia="宋体" w:cs="宋体"/>
          <w:b/>
          <w:bCs w:val="0"/>
          <w:color w:val="auto"/>
          <w:spacing w:val="6"/>
          <w:highlight w:val="none"/>
          <w:lang w:eastAsia="zh-CN"/>
        </w:rPr>
        <w:t>日志管理分析要求：</w:t>
      </w:r>
      <w:r>
        <w:rPr>
          <w:rFonts w:hint="eastAsia" w:ascii="宋体" w:hAnsi="宋体" w:eastAsia="宋体" w:cs="宋体"/>
          <w:bCs/>
          <w:color w:val="auto"/>
          <w:spacing w:val="6"/>
          <w:highlight w:val="none"/>
          <w:lang w:eastAsia="zh-CN"/>
        </w:rPr>
        <w:t>记录数据分发的信息，包括数据类型、数据量、文件数量、水印信息等，并可对记录的信息进行浏览、查询、统计、可视化表达、导出与自动备份等。</w:t>
      </w:r>
    </w:p>
    <w:p>
      <w:pPr>
        <w:pStyle w:val="102"/>
        <w:keepNext w:val="0"/>
        <w:keepLines w:val="0"/>
        <w:widowControl/>
        <w:numPr>
          <w:ilvl w:val="0"/>
          <w:numId w:val="13"/>
        </w:numPr>
        <w:suppressLineNumbers w:val="0"/>
        <w:ind w:left="0" w:firstLine="504"/>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eastAsia="zh-CN"/>
        </w:rPr>
        <w:t>安控技术要求：软件能够对数据进行加密、授权和自动控制等操作，起到严格控制数据使用期限、使用平台、使用范围、操作权限等作用。</w:t>
      </w:r>
      <w:r>
        <w:rPr>
          <w:rFonts w:hint="eastAsia" w:ascii="宋体" w:hAnsi="宋体" w:eastAsia="宋体" w:cs="宋体"/>
          <w:b/>
          <w:bCs w:val="0"/>
          <w:color w:val="auto"/>
          <w:spacing w:val="6"/>
          <w:highlight w:val="none"/>
          <w:lang w:eastAsia="zh-CN"/>
        </w:rPr>
        <w:t>数据加密要求：</w:t>
      </w:r>
      <w:r>
        <w:rPr>
          <w:rFonts w:hint="eastAsia" w:ascii="宋体" w:hAnsi="宋体" w:eastAsia="宋体" w:cs="宋体"/>
          <w:bCs/>
          <w:color w:val="auto"/>
          <w:spacing w:val="6"/>
          <w:highlight w:val="none"/>
          <w:lang w:eastAsia="zh-CN"/>
        </w:rPr>
        <w:t>控制数据使用期限，超过规定的使用期限，数据领取单位无法继续使用数据；到期的数据，能够提供延期功能。</w:t>
      </w:r>
      <w:r>
        <w:rPr>
          <w:rFonts w:hint="eastAsia" w:ascii="宋体" w:hAnsi="宋体" w:eastAsia="宋体" w:cs="宋体"/>
          <w:b/>
          <w:bCs w:val="0"/>
          <w:color w:val="auto"/>
          <w:spacing w:val="6"/>
          <w:highlight w:val="none"/>
          <w:lang w:eastAsia="zh-CN"/>
        </w:rPr>
        <w:t>数据加密模式要求：</w:t>
      </w:r>
      <w:r>
        <w:rPr>
          <w:rFonts w:hint="eastAsia" w:ascii="宋体" w:hAnsi="宋体" w:eastAsia="宋体" w:cs="宋体"/>
          <w:bCs/>
          <w:color w:val="auto"/>
          <w:spacing w:val="6"/>
          <w:highlight w:val="none"/>
          <w:lang w:eastAsia="zh-CN"/>
        </w:rPr>
        <w:t>采用文件级加密方式，数据加密后，不改变数据格式和后缀，不改变用户操作习惯。</w:t>
      </w:r>
      <w:r>
        <w:rPr>
          <w:rFonts w:hint="eastAsia" w:ascii="宋体" w:hAnsi="宋体" w:eastAsia="宋体" w:cs="宋体"/>
          <w:b/>
          <w:bCs w:val="0"/>
          <w:color w:val="auto"/>
          <w:spacing w:val="6"/>
          <w:highlight w:val="none"/>
          <w:lang w:eastAsia="zh-CN"/>
        </w:rPr>
        <w:t>用户授权要求：</w:t>
      </w:r>
      <w:r>
        <w:rPr>
          <w:rFonts w:hint="eastAsia" w:ascii="宋体" w:hAnsi="宋体" w:eastAsia="宋体" w:cs="宋体"/>
          <w:bCs/>
          <w:color w:val="auto"/>
          <w:spacing w:val="6"/>
          <w:highlight w:val="none"/>
          <w:lang w:eastAsia="zh-CN"/>
        </w:rPr>
        <w:t>能够对加密数据使用单位的计算机进行批量授权，只有授权的计算机才能使用加密数据。</w:t>
      </w:r>
      <w:r>
        <w:rPr>
          <w:rFonts w:hint="eastAsia" w:ascii="宋体" w:hAnsi="宋体" w:eastAsia="宋体" w:cs="宋体"/>
          <w:b/>
          <w:bCs w:val="0"/>
          <w:color w:val="auto"/>
          <w:spacing w:val="6"/>
          <w:highlight w:val="none"/>
          <w:lang w:eastAsia="zh-CN"/>
        </w:rPr>
        <w:t>数据使用操作要求：</w:t>
      </w:r>
      <w:r>
        <w:rPr>
          <w:rFonts w:hint="eastAsia" w:ascii="宋体" w:hAnsi="宋体" w:eastAsia="宋体" w:cs="宋体"/>
          <w:bCs/>
          <w:color w:val="auto"/>
          <w:spacing w:val="6"/>
          <w:highlight w:val="none"/>
          <w:lang w:eastAsia="zh-CN"/>
        </w:rPr>
        <w:t>数据领取单位可同时使用加密数据和非加密数据；加密数据编辑、另存、裁剪、导入、导出、格式转换等方式产生的数据都自动加密。</w:t>
      </w:r>
      <w:r>
        <w:rPr>
          <w:rFonts w:hint="eastAsia" w:ascii="宋体" w:hAnsi="宋体" w:eastAsia="宋体" w:cs="宋体"/>
          <w:b/>
          <w:bCs w:val="0"/>
          <w:color w:val="auto"/>
          <w:spacing w:val="6"/>
          <w:highlight w:val="none"/>
          <w:lang w:eastAsia="zh-CN"/>
        </w:rPr>
        <w:t>联网报警要求：</w:t>
      </w:r>
      <w:r>
        <w:rPr>
          <w:rFonts w:hint="eastAsia" w:ascii="宋体" w:hAnsi="宋体" w:eastAsia="宋体" w:cs="宋体"/>
          <w:bCs/>
          <w:color w:val="auto"/>
          <w:spacing w:val="6"/>
          <w:highlight w:val="none"/>
          <w:lang w:eastAsia="zh-CN"/>
        </w:rPr>
        <w:t>使用加密数据时计算机一旦连接到互联网，系统能够自动切断加密数据的使用，并有相关报警信息。</w:t>
      </w:r>
      <w:r>
        <w:rPr>
          <w:rFonts w:hint="eastAsia" w:ascii="宋体" w:hAnsi="宋体" w:eastAsia="宋体" w:cs="宋体"/>
          <w:b/>
          <w:bCs w:val="0"/>
          <w:color w:val="auto"/>
          <w:spacing w:val="6"/>
          <w:highlight w:val="none"/>
          <w:lang w:eastAsia="zh-CN"/>
        </w:rPr>
        <w:t>日志管理分析要求：</w:t>
      </w:r>
      <w:r>
        <w:rPr>
          <w:rFonts w:hint="eastAsia" w:ascii="宋体" w:hAnsi="宋体" w:eastAsia="宋体" w:cs="宋体"/>
          <w:bCs/>
          <w:color w:val="auto"/>
          <w:spacing w:val="6"/>
          <w:highlight w:val="none"/>
          <w:lang w:eastAsia="zh-CN"/>
        </w:rPr>
        <w:t>系统可自动记录数据加密时的相关信息，便于查询和统计分析，记录的信息包括加密数据、加密时间、使用单位、到期时间等，并可对记录信息进行浏览、查询、统计、可视化表达、导出与自动备份等。</w:t>
      </w:r>
    </w:p>
    <w:p>
      <w:pPr>
        <w:pStyle w:val="102"/>
        <w:keepNext w:val="0"/>
        <w:keepLines w:val="0"/>
        <w:widowControl/>
        <w:numPr>
          <w:ilvl w:val="0"/>
          <w:numId w:val="13"/>
        </w:numPr>
        <w:suppressLineNumbers w:val="0"/>
        <w:ind w:left="0" w:firstLine="504"/>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eastAsia="zh-CN"/>
        </w:rPr>
        <w:t>集成要求：配发软件成果需结合已有数字水印与安控软件进行专门适配，以支持数据的自动加密和数字水印的自动嵌入。</w:t>
      </w:r>
    </w:p>
    <w:p>
      <w:pPr>
        <w:pStyle w:val="20"/>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2"/>
          <w:highlight w:val="none"/>
          <w:lang w:val="en-US"/>
        </w:rPr>
      </w:pPr>
      <w:r>
        <w:rPr>
          <w:rFonts w:hint="eastAsia" w:ascii="宋体" w:hAnsi="宋体" w:eastAsia="宋体" w:cs="宋体"/>
          <w:b/>
          <w:bCs w:val="0"/>
          <w:color w:val="auto"/>
          <w:kern w:val="2"/>
          <w:sz w:val="24"/>
          <w:szCs w:val="22"/>
          <w:highlight w:val="none"/>
          <w:lang w:val="en-US" w:eastAsia="zh-CN" w:bidi="ar"/>
        </w:rPr>
        <w:t>（三）提交成果</w:t>
      </w:r>
    </w:p>
    <w:tbl>
      <w:tblPr>
        <w:tblStyle w:val="25"/>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5"/>
        <w:gridCol w:w="2428"/>
        <w:gridCol w:w="1425"/>
        <w:gridCol w:w="1334"/>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567"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
                <w:bCs w:val="0"/>
                <w:color w:val="auto"/>
                <w:spacing w:val="6"/>
                <w:highlight w:val="none"/>
                <w:lang w:val="en-US"/>
              </w:rPr>
            </w:pPr>
            <w:r>
              <w:rPr>
                <w:rFonts w:hint="eastAsia" w:ascii="宋体" w:hAnsi="宋体" w:eastAsia="宋体" w:cs="宋体"/>
                <w:b/>
                <w:bCs w:val="0"/>
                <w:color w:val="auto"/>
                <w:spacing w:val="6"/>
                <w:highlight w:val="none"/>
              </w:rPr>
              <w:t>序号</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
                <w:bCs w:val="0"/>
                <w:color w:val="auto"/>
                <w:spacing w:val="6"/>
                <w:highlight w:val="none"/>
                <w:lang w:val="en-US"/>
              </w:rPr>
            </w:pPr>
            <w:r>
              <w:rPr>
                <w:rFonts w:hint="eastAsia" w:ascii="宋体" w:hAnsi="宋体" w:eastAsia="宋体" w:cs="宋体"/>
                <w:b/>
                <w:bCs w:val="0"/>
                <w:color w:val="auto"/>
                <w:spacing w:val="6"/>
                <w:highlight w:val="none"/>
              </w:rPr>
              <w:t>成果名称</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
                <w:bCs w:val="0"/>
                <w:color w:val="auto"/>
                <w:spacing w:val="6"/>
                <w:highlight w:val="none"/>
                <w:lang w:val="en-US"/>
              </w:rPr>
            </w:pPr>
            <w:r>
              <w:rPr>
                <w:rFonts w:hint="eastAsia" w:ascii="宋体" w:hAnsi="宋体" w:eastAsia="宋体" w:cs="宋体"/>
                <w:b/>
                <w:bCs w:val="0"/>
                <w:color w:val="auto"/>
                <w:spacing w:val="6"/>
                <w:highlight w:val="none"/>
              </w:rPr>
              <w:t>单位</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
                <w:bCs w:val="0"/>
                <w:color w:val="auto"/>
                <w:spacing w:val="6"/>
                <w:highlight w:val="none"/>
                <w:lang w:val="en-US"/>
              </w:rPr>
            </w:pPr>
            <w:r>
              <w:rPr>
                <w:rFonts w:hint="eastAsia" w:ascii="宋体" w:hAnsi="宋体" w:eastAsia="宋体" w:cs="宋体"/>
                <w:b/>
                <w:bCs w:val="0"/>
                <w:color w:val="auto"/>
                <w:spacing w:val="6"/>
                <w:highlight w:val="none"/>
              </w:rPr>
              <w:t>数量</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
                <w:bCs w:val="0"/>
                <w:color w:val="auto"/>
                <w:spacing w:val="6"/>
                <w:highlight w:val="none"/>
                <w:lang w:val="en-US"/>
              </w:rPr>
            </w:pPr>
            <w:r>
              <w:rPr>
                <w:rFonts w:hint="eastAsia" w:ascii="宋体" w:hAnsi="宋体" w:eastAsia="宋体" w:cs="宋体"/>
                <w:b/>
                <w:bCs w:val="0"/>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1</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设计方案</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本</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1</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2</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总结报告</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本</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1</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3</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用户手册</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本</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1</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4</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适配部署后的“地信智服”成果服务子场景试点成果的软件成果</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套</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lang w:val="en-US"/>
              </w:rPr>
              <w:t>1</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2"/>
              <w:keepNext w:val="0"/>
              <w:keepLines w:val="0"/>
              <w:widowControl/>
              <w:suppressLineNumbers w:val="0"/>
              <w:ind w:left="0" w:firstLine="0" w:firstLineChars="0"/>
              <w:textAlignment w:val="center"/>
              <w:rPr>
                <w:rFonts w:hint="eastAsia" w:ascii="宋体" w:hAnsi="宋体" w:eastAsia="宋体" w:cs="宋体"/>
                <w:bCs/>
                <w:color w:val="auto"/>
                <w:spacing w:val="6"/>
                <w:highlight w:val="none"/>
                <w:lang w:val="en-US"/>
              </w:rPr>
            </w:pPr>
            <w:r>
              <w:rPr>
                <w:rFonts w:hint="eastAsia" w:ascii="宋体" w:hAnsi="宋体" w:eastAsia="宋体" w:cs="宋体"/>
                <w:bCs/>
                <w:color w:val="auto"/>
                <w:spacing w:val="6"/>
                <w:highlight w:val="none"/>
              </w:rPr>
              <w:t>电子</w:t>
            </w:r>
          </w:p>
        </w:tc>
      </w:tr>
    </w:tbl>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第三条 合同金额</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kern w:val="2"/>
          <w:highlight w:val="none"/>
          <w:lang w:val="en-US" w:bidi="ar"/>
        </w:rPr>
      </w:pPr>
      <w:r>
        <w:rPr>
          <w:color w:val="auto"/>
          <w:kern w:val="2"/>
          <w:highlight w:val="none"/>
          <w:lang w:eastAsia="zh-CN" w:bidi="ar"/>
        </w:rPr>
        <w:t>（一）本合同金额为（大写）：</w:t>
      </w:r>
      <w:r>
        <w:rPr>
          <w:color w:val="auto"/>
          <w:kern w:val="2"/>
          <w:highlight w:val="none"/>
          <w:lang w:val="en-US" w:bidi="ar"/>
        </w:rPr>
        <w:t>___________________</w:t>
      </w:r>
      <w:r>
        <w:rPr>
          <w:color w:val="auto"/>
          <w:kern w:val="2"/>
          <w:highlight w:val="none"/>
          <w:lang w:eastAsia="zh-CN" w:bidi="ar"/>
        </w:rPr>
        <w:t>元（￥</w:t>
      </w:r>
      <w:r>
        <w:rPr>
          <w:color w:val="auto"/>
          <w:kern w:val="2"/>
          <w:highlight w:val="none"/>
          <w:lang w:val="en-US" w:bidi="ar"/>
        </w:rPr>
        <w:t>_______________</w:t>
      </w:r>
      <w:r>
        <w:rPr>
          <w:color w:val="auto"/>
          <w:kern w:val="2"/>
          <w:highlight w:val="none"/>
          <w:lang w:eastAsia="zh-CN" w:bidi="ar"/>
        </w:rPr>
        <w:t>元）人民币（含税）。</w:t>
      </w:r>
    </w:p>
    <w:p>
      <w:pPr>
        <w:keepNext w:val="0"/>
        <w:keepLines w:val="0"/>
        <w:widowControl/>
        <w:suppressLineNumbers w:val="0"/>
        <w:shd w:val="clear" w:fill="FFFFFF"/>
        <w:spacing w:before="0" w:beforeAutospacing="0" w:after="0" w:afterAutospacing="0" w:line="360" w:lineRule="auto"/>
        <w:ind w:left="0" w:right="0" w:firstLine="482" w:firstLineChars="200"/>
        <w:jc w:val="both"/>
        <w:rPr>
          <w:rFonts w:hint="eastAsia" w:ascii="宋体" w:hAnsi="宋体" w:eastAsia="宋体" w:cs="Arial"/>
          <w:b/>
          <w:bCs w:val="0"/>
          <w:color w:val="auto"/>
          <w:kern w:val="0"/>
          <w:sz w:val="24"/>
          <w:szCs w:val="24"/>
          <w:highlight w:val="none"/>
          <w:shd w:val="clear" w:fill="FFFFFF"/>
          <w:lang w:val="en-US"/>
        </w:rPr>
      </w:pPr>
      <w:r>
        <w:rPr>
          <w:rFonts w:hint="eastAsia" w:ascii="宋体" w:hAnsi="宋体" w:eastAsia="宋体" w:cs="Arial"/>
          <w:b/>
          <w:bCs w:val="0"/>
          <w:color w:val="auto"/>
          <w:kern w:val="0"/>
          <w:sz w:val="24"/>
          <w:szCs w:val="24"/>
          <w:highlight w:val="none"/>
          <w:shd w:val="clear" w:fill="FFFFFF"/>
          <w:lang w:val="en-US" w:eastAsia="zh-CN" w:bidi="ar"/>
        </w:rPr>
        <w:t>第四条 甲乙双方责任</w:t>
      </w:r>
    </w:p>
    <w:p>
      <w:pPr>
        <w:pStyle w:val="20"/>
        <w:widowControl/>
        <w:shd w:val="clear" w:fill="FFFFFF"/>
        <w:spacing w:before="0" w:beforeAutospacing="0" w:after="0" w:afterAutospacing="0" w:line="360" w:lineRule="auto"/>
        <w:ind w:left="0" w:right="0" w:firstLine="480" w:firstLineChars="200"/>
        <w:jc w:val="both"/>
        <w:rPr>
          <w:rFonts w:cs="Arial"/>
          <w:color w:val="auto"/>
          <w:highlight w:val="none"/>
          <w:shd w:val="clear" w:fill="FFFFFF"/>
          <w:lang w:val="en-US"/>
        </w:rPr>
      </w:pPr>
      <w:r>
        <w:rPr>
          <w:rFonts w:cs="Arial"/>
          <w:color w:val="auto"/>
          <w:highlight w:val="none"/>
          <w:shd w:val="clear" w:fill="FFFFFF"/>
          <w:lang w:eastAsia="zh-CN"/>
        </w:rPr>
        <w:t>（一）甲方责任</w:t>
      </w:r>
    </w:p>
    <w:p>
      <w:pPr>
        <w:pStyle w:val="20"/>
        <w:widowControl/>
        <w:shd w:val="clear" w:fill="FFFFFF"/>
        <w:spacing w:before="0" w:beforeAutospacing="0" w:after="0" w:afterAutospacing="0" w:line="360" w:lineRule="auto"/>
        <w:ind w:left="0" w:right="0" w:firstLine="480" w:firstLineChars="200"/>
        <w:jc w:val="both"/>
        <w:rPr>
          <w:rFonts w:cs="Arial"/>
          <w:color w:val="auto"/>
          <w:highlight w:val="none"/>
          <w:shd w:val="clear" w:fill="FFFFFF"/>
          <w:lang w:val="en-US"/>
        </w:rPr>
      </w:pPr>
      <w:r>
        <w:rPr>
          <w:rFonts w:cs="Arial"/>
          <w:color w:val="auto"/>
          <w:highlight w:val="none"/>
          <w:shd w:val="clear" w:fill="FFFFFF"/>
          <w:lang w:eastAsia="zh-CN"/>
        </w:rPr>
        <w:t>（根据招标结果确定）</w:t>
      </w:r>
    </w:p>
    <w:p>
      <w:pPr>
        <w:pStyle w:val="20"/>
        <w:widowControl/>
        <w:shd w:val="clear" w:fill="FFFFFF"/>
        <w:spacing w:before="0" w:beforeAutospacing="0" w:after="0" w:afterAutospacing="0" w:line="360" w:lineRule="auto"/>
        <w:ind w:left="0" w:right="0" w:firstLine="480" w:firstLineChars="200"/>
        <w:jc w:val="both"/>
        <w:rPr>
          <w:rFonts w:cs="Arial"/>
          <w:color w:val="auto"/>
          <w:highlight w:val="none"/>
          <w:shd w:val="clear" w:fill="FFFFFF"/>
          <w:lang w:val="en-US"/>
        </w:rPr>
      </w:pPr>
      <w:r>
        <w:rPr>
          <w:rFonts w:cs="Arial"/>
          <w:color w:val="auto"/>
          <w:highlight w:val="none"/>
          <w:shd w:val="clear" w:fill="FFFFFF"/>
          <w:lang w:eastAsia="zh-CN"/>
        </w:rPr>
        <w:t>（二）乙方责任</w:t>
      </w:r>
    </w:p>
    <w:p>
      <w:pPr>
        <w:pStyle w:val="20"/>
        <w:widowControl/>
        <w:shd w:val="clear" w:fill="FFFFFF"/>
        <w:spacing w:before="0" w:beforeAutospacing="0" w:after="0" w:afterAutospacing="0" w:line="360" w:lineRule="auto"/>
        <w:ind w:left="0" w:right="0" w:firstLine="480" w:firstLineChars="200"/>
        <w:jc w:val="both"/>
        <w:rPr>
          <w:rFonts w:cs="Arial"/>
          <w:color w:val="auto"/>
          <w:highlight w:val="none"/>
          <w:shd w:val="clear" w:fill="FFFFFF"/>
          <w:lang w:val="en-US"/>
        </w:rPr>
      </w:pPr>
      <w:r>
        <w:rPr>
          <w:color w:val="auto"/>
          <w:highlight w:val="none"/>
          <w:shd w:val="clear" w:fill="FFFFFF"/>
          <w:lang w:eastAsia="zh-CN"/>
        </w:rPr>
        <w:t>（根据招标结果确定）</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第五条 技术资料</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（一）乙方应按本合同、招标文件规定向甲方提供有关技术资料、服务和成果。</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二）没有甲方事先书面同意，乙方不得将由甲方提供的有关合同或任何合同条文、规格、计划、图纸、样品或资料或因履行本合同所接触的信息、资料提供给与履行本合同无关的任何其他人。即使向履行本合同有关的人员提供，也应注意保密并限于履行合同的必需范围。</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第六条 不侵权</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kern w:val="2"/>
          <w:highlight w:val="none"/>
          <w:lang w:val="en-US" w:bidi="ar"/>
        </w:rPr>
      </w:pPr>
      <w:r>
        <w:rPr>
          <w:color w:val="auto"/>
          <w:kern w:val="2"/>
          <w:highlight w:val="none"/>
          <w:lang w:eastAsia="zh-CN" w:bidi="ar"/>
        </w:rPr>
        <w:t>（一）乙方应保证提供服务过程中不会侵犯任何第三方的知识产权或其他合法权益。</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kern w:val="2"/>
          <w:highlight w:val="none"/>
          <w:lang w:val="en-US" w:bidi="ar"/>
        </w:rPr>
      </w:pPr>
      <w:r>
        <w:rPr>
          <w:color w:val="auto"/>
          <w:kern w:val="2"/>
          <w:highlight w:val="none"/>
          <w:lang w:eastAsia="zh-CN" w:bidi="ar"/>
        </w:rPr>
        <w:t>（二）若侵犯第三方合法权益（包括但不限于知识产权）</w:t>
      </w:r>
      <w:r>
        <w:rPr>
          <w:color w:val="auto"/>
          <w:kern w:val="2"/>
          <w:highlight w:val="none"/>
          <w:lang w:val="en-US" w:bidi="ar"/>
        </w:rPr>
        <w:t>,</w:t>
      </w:r>
      <w:r>
        <w:rPr>
          <w:color w:val="auto"/>
          <w:kern w:val="2"/>
          <w:highlight w:val="none"/>
          <w:lang w:eastAsia="zh-CN" w:bidi="ar"/>
        </w:rPr>
        <w:t>乙方应当负责解决相关争议，由乙方赔偿甲方因此遭受的损失（包括但不限于法院最终判决的甲方应支付第三方的一切费用、应对及追偿过程中所支付的律师费、差旅费、诉讼费、保全费、鉴定费、评估费等）。</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第七条 转包或分包</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kern w:val="2"/>
          <w:highlight w:val="none"/>
          <w:lang w:val="en-US" w:bidi="ar"/>
        </w:rPr>
      </w:pPr>
      <w:r>
        <w:rPr>
          <w:color w:val="auto"/>
          <w:kern w:val="2"/>
          <w:highlight w:val="none"/>
          <w:lang w:eastAsia="zh-CN" w:bidi="ar"/>
        </w:rPr>
        <w:t>（一）本合同范围的服务，应由乙方直接供应，不得转让、转包他人供应。</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kern w:val="2"/>
          <w:highlight w:val="none"/>
          <w:lang w:val="en-US" w:bidi="ar"/>
        </w:rPr>
      </w:pPr>
      <w:r>
        <w:rPr>
          <w:color w:val="auto"/>
          <w:kern w:val="2"/>
          <w:highlight w:val="none"/>
          <w:lang w:eastAsia="zh-CN" w:bidi="ar"/>
        </w:rPr>
        <w:t>（二）除非得到甲方的书面同意，乙方不得将本合同范围的服务全部或部分分包给他人供应。</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kern w:val="2"/>
          <w:highlight w:val="none"/>
          <w:lang w:val="en-US" w:bidi="ar"/>
        </w:rPr>
      </w:pPr>
      <w:r>
        <w:rPr>
          <w:color w:val="auto"/>
          <w:kern w:val="2"/>
          <w:highlight w:val="none"/>
          <w:lang w:eastAsia="zh-CN" w:bidi="ar"/>
        </w:rPr>
        <w:t>（三）如有转让、转包和未经甲方同意的分包行为，甲方有权选择解除合同，追究乙方的违约责任。</w:t>
      </w:r>
    </w:p>
    <w:p>
      <w:pPr>
        <w:pStyle w:val="20"/>
        <w:keepNext w:val="0"/>
        <w:keepLines w:val="0"/>
        <w:widowControl w:val="0"/>
        <w:suppressLineNumbers w:val="0"/>
        <w:autoSpaceDE w:val="0"/>
        <w:autoSpaceDN/>
        <w:spacing w:before="0" w:beforeAutospacing="0" w:after="0" w:afterAutospacing="0" w:line="360" w:lineRule="auto"/>
        <w:ind w:left="0" w:right="0" w:firstLine="482" w:firstLineChars="200"/>
        <w:jc w:val="both"/>
        <w:textAlignment w:val="center"/>
        <w:rPr>
          <w:rFonts w:cs="宋体"/>
          <w:b/>
          <w:bCs w:val="0"/>
          <w:color w:val="auto"/>
          <w:spacing w:val="6"/>
          <w:highlight w:val="none"/>
          <w:lang w:val="en-US"/>
        </w:rPr>
      </w:pPr>
      <w:r>
        <w:rPr>
          <w:rFonts w:ascii="Calibri" w:cs="宋体"/>
          <w:b/>
          <w:bCs w:val="0"/>
          <w:color w:val="auto"/>
          <w:kern w:val="2"/>
          <w:szCs w:val="21"/>
          <w:highlight w:val="none"/>
          <w:lang w:eastAsia="zh-CN" w:bidi="ar"/>
        </w:rPr>
        <w:t>第八条</w:t>
      </w:r>
      <w:r>
        <w:rPr>
          <w:rFonts w:hint="default" w:ascii="Calibri" w:hAnsi="宋体" w:cs="宋体"/>
          <w:b/>
          <w:bCs w:val="0"/>
          <w:color w:val="auto"/>
          <w:kern w:val="2"/>
          <w:szCs w:val="21"/>
          <w:highlight w:val="none"/>
          <w:lang w:eastAsia="zh-CN" w:bidi="ar"/>
        </w:rPr>
        <w:t xml:space="preserve"> </w:t>
      </w:r>
      <w:r>
        <w:rPr>
          <w:rFonts w:cs="宋体"/>
          <w:b/>
          <w:bCs w:val="0"/>
          <w:color w:val="auto"/>
          <w:spacing w:val="6"/>
          <w:kern w:val="2"/>
          <w:highlight w:val="none"/>
          <w:lang w:eastAsia="zh-CN" w:bidi="ar"/>
        </w:rPr>
        <w:t>工期要求</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2024年12月31日前，乙方完成系统安装部署并有效运行，完成测绘成果数据入库，</w:t>
      </w:r>
      <w:r>
        <w:rPr>
          <w:rFonts w:hint="eastAsia" w:ascii="宋体" w:hAnsi="宋体" w:eastAsia="宋体" w:cs="宋体"/>
          <w:color w:val="auto"/>
          <w:kern w:val="2"/>
          <w:sz w:val="24"/>
          <w:szCs w:val="24"/>
          <w:highlight w:val="none"/>
          <w:lang w:val="en-US" w:eastAsia="zh-CN" w:bidi="ar"/>
        </w:rPr>
        <w:t>同步更新线上场景的元数据</w:t>
      </w:r>
      <w:r>
        <w:rPr>
          <w:rFonts w:hint="eastAsia" w:ascii="宋体" w:hAnsi="宋体" w:eastAsia="宋体" w:cs="宋体"/>
          <w:bCs/>
          <w:color w:val="auto"/>
          <w:spacing w:val="6"/>
          <w:kern w:val="2"/>
          <w:sz w:val="24"/>
          <w:szCs w:val="24"/>
          <w:highlight w:val="none"/>
          <w:lang w:val="en-US" w:eastAsia="zh-CN" w:bidi="ar"/>
        </w:rPr>
        <w:t>，完成</w:t>
      </w:r>
      <w:r>
        <w:rPr>
          <w:rFonts w:hint="eastAsia" w:ascii="宋体" w:hAnsi="宋体" w:eastAsia="宋体" w:cs="宋体"/>
          <w:color w:val="auto"/>
          <w:kern w:val="2"/>
          <w:sz w:val="24"/>
          <w:szCs w:val="24"/>
          <w:highlight w:val="none"/>
          <w:lang w:val="en-US" w:eastAsia="zh-CN" w:bidi="ar"/>
        </w:rPr>
        <w:t>数字水印与安控软件集成适配工作</w:t>
      </w:r>
      <w:r>
        <w:rPr>
          <w:rFonts w:hint="eastAsia" w:ascii="宋体" w:hAnsi="宋体" w:eastAsia="宋体" w:cs="宋体"/>
          <w:bCs/>
          <w:color w:val="auto"/>
          <w:spacing w:val="6"/>
          <w:kern w:val="2"/>
          <w:sz w:val="24"/>
          <w:szCs w:val="24"/>
          <w:highlight w:val="none"/>
          <w:lang w:val="en-US" w:eastAsia="zh-CN" w:bidi="ar"/>
        </w:rPr>
        <w:t>。</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color w:val="auto"/>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2025年1月1日开始，各县（市、区）进入常态化应用阶段，乙方通过电话、通讯软件、现场对接等方式，为各县（市、区）用户提供日常技术支持，根据需求反馈迭代更新软件功能。</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2025年10月31日前，完成项目验收。</w:t>
      </w:r>
    </w:p>
    <w:p>
      <w:pPr>
        <w:pStyle w:val="20"/>
        <w:keepNext w:val="0"/>
        <w:keepLines w:val="0"/>
        <w:widowControl w:val="0"/>
        <w:suppressLineNumbers w:val="0"/>
        <w:autoSpaceDE w:val="0"/>
        <w:autoSpaceDN/>
        <w:spacing w:before="0" w:beforeAutospacing="0" w:after="0" w:afterAutospacing="0" w:line="360" w:lineRule="auto"/>
        <w:ind w:left="0" w:right="0" w:firstLine="482" w:firstLineChars="200"/>
        <w:jc w:val="both"/>
        <w:textAlignment w:val="center"/>
        <w:rPr>
          <w:rFonts w:cs="宋体"/>
          <w:b/>
          <w:bCs w:val="0"/>
          <w:color w:val="auto"/>
          <w:highlight w:val="none"/>
          <w:lang w:val="en-US"/>
        </w:rPr>
      </w:pPr>
      <w:r>
        <w:rPr>
          <w:rFonts w:cs="宋体"/>
          <w:b/>
          <w:bCs w:val="0"/>
          <w:color w:val="auto"/>
          <w:kern w:val="2"/>
          <w:highlight w:val="none"/>
          <w:lang w:eastAsia="zh-CN" w:bidi="ar"/>
        </w:rPr>
        <w:t>第九条 服务期</w:t>
      </w:r>
    </w:p>
    <w:p>
      <w:pPr>
        <w:pStyle w:val="20"/>
        <w:keepNext w:val="0"/>
        <w:keepLines w:val="0"/>
        <w:widowControl w:val="0"/>
        <w:suppressLineNumbers w:val="0"/>
        <w:autoSpaceDE w:val="0"/>
        <w:autoSpaceDN/>
        <w:spacing w:before="0" w:beforeAutospacing="0" w:after="0" w:afterAutospacing="0" w:line="360" w:lineRule="auto"/>
        <w:ind w:left="0" w:right="0" w:firstLine="418" w:firstLineChars="166"/>
        <w:jc w:val="both"/>
        <w:textAlignment w:val="center"/>
        <w:rPr>
          <w:rFonts w:cs="宋体"/>
          <w:color w:val="auto"/>
          <w:highlight w:val="none"/>
          <w:lang w:val="en-US"/>
        </w:rPr>
      </w:pPr>
      <w:r>
        <w:rPr>
          <w:rFonts w:cs="宋体"/>
          <w:color w:val="auto"/>
          <w:spacing w:val="6"/>
          <w:kern w:val="2"/>
          <w:highlight w:val="none"/>
          <w:lang w:eastAsia="zh-CN" w:bidi="ar"/>
        </w:rPr>
        <w:t>（一）服务期：</w:t>
      </w:r>
      <w:r>
        <w:rPr>
          <w:rFonts w:cs="宋体"/>
          <w:color w:val="auto"/>
          <w:spacing w:val="6"/>
          <w:kern w:val="2"/>
          <w:highlight w:val="none"/>
          <w:lang w:val="en-US" w:bidi="ar"/>
        </w:rPr>
        <w:t>1</w:t>
      </w:r>
      <w:r>
        <w:rPr>
          <w:rFonts w:cs="宋体"/>
          <w:color w:val="auto"/>
          <w:spacing w:val="6"/>
          <w:kern w:val="2"/>
          <w:highlight w:val="none"/>
          <w:lang w:eastAsia="zh-CN" w:bidi="ar"/>
        </w:rPr>
        <w:t>年（自合同签订之日起计）。</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第十条 合同履行时间、履行方式及履行地点</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（一）履行时间：</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（二） 履行方式：</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（三）履行地点：</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第十一条 款项支付</w:t>
      </w:r>
    </w:p>
    <w:p>
      <w:pPr>
        <w:pStyle w:val="20"/>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（一）付款方式：</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黄岩区：合同签订生效及项目通过本地验收和市局综合验收后，并根据财政预算经费实际安排到位时，甲方收到乙方开具的合同款有效发票后,一次性支付合同金额。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路桥</w:t>
      </w:r>
      <w:r>
        <w:rPr>
          <w:rFonts w:hint="eastAsia" w:ascii="宋体" w:hAnsi="宋体" w:eastAsia="宋体" w:cs="宋体"/>
          <w:color w:val="auto"/>
          <w:kern w:val="2"/>
          <w:sz w:val="24"/>
          <w:szCs w:val="24"/>
          <w:highlight w:val="none"/>
          <w:lang w:val="en-US" w:eastAsia="zh-CN" w:bidi="ar"/>
        </w:rPr>
        <w:t>区：合同签订生效及项目通过本地验收和市局综合验收后，并根据财政预算经费实际安排到位时，甲方收到乙方开具的合同款有效发票后,一次性支付合同金额。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温岭市：合同签订生效以及具备实施条件后7个工作日内，甲方在收到乙方开具的合同款有效发票后,支付合同金额的40%作为预付款；完成系统安装部署并有效运行，完成测绘成果数据入库，同步更新线上场景的元数据，完成数字水印与安控软件集成适配工作，甲方收到乙方开具的合同款有效发票后,支付合同金额的40%。在项目通过本地验收和市局综合验收后，甲方收到乙方开具的合同款有效发票后,支付合同金额的20%。</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玉环市：合同签订生效及项目通过本地验收和市局综合验收后，并根据财政预算经费实际安排到位时，甲方收到乙方开具的合同款有效发票后,一次性支付合同金额。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天台县：合同签订生效及项目通过本地验收和市局综合验收后，并根据财政预算经费实际安排到位时，甲方收到乙方开具的合同款有效发票后,一次性支付合同金额。</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仙居县：合同签订生效以及具备实施条件后7个工作日内，甲方在收到乙方开具的合同款有效发票后,支付合同金额的40%作为预付款；在项目通过本地验收和市局综合验收后，甲方收到乙方开具的合同款有效发票后,支付合同金额的60%。</w:t>
      </w:r>
    </w:p>
    <w:p>
      <w:pPr>
        <w:pStyle w:val="20"/>
        <w:keepNext w:val="0"/>
        <w:keepLines w:val="0"/>
        <w:widowControl w:val="0"/>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三门县：合同签订生效以及具备实施条件后7个工作日内，甲方在收到乙方开具的合同款有效发票后,支付合同金额的40%作为预付款；在项目通过本地验收和市局综合验收后，甲方收到乙方开具的合同款有效发票后,支付合同金额的60%。（如支付的总金额超过当年政府预算额度，则超额部分结转下一年度结算。）</w:t>
      </w:r>
    </w:p>
    <w:p>
      <w:pPr>
        <w:pStyle w:val="20"/>
        <w:keepNext w:val="0"/>
        <w:keepLines w:val="0"/>
        <w:widowControl w:val="0"/>
        <w:suppressLineNumbers w:val="0"/>
        <w:spacing w:before="0" w:beforeAutospacing="0" w:after="0" w:afterAutospacing="0" w:line="360" w:lineRule="auto"/>
        <w:ind w:left="0" w:right="0" w:firstLine="504" w:firstLineChars="200"/>
        <w:jc w:val="both"/>
        <w:textAlignment w:val="center"/>
        <w:rPr>
          <w:rFonts w:hint="eastAsia" w:ascii="宋体" w:hAnsi="宋体" w:eastAsia="宋体" w:cs="宋体"/>
          <w:bCs/>
          <w:color w:val="auto"/>
          <w:spacing w:val="6"/>
          <w:sz w:val="24"/>
          <w:szCs w:val="24"/>
          <w:highlight w:val="none"/>
          <w:lang w:val="en-US"/>
        </w:rPr>
      </w:pPr>
      <w:r>
        <w:rPr>
          <w:rFonts w:hint="eastAsia" w:ascii="宋体" w:hAnsi="宋体" w:eastAsia="宋体" w:cs="宋体"/>
          <w:bCs/>
          <w:color w:val="auto"/>
          <w:spacing w:val="6"/>
          <w:kern w:val="2"/>
          <w:sz w:val="24"/>
          <w:szCs w:val="24"/>
          <w:highlight w:val="none"/>
          <w:lang w:val="en-US" w:eastAsia="zh-CN" w:bidi="ar"/>
        </w:rPr>
        <w:t>因本合同项目为政府财政资金项目，合同款支付还应符合政府财政支付计划，若财政支付计划发生调整，则从其调整。双方确认，因财政支付计划导致甲方付款延迟的，甲方不承担违约责任。</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第十二条 税费</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本合同执行中相关的一切税费均由乙方负担。</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color w:val="auto"/>
          <w:highlight w:val="none"/>
          <w:lang w:val="en-US"/>
        </w:rPr>
      </w:pPr>
      <w:r>
        <w:rPr>
          <w:b/>
          <w:bCs w:val="0"/>
          <w:color w:val="auto"/>
          <w:kern w:val="2"/>
          <w:highlight w:val="none"/>
          <w:lang w:eastAsia="zh-CN" w:bidi="ar"/>
        </w:rPr>
        <w:t>第十三条 质量保证及后续服务</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（一）乙方应按不低于本合同、招标文件、投标文件规定和承诺的标准向甲方提供成果、服务。</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（二）</w:t>
      </w:r>
      <w:r>
        <w:rPr>
          <w:rFonts w:ascii="Times New Roman" w:hAnsi="Times New Roman"/>
          <w:color w:val="auto"/>
          <w:kern w:val="2"/>
          <w:highlight w:val="none"/>
          <w:lang w:eastAsia="zh-CN" w:bidi="ar"/>
        </w:rPr>
        <w:t>本项目服务期为</w:t>
      </w:r>
      <w:r>
        <w:rPr>
          <w:rFonts w:hint="default" w:ascii="Times New Roman" w:hAnsi="Times New Roman" w:cs="Times New Roman"/>
          <w:color w:val="auto"/>
          <w:kern w:val="2"/>
          <w:highlight w:val="none"/>
          <w:lang w:val="en-US" w:bidi="ar"/>
        </w:rPr>
        <w:t>1</w:t>
      </w:r>
      <w:r>
        <w:rPr>
          <w:rFonts w:ascii="Times New Roman" w:hAnsi="Times New Roman"/>
          <w:color w:val="auto"/>
          <w:kern w:val="2"/>
          <w:highlight w:val="none"/>
          <w:lang w:eastAsia="zh-CN" w:bidi="ar"/>
        </w:rPr>
        <w:t>年（自合同签订之日起计）。</w:t>
      </w:r>
      <w:r>
        <w:rPr>
          <w:color w:val="auto"/>
          <w:kern w:val="2"/>
          <w:highlight w:val="none"/>
          <w:lang w:eastAsia="zh-CN" w:bidi="ar"/>
        </w:rPr>
        <w:t>乙方提供的服务成果在服务期内存在质量问题或者不符合合同约定、国家标准、行业标准或有关规定的，乙方应负责免费提供后续服务。对达不到甲方要求者，根据实际情况，经双方协商，可按以下办法处理：</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val="en-US" w:bidi="ar"/>
        </w:rPr>
        <w:t>1.</w:t>
      </w:r>
      <w:r>
        <w:rPr>
          <w:color w:val="auto"/>
          <w:kern w:val="2"/>
          <w:highlight w:val="none"/>
          <w:lang w:eastAsia="zh-CN" w:bidi="ar"/>
        </w:rPr>
        <w:t>重做：由乙方承担所发生的全部费用。</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val="en-US" w:bidi="ar"/>
        </w:rPr>
        <w:t>2.</w:t>
      </w:r>
      <w:r>
        <w:rPr>
          <w:color w:val="auto"/>
          <w:kern w:val="2"/>
          <w:highlight w:val="none"/>
          <w:lang w:eastAsia="zh-CN" w:bidi="ar"/>
        </w:rPr>
        <w:t>贬值处理：由甲乙双方合议定价或由乙方赔偿甲方的全部损失。</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val="en-US" w:bidi="ar"/>
        </w:rPr>
        <w:t>3.</w:t>
      </w:r>
      <w:r>
        <w:rPr>
          <w:color w:val="auto"/>
          <w:kern w:val="2"/>
          <w:highlight w:val="none"/>
          <w:lang w:eastAsia="zh-CN" w:bidi="ar"/>
        </w:rPr>
        <w:t>解除合同。</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（三）如在使用过程中发生问题，乙方在接到甲方通知后在</w:t>
      </w:r>
      <w:r>
        <w:rPr>
          <w:color w:val="auto"/>
          <w:kern w:val="2"/>
          <w:highlight w:val="none"/>
          <w:u w:val="single"/>
          <w:lang w:val="en-US" w:bidi="ar"/>
        </w:rPr>
        <w:t xml:space="preserve">   </w:t>
      </w:r>
      <w:r>
        <w:rPr>
          <w:color w:val="auto"/>
          <w:kern w:val="2"/>
          <w:highlight w:val="none"/>
          <w:lang w:eastAsia="zh-CN" w:bidi="ar"/>
        </w:rPr>
        <w:t>小时内到达甲方现场。</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b w:val="0"/>
          <w:bCs w:val="0"/>
          <w:color w:val="auto"/>
          <w:kern w:val="2"/>
          <w:highlight w:val="none"/>
          <w:lang w:val="en-US" w:bidi="ar"/>
        </w:rPr>
      </w:pPr>
      <w:r>
        <w:rPr>
          <w:b w:val="0"/>
          <w:bCs w:val="0"/>
          <w:color w:val="auto"/>
          <w:kern w:val="2"/>
          <w:highlight w:val="none"/>
          <w:lang w:eastAsia="zh-CN" w:bidi="ar"/>
        </w:rPr>
        <w:t>（四）在服务期内，乙方应对出现的质量及安全问题负责处理解决并承担一切费用。</w:t>
      </w:r>
    </w:p>
    <w:p>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2"/>
          <w:sz w:val="24"/>
          <w:szCs w:val="24"/>
          <w:highlight w:val="none"/>
          <w:lang w:val="en-US" w:eastAsia="zh-CN" w:bidi="ar"/>
        </w:rPr>
        <w:t>（五）验收要求</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zh-TW" w:eastAsia="zh-TW"/>
        </w:rPr>
      </w:pPr>
      <w:r>
        <w:rPr>
          <w:rFonts w:hint="eastAsia" w:ascii="宋体" w:hAnsi="宋体" w:eastAsia="宋体" w:cs="宋体"/>
          <w:snapToGrid w:val="0"/>
          <w:color w:val="auto"/>
          <w:kern w:val="0"/>
          <w:sz w:val="24"/>
          <w:szCs w:val="24"/>
          <w:highlight w:val="none"/>
          <w:lang w:val="en-US" w:eastAsia="zh-CN" w:bidi="ar"/>
        </w:rPr>
        <w:t>1、</w:t>
      </w:r>
      <w:r>
        <w:rPr>
          <w:rFonts w:hint="eastAsia" w:ascii="宋体" w:hAnsi="宋体" w:eastAsia="宋体" w:cs="宋体"/>
          <w:snapToGrid w:val="0"/>
          <w:color w:val="auto"/>
          <w:kern w:val="0"/>
          <w:sz w:val="24"/>
          <w:szCs w:val="24"/>
          <w:highlight w:val="none"/>
          <w:lang w:val="zh-TW" w:eastAsia="zh-CN" w:bidi="ar"/>
        </w:rPr>
        <w:t>验收标准</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8"/>
          <w:sz w:val="24"/>
          <w:szCs w:val="24"/>
          <w:highlight w:val="none"/>
          <w:lang w:val="en-US" w:bidi="ar"/>
        </w:rPr>
      </w:pPr>
      <w:r>
        <w:rPr>
          <w:rFonts w:hint="eastAsia" w:ascii="宋体" w:hAnsi="宋体" w:eastAsia="宋体" w:cs="宋体"/>
          <w:color w:val="auto"/>
          <w:kern w:val="28"/>
          <w:sz w:val="24"/>
          <w:szCs w:val="24"/>
          <w:highlight w:val="none"/>
          <w:lang w:val="en-US" w:eastAsia="zh-CN" w:bidi="ar"/>
        </w:rPr>
        <w:t>根据《中华人民共和国政府采购法》、《中华人民共和国民法典》、《中华人民共和国政府采购法实施条例》、财政部《财政部关于进一步加强政府采购需求和履约验收管理的指导意见》（财库[2016]205号）等相关法律、法规、规范性文件要求，</w:t>
      </w:r>
      <w:r>
        <w:rPr>
          <w:rFonts w:hint="eastAsia" w:ascii="宋体" w:hAnsi="宋体" w:eastAsia="宋体" w:cs="宋体"/>
          <w:color w:val="auto"/>
          <w:kern w:val="28"/>
          <w:sz w:val="24"/>
          <w:szCs w:val="24"/>
          <w:highlight w:val="none"/>
          <w:lang w:val="zh-CN" w:eastAsia="zh-CN" w:bidi="ar"/>
        </w:rPr>
        <w:t>依据本项目的</w:t>
      </w:r>
      <w:r>
        <w:rPr>
          <w:rFonts w:hint="eastAsia" w:ascii="宋体" w:hAnsi="宋体" w:eastAsia="宋体" w:cs="宋体"/>
          <w:color w:val="auto"/>
          <w:kern w:val="28"/>
          <w:sz w:val="24"/>
          <w:szCs w:val="24"/>
          <w:highlight w:val="none"/>
          <w:lang w:val="en-US" w:eastAsia="zh-CN" w:bidi="ar"/>
        </w:rPr>
        <w:t>招标</w:t>
      </w:r>
      <w:r>
        <w:rPr>
          <w:rFonts w:hint="eastAsia" w:ascii="宋体" w:hAnsi="宋体" w:eastAsia="宋体" w:cs="宋体"/>
          <w:color w:val="auto"/>
          <w:kern w:val="28"/>
          <w:sz w:val="24"/>
          <w:szCs w:val="24"/>
          <w:highlight w:val="none"/>
          <w:lang w:val="zh-CN" w:eastAsia="zh-CN" w:bidi="ar"/>
        </w:rPr>
        <w:t>文件、</w:t>
      </w:r>
      <w:r>
        <w:rPr>
          <w:rFonts w:hint="eastAsia" w:ascii="宋体" w:hAnsi="宋体" w:eastAsia="宋体" w:cs="宋体"/>
          <w:color w:val="auto"/>
          <w:kern w:val="28"/>
          <w:sz w:val="24"/>
          <w:szCs w:val="24"/>
          <w:highlight w:val="none"/>
          <w:lang w:val="en-US" w:eastAsia="zh-CN" w:bidi="ar"/>
        </w:rPr>
        <w:t>乙方投标文件、技术设计书要求进行验收。</w:t>
      </w:r>
    </w:p>
    <w:p>
      <w:pPr>
        <w:keepNext w:val="0"/>
        <w:keepLines w:val="0"/>
        <w:widowControl w:val="0"/>
        <w:suppressLineNumbers w:val="0"/>
        <w:adjustRightInd w:val="0"/>
        <w:snapToGrid w:val="0"/>
        <w:spacing w:before="0" w:beforeAutospacing="0" w:after="0" w:afterAutospacing="0" w:line="360" w:lineRule="auto"/>
        <w:ind w:left="420" w:leftChars="200" w:right="0"/>
        <w:jc w:val="both"/>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2、验收组织程序</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乙方服务完成后，由各县（市、区）甲方（用户单位）组织本地验收，台州市自然资源和规划局对本项目进行综合验收。</w:t>
      </w:r>
    </w:p>
    <w:p>
      <w:pPr>
        <w:pStyle w:val="6"/>
        <w:widowControl/>
        <w:ind w:left="0" w:firstLine="481"/>
        <w:rPr>
          <w:rFonts w:cs="宋体"/>
          <w:color w:val="auto"/>
          <w:sz w:val="24"/>
          <w:szCs w:val="24"/>
          <w:highlight w:val="none"/>
          <w:lang w:val="en-US" w:bidi="ar"/>
        </w:rPr>
      </w:pPr>
      <w:r>
        <w:rPr>
          <w:rFonts w:cs="宋体"/>
          <w:color w:val="auto"/>
          <w:sz w:val="24"/>
          <w:szCs w:val="24"/>
          <w:highlight w:val="none"/>
          <w:lang w:val="en-US" w:bidi="ar"/>
        </w:rPr>
        <w:t>3</w:t>
      </w:r>
      <w:r>
        <w:rPr>
          <w:rFonts w:cs="宋体"/>
          <w:color w:val="auto"/>
          <w:sz w:val="24"/>
          <w:szCs w:val="24"/>
          <w:highlight w:val="none"/>
          <w:lang w:eastAsia="zh-CN" w:bidi="ar"/>
        </w:rPr>
        <w:t>、其他要求</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lang w:val="en-US" w:eastAsia="zh-CN" w:bidi="ar"/>
        </w:rPr>
        <w:t>（1）本项目验收费用由乙方承担。</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2"/>
          <w:sz w:val="24"/>
          <w:szCs w:val="24"/>
          <w:highlight w:val="none"/>
          <w:lang w:val="en-US" w:eastAsia="zh-CN" w:bidi="ar"/>
        </w:rPr>
        <w:t>（2）乙方未通过验收，甲方有权要求乙方进行整改，相关费用（包括但不限于重新组织验收等费用）由乙方承担；如乙方未在要求期限内整改完成或整改后仍不合格或已经无法整改的，甲方有权要求乙方承担违约责任，并拒绝支付相关款项。</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第十四条 违约责任</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（一）甲方无正当理由拒绝接受服务并拒付费用且解除合同的，甲方向乙方偿付合同款项</w:t>
      </w:r>
      <w:r>
        <w:rPr>
          <w:color w:val="auto"/>
          <w:kern w:val="2"/>
          <w:highlight w:val="none"/>
          <w:u w:val="single"/>
          <w:lang w:eastAsia="zh-CN" w:bidi="ar"/>
        </w:rPr>
        <w:t>百分之五</w:t>
      </w:r>
      <w:r>
        <w:rPr>
          <w:color w:val="auto"/>
          <w:kern w:val="2"/>
          <w:highlight w:val="none"/>
          <w:lang w:eastAsia="zh-CN" w:bidi="ar"/>
        </w:rPr>
        <w:t>作为违约金。</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（二）甲方无故逾期验收和办理款项支付手续的</w:t>
      </w:r>
      <w:r>
        <w:rPr>
          <w:color w:val="auto"/>
          <w:kern w:val="2"/>
          <w:highlight w:val="none"/>
          <w:lang w:val="en-US" w:bidi="ar"/>
        </w:rPr>
        <w:t>,</w:t>
      </w:r>
      <w:r>
        <w:rPr>
          <w:color w:val="auto"/>
          <w:kern w:val="2"/>
          <w:highlight w:val="none"/>
          <w:lang w:eastAsia="zh-CN" w:bidi="ar"/>
        </w:rPr>
        <w:t>甲方应从逾期之日起按逾期付款金额</w:t>
      </w:r>
      <w:r>
        <w:rPr>
          <w:color w:val="auto"/>
          <w:kern w:val="2"/>
          <w:highlight w:val="none"/>
          <w:u w:val="single"/>
          <w:lang w:eastAsia="zh-CN" w:bidi="ar"/>
        </w:rPr>
        <w:t>每日万分之五</w:t>
      </w:r>
      <w:r>
        <w:rPr>
          <w:color w:val="auto"/>
          <w:kern w:val="2"/>
          <w:highlight w:val="none"/>
          <w:lang w:eastAsia="zh-CN" w:bidi="ar"/>
        </w:rPr>
        <w:t>向乙方支付违约金。</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（三）乙方未能如期提供成果或服务的，每日向甲方支付合同款项的</w:t>
      </w:r>
      <w:r>
        <w:rPr>
          <w:color w:val="auto"/>
          <w:kern w:val="2"/>
          <w:highlight w:val="none"/>
          <w:u w:val="single"/>
          <w:lang w:eastAsia="zh-CN" w:bidi="ar"/>
        </w:rPr>
        <w:t>千分之六</w:t>
      </w:r>
      <w:r>
        <w:rPr>
          <w:color w:val="auto"/>
          <w:kern w:val="2"/>
          <w:highlight w:val="none"/>
          <w:lang w:eastAsia="zh-CN" w:bidi="ar"/>
        </w:rPr>
        <w:t>作为违约金。乙方超过约定日期</w:t>
      </w:r>
      <w:r>
        <w:rPr>
          <w:color w:val="auto"/>
          <w:kern w:val="2"/>
          <w:highlight w:val="none"/>
          <w:lang w:val="en-US" w:bidi="ar"/>
        </w:rPr>
        <w:t>10</w:t>
      </w:r>
      <w:r>
        <w:rPr>
          <w:color w:val="auto"/>
          <w:kern w:val="2"/>
          <w:highlight w:val="none"/>
          <w:lang w:eastAsia="zh-CN" w:bidi="ar"/>
        </w:rPr>
        <w:t>个工作日仍不能提供服务的，甲方可选择解除本合同。乙方因未能如期提供成果或服务或因其他违约行为导致甲方解除合同的，乙方应向甲方支付合同总值</w:t>
      </w:r>
      <w:r>
        <w:rPr>
          <w:color w:val="auto"/>
          <w:kern w:val="2"/>
          <w:highlight w:val="none"/>
          <w:u w:val="single"/>
          <w:lang w:val="en-US" w:bidi="ar"/>
        </w:rPr>
        <w:t>5%</w:t>
      </w:r>
      <w:r>
        <w:rPr>
          <w:color w:val="auto"/>
          <w:kern w:val="2"/>
          <w:highlight w:val="none"/>
          <w:lang w:eastAsia="zh-CN" w:bidi="ar"/>
        </w:rPr>
        <w:t xml:space="preserve">的违约金，如造成甲方损失超过违约金的，超出部分由乙方继续承担赔偿责任。 </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第十五条 不可抗力事件处理</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（一）在合同有效期内，任何一方因不可抗力事件导致不能履行合同，则合同履行期可延长，其延长期与不可抗力影响期相同。</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（二）不可抗力事件发生后，受到不可抗力影响的一方应立即通知对方，并寄送有关权威机构出具的证明。</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（三）不可抗力事件延续</w:t>
      </w:r>
      <w:r>
        <w:rPr>
          <w:color w:val="auto"/>
          <w:kern w:val="2"/>
          <w:highlight w:val="none"/>
          <w:lang w:val="en-US" w:bidi="ar"/>
        </w:rPr>
        <w:t>120</w:t>
      </w:r>
      <w:r>
        <w:rPr>
          <w:color w:val="auto"/>
          <w:kern w:val="2"/>
          <w:highlight w:val="none"/>
          <w:lang w:eastAsia="zh-CN" w:bidi="ar"/>
        </w:rPr>
        <w:t>天以上，双方应通过友好协商，确定是否继续履行合同。</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第十六条 解决争议的方法</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kern w:val="2"/>
          <w:highlight w:val="none"/>
          <w:lang w:eastAsia="zh-CN" w:bidi="ar"/>
        </w:rPr>
        <w:t>因本合同引起的或与本合同有关的任何争议，应协商解决；协商不成时，可提请政府采购管理部门调解；调解不成的通过通过以下第（</w:t>
      </w:r>
      <w:r>
        <w:rPr>
          <w:color w:val="auto"/>
          <w:kern w:val="2"/>
          <w:highlight w:val="none"/>
          <w:lang w:val="en-US" w:bidi="ar"/>
        </w:rPr>
        <w:t xml:space="preserve">  </w:t>
      </w:r>
      <w:r>
        <w:rPr>
          <w:color w:val="auto"/>
          <w:kern w:val="2"/>
          <w:highlight w:val="none"/>
          <w:lang w:eastAsia="zh-CN" w:bidi="ar"/>
        </w:rPr>
        <w:t>）方式解决：</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（一）提交</w:t>
      </w:r>
      <w:r>
        <w:rPr>
          <w:rFonts w:hint="eastAsia" w:ascii="宋体" w:hAnsi="宋体" w:eastAsia="宋体" w:cs="宋体"/>
          <w:color w:val="auto"/>
          <w:kern w:val="2"/>
          <w:sz w:val="24"/>
          <w:szCs w:val="24"/>
          <w:highlight w:val="none"/>
          <w:u w:val="single"/>
          <w:lang w:val="en-US" w:eastAsia="zh-CN" w:bidi="ar"/>
        </w:rPr>
        <w:t>台州</w:t>
      </w:r>
      <w:r>
        <w:rPr>
          <w:rFonts w:hint="eastAsia" w:ascii="宋体" w:hAnsi="宋体" w:eastAsia="宋体" w:cs="宋体"/>
          <w:color w:val="auto"/>
          <w:kern w:val="0"/>
          <w:sz w:val="24"/>
          <w:szCs w:val="24"/>
          <w:highlight w:val="none"/>
          <w:lang w:val="en-US" w:eastAsia="zh-CN" w:bidi="ar"/>
        </w:rPr>
        <w:t>仲裁委员会仲裁。</w:t>
      </w:r>
    </w:p>
    <w:p>
      <w:pPr>
        <w:keepNext w:val="0"/>
        <w:keepLines w:val="0"/>
        <w:widowControl/>
        <w:suppressLineNumbers w:val="0"/>
        <w:spacing w:before="0" w:beforeAutospacing="0" w:after="0" w:afterAutospacing="0" w:line="360" w:lineRule="auto"/>
        <w:ind w:left="0" w:right="0" w:firstLine="480" w:firstLineChars="200"/>
        <w:jc w:val="both"/>
        <w:rPr>
          <w:rFonts w:hAnsi="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（二）依法向人民法院提起诉讼。除非生效裁判另有认定，败诉方应当承担相对方为主张权利支出的全部费用，包括但不限于诉讼费、律师费、财产保全费、财产保全保险费。 </w:t>
      </w:r>
    </w:p>
    <w:p>
      <w:pPr>
        <w:pStyle w:val="20"/>
        <w:keepNext w:val="0"/>
        <w:keepLines w:val="0"/>
        <w:widowControl w:val="0"/>
        <w:suppressLineNumbers w:val="0"/>
        <w:snapToGrid w:val="0"/>
        <w:spacing w:before="0" w:beforeAutospacing="0" w:after="0" w:afterAutospacing="0" w:line="360" w:lineRule="auto"/>
        <w:ind w:left="0" w:right="0" w:firstLine="482" w:firstLineChars="200"/>
        <w:jc w:val="both"/>
        <w:rPr>
          <w:b/>
          <w:bCs w:val="0"/>
          <w:color w:val="auto"/>
          <w:highlight w:val="none"/>
          <w:lang w:val="en-US"/>
        </w:rPr>
      </w:pPr>
      <w:r>
        <w:rPr>
          <w:b/>
          <w:bCs w:val="0"/>
          <w:color w:val="auto"/>
          <w:kern w:val="2"/>
          <w:highlight w:val="none"/>
          <w:lang w:eastAsia="zh-CN" w:bidi="ar"/>
        </w:rPr>
        <w:t>第十七条 合同生效及其它</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highlight w:val="none"/>
          <w:lang w:eastAsia="zh-CN" w:bidi="ar"/>
        </w:rPr>
        <w:t>（一）</w:t>
      </w:r>
      <w:r>
        <w:rPr>
          <w:color w:val="auto"/>
          <w:kern w:val="2"/>
          <w:highlight w:val="none"/>
          <w:lang w:eastAsia="zh-CN" w:bidi="ar"/>
        </w:rPr>
        <w:t>合同经双方法定代表人或授权代表签字并加盖单位公章后生效。</w:t>
      </w:r>
    </w:p>
    <w:p>
      <w:pPr>
        <w:pStyle w:val="20"/>
        <w:keepNext w:val="0"/>
        <w:keepLines w:val="0"/>
        <w:widowControl w:val="0"/>
        <w:suppressLineNumbers w:val="0"/>
        <w:snapToGrid w:val="0"/>
        <w:spacing w:before="0" w:beforeAutospacing="0" w:after="0" w:afterAutospacing="0" w:line="360" w:lineRule="auto"/>
        <w:ind w:left="0" w:right="0" w:firstLine="480" w:firstLineChars="200"/>
        <w:jc w:val="both"/>
        <w:rPr>
          <w:color w:val="auto"/>
          <w:highlight w:val="none"/>
          <w:lang w:val="en-US"/>
        </w:rPr>
      </w:pPr>
      <w:r>
        <w:rPr>
          <w:color w:val="auto"/>
          <w:highlight w:val="none"/>
          <w:lang w:eastAsia="zh-CN" w:bidi="ar"/>
        </w:rPr>
        <w:t>（二）</w:t>
      </w:r>
      <w:r>
        <w:rPr>
          <w:color w:val="auto"/>
          <w:kern w:val="2"/>
          <w:highlight w:val="none"/>
          <w:lang w:eastAsia="zh-CN" w:bidi="ar"/>
        </w:rPr>
        <w:t>本合同未尽事宜，遵照《中华人民共和国民法典》等法律法规有关条文执行。</w:t>
      </w:r>
    </w:p>
    <w:p>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本合同一式六份，具有同等法律效力。甲、乙、采购代理机构各执两份。本项目未尽事宜以招标文件、投标文件及澄清文件等为准。</w:t>
      </w:r>
    </w:p>
    <w:p>
      <w:pPr>
        <w:pStyle w:val="20"/>
        <w:widowControl/>
        <w:autoSpaceDE w:val="0"/>
        <w:autoSpaceDN w:val="0"/>
        <w:adjustRightInd w:val="0"/>
        <w:spacing w:before="0" w:beforeAutospacing="0" w:after="0" w:afterAutospacing="0" w:line="312" w:lineRule="auto"/>
        <w:ind w:left="0" w:right="0" w:firstLine="480" w:firstLineChars="200"/>
        <w:textAlignment w:val="baseline"/>
        <w:rPr>
          <w:rFonts w:hint="default" w:ascii="Times New Roman" w:hAnsi="宋体" w:cs="宋体"/>
          <w:color w:val="auto"/>
          <w:kern w:val="2"/>
          <w:highlight w:val="none"/>
          <w:vertAlign w:val="baseline"/>
          <w:lang w:val="en-US" w:bidi="ar"/>
        </w:rPr>
      </w:pPr>
    </w:p>
    <w:tbl>
      <w:tblPr>
        <w:tblStyle w:val="25"/>
        <w:tblW w:w="9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88"/>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517" w:hRule="atLeast"/>
          <w:jc w:val="center"/>
        </w:trPr>
        <w:tc>
          <w:tcPr>
            <w:tcW w:w="4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甲方（盖章）：</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法定代表人</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或授权代表（签字）：</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联系人：</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地 址：</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电 话：</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Calibri" w:eastAsia="宋体" w:cs="宋体"/>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传 真：</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开户银行：</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帐 号：</w:t>
            </w:r>
          </w:p>
          <w:p>
            <w:pPr>
              <w:keepNext w:val="0"/>
              <w:keepLines w:val="0"/>
              <w:widowControl w:val="0"/>
              <w:suppressLineNumbers w:val="0"/>
              <w:autoSpaceDE w:val="0"/>
              <w:autoSpaceDN w:val="0"/>
              <w:adjustRightInd w:val="0"/>
              <w:spacing w:before="0" w:beforeAutospacing="0" w:after="120" w:afterAutospacing="0"/>
              <w:ind w:left="0" w:right="0"/>
              <w:jc w:val="both"/>
              <w:textAlignment w:val="baseline"/>
              <w:rPr>
                <w:rFonts w:hint="eastAsia" w:ascii="宋体" w:hAnsi="Calibri" w:eastAsia="宋体" w:cs="宋体"/>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签订时间：   年   月    日</w:t>
            </w:r>
          </w:p>
        </w:tc>
        <w:tc>
          <w:tcPr>
            <w:tcW w:w="4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乙方（盖章）：</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法定代表人</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或授权代表（签字）：</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联系人：</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Calibri" w:eastAsia="宋体" w:cs="宋体"/>
                <w:color w:val="auto"/>
                <w:kern w:val="0"/>
                <w:sz w:val="24"/>
                <w:szCs w:val="24"/>
                <w:highlight w:val="none"/>
                <w:vertAlign w:val="baseline"/>
                <w:lang w:val="en-US"/>
              </w:rPr>
            </w:pPr>
            <w:r>
              <w:rPr>
                <w:rFonts w:hint="eastAsia" w:ascii="宋体" w:hAnsi="Calibri" w:eastAsia="宋体" w:cs="宋体"/>
                <w:color w:val="auto"/>
                <w:kern w:val="0"/>
                <w:sz w:val="24"/>
                <w:szCs w:val="24"/>
                <w:highlight w:val="none"/>
                <w:vertAlign w:val="baseline"/>
                <w:lang w:val="en-US" w:eastAsia="zh-CN" w:bidi="ar"/>
              </w:rPr>
              <w:t>地址：</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bCs/>
                <w:color w:val="auto"/>
                <w:kern w:val="0"/>
                <w:sz w:val="24"/>
                <w:szCs w:val="24"/>
                <w:highlight w:val="none"/>
                <w:vertAlign w:val="baseline"/>
                <w:lang w:val="en-US"/>
              </w:rPr>
            </w:pPr>
            <w:r>
              <w:rPr>
                <w:rFonts w:hint="eastAsia" w:ascii="宋体" w:hAnsi="宋体" w:eastAsia="宋体" w:cs="宋体"/>
                <w:color w:val="auto"/>
                <w:kern w:val="0"/>
                <w:sz w:val="24"/>
                <w:szCs w:val="24"/>
                <w:highlight w:val="none"/>
                <w:vertAlign w:val="baseline"/>
                <w:lang w:val="en-US" w:eastAsia="zh-CN" w:bidi="ar"/>
              </w:rPr>
              <w:t>电 话：</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传 真：</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color w:val="auto"/>
                <w:kern w:val="0"/>
                <w:sz w:val="24"/>
                <w:szCs w:val="24"/>
                <w:highlight w:val="none"/>
                <w:vertAlign w:val="baseline"/>
                <w:lang w:val="en-US"/>
              </w:rPr>
            </w:pPr>
            <w:r>
              <w:rPr>
                <w:rFonts w:hint="eastAsia" w:ascii="宋体" w:hAnsi="宋体" w:eastAsia="宋体" w:cs="宋体"/>
                <w:color w:val="auto"/>
                <w:kern w:val="0"/>
                <w:sz w:val="24"/>
                <w:szCs w:val="24"/>
                <w:highlight w:val="none"/>
                <w:vertAlign w:val="baseline"/>
                <w:lang w:val="en-US" w:eastAsia="zh-CN" w:bidi="ar"/>
              </w:rPr>
              <w:t>开户银行：</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color w:val="auto"/>
                <w:kern w:val="0"/>
                <w:sz w:val="24"/>
                <w:szCs w:val="24"/>
                <w:highlight w:val="none"/>
                <w:vertAlign w:val="baseline"/>
                <w:lang w:val="en-US"/>
              </w:rPr>
            </w:pPr>
            <w:r>
              <w:rPr>
                <w:rFonts w:hint="eastAsia" w:ascii="宋体" w:hAnsi="宋体" w:eastAsia="宋体" w:cs="宋体"/>
                <w:color w:val="auto"/>
                <w:kern w:val="0"/>
                <w:sz w:val="24"/>
                <w:szCs w:val="24"/>
                <w:highlight w:val="none"/>
                <w:vertAlign w:val="baseline"/>
                <w:lang w:val="en-US" w:eastAsia="zh-CN" w:bidi="ar"/>
              </w:rPr>
              <w:t>帐 号：</w:t>
            </w:r>
          </w:p>
          <w:p>
            <w:pPr>
              <w:keepNext w:val="0"/>
              <w:keepLines w:val="0"/>
              <w:widowControl w:val="0"/>
              <w:suppressLineNumbers w:val="0"/>
              <w:autoSpaceDE w:val="0"/>
              <w:autoSpaceDN w:val="0"/>
              <w:adjustRightInd w:val="0"/>
              <w:spacing w:before="0" w:beforeAutospacing="0" w:after="0" w:afterAutospacing="0" w:line="360" w:lineRule="auto"/>
              <w:ind w:left="0" w:right="-105" w:rightChars="-50"/>
              <w:jc w:val="left"/>
              <w:textAlignment w:val="baseline"/>
              <w:rPr>
                <w:rFonts w:hint="eastAsia" w:ascii="宋体" w:hAnsi="宋体" w:eastAsia="宋体" w:cs="宋体"/>
                <w:color w:val="auto"/>
                <w:kern w:val="0"/>
                <w:sz w:val="24"/>
                <w:szCs w:val="24"/>
                <w:highlight w:val="none"/>
                <w:vertAlign w:val="baseline"/>
                <w:lang w:val="en-US"/>
              </w:rPr>
            </w:pPr>
            <w:r>
              <w:rPr>
                <w:rFonts w:hint="eastAsia" w:ascii="宋体" w:hAnsi="宋体" w:eastAsia="宋体" w:cs="宋体"/>
                <w:bCs/>
                <w:color w:val="auto"/>
                <w:kern w:val="0"/>
                <w:sz w:val="24"/>
                <w:szCs w:val="24"/>
                <w:highlight w:val="none"/>
                <w:vertAlign w:val="baseline"/>
                <w:lang w:val="en-US" w:eastAsia="zh-CN" w:bidi="ar"/>
              </w:rPr>
              <w:t>签订时间</w:t>
            </w:r>
            <w:r>
              <w:rPr>
                <w:rFonts w:hint="eastAsia" w:ascii="宋体" w:hAnsi="宋体" w:eastAsia="宋体" w:cs="宋体"/>
                <w:color w:val="auto"/>
                <w:kern w:val="0"/>
                <w:sz w:val="24"/>
                <w:szCs w:val="24"/>
                <w:highlight w:val="none"/>
                <w:vertAlign w:val="baseline"/>
                <w:lang w:val="en-US" w:eastAsia="zh-CN" w:bidi="ar"/>
              </w:rPr>
              <w:t xml:space="preserve">：     </w:t>
            </w:r>
            <w:r>
              <w:rPr>
                <w:rFonts w:hint="eastAsia" w:ascii="宋体" w:hAnsi="Calibri" w:eastAsia="宋体" w:cs="宋体"/>
                <w:color w:val="auto"/>
                <w:kern w:val="0"/>
                <w:sz w:val="24"/>
                <w:szCs w:val="24"/>
                <w:highlight w:val="none"/>
                <w:vertAlign w:val="baseline"/>
                <w:lang w:val="en-US" w:eastAsia="zh-CN" w:bidi="ar"/>
              </w:rPr>
              <w:t>年   月    日</w:t>
            </w:r>
          </w:p>
          <w:p>
            <w:pPr>
              <w:keepNext w:val="0"/>
              <w:keepLines w:val="0"/>
              <w:widowControl w:val="0"/>
              <w:suppressLineNumbers w:val="0"/>
              <w:autoSpaceDE w:val="0"/>
              <w:autoSpaceDN w:val="0"/>
              <w:adjustRightInd w:val="0"/>
              <w:spacing w:before="0" w:beforeAutospacing="0" w:after="120" w:afterAutospacing="0"/>
              <w:ind w:left="420" w:leftChars="200" w:right="0" w:firstLine="480" w:firstLineChars="200"/>
              <w:jc w:val="left"/>
              <w:textAlignment w:val="baseline"/>
              <w:rPr>
                <w:rFonts w:hint="eastAsia" w:ascii="宋体" w:hAnsi="Calibri" w:eastAsia="宋体" w:cs="宋体"/>
                <w:color w:val="auto"/>
                <w:kern w:val="0"/>
                <w:sz w:val="24"/>
                <w:szCs w:val="24"/>
                <w:highlight w:val="none"/>
                <w:vertAlign w:val="baseline"/>
                <w:lang w:val="en-US"/>
              </w:rPr>
            </w:pPr>
          </w:p>
        </w:tc>
      </w:tr>
    </w:tbl>
    <w:p>
      <w:pPr>
        <w:keepNext w:val="0"/>
        <w:keepLines w:val="0"/>
        <w:widowControl w:val="0"/>
        <w:suppressLineNumbers w:val="0"/>
        <w:spacing w:before="0" w:beforeAutospacing="0" w:after="0" w:afterAutospacing="0"/>
        <w:ind w:left="0" w:right="0"/>
        <w:jc w:val="both"/>
        <w:rPr>
          <w:color w:val="auto"/>
          <w:highlight w:val="none"/>
          <w:lang w:val="en-US"/>
        </w:rPr>
      </w:pPr>
    </w:p>
    <w:p>
      <w:pPr>
        <w:keepNext w:val="0"/>
        <w:keepLines w:val="0"/>
        <w:widowControl w:val="0"/>
        <w:suppressLineNumbers w:val="0"/>
        <w:spacing w:before="0" w:beforeAutospacing="0" w:after="0" w:afterAutospacing="0"/>
        <w:ind w:left="0" w:right="0"/>
        <w:jc w:val="both"/>
        <w:rPr>
          <w:color w:val="auto"/>
          <w:highlight w:val="none"/>
          <w:lang w:val="en-US"/>
        </w:rPr>
      </w:pPr>
    </w:p>
    <w:p>
      <w:pPr>
        <w:keepNext w:val="0"/>
        <w:keepLines w:val="0"/>
        <w:widowControl w:val="0"/>
        <w:suppressLineNumbers w:val="0"/>
        <w:spacing w:before="0" w:beforeAutospacing="0" w:after="0" w:afterAutospacing="0"/>
        <w:ind w:left="0" w:right="0"/>
        <w:jc w:val="both"/>
        <w:rPr>
          <w:color w:val="auto"/>
          <w:highlight w:val="none"/>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36"/>
          <w:szCs w:val="36"/>
          <w:highlight w:val="none"/>
          <w:lang w:val="en-US"/>
        </w:rPr>
      </w:pPr>
      <w:r>
        <w:rPr>
          <w:rFonts w:hint="eastAsia" w:ascii="宋体" w:hAnsi="宋体" w:eastAsia="宋体" w:cs="Times New Roman"/>
          <w:b/>
          <w:bCs w:val="0"/>
          <w:color w:val="auto"/>
          <w:kern w:val="2"/>
          <w:sz w:val="36"/>
          <w:szCs w:val="36"/>
          <w:highlight w:val="none"/>
          <w:lang w:val="en-US" w:eastAsia="zh-CN" w:bidi="ar"/>
        </w:rPr>
        <w:br w:type="page"/>
      </w: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31"/>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pStyle w:val="17"/>
        <w:ind w:left="0" w:leftChars="0" w:firstLine="0"/>
        <w:jc w:val="center"/>
        <w:rPr>
          <w:rFonts w:ascii="宋体" w:hAnsi="宋体"/>
          <w:color w:val="auto"/>
          <w:sz w:val="36"/>
          <w:szCs w:val="36"/>
          <w:highlight w:val="none"/>
        </w:rPr>
      </w:pPr>
      <w:r>
        <w:rPr>
          <w:rFonts w:hint="eastAsia" w:ascii="宋体" w:hAnsi="宋体"/>
          <w:color w:val="auto"/>
          <w:sz w:val="36"/>
          <w:szCs w:val="36"/>
          <w:highlight w:val="none"/>
        </w:rPr>
        <w:t>台州市自然资源和规划信息中心</w:t>
      </w:r>
    </w:p>
    <w:p>
      <w:pPr>
        <w:pStyle w:val="17"/>
        <w:ind w:left="0" w:leftChars="0" w:firstLine="0"/>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lang w:eastAsia="zh-CN"/>
        </w:rPr>
        <w:t>“地信智服”成果服务子场景试点成果全市推广应用服务项目</w:t>
      </w:r>
    </w:p>
    <w:p>
      <w:pPr>
        <w:pStyle w:val="17"/>
        <w:ind w:left="0" w:leftChars="0" w:firstLine="0"/>
        <w:jc w:val="center"/>
        <w:rPr>
          <w:rFonts w:hint="eastAsia" w:ascii="宋体" w:hAnsi="宋体" w:eastAsia="宋体"/>
          <w:color w:val="auto"/>
          <w:sz w:val="36"/>
          <w:szCs w:val="36"/>
          <w:highlight w:val="none"/>
          <w:lang w:eastAsia="zh-CN"/>
        </w:rPr>
      </w:pPr>
      <w:r>
        <w:rPr>
          <w:rStyle w:val="64"/>
          <w:rFonts w:hint="eastAsia" w:ascii="宋体" w:hAnsi="宋体"/>
          <w:color w:val="auto"/>
          <w:sz w:val="36"/>
          <w:szCs w:val="36"/>
          <w:highlight w:val="none"/>
        </w:rPr>
        <w:t>项目编号：</w:t>
      </w:r>
      <w:r>
        <w:rPr>
          <w:rFonts w:hint="eastAsia" w:ascii="宋体" w:hAnsi="宋体"/>
          <w:color w:val="auto"/>
          <w:sz w:val="36"/>
          <w:szCs w:val="36"/>
          <w:highlight w:val="none"/>
          <w:lang w:eastAsia="zh-CN"/>
        </w:rPr>
        <w:t>TZTX-2024-GK068</w:t>
      </w:r>
    </w:p>
    <w:p>
      <w:pPr>
        <w:pStyle w:val="17"/>
        <w:ind w:left="0" w:leftChars="0" w:firstLine="0"/>
        <w:jc w:val="center"/>
        <w:rPr>
          <w:rFonts w:ascii="宋体" w:hAnsi="宋体"/>
          <w:color w:val="auto"/>
          <w:sz w:val="36"/>
          <w:szCs w:val="36"/>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投标人全称（电子印章）：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p>
    <w:p>
      <w:pPr>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pPr>
        <w:pStyle w:val="17"/>
        <w:rPr>
          <w:color w:val="auto"/>
          <w:highlight w:val="none"/>
        </w:rPr>
      </w:pPr>
    </w:p>
    <w:p>
      <w:pPr>
        <w:jc w:val="center"/>
        <w:rPr>
          <w:b/>
          <w:bCs/>
          <w:color w:val="auto"/>
          <w:sz w:val="32"/>
          <w:szCs w:val="40"/>
          <w:highlight w:val="none"/>
        </w:rPr>
      </w:pPr>
      <w:r>
        <w:rPr>
          <w:rFonts w:hint="eastAsia"/>
          <w:b/>
          <w:bCs/>
          <w:color w:val="auto"/>
          <w:sz w:val="32"/>
          <w:szCs w:val="40"/>
          <w:highlight w:val="none"/>
        </w:rPr>
        <w:t>资格证明文件目录</w:t>
      </w:r>
    </w:p>
    <w:p>
      <w:pPr>
        <w:pStyle w:val="9"/>
        <w:rPr>
          <w:color w:val="auto"/>
          <w:highlight w:val="none"/>
        </w:rPr>
      </w:pPr>
    </w:p>
    <w:p>
      <w:pPr>
        <w:rPr>
          <w:color w:val="auto"/>
          <w:highlight w:val="none"/>
        </w:rPr>
      </w:pPr>
    </w:p>
    <w:p>
      <w:pPr>
        <w:spacing w:line="360" w:lineRule="auto"/>
        <w:ind w:firstLine="480" w:firstLineChars="200"/>
        <w:rPr>
          <w:color w:val="auto"/>
          <w:sz w:val="24"/>
          <w:highlight w:val="none"/>
        </w:rPr>
      </w:pPr>
      <w:bookmarkStart w:id="61" w:name="_Toc27049_WPSOffice_Level1"/>
      <w:bookmarkStart w:id="62" w:name="_Toc12587_WPSOffice_Level1"/>
      <w:r>
        <w:rPr>
          <w:rFonts w:hint="eastAsia"/>
          <w:color w:val="auto"/>
          <w:sz w:val="24"/>
          <w:highlight w:val="none"/>
        </w:rPr>
        <w:t>1、投标声明书（附件2）</w:t>
      </w:r>
      <w:bookmarkEnd w:id="61"/>
      <w:bookmarkEnd w:id="62"/>
    </w:p>
    <w:p>
      <w:pPr>
        <w:spacing w:line="360" w:lineRule="auto"/>
        <w:ind w:firstLine="480" w:firstLineChars="200"/>
        <w:rPr>
          <w:color w:val="auto"/>
          <w:sz w:val="24"/>
          <w:highlight w:val="none"/>
        </w:rPr>
      </w:pPr>
      <w:bookmarkStart w:id="63" w:name="_Toc28306_WPSOffice_Level1"/>
      <w:bookmarkStart w:id="64" w:name="_Toc25574_WPSOffice_Level1"/>
      <w:r>
        <w:rPr>
          <w:rFonts w:hint="eastAsia"/>
          <w:color w:val="auto"/>
          <w:sz w:val="24"/>
          <w:highlight w:val="none"/>
        </w:rPr>
        <w:t>2、</w:t>
      </w:r>
      <w:r>
        <w:rPr>
          <w:color w:val="auto"/>
          <w:sz w:val="24"/>
          <w:highlight w:val="none"/>
        </w:rPr>
        <w:t>授权</w:t>
      </w:r>
      <w:r>
        <w:rPr>
          <w:rFonts w:hint="eastAsia"/>
          <w:color w:val="auto"/>
          <w:sz w:val="24"/>
          <w:highlight w:val="none"/>
        </w:rPr>
        <w:t>委托</w:t>
      </w:r>
      <w:r>
        <w:rPr>
          <w:color w:val="auto"/>
          <w:sz w:val="24"/>
          <w:highlight w:val="none"/>
        </w:rPr>
        <w:t>书</w:t>
      </w:r>
      <w:r>
        <w:rPr>
          <w:rFonts w:hint="eastAsia"/>
          <w:color w:val="auto"/>
          <w:sz w:val="24"/>
          <w:highlight w:val="none"/>
        </w:rPr>
        <w:t>（法定代表人办理投标事宜的，则无需提交）（附件3）</w:t>
      </w:r>
      <w:bookmarkEnd w:id="63"/>
      <w:bookmarkEnd w:id="64"/>
    </w:p>
    <w:p>
      <w:pPr>
        <w:spacing w:line="360" w:lineRule="auto"/>
        <w:ind w:firstLine="480" w:firstLineChars="200"/>
        <w:rPr>
          <w:color w:val="auto"/>
          <w:sz w:val="24"/>
          <w:highlight w:val="none"/>
        </w:rPr>
      </w:pPr>
      <w:bookmarkStart w:id="65" w:name="_Toc29616_WPSOffice_Level1"/>
      <w:bookmarkStart w:id="66" w:name="_Toc32100_WPSOffice_Level1"/>
      <w:r>
        <w:rPr>
          <w:rFonts w:hint="eastAsia"/>
          <w:color w:val="auto"/>
          <w:sz w:val="24"/>
          <w:highlight w:val="none"/>
        </w:rPr>
        <w:t>3、</w:t>
      </w:r>
      <w:r>
        <w:rPr>
          <w:color w:val="auto"/>
          <w:sz w:val="24"/>
          <w:highlight w:val="none"/>
        </w:rPr>
        <w:t>法人或者其他组织的营业执照等证明文件，自然人的身份证明</w:t>
      </w:r>
      <w:bookmarkEnd w:id="65"/>
      <w:bookmarkEnd w:id="66"/>
    </w:p>
    <w:p>
      <w:pPr>
        <w:spacing w:line="360" w:lineRule="auto"/>
        <w:ind w:firstLine="480" w:firstLineChars="200"/>
        <w:rPr>
          <w:color w:val="auto"/>
          <w:sz w:val="24"/>
          <w:highlight w:val="none"/>
        </w:rPr>
      </w:pPr>
      <w:bookmarkStart w:id="67" w:name="_Toc25807_WPSOffice_Level1"/>
      <w:bookmarkStart w:id="68" w:name="_Toc9981_WPSOffice_Level1"/>
      <w:r>
        <w:rPr>
          <w:rFonts w:hint="eastAsia"/>
          <w:color w:val="auto"/>
          <w:sz w:val="24"/>
          <w:highlight w:val="none"/>
        </w:rPr>
        <w:t>4、</w:t>
      </w:r>
      <w:r>
        <w:rPr>
          <w:color w:val="auto"/>
          <w:sz w:val="24"/>
          <w:highlight w:val="none"/>
        </w:rPr>
        <w:t>财务状况报告，依法缴纳税收和社会保障资金的相关材料</w:t>
      </w:r>
      <w:bookmarkEnd w:id="67"/>
      <w:bookmarkEnd w:id="68"/>
    </w:p>
    <w:p>
      <w:pPr>
        <w:spacing w:line="360" w:lineRule="auto"/>
        <w:ind w:firstLine="480" w:firstLineChars="200"/>
        <w:rPr>
          <w:color w:val="auto"/>
          <w:sz w:val="24"/>
          <w:highlight w:val="none"/>
        </w:rPr>
      </w:pPr>
      <w:bookmarkStart w:id="69" w:name="_Toc2696_WPSOffice_Level1"/>
      <w:bookmarkStart w:id="70" w:name="_Toc30751_WPSOffice_Level1"/>
      <w:r>
        <w:rPr>
          <w:rFonts w:hint="eastAsia"/>
          <w:color w:val="auto"/>
          <w:sz w:val="24"/>
          <w:highlight w:val="none"/>
        </w:rPr>
        <w:t>5、</w:t>
      </w:r>
      <w:r>
        <w:rPr>
          <w:color w:val="auto"/>
          <w:sz w:val="24"/>
          <w:highlight w:val="none"/>
        </w:rPr>
        <w:t>具备履行合同所必需的设备和专业技术能力的证明材料</w:t>
      </w:r>
      <w:bookmarkEnd w:id="69"/>
      <w:bookmarkEnd w:id="70"/>
    </w:p>
    <w:p>
      <w:pPr>
        <w:spacing w:line="360" w:lineRule="auto"/>
        <w:ind w:firstLine="480" w:firstLineChars="200"/>
        <w:rPr>
          <w:color w:val="auto"/>
          <w:sz w:val="24"/>
          <w:highlight w:val="none"/>
        </w:rPr>
      </w:pPr>
      <w:bookmarkStart w:id="71" w:name="_Toc14150_WPSOffice_Level1"/>
      <w:bookmarkStart w:id="72" w:name="_Toc4587_WPSOffice_Level1"/>
      <w:r>
        <w:rPr>
          <w:rFonts w:hint="eastAsia"/>
          <w:color w:val="auto"/>
          <w:sz w:val="24"/>
          <w:highlight w:val="none"/>
        </w:rPr>
        <w:t>6、本项目要求的特定资质证书</w:t>
      </w:r>
      <w:bookmarkEnd w:id="71"/>
      <w:bookmarkEnd w:id="72"/>
    </w:p>
    <w:p>
      <w:pPr>
        <w:widowControl/>
        <w:spacing w:line="360" w:lineRule="auto"/>
        <w:ind w:right="60" w:firstLine="482" w:firstLineChars="200"/>
        <w:jc w:val="left"/>
        <w:outlineLvl w:val="0"/>
        <w:rPr>
          <w:rFonts w:ascii="宋体" w:hAnsi="宋体" w:cs="宋体"/>
          <w:b/>
          <w:color w:val="auto"/>
          <w:sz w:val="24"/>
          <w:highlight w:val="none"/>
        </w:rPr>
      </w:pPr>
      <w:r>
        <w:rPr>
          <w:rFonts w:hint="eastAsia" w:ascii="宋体" w:hAnsi="宋体" w:cs="宋体"/>
          <w:b/>
          <w:color w:val="auto"/>
          <w:sz w:val="24"/>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spacing w:line="360" w:lineRule="auto"/>
        <w:ind w:firstLine="482" w:firstLineChars="200"/>
        <w:rPr>
          <w:rFonts w:ascii="宋体" w:hAnsi="宋体"/>
          <w:b/>
          <w:color w:val="auto"/>
          <w:sz w:val="24"/>
          <w:highlight w:val="none"/>
        </w:rPr>
      </w:pPr>
    </w:p>
    <w:p>
      <w:pPr>
        <w:spacing w:line="360" w:lineRule="auto"/>
        <w:ind w:left="420"/>
        <w:rPr>
          <w:rFonts w:ascii="宋体" w:hAnsi="宋体"/>
          <w:b/>
          <w:color w:val="auto"/>
          <w:sz w:val="28"/>
          <w:highlight w:val="none"/>
        </w:rPr>
      </w:pPr>
    </w:p>
    <w:p>
      <w:pPr>
        <w:pStyle w:val="27"/>
        <w:rPr>
          <w:rFonts w:ascii="宋体" w:hAnsi="宋体"/>
          <w:b/>
          <w:color w:val="auto"/>
          <w:sz w:val="28"/>
          <w:highlight w:val="none"/>
        </w:rPr>
      </w:pPr>
    </w:p>
    <w:p>
      <w:pPr>
        <w:pStyle w:val="27"/>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rPr>
          <w:rFonts w:ascii="宋体" w:hAnsi="宋体"/>
          <w:b/>
          <w:color w:val="auto"/>
          <w:sz w:val="28"/>
          <w:highlight w:val="none"/>
        </w:rPr>
      </w:pPr>
      <w:r>
        <w:rPr>
          <w:rFonts w:ascii="宋体" w:hAnsi="宋体"/>
          <w:b/>
          <w:color w:val="auto"/>
          <w:sz w:val="28"/>
          <w:highlight w:val="none"/>
        </w:rPr>
        <w:br w:type="page"/>
      </w:r>
    </w:p>
    <w:p>
      <w:pPr>
        <w:spacing w:line="312" w:lineRule="auto"/>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12" w:lineRule="auto"/>
        <w:ind w:right="480"/>
        <w:jc w:val="center"/>
        <w:rPr>
          <w:rFonts w:ascii="宋体" w:hAnsi="宋体"/>
          <w:b/>
          <w:color w:val="auto"/>
          <w:kern w:val="0"/>
          <w:sz w:val="32"/>
          <w:szCs w:val="32"/>
          <w:highlight w:val="none"/>
          <w:lang w:val="zh-CN"/>
        </w:rPr>
      </w:pPr>
      <w:bookmarkStart w:id="73" w:name="_Toc31708_WPSOffice_Level1"/>
      <w:bookmarkStart w:id="74" w:name="_Toc30723_WPSOffice_Level1"/>
      <w:r>
        <w:rPr>
          <w:rFonts w:hint="eastAsia" w:ascii="宋体" w:hAnsi="宋体"/>
          <w:b/>
          <w:color w:val="auto"/>
          <w:kern w:val="0"/>
          <w:sz w:val="32"/>
          <w:szCs w:val="32"/>
          <w:highlight w:val="none"/>
          <w:lang w:val="zh-CN"/>
        </w:rPr>
        <w:t>投标声明书</w:t>
      </w:r>
      <w:bookmarkEnd w:id="73"/>
      <w:bookmarkEnd w:id="74"/>
    </w:p>
    <w:p>
      <w:pPr>
        <w:snapToGrid w:val="0"/>
        <w:spacing w:line="408" w:lineRule="auto"/>
        <w:rPr>
          <w:rFonts w:ascii="宋体" w:hAnsi="宋体" w:cs="宋体"/>
          <w:color w:val="auto"/>
          <w:sz w:val="24"/>
          <w:highlight w:val="none"/>
        </w:rPr>
      </w:pPr>
      <w:r>
        <w:rPr>
          <w:rFonts w:hint="eastAsia" w:ascii="宋体" w:hAnsi="宋体" w:cs="宋体"/>
          <w:color w:val="auto"/>
          <w:sz w:val="24"/>
          <w:highlight w:val="none"/>
        </w:rPr>
        <w:t>台州天兴工程管理咨询有限公司：</w:t>
      </w:r>
    </w:p>
    <w:p>
      <w:pPr>
        <w:snapToGrid w:val="0"/>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40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法定代表人</w:t>
      </w:r>
      <w:r>
        <w:rPr>
          <w:rFonts w:hint="eastAsia" w:ascii="宋体" w:hAnsi="宋体" w:cs="宋体"/>
          <w:color w:val="auto"/>
          <w:kern w:val="0"/>
          <w:sz w:val="24"/>
          <w:highlight w:val="none"/>
        </w:rPr>
        <w:t>，我公司自愿参加贵方组织的（</w:t>
      </w:r>
      <w:r>
        <w:rPr>
          <w:rFonts w:hint="eastAsia" w:ascii="宋体" w:hAnsi="宋体" w:cs="宋体"/>
          <w:color w:val="auto"/>
          <w:kern w:val="0"/>
          <w:sz w:val="24"/>
          <w:highlight w:val="none"/>
          <w:u w:val="single"/>
        </w:rPr>
        <w:t>台州市自然资源和规划信息中心“地信智服”成果服务子场景试点成果全市推广应用服务项目</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TZTX-2024-GK068</w:t>
      </w:r>
      <w:r>
        <w:rPr>
          <w:rFonts w:hint="eastAsia" w:ascii="宋体" w:hAnsi="宋体" w:cs="宋体"/>
          <w:color w:val="auto"/>
          <w:kern w:val="0"/>
          <w:sz w:val="24"/>
          <w:highlight w:val="none"/>
        </w:rPr>
        <w:t>）的投标，为此，我公司就本次投标有关事项郑重声明如下：</w:t>
      </w:r>
    </w:p>
    <w:p>
      <w:pPr>
        <w:snapToGrid w:val="0"/>
        <w:spacing w:line="408"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snapToGrid w:val="0"/>
        <w:spacing w:line="40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pPr>
        <w:snapToGrid w:val="0"/>
        <w:spacing w:line="408"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保证，采购人在中华人民共和国境内使用我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0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pPr>
        <w:snapToGrid w:val="0"/>
        <w:spacing w:line="408" w:lineRule="auto"/>
        <w:ind w:firstLine="480" w:firstLineChars="200"/>
        <w:rPr>
          <w:rFonts w:hint="default"/>
          <w:color w:val="auto"/>
          <w:highlight w:val="none"/>
          <w:lang w:val="zh-CN"/>
        </w:rPr>
      </w:pPr>
      <w:r>
        <w:rPr>
          <w:rFonts w:hint="eastAsia" w:ascii="宋体" w:hAnsi="宋体" w:cs="宋体"/>
          <w:color w:val="auto"/>
          <w:kern w:val="0"/>
          <w:sz w:val="24"/>
          <w:highlight w:val="none"/>
        </w:rPr>
        <w:t>6、我</w:t>
      </w:r>
      <w:r>
        <w:rPr>
          <w:rFonts w:hint="eastAsia" w:ascii="宋体" w:hAnsi="宋体" w:cs="宋体"/>
          <w:color w:val="auto"/>
          <w:kern w:val="0"/>
          <w:sz w:val="24"/>
          <w:highlight w:val="none"/>
          <w:lang w:val="zh-CN"/>
        </w:rPr>
        <w:t>公司如中标，保证在中标公示后五个工作日内缴纳招标服务费人民币</w:t>
      </w:r>
      <w:r>
        <w:rPr>
          <w:rFonts w:hint="eastAsia" w:ascii="宋体" w:hAnsi="宋体" w:cs="宋体"/>
          <w:color w:val="auto"/>
          <w:kern w:val="0"/>
          <w:sz w:val="24"/>
          <w:highlight w:val="none"/>
          <w:lang w:val="en-US" w:eastAsia="zh-CN"/>
        </w:rPr>
        <w:t>壹万贰仟壹佰捌拾元整</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12180.00</w:t>
      </w:r>
      <w:r>
        <w:rPr>
          <w:rFonts w:hint="eastAsia" w:ascii="宋体" w:hAnsi="宋体" w:cs="宋体"/>
          <w:color w:val="auto"/>
          <w:kern w:val="0"/>
          <w:sz w:val="24"/>
          <w:highlight w:val="none"/>
          <w:lang w:val="zh-CN"/>
        </w:rPr>
        <w:t>元）。</w:t>
      </w:r>
    </w:p>
    <w:tbl>
      <w:tblPr>
        <w:tblStyle w:val="25"/>
        <w:tblW w:w="876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中标服务费发票类型</w:t>
            </w:r>
          </w:p>
        </w:tc>
        <w:tc>
          <w:tcPr>
            <w:tcW w:w="49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）增值税普通发票</w:t>
            </w:r>
          </w:p>
          <w:p>
            <w:pPr>
              <w:keepNext w:val="0"/>
              <w:keepLines w:val="0"/>
              <w:suppressLineNumbers w:val="0"/>
              <w:snapToGrid w:val="0"/>
              <w:spacing w:before="0" w:beforeAutospacing="0" w:after="0" w:afterAutospacing="0" w:line="360" w:lineRule="auto"/>
              <w:ind w:left="0" w:right="0" w:firstLine="480" w:firstLineChars="200"/>
              <w:rPr>
                <w:color w:val="auto"/>
                <w:highlight w:val="none"/>
                <w:lang w:val="zh-CN"/>
              </w:rPr>
            </w:pPr>
            <w:r>
              <w:rPr>
                <w:rFonts w:hint="eastAsia" w:ascii="宋体" w:hAnsi="宋体" w:eastAsia="宋体" w:cs="宋体"/>
                <w:color w:val="auto"/>
                <w:kern w:val="0"/>
                <w:sz w:val="24"/>
                <w:highlight w:val="none"/>
                <w:lang w:val="zh-CN"/>
              </w:rPr>
              <w:t>（ ）增值税</w:t>
            </w:r>
            <w:r>
              <w:rPr>
                <w:rFonts w:hint="eastAsia" w:ascii="宋体" w:hAnsi="宋体" w:eastAsia="宋体" w:cs="宋体"/>
                <w:color w:val="auto"/>
                <w:kern w:val="0"/>
                <w:sz w:val="24"/>
                <w:highlight w:val="none"/>
                <w:lang w:val="en-US" w:eastAsia="zh-CN"/>
              </w:rPr>
              <w:t>专用</w:t>
            </w:r>
            <w:r>
              <w:rPr>
                <w:rFonts w:hint="eastAsia" w:ascii="宋体" w:hAnsi="宋体" w:eastAsia="宋体" w:cs="宋体"/>
                <w:color w:val="auto"/>
                <w:kern w:val="0"/>
                <w:sz w:val="24"/>
                <w:highlight w:val="none"/>
                <w:lang w:val="zh-CN"/>
              </w:rPr>
              <w:t>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开票信息</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（普通发票只需要提供纳税识别号，专用发票需要财务确认过的开票信息）</w:t>
            </w:r>
          </w:p>
        </w:tc>
        <w:tc>
          <w:tcPr>
            <w:tcW w:w="498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纳税人名称：</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纳税识别号：</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（税务部门备案的）地址：</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（税务部门备案的）电话：</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开户行：</w:t>
            </w:r>
          </w:p>
          <w:p>
            <w:pPr>
              <w:keepNext w:val="0"/>
              <w:keepLines w:val="0"/>
              <w:suppressLineNumbers w:val="0"/>
              <w:snapToGrid w:val="0"/>
              <w:spacing w:before="0" w:beforeAutospacing="0" w:after="0" w:afterAutospacing="0" w:line="360" w:lineRule="auto"/>
              <w:ind w:left="0" w:right="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银行账号：</w:t>
            </w:r>
          </w:p>
        </w:tc>
      </w:tr>
    </w:tbl>
    <w:p>
      <w:pPr>
        <w:snapToGrid w:val="0"/>
        <w:spacing w:line="408"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7、以上事项如有虚假或隐瞒，我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pPr>
        <w:snapToGrid w:val="0"/>
        <w:spacing w:line="408" w:lineRule="auto"/>
        <w:ind w:firstLine="4680" w:firstLineChars="1950"/>
        <w:rPr>
          <w:rFonts w:ascii="宋体" w:hAnsi="宋体" w:cs="宋体"/>
          <w:color w:val="auto"/>
          <w:kern w:val="0"/>
          <w:sz w:val="24"/>
          <w:highlight w:val="none"/>
          <w:lang w:val="zh-CN"/>
        </w:rPr>
      </w:pPr>
    </w:p>
    <w:p>
      <w:pPr>
        <w:snapToGrid w:val="0"/>
        <w:spacing w:line="408" w:lineRule="auto"/>
        <w:ind w:firstLine="4680" w:firstLineChars="19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投标人名称(电子印章)：</w:t>
      </w:r>
    </w:p>
    <w:p>
      <w:pPr>
        <w:snapToGrid w:val="0"/>
        <w:spacing w:line="408"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b/>
          <w:bCs/>
          <w:color w:val="auto"/>
          <w:kern w:val="0"/>
          <w:sz w:val="24"/>
          <w:highlight w:val="none"/>
          <w:lang w:val="zh-CN"/>
        </w:rPr>
        <w:t xml:space="preserve">  法定代表人或授权委托代理人(签字)：</w:t>
      </w:r>
    </w:p>
    <w:p>
      <w:pPr>
        <w:snapToGrid w:val="0"/>
        <w:spacing w:line="408" w:lineRule="auto"/>
        <w:ind w:right="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日</w:t>
      </w:r>
    </w:p>
    <w:p>
      <w:pP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bookmarkStart w:id="75" w:name="_Toc24373_WPSOffice_Level1"/>
      <w:bookmarkStart w:id="76"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75"/>
      <w:bookmarkEnd w:id="76"/>
    </w:p>
    <w:p>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sz w:val="24"/>
          <w:highlight w:val="none"/>
        </w:rPr>
        <w:t>台州天兴工程管理咨询有限公司</w:t>
      </w:r>
      <w:r>
        <w:rPr>
          <w:rFonts w:hint="eastAsia" w:ascii="宋体" w:hAnsi="宋体" w:cs="宋体"/>
          <w:color w:val="auto"/>
          <w:kern w:val="0"/>
          <w:sz w:val="24"/>
          <w:highlight w:val="none"/>
        </w:rPr>
        <w:t>：</w:t>
      </w:r>
    </w:p>
    <w:p>
      <w:pPr>
        <w:pStyle w:val="20"/>
        <w:widowControl w:val="0"/>
        <w:spacing w:before="0" w:beforeAutospacing="0" w:after="0" w:afterAutospacing="0" w:line="360" w:lineRule="auto"/>
        <w:ind w:firstLine="480" w:firstLineChars="200"/>
        <w:jc w:val="both"/>
        <w:rPr>
          <w:rFonts w:hint="default"/>
          <w:color w:val="auto"/>
          <w:highlight w:val="none"/>
        </w:rPr>
      </w:pPr>
      <w:r>
        <w:rPr>
          <w:rFonts w:cs="宋体"/>
          <w:color w:val="auto"/>
          <w:kern w:val="2"/>
          <w:highlight w:val="none"/>
          <w:u w:val="single"/>
        </w:rPr>
        <w:t xml:space="preserve">  （投标人全称）  </w:t>
      </w:r>
      <w:r>
        <w:rPr>
          <w:rFonts w:cs="宋体"/>
          <w:color w:val="auto"/>
          <w:kern w:val="2"/>
          <w:highlight w:val="none"/>
        </w:rPr>
        <w:t>法定代表人（或营业执照中单位负责人）</w:t>
      </w:r>
      <w:r>
        <w:rPr>
          <w:rFonts w:cs="宋体"/>
          <w:color w:val="auto"/>
          <w:kern w:val="2"/>
          <w:highlight w:val="none"/>
          <w:u w:val="single"/>
        </w:rPr>
        <w:tab/>
      </w:r>
      <w:r>
        <w:rPr>
          <w:rFonts w:cs="宋体"/>
          <w:color w:val="auto"/>
          <w:kern w:val="2"/>
          <w:highlight w:val="none"/>
          <w:u w:val="single"/>
        </w:rPr>
        <w:t xml:space="preserve">（法定代表人或营业执照中单位负责人姓名） </w:t>
      </w:r>
      <w:r>
        <w:rPr>
          <w:rFonts w:cs="宋体"/>
          <w:color w:val="auto"/>
          <w:kern w:val="2"/>
          <w:highlight w:val="none"/>
        </w:rPr>
        <w:t>授权</w:t>
      </w:r>
      <w:r>
        <w:rPr>
          <w:rFonts w:cs="宋体"/>
          <w:color w:val="auto"/>
          <w:kern w:val="2"/>
          <w:highlight w:val="none"/>
          <w:u w:val="single"/>
        </w:rPr>
        <w:t xml:space="preserve">   （授权委托代理人姓名） </w:t>
      </w:r>
      <w:r>
        <w:rPr>
          <w:rFonts w:cs="宋体"/>
          <w:color w:val="auto"/>
          <w:kern w:val="2"/>
          <w:highlight w:val="none"/>
        </w:rPr>
        <w:t>为授权委托代理人，参加贵单位组织的</w:t>
      </w:r>
      <w:r>
        <w:rPr>
          <w:rFonts w:hint="eastAsia" w:cs="宋体"/>
          <w:color w:val="auto"/>
          <w:kern w:val="2"/>
          <w:highlight w:val="none"/>
          <w:u w:val="single"/>
        </w:rPr>
        <w:t>台州市自然资源和规划信息中心“地信智服”成果服务子场景试点成果全市推广应用服务项目</w:t>
      </w:r>
      <w:r>
        <w:rPr>
          <w:rFonts w:cs="宋体"/>
          <w:color w:val="auto"/>
          <w:kern w:val="2"/>
          <w:highlight w:val="none"/>
        </w:rPr>
        <w:t>的采购活动，并代表我方全权办理针对上述项目的投标、开标、评标、签约等具体事务和签署相关文件。我方对授权委托代理人的签字事项负全部责任。</w:t>
      </w:r>
    </w:p>
    <w:p>
      <w:pPr>
        <w:pStyle w:val="20"/>
        <w:widowControl w:val="0"/>
        <w:spacing w:before="0" w:beforeAutospacing="0" w:after="0" w:afterAutospacing="0" w:line="360" w:lineRule="auto"/>
        <w:ind w:firstLine="480" w:firstLineChars="200"/>
        <w:jc w:val="both"/>
        <w:rPr>
          <w:rFonts w:hint="default"/>
          <w:color w:val="auto"/>
          <w:highlight w:val="none"/>
        </w:rPr>
      </w:pPr>
      <w:r>
        <w:rPr>
          <w:rFonts w:cs="宋体"/>
          <w:color w:val="auto"/>
          <w:kern w:val="2"/>
          <w:highlight w:val="none"/>
        </w:rPr>
        <w:t>在撤销授权的书面通知以前，本授权书一直有效。授权委托代理人在授权委托书有效期内签署的所有文件不因授权的撤销而失效。</w:t>
      </w:r>
    </w:p>
    <w:p>
      <w:pPr>
        <w:pStyle w:val="20"/>
        <w:widowControl w:val="0"/>
        <w:spacing w:before="0" w:beforeAutospacing="0" w:after="0" w:afterAutospacing="0" w:line="360" w:lineRule="auto"/>
        <w:ind w:firstLine="480" w:firstLineChars="200"/>
        <w:jc w:val="both"/>
        <w:rPr>
          <w:rFonts w:hint="default"/>
          <w:color w:val="auto"/>
          <w:highlight w:val="none"/>
        </w:rPr>
      </w:pPr>
      <w:r>
        <w:rPr>
          <w:rFonts w:cs="宋体"/>
          <w:color w:val="auto"/>
          <w:kern w:val="2"/>
          <w:highlight w:val="none"/>
        </w:rPr>
        <w:t>授权委托代理人无转委托权，特此委托。</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法定代表人签字或盖章：</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投标人全称（电子印章）：                              日期：</w:t>
      </w: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auto"/>
                <w:sz w:val="24"/>
                <w:highlight w:val="none"/>
              </w:rPr>
            </w:pPr>
          </w:p>
          <w:p>
            <w:pPr>
              <w:keepNext w:val="0"/>
              <w:keepLines w:val="0"/>
              <w:suppressLineNumbers w:val="0"/>
              <w:spacing w:before="0" w:beforeAutospacing="0" w:after="0" w:afterAutospacing="0" w:line="360" w:lineRule="auto"/>
              <w:ind w:left="0" w:right="0" w:firstLine="361" w:firstLineChars="150"/>
              <w:rPr>
                <w:rFonts w:ascii="宋体"/>
                <w:b/>
                <w:color w:val="auto"/>
                <w:sz w:val="24"/>
                <w:highlight w:val="none"/>
              </w:rPr>
            </w:pPr>
            <w:r>
              <w:rPr>
                <w:rFonts w:hint="eastAsia" w:ascii="宋体"/>
                <w:b/>
                <w:color w:val="auto"/>
                <w:sz w:val="24"/>
                <w:highlight w:val="none"/>
              </w:rPr>
              <w:t>法定代表身份证复印件粘贴处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auto"/>
                <w:sz w:val="24"/>
                <w:highlight w:val="none"/>
              </w:rPr>
            </w:pPr>
          </w:p>
          <w:p>
            <w:pPr>
              <w:keepNext w:val="0"/>
              <w:keepLines w:val="0"/>
              <w:suppressLineNumbers w:val="0"/>
              <w:spacing w:before="0" w:beforeAutospacing="0" w:after="0" w:afterAutospacing="0" w:line="360" w:lineRule="auto"/>
              <w:ind w:left="0" w:right="0" w:firstLine="361" w:firstLineChars="150"/>
              <w:rPr>
                <w:rFonts w:ascii="宋体"/>
                <w:b/>
                <w:color w:val="auto"/>
                <w:sz w:val="24"/>
                <w:highlight w:val="none"/>
              </w:rPr>
            </w:pPr>
            <w:r>
              <w:rPr>
                <w:rFonts w:hint="eastAsia" w:ascii="宋体"/>
                <w:b/>
                <w:color w:val="auto"/>
                <w:sz w:val="24"/>
                <w:highlight w:val="none"/>
              </w:rPr>
              <w:t>全权代表身份证复印件粘贴处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pStyle w:val="20"/>
        <w:widowControl w:val="0"/>
        <w:tabs>
          <w:tab w:val="left" w:pos="1050"/>
        </w:tabs>
        <w:spacing w:before="0" w:beforeAutospacing="0" w:after="0" w:afterAutospacing="0" w:line="360" w:lineRule="auto"/>
        <w:jc w:val="both"/>
        <w:rPr>
          <w:rFonts w:hint="default" w:cs="宋体"/>
          <w:b/>
          <w:color w:val="auto"/>
          <w:sz w:val="28"/>
          <w:highlight w:val="none"/>
        </w:rPr>
      </w:pPr>
      <w:r>
        <w:rPr>
          <w:b/>
          <w:color w:val="auto"/>
          <w:sz w:val="28"/>
          <w:highlight w:val="none"/>
        </w:rPr>
        <w:br w:type="page"/>
      </w:r>
      <w:r>
        <w:rPr>
          <w:rFonts w:cs="宋体"/>
          <w:b/>
          <w:color w:val="auto"/>
          <w:kern w:val="2"/>
          <w:sz w:val="28"/>
          <w:highlight w:val="none"/>
        </w:rPr>
        <w:t>附件4</w:t>
      </w:r>
    </w:p>
    <w:p>
      <w:pPr>
        <w:pStyle w:val="17"/>
        <w:ind w:left="0" w:leftChars="0" w:firstLine="0"/>
        <w:jc w:val="center"/>
        <w:rPr>
          <w:rFonts w:ascii="宋体" w:hAnsi="宋体"/>
          <w:color w:val="auto"/>
          <w:sz w:val="36"/>
          <w:szCs w:val="36"/>
          <w:highlight w:val="none"/>
        </w:rPr>
      </w:pPr>
      <w:r>
        <w:rPr>
          <w:rFonts w:hint="eastAsia" w:ascii="宋体" w:hAnsi="宋体"/>
          <w:color w:val="auto"/>
          <w:sz w:val="36"/>
          <w:szCs w:val="36"/>
          <w:highlight w:val="none"/>
        </w:rPr>
        <w:t>台州市自然资源和规划信息中心</w:t>
      </w:r>
    </w:p>
    <w:p>
      <w:pPr>
        <w:pStyle w:val="17"/>
        <w:ind w:left="0" w:leftChars="0" w:firstLine="0"/>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lang w:eastAsia="zh-CN"/>
        </w:rPr>
        <w:t>“地信智服”成果服务子场景试点成果全市推广应用服务项目</w:t>
      </w:r>
    </w:p>
    <w:p>
      <w:pPr>
        <w:pStyle w:val="17"/>
        <w:ind w:left="0" w:leftChars="0" w:firstLine="0"/>
        <w:jc w:val="center"/>
        <w:rPr>
          <w:rFonts w:hint="eastAsia" w:ascii="宋体" w:hAnsi="宋体" w:eastAsia="宋体"/>
          <w:color w:val="auto"/>
          <w:sz w:val="36"/>
          <w:szCs w:val="36"/>
          <w:highlight w:val="none"/>
          <w:lang w:eastAsia="zh-CN"/>
        </w:rPr>
      </w:pPr>
      <w:r>
        <w:rPr>
          <w:rStyle w:val="64"/>
          <w:rFonts w:hint="eastAsia" w:ascii="宋体" w:hAnsi="宋体"/>
          <w:color w:val="auto"/>
          <w:sz w:val="36"/>
          <w:szCs w:val="36"/>
          <w:highlight w:val="none"/>
        </w:rPr>
        <w:t>项目编号：</w:t>
      </w:r>
      <w:r>
        <w:rPr>
          <w:rFonts w:hint="eastAsia" w:ascii="宋体" w:hAnsi="宋体"/>
          <w:color w:val="auto"/>
          <w:sz w:val="36"/>
          <w:szCs w:val="36"/>
          <w:highlight w:val="none"/>
          <w:lang w:eastAsia="zh-CN"/>
        </w:rPr>
        <w:t>TZTX-2024-GK068</w:t>
      </w:r>
    </w:p>
    <w:p>
      <w:pPr>
        <w:spacing w:before="312" w:beforeLines="100" w:line="360" w:lineRule="auto"/>
        <w:ind w:right="-108"/>
        <w:jc w:val="center"/>
        <w:rPr>
          <w:rFonts w:ascii="宋体" w:hAnsi="宋体"/>
          <w:color w:val="auto"/>
          <w:sz w:val="36"/>
          <w:szCs w:val="36"/>
          <w:highlight w:val="none"/>
        </w:rPr>
      </w:pPr>
    </w:p>
    <w:p>
      <w:pPr>
        <w:pStyle w:val="17"/>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8"/>
          <w:szCs w:val="28"/>
          <w:highlight w:val="none"/>
          <w:lang w:val="zh-CN"/>
        </w:rPr>
        <w:t>商务与技术文件</w:t>
      </w:r>
      <w:r>
        <w:rPr>
          <w:rFonts w:hint="eastAsia" w:ascii="宋体" w:hAnsi="宋体"/>
          <w:b/>
          <w:color w:val="auto"/>
          <w:sz w:val="28"/>
          <w:szCs w:val="28"/>
          <w:highlight w:val="none"/>
        </w:rPr>
        <w:t>）</w:t>
      </w:r>
    </w:p>
    <w:p>
      <w:pPr>
        <w:pStyle w:val="17"/>
        <w:rPr>
          <w:color w:val="auto"/>
          <w:highlight w:val="none"/>
        </w:rPr>
      </w:pPr>
    </w:p>
    <w:p>
      <w:pPr>
        <w:pStyle w:val="17"/>
        <w:rPr>
          <w:color w:val="auto"/>
          <w:highlight w:val="none"/>
        </w:rPr>
      </w:pPr>
    </w:p>
    <w:p>
      <w:pPr>
        <w:pStyle w:val="17"/>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投标人全称（电子印章）：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rPr>
          <w:rFonts w:ascii="仿宋_GB2312" w:hAnsi="宋体" w:eastAsia="仿宋_GB2312"/>
          <w:b/>
          <w:color w:val="auto"/>
          <w:sz w:val="36"/>
          <w:szCs w:val="36"/>
          <w:highlight w:val="none"/>
        </w:rPr>
      </w:pPr>
      <w:r>
        <w:rPr>
          <w:rFonts w:ascii="仿宋_GB2312" w:hAnsi="宋体" w:eastAsia="仿宋_GB2312"/>
          <w:b/>
          <w:color w:val="auto"/>
          <w:sz w:val="36"/>
          <w:szCs w:val="36"/>
          <w:highlight w:val="none"/>
        </w:rPr>
        <w:br w:type="page"/>
      </w:r>
    </w:p>
    <w:p>
      <w:pPr>
        <w:pStyle w:val="17"/>
        <w:rPr>
          <w:color w:val="auto"/>
          <w:highlight w:val="none"/>
        </w:rPr>
      </w:pPr>
    </w:p>
    <w:p>
      <w:pPr>
        <w:spacing w:line="360" w:lineRule="auto"/>
        <w:jc w:val="center"/>
        <w:rPr>
          <w:color w:val="auto"/>
          <w:sz w:val="28"/>
          <w:szCs w:val="28"/>
          <w:highlight w:val="none"/>
        </w:rPr>
      </w:pPr>
      <w:bookmarkStart w:id="77" w:name="_Toc5889_WPSOffice_Level1"/>
      <w:bookmarkStart w:id="78" w:name="_Toc11308_WPSOffice_Level1"/>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77"/>
      <w:bookmarkEnd w:id="78"/>
    </w:p>
    <w:p>
      <w:pPr>
        <w:spacing w:line="360" w:lineRule="auto"/>
        <w:rPr>
          <w:color w:val="auto"/>
          <w:sz w:val="28"/>
          <w:szCs w:val="28"/>
          <w:highlight w:val="none"/>
        </w:rPr>
      </w:pPr>
    </w:p>
    <w:p>
      <w:pPr>
        <w:numPr>
          <w:ilvl w:val="0"/>
          <w:numId w:val="14"/>
        </w:numPr>
        <w:spacing w:line="360" w:lineRule="auto"/>
        <w:ind w:firstLine="482" w:firstLineChars="200"/>
        <w:rPr>
          <w:b/>
          <w:bCs/>
          <w:color w:val="auto"/>
          <w:sz w:val="24"/>
          <w:highlight w:val="none"/>
        </w:rPr>
      </w:pPr>
      <w:bookmarkStart w:id="79" w:name="_Toc21250_WPSOffice_Level1"/>
      <w:bookmarkStart w:id="80" w:name="_Toc20529_WPSOffice_Level1"/>
      <w:r>
        <w:rPr>
          <w:rFonts w:hint="eastAsia"/>
          <w:b/>
          <w:bCs/>
          <w:color w:val="auto"/>
          <w:sz w:val="24"/>
          <w:highlight w:val="none"/>
        </w:rPr>
        <w:t xml:space="preserve"> 技术方案描述部分</w:t>
      </w:r>
      <w:bookmarkEnd w:id="79"/>
      <w:bookmarkEnd w:id="8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1、投标人情况介绍（附件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2、项目需求的理解与分析；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3、总体设计（技术、服务）方案；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4、质量保证方案；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5、项目实施方案；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6、技术需求响应表（附件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7、项目实施人员一览表（附件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8、项目负责人/技术负责人资格情况表（附件</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r>
        <w:rPr>
          <w:rFonts w:hint="eastAsia" w:ascii="Calibri" w:hAnsi="Calibri" w:cs="Calibri"/>
          <w:color w:val="auto"/>
          <w:sz w:val="24"/>
          <w:highlight w:val="none"/>
        </w:rPr>
        <w:t>实施服务与保障的能力及方案（附件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pPr>
        <w:spacing w:line="360" w:lineRule="auto"/>
        <w:ind w:firstLine="480" w:firstLineChars="200"/>
        <w:rPr>
          <w:rFonts w:ascii="Calibri" w:hAnsi="Calibri" w:cs="Calibri"/>
          <w:color w:val="auto"/>
          <w:sz w:val="24"/>
          <w:highlight w:val="none"/>
        </w:rPr>
      </w:pPr>
      <w:r>
        <w:rPr>
          <w:rFonts w:ascii="Calibri" w:hAnsi="Calibri" w:cs="Calibri"/>
          <w:color w:val="auto"/>
          <w:sz w:val="24"/>
          <w:highlight w:val="none"/>
        </w:rPr>
        <w:t>10</w:t>
      </w:r>
      <w:r>
        <w:rPr>
          <w:rFonts w:hint="eastAsia" w:ascii="Calibri" w:hAnsi="Calibri" w:cs="Calibri"/>
          <w:color w:val="auto"/>
          <w:sz w:val="24"/>
          <w:highlight w:val="none"/>
        </w:rPr>
        <w:t>、</w:t>
      </w:r>
      <w:r>
        <w:rPr>
          <w:rFonts w:hint="eastAsia" w:ascii="宋体" w:hAnsi="宋体" w:cs="宋体"/>
          <w:color w:val="auto"/>
          <w:sz w:val="24"/>
          <w:highlight w:val="none"/>
        </w:rPr>
        <w:t>投标人需要说明的其他内容；（包括可能影响投标人技术性能评分项的各类证明材料）</w:t>
      </w:r>
    </w:p>
    <w:p>
      <w:pPr>
        <w:pStyle w:val="20"/>
        <w:widowControl w:val="0"/>
        <w:spacing w:before="0" w:beforeAutospacing="0" w:after="0" w:afterAutospacing="0"/>
        <w:ind w:firstLine="480" w:firstLineChars="200"/>
        <w:jc w:val="both"/>
        <w:rPr>
          <w:rFonts w:hint="default" w:cs="宋体"/>
          <w:color w:val="auto"/>
          <w:highlight w:val="none"/>
        </w:rPr>
      </w:pPr>
    </w:p>
    <w:p>
      <w:pPr>
        <w:spacing w:line="360" w:lineRule="auto"/>
        <w:ind w:firstLine="482" w:firstLineChars="200"/>
        <w:rPr>
          <w:rFonts w:ascii="宋体" w:hAnsi="宋体" w:cs="宋体"/>
          <w:b/>
          <w:color w:val="auto"/>
          <w:sz w:val="24"/>
          <w:highlight w:val="none"/>
        </w:rPr>
      </w:pPr>
      <w:bookmarkStart w:id="81" w:name="_Toc20986_WPSOffice_Level1"/>
      <w:bookmarkStart w:id="82" w:name="_Toc30029_WPSOffice_Level1"/>
      <w:r>
        <w:rPr>
          <w:rFonts w:hint="eastAsia" w:ascii="宋体" w:hAnsi="宋体" w:cs="宋体"/>
          <w:b/>
          <w:color w:val="auto"/>
          <w:sz w:val="24"/>
          <w:highlight w:val="none"/>
        </w:rPr>
        <w:t>第二部分  商务及其他部分</w:t>
      </w:r>
      <w:bookmarkEnd w:id="81"/>
      <w:bookmarkEnd w:id="8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1、证书一览表（附件1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2、近三年来类似项目的成功案例（附件1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3、商务需求响应表（附件1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4、投标人需要说明的其他内容。（包括可能影响投标人企业实力及信誉评分项以及售后服务评分项的各类证明材料）；</w:t>
      </w:r>
    </w:p>
    <w:p>
      <w:pPr>
        <w:pStyle w:val="31"/>
        <w:spacing w:before="0" w:beforeAutospacing="0" w:after="0" w:afterAutospacing="0" w:line="360" w:lineRule="auto"/>
        <w:ind w:firstLine="482" w:firstLineChars="200"/>
        <w:jc w:val="both"/>
        <w:rPr>
          <w:b/>
          <w:color w:val="auto"/>
          <w:highlight w:val="none"/>
        </w:rPr>
      </w:pPr>
    </w:p>
    <w:p>
      <w:pPr>
        <w:pStyle w:val="31"/>
        <w:spacing w:before="0" w:beforeAutospacing="0" w:after="0" w:afterAutospacing="0" w:line="360" w:lineRule="auto"/>
        <w:rPr>
          <w:b/>
          <w:color w:val="auto"/>
          <w:sz w:val="28"/>
          <w:highlight w:val="none"/>
        </w:rPr>
      </w:pPr>
    </w:p>
    <w:p>
      <w:pPr>
        <w:rPr>
          <w:b/>
          <w:color w:val="auto"/>
          <w:sz w:val="28"/>
          <w:highlight w:val="none"/>
        </w:rPr>
      </w:pPr>
      <w:r>
        <w:rPr>
          <w:b/>
          <w:color w:val="auto"/>
          <w:sz w:val="28"/>
          <w:highlight w:val="none"/>
        </w:rPr>
        <w:br w:type="page"/>
      </w:r>
    </w:p>
    <w:p>
      <w:pPr>
        <w:pStyle w:val="31"/>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5</w:t>
      </w:r>
    </w:p>
    <w:p>
      <w:pPr>
        <w:pStyle w:val="31"/>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83" w:name="_Toc13307_WPSOffice_Level1"/>
      <w:bookmarkStart w:id="84"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83"/>
      <w:bookmarkEnd w:id="84"/>
    </w:p>
    <w:tbl>
      <w:tblPr>
        <w:tblStyle w:val="25"/>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65"/>
        <w:gridCol w:w="840"/>
        <w:gridCol w:w="180"/>
        <w:gridCol w:w="960"/>
        <w:gridCol w:w="90"/>
        <w:gridCol w:w="1017"/>
        <w:gridCol w:w="78"/>
        <w:gridCol w:w="1198"/>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企业名称</w:t>
            </w:r>
          </w:p>
        </w:tc>
        <w:tc>
          <w:tcPr>
            <w:tcW w:w="4230" w:type="dxa"/>
            <w:gridSpan w:val="7"/>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598"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法人代表</w:t>
            </w:r>
          </w:p>
        </w:tc>
        <w:tc>
          <w:tcPr>
            <w:tcW w:w="2151"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地址</w:t>
            </w:r>
          </w:p>
        </w:tc>
        <w:tc>
          <w:tcPr>
            <w:tcW w:w="4230" w:type="dxa"/>
            <w:gridSpan w:val="7"/>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598"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企业性质</w:t>
            </w:r>
          </w:p>
        </w:tc>
        <w:tc>
          <w:tcPr>
            <w:tcW w:w="2151"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股东姓名</w:t>
            </w:r>
          </w:p>
        </w:tc>
        <w:tc>
          <w:tcPr>
            <w:tcW w:w="1065" w:type="dxa"/>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840" w:type="dxa"/>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股权结构（%）</w:t>
            </w:r>
          </w:p>
        </w:tc>
        <w:tc>
          <w:tcPr>
            <w:tcW w:w="2325" w:type="dxa"/>
            <w:gridSpan w:val="5"/>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598"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股东关系</w:t>
            </w:r>
          </w:p>
        </w:tc>
        <w:tc>
          <w:tcPr>
            <w:tcW w:w="2151"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restart"/>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联系人姓名</w:t>
            </w:r>
          </w:p>
        </w:tc>
        <w:tc>
          <w:tcPr>
            <w:tcW w:w="1065" w:type="dxa"/>
            <w:vMerge w:val="restart"/>
            <w:tcBorders>
              <w:top w:val="nil"/>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840" w:type="dxa"/>
            <w:tcBorders>
              <w:top w:val="nil"/>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固定电话</w:t>
            </w:r>
          </w:p>
        </w:tc>
        <w:tc>
          <w:tcPr>
            <w:tcW w:w="2325" w:type="dxa"/>
            <w:gridSpan w:val="5"/>
            <w:tcBorders>
              <w:top w:val="nil"/>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598" w:type="dxa"/>
            <w:gridSpan w:val="2"/>
            <w:vMerge w:val="restart"/>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传真</w:t>
            </w:r>
          </w:p>
        </w:tc>
        <w:tc>
          <w:tcPr>
            <w:tcW w:w="2151" w:type="dxa"/>
            <w:gridSpan w:val="2"/>
            <w:vMerge w:val="restart"/>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065" w:type="dxa"/>
            <w:vMerge w:val="continue"/>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840" w:type="dxa"/>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手机</w:t>
            </w:r>
          </w:p>
        </w:tc>
        <w:tc>
          <w:tcPr>
            <w:tcW w:w="2325" w:type="dxa"/>
            <w:gridSpan w:val="5"/>
            <w:tcBorders>
              <w:bottom w:val="single" w:color="auto" w:sz="4" w:space="0"/>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598" w:type="dxa"/>
            <w:gridSpan w:val="2"/>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2151" w:type="dxa"/>
            <w:gridSpan w:val="2"/>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restart"/>
            <w:vAlign w:val="center"/>
          </w:tcPr>
          <w:p>
            <w:pPr>
              <w:pStyle w:val="31"/>
              <w:keepNext w:val="0"/>
              <w:keepLines w:val="0"/>
              <w:suppressLineNumbers w:val="0"/>
              <w:spacing w:before="0" w:beforeAutospacing="0" w:after="0" w:afterAutospacing="0"/>
              <w:ind w:left="0" w:right="0"/>
              <w:jc w:val="center"/>
              <w:rPr>
                <w:bCs/>
                <w:color w:val="auto"/>
                <w:highlight w:val="none"/>
              </w:rPr>
            </w:pPr>
            <w:r>
              <w:rPr>
                <w:bCs/>
                <w:color w:val="auto"/>
                <w:highlight w:val="none"/>
              </w:rPr>
              <w:t>1</w:t>
            </w:r>
            <w:r>
              <w:rPr>
                <w:rFonts w:hint="eastAsia"/>
                <w:bCs/>
                <w:color w:val="auto"/>
                <w:highlight w:val="none"/>
              </w:rPr>
              <w:t>.</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企</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业</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概</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况</w:t>
            </w:r>
          </w:p>
        </w:tc>
        <w:tc>
          <w:tcPr>
            <w:tcW w:w="1065" w:type="dxa"/>
            <w:tcBorders>
              <w:top w:val="nil"/>
            </w:tcBorders>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职工人数</w:t>
            </w:r>
          </w:p>
        </w:tc>
        <w:tc>
          <w:tcPr>
            <w:tcW w:w="840" w:type="dxa"/>
            <w:tcBorders>
              <w:top w:val="nil"/>
            </w:tcBorders>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230" w:type="dxa"/>
            <w:gridSpan w:val="3"/>
            <w:tcBorders>
              <w:top w:val="nil"/>
            </w:tcBorders>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具备大专以上学历人数</w:t>
            </w:r>
          </w:p>
        </w:tc>
        <w:tc>
          <w:tcPr>
            <w:tcW w:w="1095" w:type="dxa"/>
            <w:gridSpan w:val="2"/>
            <w:tcBorders>
              <w:top w:val="nil"/>
            </w:tcBorders>
            <w:vAlign w:val="center"/>
          </w:tcPr>
          <w:p>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pPr>
              <w:pStyle w:val="31"/>
              <w:keepNext w:val="0"/>
              <w:keepLines w:val="0"/>
              <w:suppressLineNumbers w:val="0"/>
              <w:spacing w:before="0" w:beforeAutospacing="0" w:after="0" w:afterAutospacing="0"/>
              <w:ind w:left="0" w:right="0"/>
              <w:jc w:val="center"/>
              <w:rPr>
                <w:bCs/>
                <w:color w:val="auto"/>
                <w:highlight w:val="none"/>
              </w:rPr>
            </w:pPr>
          </w:p>
        </w:tc>
        <w:tc>
          <w:tcPr>
            <w:tcW w:w="1598"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国家授予技术职称人数</w:t>
            </w:r>
          </w:p>
        </w:tc>
        <w:tc>
          <w:tcPr>
            <w:tcW w:w="2151" w:type="dxa"/>
            <w:gridSpan w:val="2"/>
            <w:vAlign w:val="center"/>
          </w:tcPr>
          <w:p>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065"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占地面积</w:t>
            </w:r>
          </w:p>
        </w:tc>
        <w:tc>
          <w:tcPr>
            <w:tcW w:w="840" w:type="dxa"/>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230" w:type="dxa"/>
            <w:gridSpan w:val="3"/>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建筑</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面积</w:t>
            </w:r>
          </w:p>
        </w:tc>
        <w:tc>
          <w:tcPr>
            <w:tcW w:w="1095" w:type="dxa"/>
            <w:gridSpan w:val="2"/>
            <w:vAlign w:val="center"/>
          </w:tcPr>
          <w:p>
            <w:pPr>
              <w:pStyle w:val="31"/>
              <w:keepNext w:val="0"/>
              <w:keepLines w:val="0"/>
              <w:suppressLineNumbers w:val="0"/>
              <w:spacing w:before="0" w:beforeAutospacing="0" w:after="0" w:afterAutospacing="0"/>
              <w:ind w:left="0" w:right="0"/>
              <w:jc w:val="right"/>
              <w:rPr>
                <w:bCs/>
                <w:color w:val="auto"/>
                <w:highlight w:val="none"/>
              </w:rPr>
            </w:pPr>
            <w:r>
              <w:rPr>
                <w:rFonts w:hint="eastAsia"/>
                <w:bCs/>
                <w:color w:val="auto"/>
                <w:highlight w:val="none"/>
              </w:rPr>
              <w:t>平方米</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□自有</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□租赁</w:t>
            </w:r>
          </w:p>
        </w:tc>
        <w:tc>
          <w:tcPr>
            <w:tcW w:w="1598"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生产经营场所及场所的设施与设备</w:t>
            </w:r>
          </w:p>
        </w:tc>
        <w:tc>
          <w:tcPr>
            <w:tcW w:w="2151"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065"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注册资金</w:t>
            </w:r>
          </w:p>
        </w:tc>
        <w:tc>
          <w:tcPr>
            <w:tcW w:w="840" w:type="dxa"/>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230" w:type="dxa"/>
            <w:gridSpan w:val="3"/>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注册发证机关</w:t>
            </w:r>
          </w:p>
        </w:tc>
        <w:tc>
          <w:tcPr>
            <w:tcW w:w="2693" w:type="dxa"/>
            <w:gridSpan w:val="4"/>
            <w:vAlign w:val="center"/>
          </w:tcPr>
          <w:p>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pPr>
              <w:pStyle w:val="31"/>
              <w:keepNext w:val="0"/>
              <w:keepLines w:val="0"/>
              <w:suppressLineNumbers w:val="0"/>
              <w:spacing w:before="0" w:beforeAutospacing="0" w:after="0" w:afterAutospacing="0"/>
              <w:ind w:left="0" w:right="0"/>
              <w:jc w:val="center"/>
              <w:rPr>
                <w:bCs/>
                <w:color w:val="auto"/>
                <w:highlight w:val="none"/>
              </w:rPr>
            </w:pPr>
          </w:p>
        </w:tc>
        <w:tc>
          <w:tcPr>
            <w:tcW w:w="1218"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公司成立时间</w:t>
            </w:r>
          </w:p>
        </w:tc>
        <w:tc>
          <w:tcPr>
            <w:tcW w:w="933" w:type="dxa"/>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065"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核准经营范围</w:t>
            </w:r>
          </w:p>
        </w:tc>
        <w:tc>
          <w:tcPr>
            <w:tcW w:w="6914" w:type="dxa"/>
            <w:gridSpan w:val="10"/>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7979" w:type="dxa"/>
            <w:gridSpan w:val="11"/>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restart"/>
            <w:vAlign w:val="center"/>
          </w:tcPr>
          <w:p>
            <w:pPr>
              <w:pStyle w:val="31"/>
              <w:keepNext w:val="0"/>
              <w:keepLines w:val="0"/>
              <w:suppressLineNumbers w:val="0"/>
              <w:spacing w:before="0" w:beforeAutospacing="0" w:after="0" w:afterAutospacing="0"/>
              <w:ind w:left="0" w:right="0"/>
              <w:jc w:val="center"/>
              <w:rPr>
                <w:bCs/>
                <w:color w:val="auto"/>
                <w:highlight w:val="none"/>
              </w:rPr>
            </w:pPr>
            <w:r>
              <w:rPr>
                <w:bCs/>
                <w:color w:val="auto"/>
                <w:highlight w:val="none"/>
              </w:rPr>
              <w:t>2</w:t>
            </w:r>
            <w:r>
              <w:rPr>
                <w:rFonts w:hint="eastAsia"/>
                <w:bCs/>
                <w:color w:val="auto"/>
                <w:highlight w:val="none"/>
              </w:rPr>
              <w:t>．</w:t>
            </w:r>
          </w:p>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企业有关资质获证情况</w:t>
            </w:r>
          </w:p>
        </w:tc>
        <w:tc>
          <w:tcPr>
            <w:tcW w:w="2085" w:type="dxa"/>
            <w:gridSpan w:val="3"/>
            <w:vMerge w:val="restart"/>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产品生产许可证情况（对需获得生产许可证的产品要填写此栏）</w:t>
            </w:r>
          </w:p>
        </w:tc>
        <w:tc>
          <w:tcPr>
            <w:tcW w:w="960"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产品名称</w:t>
            </w:r>
          </w:p>
        </w:tc>
        <w:tc>
          <w:tcPr>
            <w:tcW w:w="1107"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发证机关</w:t>
            </w:r>
          </w:p>
        </w:tc>
        <w:tc>
          <w:tcPr>
            <w:tcW w:w="1276"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编号</w:t>
            </w:r>
          </w:p>
        </w:tc>
        <w:tc>
          <w:tcPr>
            <w:tcW w:w="1618"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发证时间</w:t>
            </w:r>
          </w:p>
        </w:tc>
        <w:tc>
          <w:tcPr>
            <w:tcW w:w="933" w:type="dxa"/>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2085" w:type="dxa"/>
            <w:gridSpan w:val="3"/>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960" w:type="dxa"/>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107"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1276" w:type="dxa"/>
            <w:gridSpan w:val="2"/>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2551" w:type="dxa"/>
            <w:gridSpan w:val="3"/>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2085" w:type="dxa"/>
            <w:gridSpan w:val="3"/>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企业通过质量体系、环保体系、计量等认证情况</w:t>
            </w:r>
          </w:p>
        </w:tc>
        <w:tc>
          <w:tcPr>
            <w:tcW w:w="5894" w:type="dxa"/>
            <w:gridSpan w:val="8"/>
            <w:vAlign w:val="center"/>
          </w:tcPr>
          <w:p>
            <w:pPr>
              <w:pStyle w:val="31"/>
              <w:keepNext w:val="0"/>
              <w:keepLines w:val="0"/>
              <w:suppressLineNumbers w:val="0"/>
              <w:spacing w:before="0" w:beforeAutospacing="0" w:after="0" w:afterAutospacing="0"/>
              <w:ind w:left="0" w:right="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5" w:type="dxa"/>
            <w:vMerge w:val="continue"/>
            <w:vAlign w:val="center"/>
          </w:tcPr>
          <w:p>
            <w:pPr>
              <w:pStyle w:val="31"/>
              <w:keepNext w:val="0"/>
              <w:keepLines w:val="0"/>
              <w:suppressLineNumbers w:val="0"/>
              <w:spacing w:before="0" w:beforeAutospacing="0" w:after="0" w:afterAutospacing="0"/>
              <w:ind w:left="0" w:right="0"/>
              <w:jc w:val="center"/>
              <w:rPr>
                <w:bCs/>
                <w:color w:val="auto"/>
                <w:highlight w:val="none"/>
              </w:rPr>
            </w:pPr>
          </w:p>
        </w:tc>
        <w:tc>
          <w:tcPr>
            <w:tcW w:w="2085" w:type="dxa"/>
            <w:gridSpan w:val="3"/>
            <w:vAlign w:val="center"/>
          </w:tcPr>
          <w:p>
            <w:pPr>
              <w:pStyle w:val="31"/>
              <w:keepNext w:val="0"/>
              <w:keepLines w:val="0"/>
              <w:suppressLineNumbers w:val="0"/>
              <w:spacing w:before="0" w:beforeAutospacing="0" w:after="0" w:afterAutospacing="0"/>
              <w:ind w:left="0" w:right="0"/>
              <w:jc w:val="center"/>
              <w:rPr>
                <w:bCs/>
                <w:color w:val="auto"/>
                <w:highlight w:val="none"/>
              </w:rPr>
            </w:pPr>
            <w:r>
              <w:rPr>
                <w:rFonts w:hint="eastAsia"/>
                <w:bCs/>
                <w:color w:val="auto"/>
                <w:highlight w:val="none"/>
              </w:rPr>
              <w:t>企业获得专利情况</w:t>
            </w:r>
          </w:p>
        </w:tc>
        <w:tc>
          <w:tcPr>
            <w:tcW w:w="5894" w:type="dxa"/>
            <w:gridSpan w:val="8"/>
            <w:vAlign w:val="center"/>
          </w:tcPr>
          <w:p>
            <w:pPr>
              <w:pStyle w:val="31"/>
              <w:keepNext w:val="0"/>
              <w:keepLines w:val="0"/>
              <w:suppressLineNumbers w:val="0"/>
              <w:spacing w:before="0" w:beforeAutospacing="0" w:after="0" w:afterAutospacing="0"/>
              <w:ind w:left="0" w:right="0"/>
              <w:jc w:val="center"/>
              <w:rPr>
                <w:bCs/>
                <w:color w:val="auto"/>
                <w:highlight w:val="none"/>
              </w:rPr>
            </w:pPr>
          </w:p>
        </w:tc>
      </w:tr>
    </w:tbl>
    <w:p>
      <w:pPr>
        <w:pStyle w:val="31"/>
        <w:spacing w:before="0" w:beforeAutospacing="0" w:after="0" w:afterAutospacing="0" w:line="360" w:lineRule="auto"/>
        <w:rPr>
          <w:b/>
          <w:color w:val="auto"/>
          <w:highlight w:val="none"/>
        </w:rPr>
      </w:pPr>
      <w:r>
        <w:rPr>
          <w:rFonts w:hint="eastAsia"/>
          <w:b/>
          <w:color w:val="auto"/>
          <w:highlight w:val="none"/>
        </w:rPr>
        <w:t>要求：</w:t>
      </w:r>
    </w:p>
    <w:p>
      <w:pPr>
        <w:pStyle w:val="31"/>
        <w:spacing w:before="0" w:beforeAutospacing="0" w:after="0" w:afterAutospacing="0" w:line="360" w:lineRule="auto"/>
        <w:ind w:firstLine="484" w:firstLineChars="202"/>
        <w:rPr>
          <w:color w:val="auto"/>
          <w:highlight w:val="none"/>
        </w:rPr>
      </w:pPr>
      <w:r>
        <w:rPr>
          <w:rFonts w:hint="eastAsia" w:ascii="仿宋_GB2312" w:eastAsia="仿宋_GB2312"/>
          <w:color w:val="auto"/>
          <w:highlight w:val="none"/>
        </w:rPr>
        <w:t>1.</w:t>
      </w:r>
      <w:r>
        <w:rPr>
          <w:rFonts w:hint="eastAsia"/>
          <w:color w:val="auto"/>
          <w:highlight w:val="none"/>
        </w:rPr>
        <w:t>姓名栏必须将所有股东都统计在内，若非股份公司此行（第三行）无需填写；</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投标人名称（电子印章）：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投标人代表签字或电子印章：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1"/>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rPr>
          <w:rFonts w:ascii="宋体" w:hAnsi="宋体"/>
          <w:b/>
          <w:color w:val="auto"/>
          <w:sz w:val="24"/>
          <w:highlight w:val="none"/>
        </w:rPr>
      </w:pPr>
      <w:r>
        <w:rPr>
          <w:rFonts w:ascii="宋体" w:hAnsi="宋体"/>
          <w:b/>
          <w:color w:val="auto"/>
          <w:sz w:val="24"/>
          <w:highlight w:val="none"/>
        </w:rPr>
        <w:br w:type="page"/>
      </w:r>
    </w:p>
    <w:p>
      <w:pPr>
        <w:pStyle w:val="17"/>
        <w:rPr>
          <w:color w:val="auto"/>
          <w:highlight w:val="none"/>
        </w:rPr>
      </w:pPr>
    </w:p>
    <w:p>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p>
    <w:p>
      <w:pPr>
        <w:spacing w:line="360" w:lineRule="auto"/>
        <w:ind w:left="480"/>
        <w:jc w:val="center"/>
        <w:rPr>
          <w:rFonts w:ascii="宋体" w:hAnsi="宋体" w:cs="宋体"/>
          <w:b/>
          <w:color w:val="auto"/>
          <w:sz w:val="32"/>
          <w:szCs w:val="32"/>
          <w:highlight w:val="none"/>
        </w:rPr>
      </w:pPr>
      <w:bookmarkStart w:id="85" w:name="_Toc12856_WPSOffice_Level1"/>
      <w:bookmarkStart w:id="86" w:name="_Toc26601_WPSOffice_Level1"/>
      <w:r>
        <w:rPr>
          <w:rFonts w:hint="eastAsia" w:ascii="宋体" w:hAnsi="宋体" w:cs="宋体"/>
          <w:color w:val="auto"/>
          <w:kern w:val="0"/>
          <w:sz w:val="32"/>
          <w:szCs w:val="32"/>
          <w:highlight w:val="none"/>
        </w:rPr>
        <w:t>技术需求响应表</w:t>
      </w:r>
      <w:bookmarkEnd w:id="85"/>
      <w:bookmarkEnd w:id="86"/>
    </w:p>
    <w:p>
      <w:pPr>
        <w:spacing w:line="360" w:lineRule="auto"/>
        <w:rPr>
          <w:rFonts w:ascii="宋体" w:hAnsi="宋体" w:cs="宋体"/>
          <w:color w:val="auto"/>
          <w:sz w:val="24"/>
          <w:highlight w:val="none"/>
        </w:rPr>
      </w:pPr>
    </w:p>
    <w:tbl>
      <w:tblPr>
        <w:tblStyle w:val="25"/>
        <w:tblW w:w="7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423"/>
        <w:gridCol w:w="1367"/>
        <w:gridCol w:w="1228"/>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52"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152" w:right="0"/>
              <w:jc w:val="center"/>
              <w:rPr>
                <w:rFonts w:ascii="宋体" w:hAnsi="宋体" w:cs="宋体"/>
                <w:b/>
                <w:color w:val="auto"/>
                <w:sz w:val="24"/>
                <w:highlight w:val="none"/>
              </w:rPr>
            </w:pPr>
            <w:r>
              <w:rPr>
                <w:rFonts w:hint="eastAsia" w:ascii="宋体" w:hAnsi="宋体" w:cs="宋体"/>
                <w:b/>
                <w:color w:val="auto"/>
                <w:sz w:val="24"/>
                <w:highlight w:val="none"/>
              </w:rPr>
              <w:t>招标参数</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投标参数</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3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p>
        </w:tc>
      </w:tr>
    </w:tbl>
    <w:p>
      <w:pPr>
        <w:pStyle w:val="20"/>
        <w:tabs>
          <w:tab w:val="left" w:pos="360"/>
        </w:tabs>
        <w:spacing w:before="0" w:beforeAutospacing="0" w:after="0" w:afterAutospacing="0" w:line="360" w:lineRule="auto"/>
        <w:ind w:right="84" w:rightChars="40"/>
        <w:rPr>
          <w:rFonts w:hint="default" w:hAnsi="Times New Roman" w:cs="宋体"/>
          <w:b/>
          <w:color w:val="auto"/>
          <w:szCs w:val="21"/>
          <w:highlight w:val="none"/>
        </w:rPr>
      </w:pPr>
      <w:r>
        <w:rPr>
          <w:rFonts w:hAnsi="Times New Roman" w:cs="宋体"/>
          <w:b/>
          <w:color w:val="auto"/>
          <w:sz w:val="21"/>
          <w:szCs w:val="21"/>
          <w:highlight w:val="none"/>
        </w:rPr>
        <w:t>要求：</w:t>
      </w:r>
    </w:p>
    <w:p>
      <w:pPr>
        <w:pStyle w:val="20"/>
        <w:tabs>
          <w:tab w:val="left" w:pos="360"/>
        </w:tabs>
        <w:spacing w:before="0" w:beforeAutospacing="0" w:after="0" w:afterAutospacing="0" w:line="360" w:lineRule="auto"/>
        <w:ind w:right="84" w:rightChars="40" w:firstLine="420" w:firstLineChars="200"/>
        <w:rPr>
          <w:rFonts w:hint="default" w:hAnsi="Times New Roman" w:cs="宋体"/>
          <w:color w:val="auto"/>
          <w:szCs w:val="21"/>
          <w:highlight w:val="none"/>
        </w:rPr>
      </w:pPr>
      <w:r>
        <w:rPr>
          <w:rFonts w:hAnsi="Times New Roman" w:cs="宋体"/>
          <w:color w:val="auto"/>
          <w:sz w:val="21"/>
          <w:szCs w:val="21"/>
          <w:highlight w:val="none"/>
        </w:rPr>
        <w:t>1. 本表参照本招标文件第三章“招标需求”内具体技术需求填制，投标人应根据投标设备的性能指标、服务指标，对照招标文件要求在“偏离情况”栏注明“正偏离”、“负偏离”或“无偏离”。</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职        务：</w:t>
      </w:r>
    </w:p>
    <w:p>
      <w:pPr>
        <w:spacing w:line="360" w:lineRule="auto"/>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pStyle w:val="20"/>
        <w:widowControl w:val="0"/>
        <w:spacing w:before="0" w:beforeAutospacing="0" w:after="0" w:afterAutospacing="0"/>
        <w:ind w:firstLine="420" w:firstLineChars="200"/>
        <w:jc w:val="both"/>
        <w:rPr>
          <w:rFonts w:hint="default"/>
          <w:color w:val="auto"/>
          <w:highlight w:val="none"/>
        </w:rPr>
      </w:pPr>
      <w:r>
        <w:rPr>
          <w:rFonts w:hint="default" w:ascii="Times New Roman" w:hAnsi="Times New Roman"/>
          <w:color w:val="auto"/>
          <w:kern w:val="2"/>
          <w:sz w:val="21"/>
          <w:highlight w:val="none"/>
        </w:rPr>
        <w:br w:type="page"/>
      </w:r>
    </w:p>
    <w:p>
      <w:pPr>
        <w:pStyle w:val="20"/>
        <w:widowControl w:val="0"/>
        <w:spacing w:before="0" w:beforeAutospacing="0" w:after="0" w:afterAutospacing="0"/>
        <w:ind w:firstLine="480" w:firstLineChars="200"/>
        <w:jc w:val="both"/>
        <w:rPr>
          <w:rFonts w:hint="default"/>
          <w:color w:val="auto"/>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p>
    <w:p>
      <w:pPr>
        <w:snapToGrid w:val="0"/>
        <w:spacing w:before="156" w:beforeLines="50" w:after="50" w:line="360" w:lineRule="auto"/>
        <w:jc w:val="center"/>
        <w:rPr>
          <w:rFonts w:ascii="宋体" w:hAnsi="宋体" w:cs="宋体"/>
          <w:b/>
          <w:color w:val="auto"/>
          <w:sz w:val="36"/>
          <w:szCs w:val="36"/>
          <w:highlight w:val="none"/>
        </w:rPr>
      </w:pPr>
      <w:bookmarkStart w:id="87" w:name="_Toc20569_WPSOffice_Level1"/>
      <w:bookmarkStart w:id="88" w:name="_Toc23671_WPSOffice_Level1"/>
      <w:r>
        <w:rPr>
          <w:rFonts w:hint="eastAsia" w:ascii="宋体" w:hAnsi="宋体" w:cs="宋体"/>
          <w:b/>
          <w:color w:val="auto"/>
          <w:sz w:val="32"/>
          <w:szCs w:val="32"/>
          <w:highlight w:val="none"/>
        </w:rPr>
        <w:t>项目实施人员一览表（第 标）</w:t>
      </w:r>
      <w:bookmarkEnd w:id="87"/>
      <w:bookmarkEnd w:id="88"/>
    </w:p>
    <w:p>
      <w:pPr>
        <w:snapToGrid w:val="0"/>
        <w:spacing w:before="156"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tbl>
      <w:tblPr>
        <w:tblStyle w:val="25"/>
        <w:tblW w:w="9162"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62"/>
        <w:gridCol w:w="814"/>
        <w:gridCol w:w="1003"/>
        <w:gridCol w:w="794"/>
        <w:gridCol w:w="1275"/>
        <w:gridCol w:w="1274"/>
        <w:gridCol w:w="1741"/>
        <w:gridCol w:w="17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highlight w:val="none"/>
              </w:rPr>
              <w:t>参加本单位工作时间</w:t>
            </w:r>
          </w:p>
        </w:tc>
        <w:tc>
          <w:tcPr>
            <w:tcW w:w="1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b/>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auto"/>
                <w:sz w:val="24"/>
                <w:szCs w:val="20"/>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auto"/>
                <w:sz w:val="24"/>
                <w:szCs w:val="20"/>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auto"/>
                <w:sz w:val="24"/>
                <w:szCs w:val="20"/>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napToGrid w:val="0"/>
              <w:spacing w:before="156" w:beforeLines="50" w:beforeAutospacing="0" w:after="50" w:afterAutospacing="0" w:line="360" w:lineRule="auto"/>
              <w:ind w:left="5250" w:leftChars="2500" w:right="0"/>
              <w:jc w:val="both"/>
              <w:rPr>
                <w:rFonts w:hint="default" w:cs="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napToGrid w:val="0"/>
              <w:spacing w:before="156" w:beforeLines="50" w:beforeAutospacing="0" w:after="50" w:afterAutospacing="0" w:line="360" w:lineRule="auto"/>
              <w:ind w:left="5250" w:leftChars="2500" w:right="0"/>
              <w:jc w:val="both"/>
              <w:rPr>
                <w:rFonts w:hint="default" w:cs="宋体"/>
                <w:b/>
                <w:color w:val="auto"/>
                <w:kern w:val="4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5250" w:leftChars="2500" w:right="0"/>
              <w:jc w:val="both"/>
              <w:rPr>
                <w:rFonts w:hint="default" w:eastAsia="楷体_GB2312" w:cs="宋体"/>
                <w:color w:val="auto"/>
                <w:szCs w:val="22"/>
                <w:highlight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auto"/>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auto"/>
                <w:sz w:val="24"/>
                <w:szCs w:val="20"/>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color w:val="auto"/>
                <w:sz w:val="24"/>
                <w:szCs w:val="20"/>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79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156" w:beforeLines="50" w:beforeAutospacing="0" w:after="50" w:afterAutospacing="0" w:line="360" w:lineRule="auto"/>
              <w:ind w:left="0" w:right="0"/>
              <w:rPr>
                <w:rFonts w:ascii="宋体" w:hAnsi="宋体" w:cs="宋体"/>
                <w:b/>
                <w:color w:val="auto"/>
                <w:kern w:val="44"/>
                <w:sz w:val="24"/>
                <w:szCs w:val="20"/>
                <w:highlight w:val="none"/>
              </w:rPr>
            </w:pP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pPr>
        <w:spacing w:line="360" w:lineRule="auto"/>
        <w:ind w:left="437"/>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在填写时，如本表格不适合投标单位的实际情况，可根据本表格式自行划表填写。</w:t>
      </w:r>
    </w:p>
    <w:p>
      <w:pPr>
        <w:pStyle w:val="20"/>
        <w:widowControl w:val="0"/>
        <w:spacing w:before="0" w:beforeAutospacing="0" w:after="0" w:afterAutospacing="0" w:line="360" w:lineRule="auto"/>
        <w:ind w:left="424" w:leftChars="202"/>
        <w:jc w:val="both"/>
        <w:rPr>
          <w:rFonts w:hint="default" w:cs="宋体"/>
          <w:color w:val="auto"/>
          <w:szCs w:val="21"/>
          <w:highlight w:val="none"/>
        </w:rPr>
      </w:pPr>
      <w:r>
        <w:rPr>
          <w:rFonts w:cs="宋体"/>
          <w:color w:val="auto"/>
          <w:kern w:val="2"/>
          <w:sz w:val="21"/>
          <w:szCs w:val="21"/>
          <w:highlight w:val="none"/>
        </w:rPr>
        <w:t>2.附人员证书复印件；</w:t>
      </w:r>
    </w:p>
    <w:p>
      <w:pPr>
        <w:pStyle w:val="20"/>
        <w:widowControl w:val="0"/>
        <w:spacing w:before="0" w:beforeAutospacing="0" w:after="0" w:afterAutospacing="0" w:line="360" w:lineRule="auto"/>
        <w:jc w:val="both"/>
        <w:rPr>
          <w:rFonts w:hint="default" w:cs="宋体"/>
          <w:color w:val="auto"/>
          <w:szCs w:val="21"/>
          <w:highlight w:val="none"/>
        </w:rPr>
      </w:pPr>
      <w:r>
        <w:rPr>
          <w:rFonts w:cs="宋体"/>
          <w:color w:val="auto"/>
          <w:kern w:val="2"/>
          <w:sz w:val="21"/>
          <w:szCs w:val="21"/>
          <w:highlight w:val="none"/>
        </w:rPr>
        <w:t>　　3.出具上述人员在本单位服务的外部证明，如：投标截止日之前</w:t>
      </w:r>
      <w:r>
        <w:rPr>
          <w:rFonts w:asciiTheme="minorEastAsia" w:hAnsiTheme="minorEastAsia" w:eastAsiaTheme="minorEastAsia" w:cstheme="minorEastAsia"/>
          <w:bCs/>
          <w:color w:val="auto"/>
          <w:kern w:val="2"/>
          <w:sz w:val="21"/>
          <w:szCs w:val="21"/>
          <w:highlight w:val="none"/>
        </w:rPr>
        <w:t>近三个月</w:t>
      </w:r>
      <w:r>
        <w:rPr>
          <w:rFonts w:cs="宋体"/>
          <w:color w:val="auto"/>
          <w:kern w:val="2"/>
          <w:sz w:val="21"/>
          <w:szCs w:val="21"/>
          <w:highlight w:val="none"/>
        </w:rPr>
        <w:t>的代缴个税税单、参加社会保险的《投保单》或《社会保险参保人员证明》等。</w:t>
      </w:r>
    </w:p>
    <w:p>
      <w:pPr>
        <w:snapToGrid w:val="0"/>
        <w:spacing w:before="50" w:after="156" w:afterLines="50" w:line="360" w:lineRule="auto"/>
        <w:jc w:val="left"/>
        <w:rPr>
          <w:rFonts w:ascii="宋体" w:hAnsi="宋体" w:cs="宋体"/>
          <w:color w:val="auto"/>
          <w:sz w:val="24"/>
          <w:szCs w:val="20"/>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rPr>
          <w:rFonts w:hint="eastAsia" w:ascii="宋体" w:hAnsi="宋体" w:eastAsia="宋体" w:cs="宋体"/>
          <w:b/>
          <w:color w:val="auto"/>
          <w:sz w:val="28"/>
          <w:highlight w:val="none"/>
          <w:lang w:eastAsia="zh-CN"/>
        </w:rPr>
      </w:pPr>
      <w:r>
        <w:rPr>
          <w:rFonts w:hint="eastAsia" w:ascii="宋体" w:hAnsi="宋体"/>
          <w:b/>
          <w:color w:val="auto"/>
          <w:sz w:val="28"/>
          <w:highlight w:val="none"/>
        </w:rPr>
        <w:br w:type="page"/>
      </w: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p>
    <w:p>
      <w:pPr>
        <w:spacing w:before="156" w:beforeLines="50" w:after="156" w:afterLines="50" w:line="360" w:lineRule="auto"/>
        <w:ind w:right="-10"/>
        <w:jc w:val="center"/>
        <w:rPr>
          <w:rFonts w:ascii="宋体" w:hAnsi="宋体" w:cs="宋体"/>
          <w:b/>
          <w:color w:val="auto"/>
          <w:sz w:val="32"/>
          <w:szCs w:val="32"/>
          <w:highlight w:val="none"/>
        </w:rPr>
      </w:pPr>
      <w:bookmarkStart w:id="89" w:name="_Toc12710_WPSOffice_Level1"/>
      <w:bookmarkStart w:id="90" w:name="_Toc23055_WPSOffice_Level1"/>
      <w:r>
        <w:rPr>
          <w:rFonts w:hint="eastAsia" w:ascii="宋体" w:hAnsi="宋体" w:cs="宋体"/>
          <w:b/>
          <w:color w:val="auto"/>
          <w:sz w:val="32"/>
          <w:szCs w:val="32"/>
          <w:highlight w:val="none"/>
        </w:rPr>
        <w:t>项目负责人/技术负责人资格情况表</w:t>
      </w:r>
      <w:bookmarkEnd w:id="89"/>
      <w:bookmarkEnd w:id="90"/>
    </w:p>
    <w:p>
      <w:pPr>
        <w:spacing w:line="360" w:lineRule="auto"/>
        <w:rPr>
          <w:rFonts w:ascii="宋体" w:hAnsi="宋体" w:cs="宋体"/>
          <w:color w:val="auto"/>
          <w:highlight w:val="none"/>
        </w:rPr>
      </w:pPr>
      <w:r>
        <w:rPr>
          <w:rFonts w:hint="eastAsia" w:ascii="宋体" w:hAnsi="宋体" w:cs="宋体"/>
          <w:color w:val="auto"/>
          <w:highlight w:val="none"/>
        </w:rPr>
        <w:t>采购项目：                                            采购编号：</w:t>
      </w:r>
    </w:p>
    <w:tbl>
      <w:tblPr>
        <w:tblStyle w:val="25"/>
        <w:tblW w:w="862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966"/>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3" w:type="dxa"/>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姓名</w:t>
            </w:r>
          </w:p>
        </w:tc>
        <w:tc>
          <w:tcPr>
            <w:tcW w:w="2966"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性别</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rPr>
            </w:pPr>
            <w:r>
              <w:rPr>
                <w:rFonts w:hint="eastAsia" w:ascii="宋体" w:hAnsi="宋体" w:cs="宋体"/>
                <w:color w:val="auto"/>
                <w:highlight w:val="none"/>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年龄</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职称</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毕业时间</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学校专业</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联系电话</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3"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rPr>
              <w:t>最近一年工作状况</w:t>
            </w:r>
          </w:p>
        </w:tc>
        <w:tc>
          <w:tcPr>
            <w:tcW w:w="2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c>
          <w:tcPr>
            <w:tcW w:w="3684" w:type="dxa"/>
            <w:vMerge w:val="continue"/>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3"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b/>
                <w:color w:val="auto"/>
                <w:highlight w:val="none"/>
                <w:lang w:val="zh-CN"/>
              </w:rPr>
            </w:pPr>
            <w:r>
              <w:rPr>
                <w:rFonts w:hint="eastAsia" w:ascii="宋体" w:hAnsi="宋体" w:cs="宋体"/>
                <w:b/>
                <w:color w:val="auto"/>
                <w:highlight w:val="none"/>
                <w:lang w:val="zh-CN"/>
              </w:rPr>
              <w:t>拟在本项目中担任主要工作</w:t>
            </w:r>
          </w:p>
        </w:tc>
        <w:tc>
          <w:tcPr>
            <w:tcW w:w="6650"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s="宋体"/>
                <w:color w:val="auto"/>
                <w:highlight w:val="none"/>
                <w:lang w:val="zh-CN"/>
              </w:rPr>
            </w:pPr>
          </w:p>
        </w:tc>
      </w:tr>
    </w:tbl>
    <w:p>
      <w:pPr>
        <w:spacing w:line="360" w:lineRule="auto"/>
        <w:ind w:left="42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pStyle w:val="20"/>
        <w:widowControl w:val="0"/>
        <w:spacing w:before="0" w:beforeAutospacing="0" w:after="0" w:afterAutospacing="0"/>
        <w:ind w:firstLine="420" w:firstLineChars="200"/>
        <w:jc w:val="both"/>
        <w:rPr>
          <w:rFonts w:hint="default"/>
          <w:color w:val="auto"/>
          <w:highlight w:val="none"/>
        </w:rPr>
      </w:pPr>
      <w:r>
        <w:rPr>
          <w:rFonts w:hint="default" w:ascii="Times New Roman" w:hAnsi="Times New Roman"/>
          <w:color w:val="auto"/>
          <w:kern w:val="2"/>
          <w:sz w:val="21"/>
          <w:highlight w:val="none"/>
        </w:rPr>
        <w:br w:type="page"/>
      </w:r>
    </w:p>
    <w:p>
      <w:pPr>
        <w:snapToGrid w:val="0"/>
        <w:spacing w:before="50" w:after="50"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p>
    <w:p>
      <w:pPr>
        <w:spacing w:line="360" w:lineRule="auto"/>
        <w:ind w:left="480"/>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服务实施情况表（视情制作）</w:t>
      </w:r>
    </w:p>
    <w:p>
      <w:pPr>
        <w:spacing w:line="360" w:lineRule="auto"/>
        <w:ind w:firstLine="435"/>
        <w:rPr>
          <w:rFonts w:ascii="宋体" w:hAnsi="宋体" w:cs="宋体"/>
          <w:b/>
          <w:color w:val="auto"/>
          <w:sz w:val="28"/>
          <w:highlight w:val="none"/>
        </w:rPr>
      </w:pPr>
    </w:p>
    <w:tbl>
      <w:tblPr>
        <w:tblStyle w:val="25"/>
        <w:tblW w:w="853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7"/>
        <w:gridCol w:w="3734"/>
        <w:gridCol w:w="1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序号</w:t>
            </w:r>
          </w:p>
        </w:tc>
        <w:tc>
          <w:tcPr>
            <w:tcW w:w="2687"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项目</w:t>
            </w:r>
          </w:p>
        </w:tc>
        <w:tc>
          <w:tcPr>
            <w:tcW w:w="3734" w:type="dxa"/>
            <w:tcBorders>
              <w:top w:val="single" w:color="auto" w:sz="4"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投标人承诺</w:t>
            </w:r>
          </w:p>
        </w:tc>
        <w:tc>
          <w:tcPr>
            <w:tcW w:w="1374" w:type="dxa"/>
            <w:tcBorders>
              <w:top w:val="single" w:color="auto" w:sz="4" w:space="0"/>
              <w:left w:val="single" w:color="auto" w:sz="6" w:space="0"/>
              <w:bottom w:val="single" w:color="auto" w:sz="6"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98" w:hRule="atLeas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center"/>
              <w:rPr>
                <w:rFonts w:hint="default" w:cs="Arial"/>
                <w:bCs/>
                <w:color w:val="auto"/>
                <w:highlight w:val="none"/>
              </w:rPr>
            </w:pPr>
            <w:r>
              <w:rPr>
                <w:rFonts w:cs="Arial"/>
                <w:bCs/>
                <w:color w:val="auto"/>
                <w:kern w:val="2"/>
                <w:highlight w:val="none"/>
              </w:rPr>
              <w:t>1</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bCs/>
                <w:color w:val="auto"/>
                <w:highlight w:val="none"/>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center"/>
              <w:rPr>
                <w:rFonts w:hint="default" w:cs="Arial"/>
                <w:bCs/>
                <w:color w:val="auto"/>
                <w:highlight w:val="none"/>
              </w:rPr>
            </w:pPr>
            <w:r>
              <w:rPr>
                <w:rFonts w:cs="Arial"/>
                <w:bCs/>
                <w:color w:val="auto"/>
                <w:kern w:val="2"/>
                <w:highlight w:val="none"/>
              </w:rPr>
              <w:t>2</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line="360" w:lineRule="auto"/>
              <w:ind w:left="0" w:right="0"/>
              <w:jc w:val="both"/>
              <w:rPr>
                <w:rFonts w:hint="default" w:cs="Arial"/>
                <w:bCs/>
                <w:color w:val="auto"/>
                <w:highlight w:val="none"/>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bCs/>
                <w:color w:val="auto"/>
                <w:highlight w:val="none"/>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p>
          <w:p>
            <w:pPr>
              <w:pStyle w:val="20"/>
              <w:keepNext w:val="0"/>
              <w:keepLines w:val="0"/>
              <w:suppressLineNumbers w:val="0"/>
              <w:spacing w:before="0" w:beforeAutospacing="0" w:after="0" w:afterAutospacing="0" w:line="360" w:lineRule="auto"/>
              <w:ind w:left="0" w:right="0"/>
              <w:rPr>
                <w:rFonts w:hint="default" w:cs="Arial"/>
                <w:bCs/>
                <w:color w:val="auto"/>
                <w:highlight w:val="none"/>
              </w:rPr>
            </w:pPr>
          </w:p>
          <w:p>
            <w:pPr>
              <w:pStyle w:val="20"/>
              <w:keepNext w:val="0"/>
              <w:keepLines w:val="0"/>
              <w:widowControl w:val="0"/>
              <w:suppressLineNumbers w:val="0"/>
              <w:spacing w:before="0" w:beforeAutospacing="0" w:after="0" w:afterAutospacing="0" w:line="360" w:lineRule="auto"/>
              <w:ind w:left="0" w:right="0"/>
              <w:jc w:val="both"/>
              <w:rPr>
                <w:rFonts w:hint="default" w:cs="Arial"/>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tcBorders>
              <w:top w:val="single" w:color="auto" w:sz="6" w:space="0"/>
              <w:left w:val="single" w:color="auto" w:sz="4" w:space="0"/>
              <w:bottom w:val="single" w:color="auto" w:sz="6" w:space="0"/>
              <w:right w:val="single" w:color="auto" w:sz="6" w:space="0"/>
            </w:tcBorders>
            <w:shd w:val="clear" w:color="auto" w:fill="auto"/>
            <w:vAlign w:val="center"/>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r>
              <w:rPr>
                <w:rFonts w:cs="Arial"/>
                <w:bCs/>
                <w:color w:val="auto"/>
                <w:kern w:val="2"/>
                <w:highlight w:val="none"/>
              </w:rPr>
              <w:t xml:space="preserve"> 3</w:t>
            </w:r>
          </w:p>
        </w:tc>
        <w:tc>
          <w:tcPr>
            <w:tcW w:w="26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p>
        </w:tc>
        <w:tc>
          <w:tcPr>
            <w:tcW w:w="3734"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suppressLineNumbers w:val="0"/>
              <w:spacing w:before="0" w:beforeAutospacing="0" w:after="0" w:afterAutospacing="0" w:line="360" w:lineRule="auto"/>
              <w:ind w:left="0" w:right="0"/>
              <w:rPr>
                <w:rFonts w:hint="default" w:cs="Arial"/>
                <w:bCs/>
                <w:i/>
                <w:color w:val="auto"/>
                <w:highlight w:val="none"/>
              </w:rPr>
            </w:pPr>
          </w:p>
        </w:tc>
        <w:tc>
          <w:tcPr>
            <w:tcW w:w="1374" w:type="dxa"/>
            <w:tcBorders>
              <w:top w:val="single" w:color="auto" w:sz="6" w:space="0"/>
              <w:left w:val="single" w:color="auto" w:sz="6" w:space="0"/>
              <w:bottom w:val="single" w:color="auto" w:sz="6" w:space="0"/>
              <w:right w:val="single" w:color="auto" w:sz="4" w:space="0"/>
            </w:tcBorders>
            <w:shd w:val="clear" w:color="auto" w:fill="auto"/>
          </w:tcPr>
          <w:p>
            <w:pPr>
              <w:pStyle w:val="20"/>
              <w:keepNext w:val="0"/>
              <w:keepLines w:val="0"/>
              <w:suppressLineNumbers w:val="0"/>
              <w:spacing w:before="0" w:beforeAutospacing="0" w:after="0" w:afterAutospacing="0" w:line="360" w:lineRule="auto"/>
              <w:ind w:left="0" w:right="0"/>
              <w:rPr>
                <w:rFonts w:hint="default" w:cs="Arial"/>
                <w:bCs/>
                <w:i/>
                <w:color w:val="auto"/>
                <w:highlight w:val="none"/>
              </w:rPr>
            </w:pPr>
          </w:p>
          <w:p>
            <w:pPr>
              <w:pStyle w:val="20"/>
              <w:keepNext w:val="0"/>
              <w:keepLines w:val="0"/>
              <w:suppressLineNumbers w:val="0"/>
              <w:spacing w:before="0" w:beforeAutospacing="0" w:after="0" w:afterAutospacing="0" w:line="360" w:lineRule="auto"/>
              <w:ind w:left="0" w:right="0"/>
              <w:rPr>
                <w:rFonts w:hint="default" w:cs="Arial"/>
                <w:bCs/>
                <w:i/>
                <w:color w:val="auto"/>
                <w:highlight w:val="none"/>
              </w:rPr>
            </w:pPr>
          </w:p>
          <w:p>
            <w:pPr>
              <w:pStyle w:val="20"/>
              <w:keepNext w:val="0"/>
              <w:keepLines w:val="0"/>
              <w:suppressLineNumbers w:val="0"/>
              <w:spacing w:before="0" w:beforeAutospacing="0" w:after="0" w:afterAutospacing="0" w:line="360" w:lineRule="auto"/>
              <w:ind w:left="0" w:right="0"/>
              <w:rPr>
                <w:rFonts w:hint="default" w:cs="Arial"/>
                <w:bCs/>
                <w: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shd w:val="clear" w:color="auto" w:fill="auto"/>
            <w:vAlign w:val="center"/>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r>
              <w:rPr>
                <w:rFonts w:cs="Arial"/>
                <w:bCs/>
                <w:color w:val="auto"/>
                <w:kern w:val="2"/>
                <w:highlight w:val="none"/>
              </w:rPr>
              <w:t>……</w:t>
            </w:r>
          </w:p>
        </w:tc>
        <w:tc>
          <w:tcPr>
            <w:tcW w:w="2687" w:type="dxa"/>
            <w:tcBorders>
              <w:top w:val="single" w:color="auto" w:sz="6" w:space="0"/>
              <w:left w:val="single" w:color="auto" w:sz="6" w:space="0"/>
              <w:bottom w:val="single" w:color="auto" w:sz="4" w:space="0"/>
              <w:right w:val="single" w:color="auto" w:sz="6" w:space="0"/>
            </w:tcBorders>
            <w:shd w:val="clear" w:color="auto" w:fill="auto"/>
            <w:vAlign w:val="center"/>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r>
              <w:rPr>
                <w:rFonts w:cs="Arial"/>
                <w:bCs/>
                <w:color w:val="auto"/>
                <w:kern w:val="2"/>
                <w:highlight w:val="none"/>
              </w:rPr>
              <w:t>……</w:t>
            </w:r>
          </w:p>
        </w:tc>
        <w:tc>
          <w:tcPr>
            <w:tcW w:w="3734" w:type="dxa"/>
            <w:tcBorders>
              <w:top w:val="single" w:color="auto" w:sz="6" w:space="0"/>
              <w:left w:val="single" w:color="auto" w:sz="6" w:space="0"/>
              <w:bottom w:val="single" w:color="auto" w:sz="4" w:space="0"/>
              <w:right w:val="single" w:color="auto" w:sz="6" w:space="0"/>
            </w:tcBorders>
            <w:shd w:val="clear" w:color="auto" w:fill="auto"/>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p>
        </w:tc>
        <w:tc>
          <w:tcPr>
            <w:tcW w:w="1374" w:type="dxa"/>
            <w:tcBorders>
              <w:top w:val="single" w:color="auto" w:sz="6" w:space="0"/>
              <w:left w:val="single" w:color="auto" w:sz="6" w:space="0"/>
              <w:bottom w:val="single" w:color="auto" w:sz="4" w:space="0"/>
              <w:right w:val="single" w:color="auto" w:sz="4" w:space="0"/>
            </w:tcBorders>
            <w:shd w:val="clear" w:color="auto" w:fill="auto"/>
          </w:tcPr>
          <w:p>
            <w:pPr>
              <w:pStyle w:val="20"/>
              <w:keepNext w:val="0"/>
              <w:keepLines w:val="0"/>
              <w:suppressLineNumbers w:val="0"/>
              <w:spacing w:before="0" w:beforeAutospacing="0" w:after="0" w:afterAutospacing="0" w:line="360" w:lineRule="auto"/>
              <w:ind w:left="0" w:right="0"/>
              <w:rPr>
                <w:rFonts w:hint="default" w:cs="Arial"/>
                <w:bCs/>
                <w:color w:val="auto"/>
                <w:highlight w:val="none"/>
              </w:rPr>
            </w:pPr>
          </w:p>
        </w:tc>
      </w:tr>
    </w:tbl>
    <w:p>
      <w:pPr>
        <w:spacing w:line="360" w:lineRule="auto"/>
        <w:ind w:left="420"/>
        <w:rPr>
          <w:rFonts w:ascii="宋体" w:hAnsi="宋体" w:cs="宋体"/>
          <w:color w:val="auto"/>
          <w:sz w:val="24"/>
          <w:highlight w:val="none"/>
        </w:rPr>
      </w:pPr>
    </w:p>
    <w:p>
      <w:pPr>
        <w:spacing w:line="360" w:lineRule="auto"/>
        <w:ind w:left="420"/>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pStyle w:val="20"/>
        <w:widowControl w:val="0"/>
        <w:spacing w:before="0" w:beforeAutospacing="0" w:after="0" w:afterAutospacing="0"/>
        <w:ind w:firstLine="420" w:firstLineChars="200"/>
        <w:jc w:val="both"/>
        <w:rPr>
          <w:rFonts w:hint="default"/>
          <w:color w:val="auto"/>
          <w:highlight w:val="none"/>
        </w:rPr>
      </w:pPr>
      <w:r>
        <w:rPr>
          <w:rFonts w:hint="default" w:ascii="Times New Roman" w:hAnsi="Times New Roman"/>
          <w:color w:val="auto"/>
          <w:kern w:val="2"/>
          <w:sz w:val="21"/>
          <w:highlight w:val="none"/>
        </w:rPr>
        <w:br w:type="page"/>
      </w:r>
    </w:p>
    <w:p>
      <w:pPr>
        <w:pStyle w:val="20"/>
        <w:widowControl w:val="0"/>
        <w:spacing w:before="0" w:beforeAutospacing="0" w:after="0" w:afterAutospacing="0" w:line="360" w:lineRule="auto"/>
        <w:rPr>
          <w:rFonts w:hint="eastAsia" w:eastAsia="宋体" w:cs="宋体"/>
          <w:b/>
          <w:color w:val="auto"/>
          <w:sz w:val="28"/>
          <w:highlight w:val="none"/>
          <w:lang w:val="en-US" w:eastAsia="zh-CN"/>
        </w:rPr>
      </w:pPr>
      <w:r>
        <w:rPr>
          <w:rFonts w:cs="宋体"/>
          <w:b/>
          <w:color w:val="auto"/>
          <w:kern w:val="2"/>
          <w:sz w:val="28"/>
          <w:highlight w:val="none"/>
        </w:rPr>
        <w:t>附件1</w:t>
      </w:r>
      <w:r>
        <w:rPr>
          <w:rFonts w:hint="eastAsia" w:cs="宋体"/>
          <w:b/>
          <w:color w:val="auto"/>
          <w:kern w:val="2"/>
          <w:sz w:val="28"/>
          <w:highlight w:val="none"/>
          <w:lang w:val="en-US" w:eastAsia="zh-CN"/>
        </w:rPr>
        <w:t>0</w:t>
      </w:r>
    </w:p>
    <w:p>
      <w:pPr>
        <w:pStyle w:val="20"/>
        <w:widowControl w:val="0"/>
        <w:spacing w:before="0" w:beforeAutospacing="0" w:after="0" w:afterAutospacing="0" w:line="360" w:lineRule="auto"/>
        <w:jc w:val="center"/>
        <w:rPr>
          <w:rFonts w:hint="default" w:cs="宋体"/>
          <w:b/>
          <w:color w:val="auto"/>
          <w:sz w:val="32"/>
          <w:szCs w:val="32"/>
          <w:highlight w:val="none"/>
        </w:rPr>
      </w:pPr>
      <w:bookmarkStart w:id="91" w:name="_Toc17604_WPSOffice_Level1"/>
      <w:bookmarkStart w:id="92" w:name="_Toc11030_WPSOffice_Level1"/>
      <w:r>
        <w:rPr>
          <w:rFonts w:cs="宋体"/>
          <w:b/>
          <w:color w:val="auto"/>
          <w:kern w:val="2"/>
          <w:sz w:val="32"/>
          <w:szCs w:val="32"/>
          <w:highlight w:val="none"/>
        </w:rPr>
        <w:t>证书一览表</w:t>
      </w:r>
      <w:bookmarkEnd w:id="91"/>
      <w:bookmarkEnd w:id="92"/>
    </w:p>
    <w:p>
      <w:pPr>
        <w:pStyle w:val="20"/>
        <w:widowControl w:val="0"/>
        <w:spacing w:before="0" w:beforeAutospacing="0" w:after="0" w:afterAutospacing="0" w:line="360" w:lineRule="auto"/>
        <w:jc w:val="center"/>
        <w:rPr>
          <w:rFonts w:hint="default" w:cs="Arial"/>
          <w:color w:val="auto"/>
          <w:sz w:val="28"/>
          <w:szCs w:val="28"/>
          <w:highlight w:val="none"/>
        </w:rPr>
      </w:pPr>
    </w:p>
    <w:tbl>
      <w:tblPr>
        <w:tblStyle w:val="25"/>
        <w:tblW w:w="842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9"/>
        <w:gridCol w:w="20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证书名称</w:t>
            </w: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发证单位</w:t>
            </w: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证书等级</w:t>
            </w: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b/>
                <w:color w:val="auto"/>
                <w:highlight w:val="none"/>
              </w:rPr>
            </w:pPr>
            <w:r>
              <w:rPr>
                <w:rFonts w:cs="Arial"/>
                <w:b/>
                <w:color w:val="auto"/>
                <w:kern w:val="2"/>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7"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szCs w:val="21"/>
                <w:highlight w:val="none"/>
              </w:rPr>
            </w:pPr>
          </w:p>
        </w:tc>
      </w:tr>
    </w:tbl>
    <w:p>
      <w:pPr>
        <w:pStyle w:val="20"/>
        <w:widowControl w:val="0"/>
        <w:tabs>
          <w:tab w:val="left" w:pos="1050"/>
        </w:tabs>
        <w:spacing w:before="0" w:beforeAutospacing="0" w:after="0" w:afterAutospacing="0" w:line="360" w:lineRule="auto"/>
        <w:jc w:val="both"/>
        <w:rPr>
          <w:rFonts w:hint="default" w:ascii="仿宋_GB2312" w:eastAsia="仿宋_GB2312" w:cs="仿宋_GB2312"/>
          <w:color w:val="auto"/>
          <w:highlight w:val="none"/>
        </w:rPr>
      </w:pPr>
    </w:p>
    <w:p>
      <w:pPr>
        <w:pStyle w:val="20"/>
        <w:widowControl w:val="0"/>
        <w:tabs>
          <w:tab w:val="left" w:pos="1050"/>
        </w:tabs>
        <w:spacing w:before="0" w:beforeAutospacing="0" w:after="0" w:afterAutospacing="0" w:line="360" w:lineRule="auto"/>
        <w:jc w:val="both"/>
        <w:rPr>
          <w:rFonts w:hint="default" w:cs="宋体"/>
          <w:color w:val="auto"/>
          <w:szCs w:val="21"/>
          <w:highlight w:val="none"/>
        </w:rPr>
      </w:pPr>
      <w:r>
        <w:rPr>
          <w:rFonts w:cs="宋体"/>
          <w:b/>
          <w:color w:val="auto"/>
          <w:kern w:val="2"/>
          <w:sz w:val="21"/>
          <w:szCs w:val="21"/>
          <w:highlight w:val="none"/>
        </w:rPr>
        <w:t>要求：</w:t>
      </w:r>
    </w:p>
    <w:p>
      <w:pPr>
        <w:pStyle w:val="20"/>
        <w:widowControl w:val="0"/>
        <w:tabs>
          <w:tab w:val="left" w:pos="1050"/>
        </w:tabs>
        <w:spacing w:before="0" w:beforeAutospacing="0" w:after="0" w:afterAutospacing="0" w:line="360" w:lineRule="auto"/>
        <w:ind w:firstLine="424" w:firstLineChars="202"/>
        <w:jc w:val="both"/>
        <w:rPr>
          <w:rFonts w:hint="default" w:cs="宋体"/>
          <w:color w:val="auto"/>
          <w:szCs w:val="21"/>
          <w:highlight w:val="none"/>
        </w:rPr>
      </w:pPr>
      <w:r>
        <w:rPr>
          <w:rFonts w:cs="宋体"/>
          <w:color w:val="auto"/>
          <w:kern w:val="2"/>
          <w:sz w:val="21"/>
          <w:szCs w:val="21"/>
          <w:highlight w:val="none"/>
        </w:rPr>
        <w:t>1.填写投标人获得资质、认证或企业信誉证书；</w:t>
      </w:r>
    </w:p>
    <w:p>
      <w:pPr>
        <w:pStyle w:val="20"/>
        <w:widowControl w:val="0"/>
        <w:tabs>
          <w:tab w:val="left" w:pos="1050"/>
        </w:tabs>
        <w:spacing w:before="0" w:beforeAutospacing="0" w:after="0" w:afterAutospacing="0" w:line="360" w:lineRule="auto"/>
        <w:ind w:firstLine="424" w:firstLineChars="202"/>
        <w:jc w:val="both"/>
        <w:rPr>
          <w:rFonts w:hint="default" w:cs="宋体"/>
          <w:color w:val="auto"/>
          <w:szCs w:val="21"/>
          <w:highlight w:val="none"/>
        </w:rPr>
      </w:pPr>
      <w:r>
        <w:rPr>
          <w:rFonts w:cs="宋体"/>
          <w:color w:val="auto"/>
          <w:kern w:val="2"/>
          <w:sz w:val="21"/>
          <w:szCs w:val="21"/>
          <w:highlight w:val="none"/>
        </w:rPr>
        <w:t>2.附所列证书复印件或其他证明材料。</w:t>
      </w:r>
    </w:p>
    <w:p>
      <w:pPr>
        <w:pStyle w:val="20"/>
        <w:widowControl w:val="0"/>
        <w:tabs>
          <w:tab w:val="left" w:pos="1050"/>
        </w:tabs>
        <w:spacing w:before="0" w:beforeAutospacing="0" w:after="0" w:afterAutospacing="0" w:line="360" w:lineRule="auto"/>
        <w:ind w:firstLine="720" w:firstLineChars="300"/>
        <w:jc w:val="both"/>
        <w:rPr>
          <w:rFonts w:hint="default" w:ascii="仿宋_GB2312" w:eastAsia="仿宋_GB2312" w:cs="仿宋_GB2312"/>
          <w:color w:val="auto"/>
          <w:highlight w:val="none"/>
        </w:rPr>
      </w:pPr>
    </w:p>
    <w:p>
      <w:pPr>
        <w:pStyle w:val="20"/>
        <w:widowControl w:val="0"/>
        <w:tabs>
          <w:tab w:val="left" w:pos="1050"/>
        </w:tabs>
        <w:spacing w:before="0" w:beforeAutospacing="0" w:after="0" w:afterAutospacing="0" w:line="360" w:lineRule="auto"/>
        <w:ind w:firstLine="720" w:firstLineChars="300"/>
        <w:jc w:val="both"/>
        <w:rPr>
          <w:rFonts w:hint="default" w:ascii="仿宋_GB2312" w:eastAsia="仿宋_GB2312" w:cs="仿宋_GB2312"/>
          <w:color w:val="auto"/>
          <w:highlight w:val="none"/>
        </w:rPr>
      </w:pPr>
    </w:p>
    <w:p>
      <w:pPr>
        <w:pStyle w:val="20"/>
        <w:widowControl w:val="0"/>
        <w:tabs>
          <w:tab w:val="left" w:pos="1050"/>
        </w:tabs>
        <w:spacing w:before="0" w:beforeAutospacing="0" w:after="0" w:afterAutospacing="0" w:line="360" w:lineRule="auto"/>
        <w:ind w:firstLine="720" w:firstLineChars="300"/>
        <w:jc w:val="both"/>
        <w:rPr>
          <w:rFonts w:hint="default" w:ascii="仿宋_GB2312" w:eastAsia="仿宋_GB2312" w:cs="仿宋_GB2312"/>
          <w:color w:val="auto"/>
          <w:highlight w:val="none"/>
        </w:rPr>
      </w:pPr>
    </w:p>
    <w:p>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职        务：</w:t>
      </w:r>
    </w:p>
    <w:p>
      <w:pPr>
        <w:spacing w:line="360" w:lineRule="auto"/>
        <w:rPr>
          <w:rFonts w:ascii="宋体" w:hAnsi="宋体" w:cs="宋体"/>
          <w:color w:val="auto"/>
          <w:sz w:val="24"/>
          <w:highlight w:val="none"/>
        </w:rPr>
      </w:pPr>
    </w:p>
    <w:p>
      <w:pPr>
        <w:pStyle w:val="20"/>
        <w:shd w:val="clear" w:color="auto" w:fill="FFFFFF"/>
        <w:spacing w:before="0" w:beforeAutospacing="0" w:after="0" w:afterAutospacing="0" w:line="360" w:lineRule="auto"/>
        <w:ind w:firstLine="424" w:firstLineChars="177"/>
        <w:rPr>
          <w:rFonts w:hint="default"/>
          <w:b/>
          <w:color w:val="auto"/>
          <w:highlight w:val="none"/>
          <w:shd w:val="clear" w:color="auto" w:fill="FFFFFF"/>
        </w:rPr>
      </w:pPr>
      <w:r>
        <w:rPr>
          <w:rFonts w:cs="宋体"/>
          <w:color w:val="auto"/>
          <w:highlight w:val="none"/>
          <w:shd w:val="clear" w:color="auto" w:fill="FFFFFF"/>
        </w:rPr>
        <w:t>日        期：：</w:t>
      </w:r>
    </w:p>
    <w:p>
      <w:pPr>
        <w:spacing w:line="360" w:lineRule="auto"/>
        <w:rPr>
          <w:rFonts w:ascii="宋体" w:hAnsi="宋体" w:cs="宋体"/>
          <w:b/>
          <w:color w:val="auto"/>
          <w:sz w:val="28"/>
          <w:highlight w:val="none"/>
        </w:rPr>
      </w:pPr>
      <w:r>
        <w:rPr>
          <w:rFonts w:hint="eastAsia" w:ascii="宋体" w:hAnsi="宋体"/>
          <w:b/>
          <w:color w:val="auto"/>
          <w:sz w:val="28"/>
          <w:highlight w:val="none"/>
        </w:rPr>
        <w:br w:type="page"/>
      </w:r>
    </w:p>
    <w:p>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1</w:t>
      </w:r>
    </w:p>
    <w:p>
      <w:pPr>
        <w:pStyle w:val="20"/>
        <w:widowControl w:val="0"/>
        <w:spacing w:before="0" w:beforeAutospacing="0" w:after="0" w:afterAutospacing="0" w:line="360" w:lineRule="auto"/>
        <w:jc w:val="center"/>
        <w:rPr>
          <w:rFonts w:hint="default" w:cs="宋体"/>
          <w:b/>
          <w:color w:val="auto"/>
          <w:sz w:val="32"/>
          <w:szCs w:val="32"/>
          <w:highlight w:val="none"/>
        </w:rPr>
      </w:pPr>
      <w:bookmarkStart w:id="93" w:name="_Toc7134_WPSOffice_Level1"/>
      <w:bookmarkStart w:id="94" w:name="_Toc19231_WPSOffice_Level1"/>
      <w:r>
        <w:rPr>
          <w:rFonts w:cs="宋体"/>
          <w:b/>
          <w:color w:val="auto"/>
          <w:kern w:val="2"/>
          <w:sz w:val="32"/>
          <w:szCs w:val="32"/>
          <w:highlight w:val="none"/>
        </w:rPr>
        <w:t>投标人类似项目实施情况一览表</w:t>
      </w:r>
      <w:bookmarkEnd w:id="93"/>
      <w:bookmarkEnd w:id="94"/>
    </w:p>
    <w:p>
      <w:pPr>
        <w:pStyle w:val="20"/>
        <w:widowControl w:val="0"/>
        <w:spacing w:before="0" w:beforeAutospacing="0" w:after="0" w:afterAutospacing="0" w:line="360" w:lineRule="auto"/>
        <w:jc w:val="center"/>
        <w:rPr>
          <w:rFonts w:hint="default" w:ascii="仿宋_GB2312" w:eastAsia="仿宋_GB2312" w:cs="仿宋_GB2312"/>
          <w:b/>
          <w:color w:val="auto"/>
          <w:sz w:val="28"/>
          <w:szCs w:val="28"/>
          <w:highlight w:val="none"/>
        </w:rPr>
      </w:pPr>
    </w:p>
    <w:tbl>
      <w:tblPr>
        <w:tblStyle w:val="25"/>
        <w:tblW w:w="954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序号</w:t>
            </w:r>
          </w:p>
        </w:tc>
        <w:tc>
          <w:tcPr>
            <w:tcW w:w="12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项目名称</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项目地址</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合同总价</w:t>
            </w:r>
          </w:p>
        </w:tc>
        <w:tc>
          <w:tcPr>
            <w:tcW w:w="145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实施时间</w:t>
            </w: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项目质量</w:t>
            </w:r>
          </w:p>
        </w:tc>
        <w:tc>
          <w:tcPr>
            <w:tcW w:w="203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0"/>
              <w:keepNext w:val="0"/>
              <w:keepLines w:val="0"/>
              <w:widowControl w:val="0"/>
              <w:suppressLineNumbers w:val="0"/>
              <w:spacing w:before="0" w:beforeAutospacing="0" w:after="0" w:afterAutospacing="0"/>
              <w:ind w:left="0" w:right="0"/>
              <w:jc w:val="center"/>
              <w:rPr>
                <w:rFonts w:hint="default" w:cs="Arial"/>
                <w:b/>
                <w:color w:val="auto"/>
                <w:highlight w:val="none"/>
              </w:rPr>
            </w:pPr>
            <w:r>
              <w:rPr>
                <w:rFonts w:cs="Arial"/>
                <w:b/>
                <w:color w:val="auto"/>
                <w:kern w:val="2"/>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highlight w:val="none"/>
              </w:rPr>
            </w:pPr>
            <w:r>
              <w:rPr>
                <w:rFonts w:cs="Arial"/>
                <w:color w:val="auto"/>
                <w:kern w:val="2"/>
                <w:highlight w:val="none"/>
              </w:rPr>
              <w:t>1</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highlight w:val="none"/>
              </w:rPr>
            </w:pPr>
            <w:r>
              <w:rPr>
                <w:rFonts w:cs="Arial"/>
                <w:color w:val="auto"/>
                <w:kern w:val="2"/>
                <w:highlight w:val="none"/>
              </w:rPr>
              <w:t>2</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center"/>
              <w:rPr>
                <w:rFonts w:hint="default" w:cs="Arial"/>
                <w:color w:val="auto"/>
                <w:highlight w:val="none"/>
              </w:rPr>
            </w:pPr>
            <w:r>
              <w:rPr>
                <w:rFonts w:cs="Arial"/>
                <w:color w:val="auto"/>
                <w:kern w:val="2"/>
                <w:highlight w:val="none"/>
              </w:rPr>
              <w:t>3</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r>
              <w:rPr>
                <w:rFonts w:cs="Arial"/>
                <w:color w:val="auto"/>
                <w:kern w:val="2"/>
                <w:highlight w:val="none"/>
              </w:rPr>
              <w:t>…</w:t>
            </w: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9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575"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260"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452"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1383"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c>
          <w:tcPr>
            <w:tcW w:w="2037" w:type="dxa"/>
            <w:tcBorders>
              <w:top w:val="single" w:color="auto" w:sz="6" w:space="0"/>
              <w:left w:val="single" w:color="auto" w:sz="6" w:space="0"/>
              <w:bottom w:val="single" w:color="auto" w:sz="6" w:space="0"/>
              <w:right w:val="single" w:color="auto" w:sz="6" w:space="0"/>
            </w:tcBorders>
            <w:shd w:val="clear" w:color="auto" w:fill="auto"/>
          </w:tcPr>
          <w:p>
            <w:pPr>
              <w:pStyle w:val="20"/>
              <w:keepNext w:val="0"/>
              <w:keepLines w:val="0"/>
              <w:widowControl w:val="0"/>
              <w:suppressLineNumbers w:val="0"/>
              <w:spacing w:before="0" w:beforeAutospacing="0" w:after="0" w:afterAutospacing="0" w:line="360" w:lineRule="auto"/>
              <w:ind w:left="0" w:right="0"/>
              <w:jc w:val="both"/>
              <w:rPr>
                <w:rFonts w:hint="default" w:cs="Arial"/>
                <w:color w:val="auto"/>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hint="eastAsia" w:ascii="宋体" w:hAnsi="宋体" w:cs="Arial"/>
          <w:color w:val="auto"/>
          <w:szCs w:val="21"/>
          <w:highlight w:val="none"/>
        </w:rPr>
        <w:t>1.业绩证明应提供证明材料（合同复印件可只提供首页、含金额页、盖章页并加盖投标人电子印章）；</w:t>
      </w:r>
    </w:p>
    <w:p>
      <w:pPr>
        <w:spacing w:line="360" w:lineRule="auto"/>
        <w:ind w:firstLine="424" w:firstLineChars="202"/>
        <w:jc w:val="left"/>
        <w:rPr>
          <w:rFonts w:ascii="宋体" w:hAnsi="宋体" w:cs="Arial"/>
          <w:color w:val="auto"/>
          <w:szCs w:val="21"/>
          <w:highlight w:val="none"/>
        </w:rPr>
      </w:pPr>
      <w:r>
        <w:rPr>
          <w:rFonts w:hint="eastAsia" w:ascii="宋体" w:hAnsi="宋体" w:cs="Arial"/>
          <w:color w:val="auto"/>
          <w:szCs w:val="21"/>
          <w:highlight w:val="none"/>
        </w:rPr>
        <w:t>2.投标人可按此表格式复制。</w:t>
      </w:r>
    </w:p>
    <w:p>
      <w:pPr>
        <w:spacing w:line="360" w:lineRule="auto"/>
        <w:rPr>
          <w:rFonts w:ascii="宋体" w:hAnsi="宋体" w:cs="宋体"/>
          <w:color w:val="auto"/>
          <w:sz w:val="22"/>
          <w:szCs w:val="22"/>
          <w:highlight w:val="none"/>
        </w:rPr>
      </w:pPr>
    </w:p>
    <w:p>
      <w:pPr>
        <w:spacing w:line="360" w:lineRule="auto"/>
        <w:rPr>
          <w:rFonts w:ascii="宋体" w:hAnsi="宋体" w:cs="宋体"/>
          <w:color w:val="auto"/>
          <w:sz w:val="22"/>
          <w:szCs w:val="22"/>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职        务：</w:t>
      </w:r>
    </w:p>
    <w:p>
      <w:pPr>
        <w:spacing w:line="360" w:lineRule="auto"/>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jc w:val="center"/>
        <w:rPr>
          <w:rFonts w:ascii="仿宋" w:hAnsi="仿宋" w:eastAsia="仿宋" w:cs="仿宋"/>
          <w:snapToGrid w:val="0"/>
          <w:color w:val="auto"/>
          <w:kern w:val="0"/>
          <w:sz w:val="24"/>
          <w:highlight w:val="none"/>
        </w:rPr>
      </w:pPr>
    </w:p>
    <w:p>
      <w:pPr>
        <w:pStyle w:val="20"/>
        <w:widowControl w:val="0"/>
        <w:tabs>
          <w:tab w:val="left" w:pos="1050"/>
        </w:tabs>
        <w:spacing w:before="0" w:beforeAutospacing="0" w:after="0" w:afterAutospacing="0" w:line="360" w:lineRule="auto"/>
        <w:jc w:val="both"/>
        <w:rPr>
          <w:rFonts w:hint="default" w:cs="宋体"/>
          <w:b/>
          <w:color w:val="auto"/>
          <w:sz w:val="28"/>
          <w:highlight w:val="none"/>
        </w:rPr>
      </w:pPr>
      <w:r>
        <w:rPr>
          <w:b/>
          <w:color w:val="auto"/>
          <w:kern w:val="2"/>
          <w:sz w:val="28"/>
          <w:highlight w:val="none"/>
        </w:rPr>
        <w:br w:type="page"/>
      </w:r>
    </w:p>
    <w:p>
      <w:pPr>
        <w:pStyle w:val="20"/>
        <w:widowControl w:val="0"/>
        <w:tabs>
          <w:tab w:val="left" w:pos="1050"/>
        </w:tabs>
        <w:spacing w:before="0" w:beforeAutospacing="0" w:after="0" w:afterAutospacing="0" w:line="360" w:lineRule="auto"/>
        <w:jc w:val="both"/>
        <w:rPr>
          <w:rFonts w:hint="eastAsia" w:ascii="仿宋_GB2312" w:eastAsia="宋体" w:cs="仿宋_GB2312"/>
          <w:color w:val="auto"/>
          <w:highlight w:val="none"/>
          <w:lang w:eastAsia="zh-CN"/>
        </w:rPr>
      </w:pPr>
      <w:r>
        <w:rPr>
          <w:rFonts w:cs="宋体"/>
          <w:b/>
          <w:color w:val="auto"/>
          <w:kern w:val="2"/>
          <w:sz w:val="28"/>
          <w:highlight w:val="none"/>
        </w:rPr>
        <w:t>附件1</w:t>
      </w:r>
      <w:r>
        <w:rPr>
          <w:rFonts w:hint="eastAsia" w:cs="宋体"/>
          <w:b/>
          <w:color w:val="auto"/>
          <w:kern w:val="2"/>
          <w:sz w:val="28"/>
          <w:highlight w:val="none"/>
          <w:lang w:val="en-US" w:eastAsia="zh-CN"/>
        </w:rPr>
        <w:t>2</w:t>
      </w:r>
    </w:p>
    <w:p>
      <w:pPr>
        <w:spacing w:line="360" w:lineRule="auto"/>
        <w:ind w:left="549" w:hanging="549" w:hangingChars="171"/>
        <w:jc w:val="center"/>
        <w:rPr>
          <w:rFonts w:ascii="宋体" w:hAnsi="宋体" w:cs="宋体"/>
          <w:b/>
          <w:color w:val="auto"/>
          <w:sz w:val="32"/>
          <w:szCs w:val="32"/>
          <w:highlight w:val="none"/>
        </w:rPr>
      </w:pPr>
      <w:bookmarkStart w:id="95" w:name="_Toc3068_WPSOffice_Level1"/>
      <w:bookmarkStart w:id="96" w:name="_Toc21582_WPSOffice_Level1"/>
      <w:r>
        <w:rPr>
          <w:rFonts w:hint="eastAsia" w:ascii="宋体" w:hAnsi="宋体" w:cs="宋体"/>
          <w:b/>
          <w:color w:val="auto"/>
          <w:sz w:val="32"/>
          <w:szCs w:val="32"/>
          <w:highlight w:val="none"/>
        </w:rPr>
        <w:t>商务需求响应表</w:t>
      </w:r>
      <w:bookmarkEnd w:id="95"/>
      <w:bookmarkEnd w:id="96"/>
    </w:p>
    <w:p>
      <w:pPr>
        <w:spacing w:line="360" w:lineRule="auto"/>
        <w:ind w:left="481" w:leftChars="229" w:firstLine="813" w:firstLineChars="450"/>
        <w:rPr>
          <w:rFonts w:ascii="宋体" w:hAnsi="宋体" w:cs="宋体"/>
          <w:b/>
          <w:color w:val="auto"/>
          <w:sz w:val="18"/>
          <w:szCs w:val="18"/>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53" w:leftChars="25" w:right="0"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152" w:right="0"/>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napToGrid w:val="0"/>
              <w:spacing w:before="0" w:beforeAutospacing="0" w:after="0" w:afterAutospacing="0"/>
              <w:ind w:left="0" w:right="0"/>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pStyle w:val="20"/>
        <w:widowControl w:val="0"/>
        <w:tabs>
          <w:tab w:val="left" w:pos="1050"/>
        </w:tabs>
        <w:spacing w:before="0" w:beforeAutospacing="0" w:after="0" w:afterAutospacing="0" w:line="360" w:lineRule="auto"/>
        <w:jc w:val="both"/>
        <w:rPr>
          <w:rFonts w:hint="default" w:cs="宋体"/>
          <w:b/>
          <w:color w:val="auto"/>
          <w:sz w:val="28"/>
          <w:highlight w:val="none"/>
        </w:rPr>
      </w:pPr>
      <w:r>
        <w:rPr>
          <w:b/>
          <w:color w:val="auto"/>
          <w:kern w:val="2"/>
          <w:sz w:val="28"/>
          <w:highlight w:val="none"/>
        </w:rPr>
        <w:br w:type="page"/>
      </w:r>
    </w:p>
    <w:p>
      <w:pPr>
        <w:pStyle w:val="20"/>
        <w:widowControl w:val="0"/>
        <w:tabs>
          <w:tab w:val="left" w:pos="1050"/>
        </w:tabs>
        <w:spacing w:before="0" w:beforeAutospacing="0" w:after="0" w:afterAutospacing="0" w:line="360" w:lineRule="auto"/>
        <w:jc w:val="both"/>
        <w:rPr>
          <w:rFonts w:hint="eastAsia" w:eastAsia="宋体" w:cs="宋体"/>
          <w:b/>
          <w:color w:val="auto"/>
          <w:sz w:val="28"/>
          <w:highlight w:val="none"/>
          <w:lang w:eastAsia="zh-CN"/>
        </w:rPr>
      </w:pPr>
      <w:r>
        <w:rPr>
          <w:rFonts w:cs="宋体"/>
          <w:b/>
          <w:color w:val="auto"/>
          <w:kern w:val="2"/>
          <w:sz w:val="28"/>
          <w:highlight w:val="none"/>
        </w:rPr>
        <w:t>附件1</w:t>
      </w:r>
      <w:r>
        <w:rPr>
          <w:rFonts w:hint="eastAsia" w:cs="宋体"/>
          <w:b/>
          <w:color w:val="auto"/>
          <w:kern w:val="2"/>
          <w:sz w:val="28"/>
          <w:highlight w:val="none"/>
          <w:lang w:val="en-US" w:eastAsia="zh-CN"/>
        </w:rPr>
        <w:t>3</w:t>
      </w:r>
    </w:p>
    <w:p>
      <w:pPr>
        <w:pStyle w:val="20"/>
        <w:widowControl w:val="0"/>
        <w:spacing w:before="0" w:beforeAutospacing="0" w:after="0" w:afterAutospacing="0"/>
        <w:ind w:firstLine="480" w:firstLineChars="200"/>
        <w:jc w:val="both"/>
        <w:rPr>
          <w:rFonts w:hint="default"/>
          <w:color w:val="auto"/>
          <w:highlight w:val="none"/>
        </w:rPr>
      </w:pPr>
    </w:p>
    <w:p>
      <w:pPr>
        <w:pStyle w:val="17"/>
        <w:ind w:left="0" w:leftChars="0" w:firstLine="0"/>
        <w:jc w:val="center"/>
        <w:rPr>
          <w:rFonts w:ascii="宋体" w:hAnsi="宋体"/>
          <w:color w:val="auto"/>
          <w:sz w:val="36"/>
          <w:szCs w:val="36"/>
          <w:highlight w:val="none"/>
        </w:rPr>
      </w:pPr>
      <w:r>
        <w:rPr>
          <w:rFonts w:hint="eastAsia" w:ascii="宋体" w:hAnsi="宋体"/>
          <w:color w:val="auto"/>
          <w:sz w:val="36"/>
          <w:szCs w:val="36"/>
          <w:highlight w:val="none"/>
        </w:rPr>
        <w:t>台州市自然资源和规划信息中心</w:t>
      </w:r>
    </w:p>
    <w:p>
      <w:pPr>
        <w:pStyle w:val="17"/>
        <w:ind w:left="0" w:leftChars="0" w:firstLine="0"/>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lang w:eastAsia="zh-CN"/>
        </w:rPr>
        <w:t>“地信智服”成果服务子场景试点成果全市推广应用服务项目</w:t>
      </w:r>
    </w:p>
    <w:p>
      <w:pPr>
        <w:pStyle w:val="17"/>
        <w:ind w:left="0" w:leftChars="0" w:firstLine="0"/>
        <w:jc w:val="center"/>
        <w:rPr>
          <w:rFonts w:hint="eastAsia" w:ascii="宋体" w:hAnsi="宋体" w:eastAsia="宋体"/>
          <w:color w:val="auto"/>
          <w:sz w:val="36"/>
          <w:szCs w:val="36"/>
          <w:highlight w:val="none"/>
          <w:lang w:eastAsia="zh-CN"/>
        </w:rPr>
      </w:pPr>
      <w:r>
        <w:rPr>
          <w:rStyle w:val="64"/>
          <w:rFonts w:hint="eastAsia" w:ascii="宋体" w:hAnsi="宋体"/>
          <w:color w:val="auto"/>
          <w:sz w:val="36"/>
          <w:szCs w:val="36"/>
          <w:highlight w:val="none"/>
        </w:rPr>
        <w:t>项目编号：</w:t>
      </w:r>
      <w:r>
        <w:rPr>
          <w:rFonts w:hint="eastAsia" w:ascii="宋体" w:hAnsi="宋体"/>
          <w:color w:val="auto"/>
          <w:sz w:val="36"/>
          <w:szCs w:val="36"/>
          <w:highlight w:val="none"/>
          <w:lang w:eastAsia="zh-CN"/>
        </w:rPr>
        <w:t>TZTX-2024-GK068</w:t>
      </w:r>
    </w:p>
    <w:p>
      <w:pPr>
        <w:pStyle w:val="20"/>
        <w:widowControl w:val="0"/>
        <w:spacing w:before="0" w:beforeAutospacing="0" w:after="0" w:afterAutospacing="0"/>
        <w:ind w:firstLine="480" w:firstLineChars="200"/>
        <w:jc w:val="both"/>
        <w:rPr>
          <w:rFonts w:hint="default"/>
          <w:color w:val="auto"/>
          <w:highlight w:val="none"/>
        </w:rPr>
      </w:pPr>
    </w:p>
    <w:p>
      <w:pPr>
        <w:pStyle w:val="20"/>
        <w:widowControl w:val="0"/>
        <w:spacing w:before="0" w:beforeAutospacing="0" w:after="0" w:afterAutospacing="0"/>
        <w:ind w:firstLine="480" w:firstLineChars="200"/>
        <w:jc w:val="both"/>
        <w:rPr>
          <w:rFonts w:hint="default"/>
          <w:color w:val="auto"/>
          <w:highlight w:val="none"/>
        </w:rPr>
      </w:pPr>
    </w:p>
    <w:p>
      <w:pPr>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报</w:t>
      </w:r>
    </w:p>
    <w:p>
      <w:pPr>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价</w:t>
      </w:r>
    </w:p>
    <w:p>
      <w:pPr>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文</w:t>
      </w:r>
    </w:p>
    <w:p>
      <w:pPr>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line="360" w:lineRule="auto"/>
        <w:ind w:right="532" w:firstLine="720" w:firstLineChars="200"/>
        <w:rPr>
          <w:rFonts w:ascii="宋体" w:hAnsi="宋体" w:cs="宋体"/>
          <w:color w:val="auto"/>
          <w:sz w:val="36"/>
          <w:szCs w:val="36"/>
          <w:highlight w:val="none"/>
        </w:rPr>
      </w:pP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投标人全称（电子印章）：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pStyle w:val="20"/>
        <w:widowControl w:val="0"/>
        <w:spacing w:before="0" w:beforeAutospacing="0" w:after="0" w:afterAutospacing="0"/>
        <w:ind w:firstLine="480" w:firstLineChars="200"/>
        <w:jc w:val="both"/>
        <w:rPr>
          <w:rFonts w:hint="default"/>
          <w:color w:val="auto"/>
          <w:highlight w:val="none"/>
        </w:rPr>
      </w:pPr>
    </w:p>
    <w:p>
      <w:pPr>
        <w:pStyle w:val="20"/>
        <w:widowControl w:val="0"/>
        <w:spacing w:before="0" w:beforeAutospacing="0" w:after="120" w:afterAutospacing="0"/>
        <w:ind w:left="420" w:leftChars="200" w:firstLine="420"/>
        <w:jc w:val="both"/>
        <w:rPr>
          <w:rFonts w:hint="default" w:cs="宋体"/>
          <w:color w:val="auto"/>
          <w:highlight w:val="none"/>
        </w:rPr>
      </w:pPr>
    </w:p>
    <w:p>
      <w:pPr>
        <w:pStyle w:val="20"/>
        <w:widowControl w:val="0"/>
        <w:spacing w:before="0" w:beforeAutospacing="0" w:after="0" w:afterAutospacing="0"/>
        <w:ind w:firstLine="482" w:firstLineChars="200"/>
        <w:jc w:val="both"/>
        <w:rPr>
          <w:rFonts w:hint="default" w:cs="宋体"/>
          <w:b/>
          <w:color w:val="auto"/>
          <w:highlight w:val="none"/>
        </w:rPr>
      </w:pPr>
    </w:p>
    <w:p>
      <w:pPr>
        <w:pStyle w:val="20"/>
        <w:widowControl w:val="0"/>
        <w:spacing w:before="0" w:beforeAutospacing="0" w:after="0" w:afterAutospacing="0"/>
        <w:ind w:firstLine="482" w:firstLineChars="200"/>
        <w:jc w:val="both"/>
        <w:rPr>
          <w:rFonts w:hint="default" w:cs="宋体"/>
          <w:b/>
          <w:color w:val="auto"/>
          <w:highlight w:val="none"/>
        </w:rPr>
      </w:pPr>
    </w:p>
    <w:p>
      <w:pPr>
        <w:pStyle w:val="20"/>
        <w:widowControl w:val="0"/>
        <w:spacing w:before="0" w:beforeAutospacing="0" w:after="0" w:afterAutospacing="0"/>
        <w:ind w:firstLine="482" w:firstLineChars="200"/>
        <w:jc w:val="both"/>
        <w:rPr>
          <w:rFonts w:hint="default" w:cs="宋体"/>
          <w:b/>
          <w:color w:val="auto"/>
          <w:highlight w:val="none"/>
        </w:rPr>
      </w:pPr>
    </w:p>
    <w:p>
      <w:pPr>
        <w:pStyle w:val="20"/>
        <w:widowControl w:val="0"/>
        <w:spacing w:before="0" w:beforeAutospacing="0" w:after="0" w:afterAutospacing="0"/>
        <w:ind w:firstLine="482" w:firstLineChars="200"/>
        <w:jc w:val="both"/>
        <w:rPr>
          <w:rFonts w:hint="default" w:cs="宋体"/>
          <w:b/>
          <w:color w:val="auto"/>
          <w:highlight w:val="none"/>
        </w:rPr>
      </w:pPr>
    </w:p>
    <w:p>
      <w:pPr>
        <w:pStyle w:val="20"/>
        <w:widowControl w:val="0"/>
        <w:spacing w:before="0" w:beforeAutospacing="0" w:after="0" w:afterAutospacing="0"/>
        <w:ind w:firstLine="482" w:firstLineChars="200"/>
        <w:jc w:val="both"/>
        <w:rPr>
          <w:rFonts w:hint="default" w:cs="宋体"/>
          <w:b/>
          <w:color w:val="auto"/>
          <w:highlight w:val="none"/>
        </w:rPr>
      </w:pPr>
    </w:p>
    <w:p>
      <w:pPr>
        <w:jc w:val="center"/>
        <w:rPr>
          <w:rFonts w:ascii="宋体" w:hAnsi="宋体" w:cs="宋体"/>
          <w:b/>
          <w:color w:val="auto"/>
          <w:sz w:val="24"/>
          <w:highlight w:val="none"/>
        </w:rPr>
      </w:pPr>
      <w:bookmarkStart w:id="97" w:name="_Toc19972_WPSOffice_Level1"/>
      <w:bookmarkStart w:id="98" w:name="_Toc29537_WPSOffice_Level1"/>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bookmarkEnd w:id="97"/>
      <w:bookmarkEnd w:id="98"/>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bookmarkStart w:id="99" w:name="_Toc29988_WPSOffice_Level1"/>
      <w:bookmarkStart w:id="100" w:name="_Toc6778_WPSOffice_Level1"/>
      <w:r>
        <w:rPr>
          <w:rFonts w:hint="eastAsia" w:ascii="宋体" w:hAnsi="宋体" w:cs="宋体"/>
          <w:color w:val="auto"/>
          <w:sz w:val="24"/>
          <w:highlight w:val="none"/>
        </w:rPr>
        <w:t>1、开标一览表（附件1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bookmarkEnd w:id="99"/>
      <w:bookmarkEnd w:id="100"/>
    </w:p>
    <w:p>
      <w:pPr>
        <w:spacing w:line="360" w:lineRule="auto"/>
        <w:ind w:firstLine="480" w:firstLineChars="200"/>
        <w:rPr>
          <w:rFonts w:hint="eastAsia" w:ascii="宋体" w:hAnsi="宋体" w:cs="宋体"/>
          <w:color w:val="auto"/>
          <w:sz w:val="24"/>
          <w:highlight w:val="none"/>
        </w:rPr>
      </w:pPr>
      <w:bookmarkStart w:id="101" w:name="_Toc11601_WPSOffice_Level1"/>
      <w:bookmarkStart w:id="102" w:name="_Toc15601_WPSOffice_Level1"/>
      <w:r>
        <w:rPr>
          <w:rFonts w:hint="eastAsia" w:ascii="宋体" w:hAnsi="宋体" w:cs="宋体"/>
          <w:color w:val="auto"/>
          <w:sz w:val="24"/>
          <w:highlight w:val="none"/>
        </w:rPr>
        <w:t>2、报价明细表（附件1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bookmarkEnd w:id="101"/>
      <w:bookmarkEnd w:id="10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3、中小企业声明函（附件16）</w:t>
      </w:r>
    </w:p>
    <w:p>
      <w:pPr>
        <w:spacing w:line="360" w:lineRule="auto"/>
        <w:ind w:firstLine="480" w:firstLineChars="200"/>
        <w:rPr>
          <w:rFonts w:ascii="宋体" w:hAnsi="宋体" w:cs="宋体"/>
          <w:color w:val="auto"/>
          <w:sz w:val="24"/>
          <w:highlight w:val="none"/>
        </w:rPr>
      </w:pPr>
      <w:bookmarkStart w:id="103" w:name="_Toc14672_WPSOffice_Level1"/>
      <w:bookmarkStart w:id="104" w:name="_Toc3001_WPSOffice_Level1"/>
      <w:r>
        <w:rPr>
          <w:rFonts w:hint="eastAsia" w:ascii="宋体" w:hAnsi="宋体" w:cs="宋体"/>
          <w:color w:val="auto"/>
          <w:sz w:val="24"/>
          <w:highlight w:val="none"/>
        </w:rPr>
        <w:t>3、针对报价投标人认为其他需要说明的；</w:t>
      </w:r>
      <w:bookmarkEnd w:id="103"/>
      <w:bookmarkEnd w:id="104"/>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b/>
          <w:color w:val="auto"/>
          <w:sz w:val="24"/>
          <w:highlight w:val="none"/>
        </w:rPr>
      </w:pPr>
    </w:p>
    <w:p>
      <w:pPr>
        <w:spacing w:line="360" w:lineRule="auto"/>
        <w:ind w:firstLine="482" w:firstLineChars="20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spacing w:line="360" w:lineRule="auto"/>
        <w:ind w:left="480"/>
        <w:rPr>
          <w:rFonts w:ascii="宋体" w:hAnsi="宋体" w:cs="宋体"/>
          <w:b/>
          <w:color w:val="auto"/>
          <w:sz w:val="24"/>
          <w:highlight w:val="none"/>
        </w:rPr>
      </w:pPr>
    </w:p>
    <w:p>
      <w:pPr>
        <w:rPr>
          <w:rFonts w:ascii="宋体" w:hAnsi="宋体" w:cs="宋体"/>
          <w:color w:val="auto"/>
          <w:sz w:val="24"/>
          <w:highlight w:val="none"/>
        </w:rPr>
      </w:pPr>
      <w:r>
        <w:rPr>
          <w:rFonts w:hint="eastAsia" w:ascii="宋体" w:hAnsi="宋体" w:cs="宋体"/>
          <w:b/>
          <w:color w:val="auto"/>
          <w:sz w:val="24"/>
          <w:highlight w:val="none"/>
        </w:rPr>
        <w:br w:type="page"/>
      </w:r>
    </w:p>
    <w:p>
      <w:pPr>
        <w:pStyle w:val="20"/>
        <w:widowControl w:val="0"/>
        <w:tabs>
          <w:tab w:val="left" w:pos="1050"/>
        </w:tabs>
        <w:spacing w:before="0" w:beforeAutospacing="0" w:after="0" w:afterAutospacing="0" w:line="360" w:lineRule="auto"/>
        <w:jc w:val="both"/>
        <w:rPr>
          <w:rFonts w:hint="eastAsia" w:eastAsia="宋体" w:cs="宋体"/>
          <w:b/>
          <w:color w:val="auto"/>
          <w:sz w:val="28"/>
          <w:highlight w:val="none"/>
          <w:lang w:eastAsia="zh-CN"/>
        </w:rPr>
      </w:pPr>
      <w:r>
        <w:rPr>
          <w:rFonts w:cs="宋体"/>
          <w:b/>
          <w:color w:val="auto"/>
          <w:kern w:val="2"/>
          <w:sz w:val="28"/>
          <w:highlight w:val="none"/>
        </w:rPr>
        <w:t>附件1</w:t>
      </w:r>
      <w:r>
        <w:rPr>
          <w:rFonts w:hint="eastAsia" w:cs="宋体"/>
          <w:b/>
          <w:color w:val="auto"/>
          <w:kern w:val="2"/>
          <w:sz w:val="28"/>
          <w:highlight w:val="none"/>
          <w:lang w:val="en-US" w:eastAsia="zh-CN"/>
        </w:rPr>
        <w:t>4</w:t>
      </w:r>
    </w:p>
    <w:p>
      <w:pPr>
        <w:spacing w:line="360" w:lineRule="auto"/>
        <w:ind w:left="-2" w:hanging="2"/>
        <w:jc w:val="center"/>
        <w:rPr>
          <w:rFonts w:ascii="宋体" w:hAnsi="宋体" w:cs="宋体"/>
          <w:b/>
          <w:color w:val="auto"/>
          <w:sz w:val="24"/>
          <w:highlight w:val="none"/>
        </w:rPr>
      </w:pPr>
      <w:bookmarkStart w:id="105" w:name="_Toc30363_WPSOffice_Level1"/>
      <w:bookmarkStart w:id="106" w:name="_Toc16144_WPSOffice_Level1"/>
      <w:r>
        <w:rPr>
          <w:rFonts w:hint="eastAsia" w:ascii="宋体" w:hAnsi="宋体" w:cs="宋体"/>
          <w:b/>
          <w:color w:val="auto"/>
          <w:sz w:val="24"/>
          <w:highlight w:val="none"/>
        </w:rPr>
        <w:t>开标一览表</w:t>
      </w:r>
      <w:bookmarkEnd w:id="105"/>
      <w:bookmarkEnd w:id="106"/>
    </w:p>
    <w:p>
      <w:pPr>
        <w:spacing w:line="360" w:lineRule="auto"/>
        <w:ind w:left="-2" w:hanging="2"/>
        <w:jc w:val="center"/>
        <w:rPr>
          <w:rFonts w:ascii="宋体" w:hAnsi="宋体" w:cs="宋体"/>
          <w:b/>
          <w:color w:val="auto"/>
          <w:sz w:val="24"/>
          <w:highlight w:val="none"/>
        </w:rPr>
      </w:pPr>
    </w:p>
    <w:p>
      <w:pPr>
        <w:pStyle w:val="20"/>
        <w:widowControl w:val="0"/>
        <w:spacing w:before="0" w:beforeAutospacing="0" w:after="0" w:afterAutospacing="0" w:line="320" w:lineRule="exact"/>
        <w:jc w:val="both"/>
        <w:rPr>
          <w:rFonts w:hint="default"/>
          <w:b/>
          <w:color w:val="auto"/>
          <w:highlight w:val="none"/>
        </w:rPr>
      </w:pPr>
      <w:r>
        <w:rPr>
          <w:rFonts w:cs="宋体"/>
          <w:b/>
          <w:color w:val="auto"/>
          <w:kern w:val="2"/>
          <w:highlight w:val="none"/>
        </w:rPr>
        <w:t>项目编号：</w:t>
      </w:r>
    </w:p>
    <w:p>
      <w:pPr>
        <w:pStyle w:val="20"/>
        <w:widowControl w:val="0"/>
        <w:spacing w:before="0" w:beforeAutospacing="0" w:after="0" w:afterAutospacing="0" w:line="360" w:lineRule="auto"/>
        <w:ind w:right="480"/>
        <w:rPr>
          <w:rFonts w:hint="default" w:cs="宋体"/>
          <w:color w:val="auto"/>
          <w:highlight w:val="none"/>
        </w:rPr>
      </w:pPr>
      <w:r>
        <w:rPr>
          <w:rFonts w:cs="宋体"/>
          <w:b/>
          <w:color w:val="auto"/>
          <w:kern w:val="2"/>
          <w:highlight w:val="none"/>
        </w:rPr>
        <w:t>项目名称：</w:t>
      </w:r>
      <w:r>
        <w:rPr>
          <w:rFonts w:cs="宋体"/>
          <w:color w:val="auto"/>
          <w:kern w:val="2"/>
          <w:highlight w:val="none"/>
        </w:rPr>
        <w:t xml:space="preserve">                                     [货币单位：人民币元]</w:t>
      </w:r>
    </w:p>
    <w:tbl>
      <w:tblPr>
        <w:tblStyle w:val="25"/>
        <w:tblW w:w="8669" w:type="dxa"/>
        <w:jc w:val="center"/>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2693"/>
        <w:gridCol w:w="1349"/>
        <w:gridCol w:w="462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Ex>
        <w:trPr>
          <w:cantSplit/>
          <w:trHeight w:val="1469" w:hRule="atLeast"/>
          <w:jc w:val="center"/>
        </w:trPr>
        <w:tc>
          <w:tcPr>
            <w:tcW w:w="2693"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7"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Ex>
        <w:trPr>
          <w:cantSplit/>
          <w:trHeight w:val="1530" w:hRule="atLeast"/>
          <w:jc w:val="center"/>
        </w:trPr>
        <w:tc>
          <w:tcPr>
            <w:tcW w:w="2693"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color w:val="auto"/>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7"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p>
        </w:tc>
      </w:tr>
    </w:tbl>
    <w:p>
      <w:pPr>
        <w:spacing w:line="360" w:lineRule="auto"/>
        <w:ind w:left="480"/>
        <w:rPr>
          <w:rFonts w:ascii="宋体" w:hAnsi="宋体" w:cs="宋体"/>
          <w:b/>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20"/>
        <w:widowControl w:val="0"/>
        <w:spacing w:before="0" w:beforeAutospacing="0" w:after="0" w:afterAutospacing="0"/>
        <w:ind w:firstLine="480" w:firstLineChars="200"/>
        <w:jc w:val="both"/>
        <w:rPr>
          <w:rFonts w:hint="default" w:asciiTheme="minorEastAsia" w:hAnsiTheme="minorEastAsia" w:eastAsiaTheme="minorEastAsia"/>
          <w:bCs/>
          <w:color w:val="auto"/>
          <w:highlight w:val="none"/>
        </w:rPr>
      </w:pPr>
      <w:r>
        <w:rPr>
          <w:rFonts w:asciiTheme="minorEastAsia" w:hAnsiTheme="minorEastAsia" w:eastAsiaTheme="minorEastAsia"/>
          <w:bCs/>
          <w:color w:val="auto"/>
          <w:highlight w:val="none"/>
        </w:rPr>
        <w:t>投标报价包括本项目采购需求和投入使用的所有费用，包括但不限于本项目投入使用的服务费，包括测绘服务、软硬件设备、劳务、管理、材料、安装、安全文明、维护、验收费、设计评审费、措施费、风险费、保险、利润、规费、税金、工伤保险费、水电费、政策性文件规定、质保维护费及合同包含的所有风险、责任等所有费用。</w:t>
      </w:r>
    </w:p>
    <w:p>
      <w:pPr>
        <w:pStyle w:val="20"/>
        <w:widowControl w:val="0"/>
        <w:spacing w:before="0" w:beforeAutospacing="0" w:after="0" w:afterAutospacing="0"/>
        <w:ind w:firstLine="480" w:firstLineChars="200"/>
        <w:jc w:val="both"/>
        <w:rPr>
          <w:rFonts w:hint="default" w:asciiTheme="minorEastAsia" w:hAnsiTheme="minorEastAsia" w:eastAsiaTheme="minorEastAsia"/>
          <w:bCs/>
          <w:color w:val="auto"/>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20"/>
        <w:widowControl w:val="0"/>
        <w:tabs>
          <w:tab w:val="left" w:pos="1050"/>
        </w:tabs>
        <w:spacing w:before="0" w:beforeAutospacing="0" w:after="0" w:afterAutospacing="0" w:line="360" w:lineRule="auto"/>
        <w:jc w:val="both"/>
        <w:rPr>
          <w:rFonts w:hint="eastAsia" w:eastAsia="宋体" w:cs="宋体"/>
          <w:b/>
          <w:color w:val="auto"/>
          <w:sz w:val="28"/>
          <w:highlight w:val="none"/>
          <w:lang w:eastAsia="zh-CN"/>
        </w:rPr>
      </w:pPr>
      <w:r>
        <w:rPr>
          <w:rFonts w:cs="宋体"/>
          <w:b/>
          <w:color w:val="auto"/>
          <w:kern w:val="2"/>
          <w:sz w:val="28"/>
          <w:highlight w:val="none"/>
        </w:rPr>
        <w:t>附件1</w:t>
      </w:r>
      <w:r>
        <w:rPr>
          <w:rFonts w:hint="eastAsia" w:cs="宋体"/>
          <w:b/>
          <w:color w:val="auto"/>
          <w:kern w:val="2"/>
          <w:sz w:val="28"/>
          <w:highlight w:val="none"/>
          <w:lang w:val="en-US" w:eastAsia="zh-CN"/>
        </w:rPr>
        <w:t>5</w:t>
      </w:r>
    </w:p>
    <w:p>
      <w:pPr>
        <w:spacing w:line="360" w:lineRule="auto"/>
        <w:ind w:left="480"/>
        <w:jc w:val="center"/>
        <w:rPr>
          <w:rFonts w:ascii="宋体" w:hAnsi="宋体" w:cs="宋体"/>
          <w:color w:val="auto"/>
          <w:highlight w:val="none"/>
        </w:rPr>
      </w:pPr>
      <w:r>
        <w:rPr>
          <w:rFonts w:hint="eastAsia" w:ascii="宋体" w:hAnsi="宋体" w:cs="宋体"/>
          <w:b/>
          <w:color w:val="auto"/>
          <w:sz w:val="32"/>
          <w:szCs w:val="32"/>
          <w:highlight w:val="none"/>
        </w:rPr>
        <w:t>报价明细表 (第 标)</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项目编号：</w:t>
      </w:r>
    </w:p>
    <w:p>
      <w:pPr>
        <w:pStyle w:val="20"/>
        <w:widowControl w:val="0"/>
        <w:spacing w:before="0" w:beforeAutospacing="0" w:after="0" w:afterAutospacing="0" w:line="360" w:lineRule="auto"/>
        <w:ind w:right="480"/>
        <w:jc w:val="right"/>
        <w:rPr>
          <w:rFonts w:hint="default" w:cs="宋体"/>
          <w:color w:val="auto"/>
          <w:highlight w:val="none"/>
        </w:rPr>
      </w:pPr>
      <w:r>
        <w:rPr>
          <w:rFonts w:cs="宋体"/>
          <w:color w:val="auto"/>
          <w:kern w:val="2"/>
          <w:highlight w:val="none"/>
        </w:rPr>
        <w:t>[货币单位：人民币元]</w:t>
      </w:r>
    </w:p>
    <w:tbl>
      <w:tblPr>
        <w:tblStyle w:val="25"/>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627"/>
        <w:gridCol w:w="758"/>
        <w:gridCol w:w="1105"/>
        <w:gridCol w:w="1219"/>
        <w:gridCol w:w="133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报价名称</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152" w:right="0"/>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单价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小计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最高限价（小计）（元）</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color w:val="auto"/>
                <w:sz w:val="30"/>
                <w:szCs w:val="30"/>
                <w:highlight w:val="none"/>
                <w:lang w:eastAsia="zh-CN"/>
              </w:rPr>
            </w:pPr>
            <w:r>
              <w:rPr>
                <w:rFonts w:hint="eastAsia" w:ascii="宋体" w:hAnsi="宋体" w:eastAsia="仿宋_GB2312" w:cs="宋体"/>
                <w:color w:val="auto"/>
                <w:sz w:val="24"/>
                <w:highlight w:val="none"/>
                <w:lang w:val="en-US" w:eastAsia="zh-CN"/>
              </w:rPr>
              <w:t>1</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仿宋_GB2312" w:hAnsi="仿宋" w:eastAsia="仿宋_GB2312" w:cs="仿宋_GB2312"/>
                <w:color w:val="auto"/>
                <w:sz w:val="28"/>
                <w:szCs w:val="28"/>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黄岩区</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120000.00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路桥区</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120000.00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color w:val="auto"/>
                <w:sz w:val="30"/>
                <w:szCs w:val="30"/>
                <w:highlight w:val="none"/>
                <w:lang w:eastAsia="zh-CN"/>
              </w:rPr>
            </w:pPr>
            <w:r>
              <w:rPr>
                <w:rFonts w:hint="eastAsia" w:ascii="宋体" w:hAnsi="宋体" w:eastAsia="仿宋_GB2312" w:cs="宋体"/>
                <w:color w:val="auto"/>
                <w:sz w:val="24"/>
                <w:highlight w:val="none"/>
                <w:lang w:val="en-US" w:eastAsia="zh-CN"/>
              </w:rPr>
              <w:t>3</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温岭市</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390000.00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color w:val="auto"/>
                <w:sz w:val="30"/>
                <w:szCs w:val="30"/>
                <w:highlight w:val="none"/>
                <w:lang w:eastAsia="zh-CN"/>
              </w:rPr>
            </w:pPr>
            <w:r>
              <w:rPr>
                <w:rFonts w:hint="eastAsia" w:ascii="宋体" w:hAnsi="宋体" w:eastAsia="仿宋_GB2312" w:cs="宋体"/>
                <w:color w:val="auto"/>
                <w:sz w:val="24"/>
                <w:highlight w:val="none"/>
                <w:lang w:val="en-US" w:eastAsia="zh-CN"/>
              </w:rPr>
              <w:t>4</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玉环市</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180000.00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color w:val="auto"/>
                <w:sz w:val="30"/>
                <w:szCs w:val="30"/>
                <w:highlight w:val="none"/>
              </w:rPr>
            </w:pPr>
            <w:r>
              <w:rPr>
                <w:rFonts w:hint="eastAsia" w:ascii="宋体" w:hAnsi="宋体" w:cs="宋体"/>
                <w:color w:val="auto"/>
                <w:sz w:val="24"/>
                <w:highlight w:val="none"/>
                <w:lang w:val="en-US" w:eastAsia="zh-CN"/>
              </w:rPr>
              <w:t>5</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天台县</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180000.00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color w:val="auto"/>
                <w:sz w:val="30"/>
                <w:szCs w:val="30"/>
                <w:highlight w:val="none"/>
              </w:rPr>
            </w:pPr>
            <w:r>
              <w:rPr>
                <w:rFonts w:hint="eastAsia" w:ascii="宋体" w:hAnsi="宋体" w:cs="宋体"/>
                <w:color w:val="auto"/>
                <w:sz w:val="24"/>
                <w:highlight w:val="none"/>
                <w:lang w:val="en-US" w:eastAsia="zh-CN"/>
              </w:rPr>
              <w:t>6</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仙居县</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300000.00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color w:val="auto"/>
                <w:sz w:val="30"/>
                <w:szCs w:val="30"/>
                <w:highlight w:val="none"/>
              </w:rPr>
            </w:pPr>
            <w:r>
              <w:rPr>
                <w:rFonts w:hint="eastAsia" w:ascii="宋体" w:hAnsi="宋体" w:cs="宋体"/>
                <w:color w:val="auto"/>
                <w:sz w:val="24"/>
                <w:highlight w:val="none"/>
                <w:lang w:val="en-US" w:eastAsia="zh-CN"/>
              </w:rPr>
              <w:t>7</w:t>
            </w:r>
          </w:p>
        </w:tc>
        <w:tc>
          <w:tcPr>
            <w:tcW w:w="2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“地信智服”成果服务子场景试点成果全市推广应用服务（</w:t>
            </w:r>
            <w:r>
              <w:rPr>
                <w:rFonts w:hint="eastAsia" w:ascii="宋体" w:hAnsi="宋体" w:cs="宋体"/>
                <w:color w:val="auto"/>
                <w:kern w:val="2"/>
                <w:sz w:val="24"/>
                <w:szCs w:val="24"/>
                <w:highlight w:val="none"/>
                <w:lang w:val="en-US" w:eastAsia="zh-CN" w:bidi="ar-SA"/>
              </w:rPr>
              <w:t>三门县</w:t>
            </w:r>
            <w:r>
              <w:rPr>
                <w:rFonts w:hint="eastAsia" w:ascii="宋体" w:hAnsi="宋体" w:eastAsia="宋体" w:cs="宋体"/>
                <w:color w:val="auto"/>
                <w:kern w:val="2"/>
                <w:sz w:val="24"/>
                <w:szCs w:val="24"/>
                <w:highlight w:val="none"/>
                <w:lang w:val="en-US" w:eastAsia="zh-CN" w:bidi="ar-SA"/>
              </w:rPr>
              <w:t>）</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380000.00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32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合计（人民币）</w:t>
            </w:r>
          </w:p>
        </w:tc>
        <w:tc>
          <w:tcPr>
            <w:tcW w:w="51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both"/>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小写：</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lang w:val="en-US" w:eastAsia="zh-CN" w:bidi="ar-SA"/>
              </w:rPr>
              <w:t xml:space="preserve"> 元</w:t>
            </w:r>
          </w:p>
          <w:p>
            <w:pPr>
              <w:keepNext w:val="0"/>
              <w:keepLines w:val="0"/>
              <w:suppressLineNumbers w:val="0"/>
              <w:spacing w:before="0" w:beforeAutospacing="0" w:after="0" w:afterAutospacing="0" w:line="360" w:lineRule="auto"/>
              <w:ind w:left="0" w:right="0"/>
              <w:jc w:val="both"/>
              <w:rPr>
                <w:rFonts w:hint="eastAsia"/>
                <w:color w:val="auto"/>
                <w:highlight w:val="none"/>
                <w:lang w:val="en-US" w:eastAsia="zh-CN"/>
              </w:rPr>
            </w:pPr>
            <w:r>
              <w:rPr>
                <w:rFonts w:hint="eastAsia" w:ascii="宋体" w:hAnsi="宋体" w:cs="宋体"/>
                <w:color w:val="auto"/>
                <w:kern w:val="2"/>
                <w:sz w:val="24"/>
                <w:szCs w:val="24"/>
                <w:highlight w:val="none"/>
                <w:lang w:val="en-US" w:eastAsia="zh-CN" w:bidi="ar-SA"/>
              </w:rPr>
              <w:t>大写：</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lang w:val="en-US" w:eastAsia="zh-CN" w:bidi="ar-SA"/>
              </w:rPr>
              <w:t xml:space="preserve"> 元</w:t>
            </w:r>
          </w:p>
        </w:tc>
      </w:tr>
    </w:tbl>
    <w:p>
      <w:pP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pacing w:line="360" w:lineRule="auto"/>
        <w:ind w:left="435"/>
        <w:rPr>
          <w:rFonts w:ascii="宋体" w:hAnsi="宋体" w:cs="宋体"/>
          <w:color w:val="auto"/>
          <w:sz w:val="24"/>
          <w:highlight w:val="none"/>
        </w:rPr>
      </w:pPr>
      <w:r>
        <w:rPr>
          <w:rFonts w:hint="eastAsia" w:ascii="宋体" w:hAnsi="宋体" w:cs="宋体"/>
          <w:color w:val="auto"/>
          <w:sz w:val="24"/>
          <w:highlight w:val="none"/>
        </w:rPr>
        <w:t>1. 本表为《开标一览表》的报价明细表，如有缺项、漏项，视为投标报价中已包含相关费用，采购人无需另外支付任何费用。</w:t>
      </w:r>
    </w:p>
    <w:p>
      <w:pPr>
        <w:spacing w:line="360" w:lineRule="auto"/>
        <w:ind w:left="435"/>
        <w:rPr>
          <w:rFonts w:hint="eastAsia" w:ascii="宋体" w:cs="宋体"/>
          <w:color w:val="auto"/>
          <w:sz w:val="24"/>
          <w:highlight w:val="none"/>
          <w:lang w:val="zh-CN"/>
        </w:rPr>
      </w:pPr>
      <w:r>
        <w:rPr>
          <w:rFonts w:hint="eastAsia" w:ascii="宋体" w:hAnsi="宋体" w:cs="宋体"/>
          <w:color w:val="auto"/>
          <w:sz w:val="24"/>
          <w:highlight w:val="none"/>
        </w:rPr>
        <w:t>2.</w:t>
      </w:r>
      <w:r>
        <w:rPr>
          <w:rFonts w:hint="eastAsia" w:ascii="宋体" w:cs="宋体"/>
          <w:color w:val="auto"/>
          <w:sz w:val="24"/>
          <w:highlight w:val="none"/>
          <w:lang w:val="zh-CN"/>
        </w:rPr>
        <w:t>“报价明细表”中的报价合计应与“开标一览表”中的投标总报价相一致，不一致时，以开标一览表为准。</w:t>
      </w:r>
    </w:p>
    <w:p>
      <w:pPr>
        <w:pStyle w:val="2"/>
        <w:rPr>
          <w:rFonts w:hint="eastAsia" w:eastAsia="宋体"/>
          <w:b/>
          <w:bCs/>
          <w:color w:val="auto"/>
          <w:highlight w:val="none"/>
          <w:lang w:val="en-US" w:eastAsia="zh-CN"/>
        </w:rPr>
      </w:pPr>
      <w:r>
        <w:rPr>
          <w:rFonts w:hint="eastAsia" w:ascii="宋体" w:cs="宋体"/>
          <w:b/>
          <w:bCs/>
          <w:color w:val="auto"/>
          <w:sz w:val="24"/>
          <w:highlight w:val="none"/>
          <w:lang w:val="en-US" w:eastAsia="zh-CN"/>
        </w:rPr>
        <w:t>3.</w:t>
      </w:r>
      <w:r>
        <w:rPr>
          <w:rFonts w:hint="eastAsia" w:ascii="宋体" w:hAnsi="宋体" w:eastAsia="宋体" w:cs="宋体"/>
          <w:b/>
          <w:bCs/>
          <w:color w:val="auto"/>
          <w:kern w:val="2"/>
          <w:sz w:val="24"/>
          <w:szCs w:val="24"/>
          <w:highlight w:val="none"/>
          <w:lang w:val="en-US" w:eastAsia="zh-CN" w:bidi="ar"/>
        </w:rPr>
        <w:t>报价明细表中的最高限价如表格中所示，超过最高限价的报价为无效报价。</w:t>
      </w:r>
    </w:p>
    <w:p>
      <w:pPr>
        <w:spacing w:line="360" w:lineRule="auto"/>
        <w:rPr>
          <w:rFonts w:ascii="宋体" w:hAnsi="宋体" w:cs="宋体"/>
          <w:color w:val="auto"/>
          <w:kern w:val="0"/>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pStyle w:val="20"/>
        <w:widowControl w:val="0"/>
        <w:spacing w:before="0" w:beforeAutospacing="0" w:after="0" w:afterAutospacing="0"/>
        <w:ind w:firstLine="420" w:firstLineChars="200"/>
        <w:jc w:val="both"/>
        <w:rPr>
          <w:rFonts w:hint="default"/>
          <w:color w:val="auto"/>
          <w:highlight w:val="none"/>
        </w:rPr>
      </w:pPr>
      <w:r>
        <w:rPr>
          <w:rFonts w:hint="default" w:ascii="Times New Roman" w:hAnsi="Times New Roman"/>
          <w:color w:val="auto"/>
          <w:kern w:val="2"/>
          <w:sz w:val="21"/>
          <w:highlight w:val="none"/>
        </w:rPr>
        <w:br w:type="page"/>
      </w:r>
    </w:p>
    <w:p>
      <w:pPr>
        <w:pStyle w:val="20"/>
        <w:widowControl w:val="0"/>
        <w:tabs>
          <w:tab w:val="left" w:pos="1050"/>
        </w:tabs>
        <w:spacing w:before="0" w:beforeAutospacing="0" w:after="0" w:afterAutospacing="0" w:line="360" w:lineRule="auto"/>
        <w:jc w:val="both"/>
        <w:rPr>
          <w:rFonts w:cs="宋体"/>
          <w:b/>
          <w:color w:val="auto"/>
          <w:kern w:val="2"/>
          <w:sz w:val="32"/>
          <w:szCs w:val="32"/>
          <w:highlight w:val="none"/>
        </w:rPr>
      </w:pPr>
      <w:r>
        <w:rPr>
          <w:rFonts w:cs="宋体"/>
          <w:b/>
          <w:color w:val="auto"/>
          <w:kern w:val="2"/>
          <w:sz w:val="28"/>
          <w:highlight w:val="none"/>
        </w:rPr>
        <w:t>附件1</w:t>
      </w:r>
      <w:r>
        <w:rPr>
          <w:rFonts w:hint="eastAsia" w:cs="宋体"/>
          <w:b/>
          <w:color w:val="auto"/>
          <w:kern w:val="2"/>
          <w:sz w:val="28"/>
          <w:highlight w:val="none"/>
          <w:lang w:val="en-US" w:eastAsia="zh-CN"/>
        </w:rPr>
        <w:t>6</w:t>
      </w:r>
    </w:p>
    <w:p>
      <w:pPr>
        <w:pStyle w:val="20"/>
        <w:widowControl w:val="0"/>
        <w:spacing w:before="0" w:beforeAutospacing="0" w:after="0" w:afterAutospacing="0" w:line="360" w:lineRule="auto"/>
        <w:jc w:val="center"/>
        <w:rPr>
          <w:rFonts w:hint="default" w:cs="宋体"/>
          <w:b/>
          <w:color w:val="auto"/>
          <w:sz w:val="32"/>
          <w:szCs w:val="32"/>
          <w:highlight w:val="none"/>
        </w:rPr>
      </w:pPr>
      <w:r>
        <w:rPr>
          <w:rFonts w:cs="宋体"/>
          <w:b/>
          <w:color w:val="auto"/>
          <w:kern w:val="2"/>
          <w:sz w:val="32"/>
          <w:szCs w:val="32"/>
          <w:highlight w:val="none"/>
        </w:rPr>
        <w:t>中小企业声明函</w:t>
      </w:r>
    </w:p>
    <w:p>
      <w:pPr>
        <w:pStyle w:val="20"/>
        <w:widowControl w:val="0"/>
        <w:spacing w:before="0" w:beforeAutospacing="0" w:after="0" w:afterAutospacing="0" w:line="360" w:lineRule="auto"/>
        <w:jc w:val="center"/>
        <w:rPr>
          <w:rFonts w:hint="default" w:cs="宋体"/>
          <w:b/>
          <w:color w:val="auto"/>
          <w:highlight w:val="none"/>
        </w:rPr>
      </w:pPr>
    </w:p>
    <w:p>
      <w:pPr>
        <w:pStyle w:val="20"/>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本公司（联合体）郑重声明，根据《政府采购促进中小企业发展管理办法》（财库﹝2020﹞46号）的规定，本公司（联合体）参加</w:t>
      </w:r>
      <w:r>
        <w:rPr>
          <w:rFonts w:hint="eastAsia" w:cs="宋体"/>
          <w:color w:val="auto"/>
          <w:kern w:val="2"/>
          <w:highlight w:val="none"/>
          <w:u w:val="single"/>
        </w:rPr>
        <w:t>台州市自然资源和规划信息中心“地信智服”成果服务子场景试点成果全市推广应用服务项目</w:t>
      </w:r>
      <w:r>
        <w:rPr>
          <w:rFonts w:cs="宋体"/>
          <w:color w:val="auto"/>
          <w:kern w:val="2"/>
          <w:highlight w:val="none"/>
        </w:rPr>
        <w:t>采购活动，服务全部由符合政策要求的中小企业承接）。相关企业（含联合体中的中小企业、签订分包意向协议的中小企业）的具体情况如下：</w:t>
      </w:r>
    </w:p>
    <w:p>
      <w:pPr>
        <w:pStyle w:val="20"/>
        <w:widowControl w:val="0"/>
        <w:numPr>
          <w:ilvl w:val="0"/>
          <w:numId w:val="15"/>
        </w:numPr>
        <w:spacing w:before="0" w:beforeAutospacing="0" w:after="0" w:afterAutospacing="0" w:line="360" w:lineRule="auto"/>
        <w:ind w:firstLine="480" w:firstLineChars="200"/>
        <w:jc w:val="both"/>
        <w:rPr>
          <w:rFonts w:hint="default" w:cs="宋体"/>
          <w:color w:val="auto"/>
          <w:highlight w:val="none"/>
        </w:rPr>
      </w:pPr>
      <w:r>
        <w:rPr>
          <w:rFonts w:hint="eastAsia" w:cs="宋体"/>
          <w:color w:val="auto"/>
          <w:kern w:val="2"/>
          <w:highlight w:val="none"/>
          <w:u w:val="single"/>
        </w:rPr>
        <w:t>“地信智服”成果服务子场景试点成果全市推广应用服务项目</w:t>
      </w:r>
      <w:r>
        <w:rPr>
          <w:rFonts w:cs="宋体"/>
          <w:color w:val="auto"/>
          <w:kern w:val="2"/>
          <w:highlight w:val="none"/>
        </w:rPr>
        <w:t>，属于</w:t>
      </w:r>
      <w:r>
        <w:rPr>
          <w:rFonts w:hint="eastAsia" w:ascii="宋体" w:hAnsi="宋体" w:eastAsia="宋体" w:cs="宋体"/>
          <w:color w:val="auto"/>
          <w:kern w:val="2"/>
          <w:sz w:val="24"/>
          <w:szCs w:val="24"/>
          <w:highlight w:val="none"/>
          <w:u w:val="single"/>
          <w:lang w:val="en-US" w:eastAsia="zh-CN" w:bidi="ar"/>
        </w:rPr>
        <w:t>其他未列明行业</w:t>
      </w:r>
      <w:r>
        <w:rPr>
          <w:rFonts w:cs="宋体"/>
          <w:color w:val="auto"/>
          <w:kern w:val="2"/>
          <w:highlight w:val="none"/>
        </w:rPr>
        <w:t>；承建（承接）企业为</w:t>
      </w:r>
      <w:r>
        <w:rPr>
          <w:rFonts w:cs="宋体"/>
          <w:color w:val="auto"/>
          <w:kern w:val="2"/>
          <w:highlight w:val="none"/>
          <w:u w:val="single"/>
        </w:rPr>
        <w:t>（企业名称）</w:t>
      </w:r>
      <w:r>
        <w:rPr>
          <w:rFonts w:cs="宋体"/>
          <w:color w:val="auto"/>
          <w:kern w:val="2"/>
          <w:highlight w:val="none"/>
        </w:rPr>
        <w:t>，从业人员</w:t>
      </w:r>
      <w:r>
        <w:rPr>
          <w:rFonts w:hint="eastAsia" w:cs="宋体"/>
          <w:color w:val="auto"/>
          <w:kern w:val="2"/>
          <w:highlight w:val="none"/>
          <w:u w:val="single"/>
          <w:lang w:val="en-US" w:eastAsia="zh-CN"/>
        </w:rPr>
        <w:t xml:space="preserve">   </w:t>
      </w:r>
      <w:r>
        <w:rPr>
          <w:rFonts w:cs="宋体"/>
          <w:color w:val="auto"/>
          <w:kern w:val="2"/>
          <w:highlight w:val="none"/>
        </w:rPr>
        <w:t>人，营业收入为</w:t>
      </w:r>
    </w:p>
    <w:p>
      <w:pPr>
        <w:pStyle w:val="20"/>
        <w:widowControl w:val="0"/>
        <w:numPr>
          <w:ilvl w:val="0"/>
          <w:numId w:val="0"/>
        </w:numPr>
        <w:spacing w:before="0" w:beforeAutospacing="0" w:after="0" w:afterAutospacing="0" w:line="360" w:lineRule="auto"/>
        <w:jc w:val="both"/>
        <w:rPr>
          <w:rFonts w:hint="default" w:cs="宋体"/>
          <w:color w:val="auto"/>
          <w:highlight w:val="none"/>
        </w:rPr>
      </w:pPr>
      <w:r>
        <w:rPr>
          <w:rFonts w:hint="eastAsia" w:cs="宋体"/>
          <w:color w:val="auto"/>
          <w:kern w:val="2"/>
          <w:highlight w:val="none"/>
          <w:u w:val="single"/>
          <w:lang w:val="en-US" w:eastAsia="zh-CN"/>
        </w:rPr>
        <w:t xml:space="preserve">   </w:t>
      </w:r>
      <w:r>
        <w:rPr>
          <w:rFonts w:cs="宋体"/>
          <w:color w:val="auto"/>
          <w:kern w:val="2"/>
          <w:highlight w:val="none"/>
        </w:rPr>
        <w:t>万元，资产总额为</w:t>
      </w:r>
      <w:r>
        <w:rPr>
          <w:rFonts w:hint="eastAsia" w:cs="宋体"/>
          <w:color w:val="auto"/>
          <w:kern w:val="2"/>
          <w:highlight w:val="none"/>
          <w:u w:val="single"/>
          <w:lang w:val="en-US" w:eastAsia="zh-CN"/>
        </w:rPr>
        <w:t xml:space="preserve">     </w:t>
      </w:r>
      <w:r>
        <w:rPr>
          <w:rFonts w:cs="宋体"/>
          <w:color w:val="auto"/>
          <w:kern w:val="2"/>
          <w:highlight w:val="none"/>
        </w:rPr>
        <w:t>万元</w:t>
      </w:r>
      <w:r>
        <w:rPr>
          <w:rFonts w:cs="宋体"/>
          <w:color w:val="auto"/>
          <w:kern w:val="2"/>
          <w:highlight w:val="none"/>
        </w:rPr>
        <w:fldChar w:fldCharType="begin"/>
      </w:r>
      <w:r>
        <w:rPr>
          <w:rFonts w:cs="宋体"/>
          <w:color w:val="auto"/>
          <w:kern w:val="2"/>
          <w:highlight w:val="none"/>
        </w:rPr>
        <w:instrText xml:space="preserve"> = 1 \* GB3 </w:instrText>
      </w:r>
      <w:r>
        <w:rPr>
          <w:rFonts w:cs="宋体"/>
          <w:color w:val="auto"/>
          <w:kern w:val="2"/>
          <w:highlight w:val="none"/>
        </w:rPr>
        <w:fldChar w:fldCharType="separate"/>
      </w:r>
      <w:r>
        <w:rPr>
          <w:rFonts w:cs="宋体"/>
          <w:color w:val="auto"/>
          <w:kern w:val="2"/>
          <w:highlight w:val="none"/>
        </w:rPr>
        <w:t>①</w:t>
      </w:r>
      <w:r>
        <w:rPr>
          <w:rFonts w:cs="宋体"/>
          <w:color w:val="auto"/>
          <w:kern w:val="2"/>
          <w:highlight w:val="none"/>
        </w:rPr>
        <w:fldChar w:fldCharType="end"/>
      </w:r>
      <w:r>
        <w:rPr>
          <w:rFonts w:cs="宋体"/>
          <w:color w:val="auto"/>
          <w:kern w:val="2"/>
          <w:highlight w:val="none"/>
        </w:rPr>
        <w:t>，属于</w:t>
      </w:r>
      <w:r>
        <w:rPr>
          <w:rFonts w:cs="宋体"/>
          <w:color w:val="auto"/>
          <w:kern w:val="2"/>
          <w:highlight w:val="none"/>
          <w:u w:val="single"/>
        </w:rPr>
        <w:t>（中型企业、小型企业、微型企业）</w:t>
      </w:r>
      <w:r>
        <w:rPr>
          <w:rFonts w:cs="宋体"/>
          <w:color w:val="auto"/>
          <w:kern w:val="2"/>
          <w:highlight w:val="none"/>
        </w:rPr>
        <w:t>；</w:t>
      </w:r>
    </w:p>
    <w:p>
      <w:pPr>
        <w:pStyle w:val="20"/>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2.（标的名称），属于（招标文件中明确的所属行业）；承建（承接）企业为（企业名称），从业人员人，营业收入为万元，资产总额为万元，属于（中型企业、小型企业、微型企业）；</w:t>
      </w:r>
    </w:p>
    <w:p>
      <w:pPr>
        <w:pStyle w:val="20"/>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……以上企业，不属于大企业的分支机构，不存在控股股东为大企业的情形，也不存在与大企业的负责人为同一人的情形。</w:t>
      </w:r>
    </w:p>
    <w:p>
      <w:pPr>
        <w:pStyle w:val="20"/>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本企业对上述声明内容的真实性负责。如有虚假，将依法承担相应责任。</w:t>
      </w:r>
    </w:p>
    <w:p>
      <w:pPr>
        <w:pStyle w:val="20"/>
        <w:widowControl w:val="0"/>
        <w:spacing w:before="0" w:beforeAutospacing="0" w:after="0" w:afterAutospacing="0" w:line="360" w:lineRule="auto"/>
        <w:ind w:firstLine="480" w:firstLineChars="200"/>
        <w:jc w:val="both"/>
        <w:rPr>
          <w:rFonts w:hint="default" w:cs="Arial"/>
          <w:bCs/>
          <w:color w:val="auto"/>
          <w:highlight w:val="none"/>
        </w:rPr>
      </w:pPr>
      <w:r>
        <w:rPr>
          <w:rFonts w:cs="Arial"/>
          <w:bCs/>
          <w:color w:val="auto"/>
          <w:kern w:val="2"/>
          <w:highlight w:val="none"/>
        </w:rPr>
        <w:t>信息查询网址为：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pPr>
        <w:numPr>
          <w:ilvl w:val="0"/>
          <w:numId w:val="16"/>
        </w:numPr>
        <w:spacing w:line="360" w:lineRule="auto"/>
        <w:ind w:left="435"/>
        <w:rPr>
          <w:rFonts w:ascii="宋体" w:hAnsi="宋体" w:cs="宋体"/>
          <w:color w:val="auto"/>
          <w:szCs w:val="21"/>
          <w:highlight w:val="none"/>
        </w:rPr>
      </w:pPr>
      <w:r>
        <w:rPr>
          <w:rFonts w:hint="eastAsia" w:ascii="宋体" w:hAnsi="宋体" w:cs="宋体"/>
          <w:color w:val="auto"/>
          <w:szCs w:val="21"/>
          <w:highlight w:val="none"/>
        </w:rPr>
        <w:t>如响应产品由小微企业生产，则需提供中小企业声明函。</w:t>
      </w:r>
    </w:p>
    <w:p>
      <w:pPr>
        <w:numPr>
          <w:ilvl w:val="0"/>
          <w:numId w:val="16"/>
        </w:numPr>
        <w:spacing w:line="360" w:lineRule="auto"/>
        <w:ind w:left="435"/>
        <w:rPr>
          <w:rFonts w:ascii="宋体" w:hAnsi="宋体" w:cs="宋体"/>
          <w:color w:val="auto"/>
          <w:szCs w:val="21"/>
          <w:highlight w:val="none"/>
        </w:rPr>
      </w:pPr>
      <w:r>
        <w:rPr>
          <w:rFonts w:hint="eastAsia" w:ascii="宋体" w:hAnsi="宋体" w:cs="宋体"/>
          <w:color w:val="auto"/>
          <w:szCs w:val="21"/>
          <w:highlight w:val="none"/>
        </w:rPr>
        <w:t>如成交人声明为小微企业，本声明函将随成交结果同时公告，接受社会监督。</w:t>
      </w:r>
    </w:p>
    <w:p>
      <w:pPr>
        <w:pStyle w:val="20"/>
        <w:widowControl w:val="0"/>
        <w:spacing w:before="0" w:beforeAutospacing="0" w:after="0" w:afterAutospacing="0" w:line="360" w:lineRule="auto"/>
        <w:jc w:val="both"/>
        <w:rPr>
          <w:rFonts w:hint="default" w:cs="宋体"/>
          <w:color w:val="auto"/>
          <w:spacing w:val="6"/>
          <w:highlight w:val="none"/>
        </w:rPr>
      </w:pPr>
    </w:p>
    <w:p>
      <w:pPr>
        <w:pStyle w:val="20"/>
        <w:widowControl w:val="0"/>
        <w:spacing w:before="0" w:beforeAutospacing="0" w:after="0" w:afterAutospacing="0" w:line="360" w:lineRule="auto"/>
        <w:jc w:val="both"/>
        <w:rPr>
          <w:rFonts w:hint="default" w:cs="宋体"/>
          <w:color w:val="auto"/>
          <w:highlight w:val="none"/>
        </w:rPr>
      </w:pPr>
    </w:p>
    <w:p>
      <w:pPr>
        <w:pStyle w:val="20"/>
        <w:widowControl w:val="0"/>
        <w:spacing w:before="0" w:beforeAutospacing="0" w:after="0" w:afterAutospacing="0" w:line="360" w:lineRule="auto"/>
        <w:ind w:firstLine="4800" w:firstLineChars="2000"/>
        <w:jc w:val="both"/>
        <w:rPr>
          <w:rFonts w:hint="default" w:cs="宋体"/>
          <w:color w:val="auto"/>
          <w:highlight w:val="none"/>
        </w:rPr>
      </w:pPr>
      <w:r>
        <w:rPr>
          <w:rFonts w:cs="宋体"/>
          <w:color w:val="auto"/>
          <w:kern w:val="2"/>
          <w:highlight w:val="none"/>
        </w:rPr>
        <w:t>企业名称（盖章）：</w:t>
      </w:r>
    </w:p>
    <w:p>
      <w:pPr>
        <w:pStyle w:val="20"/>
        <w:widowControl w:val="0"/>
        <w:spacing w:before="0" w:beforeAutospacing="0" w:after="0" w:afterAutospacing="0" w:line="360" w:lineRule="auto"/>
        <w:ind w:firstLine="4800" w:firstLineChars="2000"/>
        <w:jc w:val="both"/>
        <w:rPr>
          <w:rFonts w:hint="default" w:cs="宋体"/>
          <w:color w:val="auto"/>
          <w:highlight w:val="none"/>
        </w:rPr>
      </w:pPr>
      <w:r>
        <w:rPr>
          <w:rFonts w:cs="宋体"/>
          <w:color w:val="auto"/>
          <w:kern w:val="2"/>
          <w:highlight w:val="none"/>
        </w:rPr>
        <w:t>日期：××年××月××日</w:t>
      </w:r>
    </w:p>
    <w:p>
      <w:pPr>
        <w:pStyle w:val="20"/>
        <w:widowControl w:val="0"/>
        <w:spacing w:before="0" w:beforeAutospacing="0" w:after="0" w:afterAutospacing="0"/>
        <w:ind w:firstLine="480" w:firstLineChars="200"/>
        <w:jc w:val="both"/>
        <w:rPr>
          <w:rFonts w:hint="default" w:cs="宋体"/>
          <w:color w:val="auto"/>
          <w:highlight w:val="none"/>
        </w:rPr>
      </w:pPr>
    </w:p>
    <w:p>
      <w:pPr>
        <w:spacing w:line="360" w:lineRule="auto"/>
        <w:rPr>
          <w:rFonts w:ascii="宋体" w:hAnsi="宋体" w:cs="宋体"/>
          <w:color w:val="auto"/>
          <w:sz w:val="24"/>
          <w:highlight w:val="none"/>
        </w:rPr>
      </w:pPr>
      <w:r>
        <w:rPr>
          <w:color w:val="auto"/>
          <w:highlight w:val="none"/>
        </w:rPr>
        <w:pict>
          <v:line id="_x0000_s1029" o:spid="_x0000_s1029" o:spt="20" style="position:absolute;left:0pt;margin-left:0.4pt;margin-top:16.5pt;height:0pt;width:235pt;z-index:251660288;mso-width-relative:page;mso-height-relative:page;"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&#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UqpXTAAAABgEAAA8AAAAAAAAAAQAgAAAAIgAAAGRy&#10;cy9kb3ducmV2LnhtbFBLAQIUABQAAAAIAIdO4kD4wG3r0QEAAJgDAAAOAAAAAAAAAAEAIAAAACIB&#10;AABkcnMvZTJvRG9jLnhtbFBLBQYAAAAABgAGAFkBAABlBQAAAAA=&#10;">
            <v:path arrowok="t"/>
            <v:fill focussize="0,0"/>
            <v:stroke weight="1.25pt" joinstyle="miter"/>
            <v:imagedata o:title=""/>
            <o:lock v:ext="edit"/>
          </v:line>
        </w:pic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pStyle w:val="20"/>
        <w:widowControl w:val="0"/>
        <w:spacing w:before="0" w:beforeAutospacing="0" w:after="0" w:afterAutospacing="0"/>
        <w:ind w:firstLine="420" w:firstLineChars="200"/>
        <w:jc w:val="both"/>
        <w:rPr>
          <w:rFonts w:hint="default"/>
          <w:color w:val="auto"/>
          <w:highlight w:val="none"/>
        </w:rPr>
      </w:pPr>
      <w:r>
        <w:rPr>
          <w:rFonts w:hint="default" w:ascii="Times New Roman" w:hAnsi="Times New Roman"/>
          <w:color w:val="auto"/>
          <w:kern w:val="2"/>
          <w:sz w:val="21"/>
          <w:highlight w:val="none"/>
        </w:rPr>
        <w:br w:type="page"/>
      </w:r>
    </w:p>
    <w:p>
      <w:pPr>
        <w:pStyle w:val="20"/>
        <w:widowControl w:val="0"/>
        <w:spacing w:before="0" w:beforeAutospacing="0" w:after="0" w:afterAutospacing="0" w:line="360" w:lineRule="auto"/>
        <w:jc w:val="center"/>
        <w:outlineLvl w:val="1"/>
        <w:rPr>
          <w:rFonts w:hint="default"/>
          <w:b/>
          <w:color w:val="auto"/>
          <w:sz w:val="32"/>
          <w:szCs w:val="32"/>
          <w:highlight w:val="none"/>
        </w:rPr>
      </w:pPr>
    </w:p>
    <w:p>
      <w:pPr>
        <w:pStyle w:val="20"/>
        <w:widowControl w:val="0"/>
        <w:spacing w:before="0" w:beforeAutospacing="0" w:after="0" w:afterAutospacing="0" w:line="360" w:lineRule="auto"/>
        <w:jc w:val="center"/>
        <w:outlineLvl w:val="1"/>
        <w:rPr>
          <w:rFonts w:hint="default"/>
          <w:b/>
          <w:color w:val="auto"/>
          <w:sz w:val="32"/>
          <w:szCs w:val="32"/>
          <w:highlight w:val="none"/>
        </w:rPr>
      </w:pPr>
    </w:p>
    <w:p>
      <w:pPr>
        <w:pStyle w:val="20"/>
        <w:widowControl w:val="0"/>
        <w:spacing w:before="0" w:beforeAutospacing="0" w:after="0" w:afterAutospacing="0" w:line="360" w:lineRule="auto"/>
        <w:jc w:val="center"/>
        <w:outlineLvl w:val="1"/>
        <w:rPr>
          <w:rFonts w:hint="default"/>
          <w:b/>
          <w:color w:val="auto"/>
          <w:sz w:val="32"/>
          <w:szCs w:val="32"/>
          <w:highlight w:val="none"/>
        </w:rPr>
      </w:pPr>
      <w:r>
        <w:rPr>
          <w:rFonts w:cs="宋体"/>
          <w:b/>
          <w:color w:val="auto"/>
          <w:kern w:val="2"/>
          <w:sz w:val="32"/>
          <w:szCs w:val="32"/>
          <w:highlight w:val="none"/>
        </w:rPr>
        <w:t>残疾人福利性单位声明函</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tabs>
          <w:tab w:val="left" w:pos="4860"/>
        </w:tabs>
        <w:spacing w:line="588" w:lineRule="exact"/>
        <w:ind w:right="1560" w:firstLine="480" w:firstLineChars="200"/>
        <w:jc w:val="center"/>
        <w:rPr>
          <w:rFonts w:ascii="宋体" w:hAnsi="宋体" w:cs="宋体"/>
          <w:color w:val="auto"/>
          <w:sz w:val="24"/>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pPr>
        <w:rPr>
          <w:rFonts w:ascii="宋体" w:hAnsi="宋体"/>
          <w:b/>
          <w:color w:val="auto"/>
          <w:sz w:val="28"/>
          <w:highlight w:val="none"/>
        </w:rPr>
      </w:pPr>
      <w:r>
        <w:rPr>
          <w:rFonts w:hint="eastAsia" w:ascii="宋体" w:hAnsi="宋体"/>
          <w:b/>
          <w:color w:val="auto"/>
          <w:sz w:val="28"/>
          <w:highlight w:val="none"/>
        </w:rPr>
        <w:br w:type="page"/>
      </w:r>
    </w:p>
    <w:p>
      <w:pPr>
        <w:snapToGrid w:val="0"/>
        <w:spacing w:before="156" w:beforeLines="50" w:after="50" w:line="360" w:lineRule="auto"/>
        <w:outlineLvl w:val="0"/>
        <w:rPr>
          <w:rFonts w:ascii="仿宋_GB2312" w:hAnsi="宋体" w:cs="仿宋_GB2312"/>
          <w:bCs/>
          <w:color w:val="auto"/>
          <w:sz w:val="30"/>
          <w:szCs w:val="30"/>
          <w:highlight w:val="none"/>
        </w:rPr>
      </w:pPr>
      <w:r>
        <w:rPr>
          <w:rFonts w:hint="eastAsia" w:ascii="宋体" w:hAnsi="宋体" w:cs="宋体"/>
          <w:b/>
          <w:color w:val="auto"/>
          <w:sz w:val="28"/>
          <w:highlight w:val="none"/>
        </w:rPr>
        <w:t>附件17</w:t>
      </w:r>
    </w:p>
    <w:p>
      <w:pPr>
        <w:outlineLvl w:val="0"/>
        <w:rPr>
          <w:color w:val="auto"/>
          <w:sz w:val="28"/>
          <w:szCs w:val="28"/>
          <w:highlight w:val="none"/>
        </w:rPr>
      </w:pPr>
      <w:bookmarkStart w:id="107" w:name="_Toc5436"/>
      <w:r>
        <w:rPr>
          <w:rFonts w:hint="eastAsia" w:cs="宋体"/>
          <w:color w:val="auto"/>
          <w:sz w:val="28"/>
          <w:szCs w:val="28"/>
          <w:highlight w:val="none"/>
        </w:rPr>
        <w:t>其余事项：</w:t>
      </w:r>
      <w:bookmarkEnd w:id="107"/>
    </w:p>
    <w:p>
      <w:pPr>
        <w:ind w:firstLine="560" w:firstLineChars="200"/>
        <w:outlineLvl w:val="0"/>
        <w:rPr>
          <w:color w:val="auto"/>
          <w:sz w:val="28"/>
          <w:szCs w:val="28"/>
          <w:highlight w:val="none"/>
        </w:rPr>
      </w:pPr>
      <w:bookmarkStart w:id="108" w:name="_Toc24067"/>
      <w:r>
        <w:rPr>
          <w:rFonts w:hint="eastAsia" w:cs="宋体"/>
          <w:color w:val="auto"/>
          <w:sz w:val="28"/>
          <w:szCs w:val="28"/>
          <w:highlight w:val="none"/>
        </w:rPr>
        <w:t>协商供应商如有融资需求，可使用以下银行的政采贷服务。</w:t>
      </w:r>
      <w:bookmarkEnd w:id="108"/>
    </w:p>
    <w:tbl>
      <w:tblPr>
        <w:tblStyle w:val="26"/>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299"/>
        <w:gridCol w:w="158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贷款年利率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联系人</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中国工商银行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3.8%</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王霖</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中国农业银行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3.8%</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龚盛</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中国建设银行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3.8%</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梅晶晶</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88525339</w:t>
            </w:r>
          </w:p>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中国银行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3.75%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王海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浦发银行台州分行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4.05%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王渊</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浦发银行椒江分行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4.05%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孙瑞华</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交通银行台州分行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3.75%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周翔宇</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招商银行台州分行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4.32%</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王海玲</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浙商银行台州分行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5.01%</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章涉漪</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81880185</w:t>
            </w:r>
          </w:p>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中信银行台州分行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4.15%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陈金园</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华夏银行台州分行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邱明达</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81871518</w:t>
            </w:r>
          </w:p>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泰隆银行开发区支行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5.6%</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梁宛莉</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民泰银行椒江支行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5.8%</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陈慧珠</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绍兴银行台州分行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5.1%</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郭庭斌</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温州银行台州分行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4.55%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王晓波</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平安银行台州分行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6.53%</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李俊丽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宁波银行台州分行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4.35%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戴莉丽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金华银行台州分行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4.05%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金雪婷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81886670</w:t>
            </w:r>
          </w:p>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台州银行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5.6%</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邮储银行台州分行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3.85%</w:t>
            </w:r>
            <w:r>
              <w:rPr>
                <w:rFonts w:hint="eastAsia" w:ascii="Arial" w:hAnsi="Arial" w:cs="宋体"/>
                <w:color w:val="auto"/>
                <w:sz w:val="28"/>
                <w:szCs w:val="28"/>
                <w:highlight w:val="none"/>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s="宋体"/>
                <w:color w:val="auto"/>
                <w:sz w:val="28"/>
                <w:szCs w:val="28"/>
                <w:highlight w:val="none"/>
              </w:rPr>
              <w:t>董庆</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81888982</w:t>
            </w:r>
          </w:p>
          <w:p>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ascii="Arial" w:hAnsi="Arial"/>
                <w:color w:val="auto"/>
                <w:sz w:val="28"/>
                <w:szCs w:val="28"/>
                <w:highlight w:val="none"/>
              </w:rPr>
              <w:t>18957683735</w:t>
            </w:r>
          </w:p>
        </w:tc>
      </w:tr>
    </w:tbl>
    <w:p>
      <w:pPr>
        <w:pStyle w:val="20"/>
        <w:widowControl w:val="0"/>
        <w:spacing w:before="0" w:beforeAutospacing="0" w:after="0" w:afterAutospacing="0"/>
        <w:ind w:firstLine="480" w:firstLineChars="200"/>
        <w:jc w:val="both"/>
        <w:rPr>
          <w:rFonts w:hint="default"/>
          <w:color w:val="auto"/>
          <w:highlight w:val="none"/>
        </w:rPr>
      </w:pPr>
    </w:p>
    <w:p>
      <w:pPr>
        <w:pStyle w:val="20"/>
        <w:widowControl w:val="0"/>
        <w:spacing w:before="0" w:beforeAutospacing="0" w:after="0" w:afterAutospacing="0"/>
        <w:ind w:firstLine="480" w:firstLineChars="200"/>
        <w:jc w:val="both"/>
        <w:rPr>
          <w:rFonts w:hint="default"/>
          <w:color w:val="auto"/>
          <w:highlight w:val="none"/>
        </w:rPr>
      </w:pPr>
    </w:p>
    <w:p>
      <w:pPr>
        <w:outlineLvl w:val="0"/>
        <w:rPr>
          <w:color w:val="auto"/>
          <w:sz w:val="28"/>
          <w:szCs w:val="28"/>
          <w:highlight w:val="none"/>
        </w:rPr>
      </w:pPr>
      <w:bookmarkStart w:id="109" w:name="_Toc4895"/>
      <w:r>
        <w:rPr>
          <w:rFonts w:hint="eastAsia" w:cs="宋体"/>
          <w:color w:val="auto"/>
          <w:sz w:val="28"/>
          <w:szCs w:val="28"/>
          <w:highlight w:val="none"/>
        </w:rPr>
        <w:t>协商供应商如有合同履约或预付款保函需要，可联系以下保险公司。</w:t>
      </w:r>
      <w:bookmarkEnd w:id="109"/>
    </w:p>
    <w:p>
      <w:pPr>
        <w:outlineLvl w:val="0"/>
        <w:rPr>
          <w:color w:val="auto"/>
          <w:sz w:val="28"/>
          <w:szCs w:val="28"/>
          <w:highlight w:val="none"/>
        </w:rPr>
      </w:pPr>
      <w:bookmarkStart w:id="110" w:name="_Toc4774"/>
      <w:r>
        <w:rPr>
          <w:rFonts w:hint="eastAsia" w:cs="宋体"/>
          <w:color w:val="auto"/>
          <w:sz w:val="28"/>
          <w:szCs w:val="28"/>
          <w:highlight w:val="none"/>
        </w:rPr>
        <w:t>合同履约保函联系方式：</w:t>
      </w:r>
      <w:bookmarkEnd w:id="110"/>
    </w:p>
    <w:tbl>
      <w:tblPr>
        <w:tblStyle w:val="2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6"/>
        <w:gridCol w:w="1792"/>
        <w:gridCol w:w="147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保险公司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保费率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联系人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徐凌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年费率1.5%，最低保费500元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ind w:firstLine="640" w:firstLineChars="200"/>
        <w:rPr>
          <w:color w:val="auto"/>
          <w:sz w:val="32"/>
          <w:szCs w:val="32"/>
          <w:highlight w:val="none"/>
        </w:rPr>
      </w:pPr>
    </w:p>
    <w:p>
      <w:pPr>
        <w:ind w:firstLine="640" w:firstLineChars="200"/>
        <w:outlineLvl w:val="0"/>
        <w:rPr>
          <w:color w:val="auto"/>
          <w:sz w:val="32"/>
          <w:szCs w:val="32"/>
          <w:highlight w:val="none"/>
        </w:rPr>
      </w:pPr>
      <w:bookmarkStart w:id="111" w:name="_Toc4077"/>
      <w:r>
        <w:rPr>
          <w:rFonts w:hint="eastAsia" w:cs="宋体"/>
          <w:color w:val="auto"/>
          <w:sz w:val="32"/>
          <w:szCs w:val="32"/>
          <w:highlight w:val="none"/>
        </w:rPr>
        <w:t>预付款保函联系方式</w:t>
      </w:r>
      <w:bookmarkEnd w:id="111"/>
    </w:p>
    <w:tbl>
      <w:tblPr>
        <w:tblStyle w:val="26"/>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600"/>
        <w:gridCol w:w="202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保险公司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保费率</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联系人</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s="宋体"/>
                <w:color w:val="auto"/>
                <w:sz w:val="32"/>
                <w:szCs w:val="3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徐凌</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罗赛</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pStyle w:val="20"/>
        <w:widowControl w:val="0"/>
        <w:spacing w:before="0" w:beforeAutospacing="0" w:after="0" w:afterAutospacing="0"/>
        <w:ind w:firstLine="480" w:firstLineChars="200"/>
        <w:jc w:val="both"/>
        <w:rPr>
          <w:rFonts w:hint="default"/>
          <w:color w:val="auto"/>
          <w:highlight w:val="none"/>
        </w:rPr>
      </w:pPr>
    </w:p>
    <w:p>
      <w:pPr>
        <w:pStyle w:val="20"/>
        <w:widowControl w:val="0"/>
        <w:spacing w:before="0" w:beforeAutospacing="0" w:after="0" w:afterAutospacing="0"/>
        <w:ind w:firstLine="480" w:firstLineChars="200"/>
        <w:jc w:val="both"/>
        <w:rPr>
          <w:rFonts w:hint="default"/>
          <w:color w:val="auto"/>
          <w:highlight w:val="none"/>
        </w:rPr>
      </w:pPr>
    </w:p>
    <w:p>
      <w:pPr>
        <w:pStyle w:val="9"/>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b/>
        <w:i/>
        <w:color w:val="000000" w:themeColor="text1"/>
        <w:kern w:val="0"/>
        <w:u w:val="single"/>
      </w:rPr>
      <w:t xml:space="preserve">台州市政府采购招标文件                                                         </w:t>
    </w:r>
    <w:r>
      <w:rPr>
        <w:rFonts w:hint="eastAsia"/>
        <w:b/>
        <w:i/>
        <w:color w:val="000000" w:themeColor="text1"/>
        <w:spacing w:val="-20"/>
        <w:kern w:val="0"/>
        <w:u w:val="single"/>
      </w:rPr>
      <w:t xml:space="preserve">第  </w:t>
    </w:r>
    <w:r>
      <w:rPr>
        <w:b/>
        <w:i/>
        <w:color w:val="000000" w:themeColor="text1"/>
        <w:spacing w:val="-20"/>
        <w:kern w:val="0"/>
        <w:u w:val="single"/>
      </w:rPr>
      <w:fldChar w:fldCharType="begin"/>
    </w:r>
    <w:r>
      <w:rPr>
        <w:b/>
        <w:i/>
        <w:color w:val="000000" w:themeColor="text1"/>
        <w:spacing w:val="-20"/>
        <w:kern w:val="0"/>
        <w:u w:val="single"/>
      </w:rPr>
      <w:instrText xml:space="preserve"> PAGE </w:instrText>
    </w:r>
    <w:r>
      <w:rPr>
        <w:b/>
        <w:i/>
        <w:color w:val="000000" w:themeColor="text1"/>
        <w:spacing w:val="-20"/>
        <w:kern w:val="0"/>
        <w:u w:val="single"/>
      </w:rPr>
      <w:fldChar w:fldCharType="separate"/>
    </w:r>
    <w:r>
      <w:rPr>
        <w:b/>
        <w:i/>
        <w:color w:val="000000" w:themeColor="text1"/>
        <w:spacing w:val="-20"/>
        <w:kern w:val="0"/>
        <w:u w:val="single"/>
      </w:rPr>
      <w:t>27</w:t>
    </w:r>
    <w:r>
      <w:rPr>
        <w:b/>
        <w:i/>
        <w:color w:val="000000" w:themeColor="text1"/>
        <w:spacing w:val="-20"/>
        <w:kern w:val="0"/>
        <w:u w:val="single"/>
      </w:rPr>
      <w:fldChar w:fldCharType="end"/>
    </w:r>
    <w:r>
      <w:rPr>
        <w:rFonts w:hint="eastAsia"/>
        <w:b/>
        <w:i/>
        <w:color w:val="000000" w:themeColor="text1"/>
        <w:spacing w:val="-20"/>
        <w:kern w:val="0"/>
        <w:u w:val="single"/>
      </w:rPr>
      <w:t xml:space="preserve">页 共 </w:t>
    </w:r>
    <w:r>
      <w:rPr>
        <w:b/>
        <w:i/>
        <w:color w:val="000000" w:themeColor="text1"/>
        <w:spacing w:val="-20"/>
        <w:kern w:val="0"/>
        <w:u w:val="single"/>
      </w:rPr>
      <w:fldChar w:fldCharType="begin"/>
    </w:r>
    <w:r>
      <w:rPr>
        <w:b/>
        <w:i/>
        <w:color w:val="000000" w:themeColor="text1"/>
        <w:spacing w:val="-20"/>
        <w:kern w:val="0"/>
        <w:u w:val="single"/>
      </w:rPr>
      <w:instrText xml:space="preserve"> NUMPAGES </w:instrText>
    </w:r>
    <w:r>
      <w:rPr>
        <w:b/>
        <w:i/>
        <w:color w:val="000000" w:themeColor="text1"/>
        <w:spacing w:val="-20"/>
        <w:kern w:val="0"/>
        <w:u w:val="single"/>
      </w:rPr>
      <w:fldChar w:fldCharType="separate"/>
    </w:r>
    <w:r>
      <w:rPr>
        <w:b/>
        <w:i/>
        <w:color w:val="000000" w:themeColor="text1"/>
        <w:spacing w:val="-20"/>
        <w:kern w:val="0"/>
        <w:u w:val="single"/>
      </w:rPr>
      <w:t>61</w:t>
    </w:r>
    <w:r>
      <w:rPr>
        <w:b/>
        <w:i/>
        <w:color w:val="000000" w:themeColor="text1"/>
        <w:spacing w:val="-20"/>
        <w:kern w:val="0"/>
        <w:u w:val="single"/>
      </w:rPr>
      <w:fldChar w:fldCharType="end"/>
    </w:r>
    <w:r>
      <w:rPr>
        <w:rFonts w:hint="eastAsia"/>
        <w:b/>
        <w:i/>
        <w:color w:val="000000" w:themeColor="text1"/>
        <w:spacing w:val="-20"/>
        <w:kern w:val="0"/>
        <w:u w:val="single"/>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4EF"/>
    <w:multiLevelType w:val="multilevel"/>
    <w:tmpl w:val="8F9174E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0D7A6AA"/>
    <w:multiLevelType w:val="multilevel"/>
    <w:tmpl w:val="90D7A6A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9C3D6FD7"/>
    <w:multiLevelType w:val="multilevel"/>
    <w:tmpl w:val="9C3D6FD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ABEEE671"/>
    <w:multiLevelType w:val="multilevel"/>
    <w:tmpl w:val="ABEEE671"/>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16632E4"/>
    <w:multiLevelType w:val="multilevel"/>
    <w:tmpl w:val="B16632E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BA715580"/>
    <w:multiLevelType w:val="multilevel"/>
    <w:tmpl w:val="BA715580"/>
    <w:lvl w:ilvl="0" w:tentative="0">
      <w:start w:val="2"/>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C9F0CB24"/>
    <w:multiLevelType w:val="multilevel"/>
    <w:tmpl w:val="C9F0CB2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DB6E5F4F"/>
    <w:multiLevelType w:val="multilevel"/>
    <w:tmpl w:val="DB6E5F4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EA261753"/>
    <w:multiLevelType w:val="singleLevel"/>
    <w:tmpl w:val="EA261753"/>
    <w:lvl w:ilvl="0" w:tentative="0">
      <w:start w:val="1"/>
      <w:numFmt w:val="chineseCounting"/>
      <w:suff w:val="space"/>
      <w:lvlText w:val="第%1部分"/>
      <w:lvlJc w:val="left"/>
      <w:rPr>
        <w:rFonts w:hint="eastAsia"/>
      </w:rPr>
    </w:lvl>
  </w:abstractNum>
  <w:abstractNum w:abstractNumId="9">
    <w:nsid w:val="06AA7C0C"/>
    <w:multiLevelType w:val="multilevel"/>
    <w:tmpl w:val="06AA7C0C"/>
    <w:lvl w:ilvl="0" w:tentative="0">
      <w:start w:val="1"/>
      <w:numFmt w:val="decimalEnclosedCircleChinese"/>
      <w:suff w:val="nothing"/>
      <w:lvlText w:val="%1　"/>
      <w:lvlJc w:val="left"/>
      <w:pPr>
        <w:ind w:left="26" w:firstLine="4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11">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8666C0C"/>
    <w:multiLevelType w:val="multilevel"/>
    <w:tmpl w:val="68666C0C"/>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6897B491"/>
    <w:multiLevelType w:val="multilevel"/>
    <w:tmpl w:val="6897B49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73BDC856"/>
    <w:multiLevelType w:val="multilevel"/>
    <w:tmpl w:val="73BDC85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10"/>
  </w:num>
  <w:num w:numId="3">
    <w:abstractNumId w:val="12"/>
  </w:num>
  <w:num w:numId="4">
    <w:abstractNumId w:val="5"/>
  </w:num>
  <w:num w:numId="5">
    <w:abstractNumId w:val="7"/>
  </w:num>
  <w:num w:numId="6">
    <w:abstractNumId w:val="0"/>
  </w:num>
  <w:num w:numId="7">
    <w:abstractNumId w:val="9"/>
  </w:num>
  <w:num w:numId="8">
    <w:abstractNumId w:val="1"/>
  </w:num>
  <w:num w:numId="9">
    <w:abstractNumId w:val="13"/>
  </w:num>
  <w:num w:numId="10">
    <w:abstractNumId w:val="4"/>
  </w:num>
  <w:num w:numId="11">
    <w:abstractNumId w:val="2"/>
  </w:num>
  <w:num w:numId="12">
    <w:abstractNumId w:val="6"/>
  </w:num>
  <w:num w:numId="13">
    <w:abstractNumId w:val="14"/>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gzMTM3NTE1OGViNWNkN2Q4NzJkNWUyMWFjNDAwZTkifQ=="/>
  </w:docVars>
  <w:rsids>
    <w:rsidRoot w:val="685F2B0C"/>
    <w:rsid w:val="0002799D"/>
    <w:rsid w:val="00037F4A"/>
    <w:rsid w:val="00072A3F"/>
    <w:rsid w:val="000B03BE"/>
    <w:rsid w:val="000B5AC1"/>
    <w:rsid w:val="000E538F"/>
    <w:rsid w:val="001030A7"/>
    <w:rsid w:val="0011113D"/>
    <w:rsid w:val="001B7B70"/>
    <w:rsid w:val="001D7676"/>
    <w:rsid w:val="001E6CF9"/>
    <w:rsid w:val="00226B7F"/>
    <w:rsid w:val="00242A20"/>
    <w:rsid w:val="002A4418"/>
    <w:rsid w:val="00312C7C"/>
    <w:rsid w:val="00315916"/>
    <w:rsid w:val="003201FA"/>
    <w:rsid w:val="00330F75"/>
    <w:rsid w:val="003C4BB8"/>
    <w:rsid w:val="003E7404"/>
    <w:rsid w:val="00401AC8"/>
    <w:rsid w:val="004723FA"/>
    <w:rsid w:val="004F7952"/>
    <w:rsid w:val="00565F77"/>
    <w:rsid w:val="005B7FA6"/>
    <w:rsid w:val="005E73B4"/>
    <w:rsid w:val="00610AF8"/>
    <w:rsid w:val="00623A21"/>
    <w:rsid w:val="00627077"/>
    <w:rsid w:val="00627D71"/>
    <w:rsid w:val="00654CA7"/>
    <w:rsid w:val="0066350B"/>
    <w:rsid w:val="006C14AA"/>
    <w:rsid w:val="006F24A9"/>
    <w:rsid w:val="00722E72"/>
    <w:rsid w:val="0072317A"/>
    <w:rsid w:val="00754708"/>
    <w:rsid w:val="00774F5E"/>
    <w:rsid w:val="007914FD"/>
    <w:rsid w:val="007A1DCC"/>
    <w:rsid w:val="007E4962"/>
    <w:rsid w:val="00830ACC"/>
    <w:rsid w:val="008F6328"/>
    <w:rsid w:val="00914BA6"/>
    <w:rsid w:val="0093255C"/>
    <w:rsid w:val="00987EDA"/>
    <w:rsid w:val="009B310E"/>
    <w:rsid w:val="009D3651"/>
    <w:rsid w:val="00A079EF"/>
    <w:rsid w:val="00A86DF1"/>
    <w:rsid w:val="00A9100E"/>
    <w:rsid w:val="00A91055"/>
    <w:rsid w:val="00A921FD"/>
    <w:rsid w:val="00A97E75"/>
    <w:rsid w:val="00AA020C"/>
    <w:rsid w:val="00AB49B7"/>
    <w:rsid w:val="00AC58CF"/>
    <w:rsid w:val="00AD2BB3"/>
    <w:rsid w:val="00B023A2"/>
    <w:rsid w:val="00B44061"/>
    <w:rsid w:val="00B8131E"/>
    <w:rsid w:val="00BD378A"/>
    <w:rsid w:val="00C434DF"/>
    <w:rsid w:val="00C4791F"/>
    <w:rsid w:val="00CF3329"/>
    <w:rsid w:val="00D00C48"/>
    <w:rsid w:val="00D0546E"/>
    <w:rsid w:val="00D05C40"/>
    <w:rsid w:val="00D07E9B"/>
    <w:rsid w:val="00D6721A"/>
    <w:rsid w:val="00D92D21"/>
    <w:rsid w:val="00DA0C93"/>
    <w:rsid w:val="00DB1E3F"/>
    <w:rsid w:val="00DC7E32"/>
    <w:rsid w:val="00DE245E"/>
    <w:rsid w:val="00DF7CD5"/>
    <w:rsid w:val="00E32B23"/>
    <w:rsid w:val="00E3581E"/>
    <w:rsid w:val="00E41EBA"/>
    <w:rsid w:val="00E448AC"/>
    <w:rsid w:val="00E544DA"/>
    <w:rsid w:val="00E6106E"/>
    <w:rsid w:val="00E80E37"/>
    <w:rsid w:val="00EA48F3"/>
    <w:rsid w:val="00EB70F4"/>
    <w:rsid w:val="00EC04A9"/>
    <w:rsid w:val="00EE0032"/>
    <w:rsid w:val="00EF43FF"/>
    <w:rsid w:val="00F05E79"/>
    <w:rsid w:val="00F26F1C"/>
    <w:rsid w:val="010742D5"/>
    <w:rsid w:val="01077B6C"/>
    <w:rsid w:val="011A45B3"/>
    <w:rsid w:val="011C2867"/>
    <w:rsid w:val="011E4134"/>
    <w:rsid w:val="012318BB"/>
    <w:rsid w:val="012355F0"/>
    <w:rsid w:val="012B6D61"/>
    <w:rsid w:val="013F0867"/>
    <w:rsid w:val="015C2A86"/>
    <w:rsid w:val="015F789E"/>
    <w:rsid w:val="017373C5"/>
    <w:rsid w:val="017F4963"/>
    <w:rsid w:val="01846C8A"/>
    <w:rsid w:val="01851778"/>
    <w:rsid w:val="018D683C"/>
    <w:rsid w:val="01921C9B"/>
    <w:rsid w:val="01AE11E6"/>
    <w:rsid w:val="01B70CE3"/>
    <w:rsid w:val="01C86C20"/>
    <w:rsid w:val="01D10A61"/>
    <w:rsid w:val="01D61DCE"/>
    <w:rsid w:val="01D813BE"/>
    <w:rsid w:val="01F170ED"/>
    <w:rsid w:val="01F53A09"/>
    <w:rsid w:val="01F916C8"/>
    <w:rsid w:val="02040004"/>
    <w:rsid w:val="020953D6"/>
    <w:rsid w:val="021F5EC0"/>
    <w:rsid w:val="022115FB"/>
    <w:rsid w:val="02292E42"/>
    <w:rsid w:val="02375009"/>
    <w:rsid w:val="02447C77"/>
    <w:rsid w:val="02502D4A"/>
    <w:rsid w:val="02505FA7"/>
    <w:rsid w:val="02536BAE"/>
    <w:rsid w:val="0277756A"/>
    <w:rsid w:val="028E2C86"/>
    <w:rsid w:val="0293231B"/>
    <w:rsid w:val="0294584C"/>
    <w:rsid w:val="029A4E8A"/>
    <w:rsid w:val="02B41B11"/>
    <w:rsid w:val="02BD7D6C"/>
    <w:rsid w:val="02C73731"/>
    <w:rsid w:val="02D3256E"/>
    <w:rsid w:val="0306564B"/>
    <w:rsid w:val="030E0499"/>
    <w:rsid w:val="032A675A"/>
    <w:rsid w:val="033A491C"/>
    <w:rsid w:val="033B053D"/>
    <w:rsid w:val="036059A4"/>
    <w:rsid w:val="03735660"/>
    <w:rsid w:val="03743E3C"/>
    <w:rsid w:val="037628ED"/>
    <w:rsid w:val="03804F1D"/>
    <w:rsid w:val="038D5F87"/>
    <w:rsid w:val="03996F9E"/>
    <w:rsid w:val="039B656E"/>
    <w:rsid w:val="03A92BAF"/>
    <w:rsid w:val="03AD4EC4"/>
    <w:rsid w:val="03B9056A"/>
    <w:rsid w:val="03DA7E95"/>
    <w:rsid w:val="03DC5B25"/>
    <w:rsid w:val="03EC6C1F"/>
    <w:rsid w:val="0404517C"/>
    <w:rsid w:val="041155D0"/>
    <w:rsid w:val="04272DA2"/>
    <w:rsid w:val="04315D2A"/>
    <w:rsid w:val="0440259F"/>
    <w:rsid w:val="04425046"/>
    <w:rsid w:val="04431C4F"/>
    <w:rsid w:val="044D523C"/>
    <w:rsid w:val="04604D98"/>
    <w:rsid w:val="0461266D"/>
    <w:rsid w:val="046212F9"/>
    <w:rsid w:val="04663F34"/>
    <w:rsid w:val="04686D1E"/>
    <w:rsid w:val="0470549B"/>
    <w:rsid w:val="047D126C"/>
    <w:rsid w:val="04853913"/>
    <w:rsid w:val="048E7C38"/>
    <w:rsid w:val="04D3035B"/>
    <w:rsid w:val="04D97A8B"/>
    <w:rsid w:val="04DD1FDB"/>
    <w:rsid w:val="04E746F0"/>
    <w:rsid w:val="04E87471"/>
    <w:rsid w:val="04EB0CA5"/>
    <w:rsid w:val="04F62FBB"/>
    <w:rsid w:val="04F7049B"/>
    <w:rsid w:val="050A0D5B"/>
    <w:rsid w:val="050D23B9"/>
    <w:rsid w:val="051E7487"/>
    <w:rsid w:val="052857F3"/>
    <w:rsid w:val="052913B1"/>
    <w:rsid w:val="053F0EAC"/>
    <w:rsid w:val="053F23D3"/>
    <w:rsid w:val="055E00C4"/>
    <w:rsid w:val="056B3DBF"/>
    <w:rsid w:val="057347BC"/>
    <w:rsid w:val="057D6BFC"/>
    <w:rsid w:val="057E41A9"/>
    <w:rsid w:val="0582012B"/>
    <w:rsid w:val="058B09DE"/>
    <w:rsid w:val="05B01B1D"/>
    <w:rsid w:val="05BC5BB6"/>
    <w:rsid w:val="05CB2372"/>
    <w:rsid w:val="05CB4A8A"/>
    <w:rsid w:val="05D91F3C"/>
    <w:rsid w:val="05EB4B39"/>
    <w:rsid w:val="05FC24B3"/>
    <w:rsid w:val="05FD1629"/>
    <w:rsid w:val="06082267"/>
    <w:rsid w:val="060F0D55"/>
    <w:rsid w:val="06221E50"/>
    <w:rsid w:val="0639617D"/>
    <w:rsid w:val="06400012"/>
    <w:rsid w:val="06653309"/>
    <w:rsid w:val="06653EC4"/>
    <w:rsid w:val="06682405"/>
    <w:rsid w:val="066B709E"/>
    <w:rsid w:val="06755FF0"/>
    <w:rsid w:val="068B0495"/>
    <w:rsid w:val="068C6A70"/>
    <w:rsid w:val="069812E9"/>
    <w:rsid w:val="0699402C"/>
    <w:rsid w:val="069C64C8"/>
    <w:rsid w:val="06A0112C"/>
    <w:rsid w:val="06AD7687"/>
    <w:rsid w:val="06B864B2"/>
    <w:rsid w:val="06D11D43"/>
    <w:rsid w:val="06D372D6"/>
    <w:rsid w:val="06D64E56"/>
    <w:rsid w:val="06E967E0"/>
    <w:rsid w:val="06F061D6"/>
    <w:rsid w:val="06F83517"/>
    <w:rsid w:val="07003FE0"/>
    <w:rsid w:val="0703081A"/>
    <w:rsid w:val="070C5153"/>
    <w:rsid w:val="070E765D"/>
    <w:rsid w:val="07136E5A"/>
    <w:rsid w:val="07157529"/>
    <w:rsid w:val="071747A0"/>
    <w:rsid w:val="071E2C8A"/>
    <w:rsid w:val="07314FF9"/>
    <w:rsid w:val="07347410"/>
    <w:rsid w:val="07375D5C"/>
    <w:rsid w:val="07425FC3"/>
    <w:rsid w:val="074273EB"/>
    <w:rsid w:val="07463A3E"/>
    <w:rsid w:val="074E4D14"/>
    <w:rsid w:val="075E4B0D"/>
    <w:rsid w:val="07862B53"/>
    <w:rsid w:val="079F3EE7"/>
    <w:rsid w:val="07A719D5"/>
    <w:rsid w:val="07AE41DE"/>
    <w:rsid w:val="07C94DF8"/>
    <w:rsid w:val="07CC21AB"/>
    <w:rsid w:val="07D471D7"/>
    <w:rsid w:val="07DF5164"/>
    <w:rsid w:val="07E50580"/>
    <w:rsid w:val="07E65A05"/>
    <w:rsid w:val="07F26CF5"/>
    <w:rsid w:val="07F46C10"/>
    <w:rsid w:val="07F9224F"/>
    <w:rsid w:val="07FA589D"/>
    <w:rsid w:val="081D7E9A"/>
    <w:rsid w:val="082E5DF2"/>
    <w:rsid w:val="08361FC5"/>
    <w:rsid w:val="08386DE5"/>
    <w:rsid w:val="085403A4"/>
    <w:rsid w:val="085E020A"/>
    <w:rsid w:val="086951C1"/>
    <w:rsid w:val="08696EDC"/>
    <w:rsid w:val="087075EB"/>
    <w:rsid w:val="088D6A54"/>
    <w:rsid w:val="08941B48"/>
    <w:rsid w:val="08A6781C"/>
    <w:rsid w:val="08BF605D"/>
    <w:rsid w:val="08C60C4A"/>
    <w:rsid w:val="08C72312"/>
    <w:rsid w:val="08D629C7"/>
    <w:rsid w:val="08DC3175"/>
    <w:rsid w:val="08DD7982"/>
    <w:rsid w:val="08E0576E"/>
    <w:rsid w:val="08F0261B"/>
    <w:rsid w:val="08F81693"/>
    <w:rsid w:val="09060203"/>
    <w:rsid w:val="090A0832"/>
    <w:rsid w:val="091F4537"/>
    <w:rsid w:val="09263890"/>
    <w:rsid w:val="09533994"/>
    <w:rsid w:val="095406F9"/>
    <w:rsid w:val="0955362C"/>
    <w:rsid w:val="09566590"/>
    <w:rsid w:val="0957452C"/>
    <w:rsid w:val="09583EB5"/>
    <w:rsid w:val="095D7A37"/>
    <w:rsid w:val="09722321"/>
    <w:rsid w:val="09875848"/>
    <w:rsid w:val="099E6FFE"/>
    <w:rsid w:val="09B045C7"/>
    <w:rsid w:val="09B565E4"/>
    <w:rsid w:val="09BB0BBA"/>
    <w:rsid w:val="09C77B1C"/>
    <w:rsid w:val="09E70A54"/>
    <w:rsid w:val="09E75FBC"/>
    <w:rsid w:val="09E77E14"/>
    <w:rsid w:val="09E9749A"/>
    <w:rsid w:val="09F232F3"/>
    <w:rsid w:val="09F46495"/>
    <w:rsid w:val="09F623EB"/>
    <w:rsid w:val="09FF3A0A"/>
    <w:rsid w:val="0A006688"/>
    <w:rsid w:val="0A082AE0"/>
    <w:rsid w:val="0A125940"/>
    <w:rsid w:val="0A172426"/>
    <w:rsid w:val="0A2355D9"/>
    <w:rsid w:val="0A4573B3"/>
    <w:rsid w:val="0A4D4FA3"/>
    <w:rsid w:val="0A53599E"/>
    <w:rsid w:val="0A5419CE"/>
    <w:rsid w:val="0A744A82"/>
    <w:rsid w:val="0A8528D5"/>
    <w:rsid w:val="0A8F1896"/>
    <w:rsid w:val="0A903A5E"/>
    <w:rsid w:val="0A904AA4"/>
    <w:rsid w:val="0A93374C"/>
    <w:rsid w:val="0A957CF6"/>
    <w:rsid w:val="0A961366"/>
    <w:rsid w:val="0A972E8D"/>
    <w:rsid w:val="0AAA5EAC"/>
    <w:rsid w:val="0AB40849"/>
    <w:rsid w:val="0ABB2280"/>
    <w:rsid w:val="0AD56F1F"/>
    <w:rsid w:val="0AE946CC"/>
    <w:rsid w:val="0AEA3C8C"/>
    <w:rsid w:val="0AEE0402"/>
    <w:rsid w:val="0AEE0D1E"/>
    <w:rsid w:val="0AFC0782"/>
    <w:rsid w:val="0AFD10E0"/>
    <w:rsid w:val="0AFD7A1D"/>
    <w:rsid w:val="0B086DBB"/>
    <w:rsid w:val="0B160570"/>
    <w:rsid w:val="0B1E0CF0"/>
    <w:rsid w:val="0B2B6C3A"/>
    <w:rsid w:val="0B2F6556"/>
    <w:rsid w:val="0B556C34"/>
    <w:rsid w:val="0B601351"/>
    <w:rsid w:val="0B6C389D"/>
    <w:rsid w:val="0B760351"/>
    <w:rsid w:val="0B846791"/>
    <w:rsid w:val="0B8B536A"/>
    <w:rsid w:val="0B9743F0"/>
    <w:rsid w:val="0B9F56A2"/>
    <w:rsid w:val="0BCC7711"/>
    <w:rsid w:val="0BCD0049"/>
    <w:rsid w:val="0BE07DB2"/>
    <w:rsid w:val="0BE83010"/>
    <w:rsid w:val="0BEA0DB9"/>
    <w:rsid w:val="0BEF5E71"/>
    <w:rsid w:val="0BFC3A30"/>
    <w:rsid w:val="0C061D9D"/>
    <w:rsid w:val="0C0777F2"/>
    <w:rsid w:val="0C0D098A"/>
    <w:rsid w:val="0C0F3325"/>
    <w:rsid w:val="0C1358B4"/>
    <w:rsid w:val="0C1F1261"/>
    <w:rsid w:val="0C25341F"/>
    <w:rsid w:val="0C35472E"/>
    <w:rsid w:val="0C4551B9"/>
    <w:rsid w:val="0C480F3E"/>
    <w:rsid w:val="0C4813D5"/>
    <w:rsid w:val="0C5705F1"/>
    <w:rsid w:val="0C585BE0"/>
    <w:rsid w:val="0C6B7572"/>
    <w:rsid w:val="0C7E2237"/>
    <w:rsid w:val="0C9A5198"/>
    <w:rsid w:val="0C9F1CEA"/>
    <w:rsid w:val="0CBE1DF9"/>
    <w:rsid w:val="0CC72C8E"/>
    <w:rsid w:val="0CC9599A"/>
    <w:rsid w:val="0CE0341A"/>
    <w:rsid w:val="0CED79B0"/>
    <w:rsid w:val="0CF72F3C"/>
    <w:rsid w:val="0D10283C"/>
    <w:rsid w:val="0D1E308B"/>
    <w:rsid w:val="0D35585D"/>
    <w:rsid w:val="0D362AE9"/>
    <w:rsid w:val="0D3C2711"/>
    <w:rsid w:val="0D3F7F2E"/>
    <w:rsid w:val="0D494870"/>
    <w:rsid w:val="0D5456F5"/>
    <w:rsid w:val="0D5955C7"/>
    <w:rsid w:val="0D5D00D6"/>
    <w:rsid w:val="0D68281E"/>
    <w:rsid w:val="0D705EC6"/>
    <w:rsid w:val="0D7A2C26"/>
    <w:rsid w:val="0D7C5049"/>
    <w:rsid w:val="0D83675C"/>
    <w:rsid w:val="0D8A11FE"/>
    <w:rsid w:val="0D8C75B3"/>
    <w:rsid w:val="0D9E0018"/>
    <w:rsid w:val="0DB757B9"/>
    <w:rsid w:val="0DE7555E"/>
    <w:rsid w:val="0DF429BF"/>
    <w:rsid w:val="0E0979BF"/>
    <w:rsid w:val="0E1B680E"/>
    <w:rsid w:val="0E491BE8"/>
    <w:rsid w:val="0E561399"/>
    <w:rsid w:val="0E58547F"/>
    <w:rsid w:val="0E5E4DB8"/>
    <w:rsid w:val="0E5F6E07"/>
    <w:rsid w:val="0E607B1B"/>
    <w:rsid w:val="0E6126CF"/>
    <w:rsid w:val="0E635AF2"/>
    <w:rsid w:val="0E690837"/>
    <w:rsid w:val="0E7F77A7"/>
    <w:rsid w:val="0E8405CA"/>
    <w:rsid w:val="0E8D5133"/>
    <w:rsid w:val="0EAD0B0A"/>
    <w:rsid w:val="0EB1236A"/>
    <w:rsid w:val="0EB35C5F"/>
    <w:rsid w:val="0EB6344A"/>
    <w:rsid w:val="0EE64B06"/>
    <w:rsid w:val="0F0275CF"/>
    <w:rsid w:val="0F180E9A"/>
    <w:rsid w:val="0F197C6F"/>
    <w:rsid w:val="0F270991"/>
    <w:rsid w:val="0F341035"/>
    <w:rsid w:val="0F3E6F11"/>
    <w:rsid w:val="0F54484A"/>
    <w:rsid w:val="0F5D3091"/>
    <w:rsid w:val="0F6A0CFA"/>
    <w:rsid w:val="0F6F7789"/>
    <w:rsid w:val="0F832E30"/>
    <w:rsid w:val="0FA53356"/>
    <w:rsid w:val="0FA615F7"/>
    <w:rsid w:val="0FC27645"/>
    <w:rsid w:val="0FE231AB"/>
    <w:rsid w:val="0FED27ED"/>
    <w:rsid w:val="0FF61596"/>
    <w:rsid w:val="10117D20"/>
    <w:rsid w:val="101F02CE"/>
    <w:rsid w:val="102125E6"/>
    <w:rsid w:val="102E6E2C"/>
    <w:rsid w:val="10473F6B"/>
    <w:rsid w:val="107907CC"/>
    <w:rsid w:val="107E1F0E"/>
    <w:rsid w:val="1082090D"/>
    <w:rsid w:val="10843C5D"/>
    <w:rsid w:val="109909D1"/>
    <w:rsid w:val="109F1425"/>
    <w:rsid w:val="10A865C5"/>
    <w:rsid w:val="10AE1AE8"/>
    <w:rsid w:val="10B638E0"/>
    <w:rsid w:val="10B73F1D"/>
    <w:rsid w:val="10BE1B05"/>
    <w:rsid w:val="10C84882"/>
    <w:rsid w:val="10D1178C"/>
    <w:rsid w:val="10D278DD"/>
    <w:rsid w:val="10E07EE2"/>
    <w:rsid w:val="10E654FE"/>
    <w:rsid w:val="10F006A4"/>
    <w:rsid w:val="10F630E0"/>
    <w:rsid w:val="10F77055"/>
    <w:rsid w:val="10FC13C8"/>
    <w:rsid w:val="11112CBE"/>
    <w:rsid w:val="11163418"/>
    <w:rsid w:val="111818B8"/>
    <w:rsid w:val="113B439C"/>
    <w:rsid w:val="11513993"/>
    <w:rsid w:val="11537715"/>
    <w:rsid w:val="11565610"/>
    <w:rsid w:val="11620582"/>
    <w:rsid w:val="11674F62"/>
    <w:rsid w:val="1171000D"/>
    <w:rsid w:val="117122AD"/>
    <w:rsid w:val="11840D39"/>
    <w:rsid w:val="118A244C"/>
    <w:rsid w:val="11950BDB"/>
    <w:rsid w:val="119C5B20"/>
    <w:rsid w:val="11A2124C"/>
    <w:rsid w:val="11A63A51"/>
    <w:rsid w:val="11A805F9"/>
    <w:rsid w:val="11AC592C"/>
    <w:rsid w:val="11AD389E"/>
    <w:rsid w:val="11B033EF"/>
    <w:rsid w:val="11C20C82"/>
    <w:rsid w:val="11C768FF"/>
    <w:rsid w:val="11D675CB"/>
    <w:rsid w:val="11DB2BCC"/>
    <w:rsid w:val="11E23583"/>
    <w:rsid w:val="11EC7ABE"/>
    <w:rsid w:val="11FC4637"/>
    <w:rsid w:val="120554E8"/>
    <w:rsid w:val="12063740"/>
    <w:rsid w:val="1206442C"/>
    <w:rsid w:val="12101447"/>
    <w:rsid w:val="12275F24"/>
    <w:rsid w:val="123756C9"/>
    <w:rsid w:val="1243252B"/>
    <w:rsid w:val="124334B1"/>
    <w:rsid w:val="125F1817"/>
    <w:rsid w:val="12631B42"/>
    <w:rsid w:val="12655569"/>
    <w:rsid w:val="126933CB"/>
    <w:rsid w:val="12695551"/>
    <w:rsid w:val="126B06B4"/>
    <w:rsid w:val="127C5799"/>
    <w:rsid w:val="127F2662"/>
    <w:rsid w:val="128435EC"/>
    <w:rsid w:val="129643EF"/>
    <w:rsid w:val="12AF6ED2"/>
    <w:rsid w:val="12B83A98"/>
    <w:rsid w:val="12BB4641"/>
    <w:rsid w:val="12BF6231"/>
    <w:rsid w:val="12C77020"/>
    <w:rsid w:val="12CD4F26"/>
    <w:rsid w:val="12CE1F8E"/>
    <w:rsid w:val="12E83F88"/>
    <w:rsid w:val="12F52D91"/>
    <w:rsid w:val="12FA087E"/>
    <w:rsid w:val="13024F62"/>
    <w:rsid w:val="1307442E"/>
    <w:rsid w:val="130760C9"/>
    <w:rsid w:val="130B3F40"/>
    <w:rsid w:val="13244721"/>
    <w:rsid w:val="13285985"/>
    <w:rsid w:val="133A1A09"/>
    <w:rsid w:val="133C703D"/>
    <w:rsid w:val="13494163"/>
    <w:rsid w:val="134C77A5"/>
    <w:rsid w:val="134D2BB6"/>
    <w:rsid w:val="135D3F89"/>
    <w:rsid w:val="135E6A8D"/>
    <w:rsid w:val="135F0C6C"/>
    <w:rsid w:val="13731B39"/>
    <w:rsid w:val="137618E3"/>
    <w:rsid w:val="1381791C"/>
    <w:rsid w:val="13850832"/>
    <w:rsid w:val="138E124B"/>
    <w:rsid w:val="13A11F77"/>
    <w:rsid w:val="13A75515"/>
    <w:rsid w:val="13C30E6E"/>
    <w:rsid w:val="13CE3745"/>
    <w:rsid w:val="13D40439"/>
    <w:rsid w:val="13D44F08"/>
    <w:rsid w:val="13D933E7"/>
    <w:rsid w:val="13FE1C77"/>
    <w:rsid w:val="140769BE"/>
    <w:rsid w:val="1413430F"/>
    <w:rsid w:val="141613F9"/>
    <w:rsid w:val="1418763C"/>
    <w:rsid w:val="14203CB8"/>
    <w:rsid w:val="143A0B7C"/>
    <w:rsid w:val="143C354F"/>
    <w:rsid w:val="144646A7"/>
    <w:rsid w:val="14533C58"/>
    <w:rsid w:val="14545F32"/>
    <w:rsid w:val="14596F4E"/>
    <w:rsid w:val="146F011F"/>
    <w:rsid w:val="147632A2"/>
    <w:rsid w:val="14872049"/>
    <w:rsid w:val="14906E2C"/>
    <w:rsid w:val="14936552"/>
    <w:rsid w:val="14B64E21"/>
    <w:rsid w:val="14C165D5"/>
    <w:rsid w:val="14C272D2"/>
    <w:rsid w:val="14E463A0"/>
    <w:rsid w:val="14EA3450"/>
    <w:rsid w:val="14F767B6"/>
    <w:rsid w:val="14FB222F"/>
    <w:rsid w:val="14FC07B1"/>
    <w:rsid w:val="14FF79DA"/>
    <w:rsid w:val="150F0D42"/>
    <w:rsid w:val="1518731C"/>
    <w:rsid w:val="151C2838"/>
    <w:rsid w:val="15254B35"/>
    <w:rsid w:val="153E582F"/>
    <w:rsid w:val="15612C23"/>
    <w:rsid w:val="159016BB"/>
    <w:rsid w:val="159078F1"/>
    <w:rsid w:val="15B94BA8"/>
    <w:rsid w:val="15C40747"/>
    <w:rsid w:val="15DC24D5"/>
    <w:rsid w:val="15E31500"/>
    <w:rsid w:val="15E5000F"/>
    <w:rsid w:val="15EF6DAE"/>
    <w:rsid w:val="16031113"/>
    <w:rsid w:val="160913AF"/>
    <w:rsid w:val="16213B9C"/>
    <w:rsid w:val="163E6A67"/>
    <w:rsid w:val="164F40E1"/>
    <w:rsid w:val="16674FC6"/>
    <w:rsid w:val="16692CA6"/>
    <w:rsid w:val="167110B2"/>
    <w:rsid w:val="16725D01"/>
    <w:rsid w:val="168B24ED"/>
    <w:rsid w:val="168F227C"/>
    <w:rsid w:val="16B93140"/>
    <w:rsid w:val="16F45F36"/>
    <w:rsid w:val="16FC1D97"/>
    <w:rsid w:val="171F0861"/>
    <w:rsid w:val="172279B0"/>
    <w:rsid w:val="17372639"/>
    <w:rsid w:val="173A4ED5"/>
    <w:rsid w:val="173D243C"/>
    <w:rsid w:val="174C7063"/>
    <w:rsid w:val="17534ECF"/>
    <w:rsid w:val="175F0E7A"/>
    <w:rsid w:val="1767434D"/>
    <w:rsid w:val="177F7D9F"/>
    <w:rsid w:val="17AC7105"/>
    <w:rsid w:val="17B000B5"/>
    <w:rsid w:val="17BA77C8"/>
    <w:rsid w:val="17BE0EDF"/>
    <w:rsid w:val="17C93C3F"/>
    <w:rsid w:val="17D71645"/>
    <w:rsid w:val="17DD1E28"/>
    <w:rsid w:val="17E01BB1"/>
    <w:rsid w:val="17E21891"/>
    <w:rsid w:val="180B6108"/>
    <w:rsid w:val="180B6AD1"/>
    <w:rsid w:val="181011F1"/>
    <w:rsid w:val="181359BA"/>
    <w:rsid w:val="181C38B0"/>
    <w:rsid w:val="181C7BDF"/>
    <w:rsid w:val="181E053B"/>
    <w:rsid w:val="18205336"/>
    <w:rsid w:val="18414E50"/>
    <w:rsid w:val="184F29B3"/>
    <w:rsid w:val="18810539"/>
    <w:rsid w:val="18897ED5"/>
    <w:rsid w:val="189B0610"/>
    <w:rsid w:val="18AA0A18"/>
    <w:rsid w:val="18C62D46"/>
    <w:rsid w:val="18C82C52"/>
    <w:rsid w:val="18CF7389"/>
    <w:rsid w:val="18DF40DC"/>
    <w:rsid w:val="18E5190D"/>
    <w:rsid w:val="18F04213"/>
    <w:rsid w:val="18F35E61"/>
    <w:rsid w:val="18F43282"/>
    <w:rsid w:val="18F45107"/>
    <w:rsid w:val="18F47AF6"/>
    <w:rsid w:val="190A522C"/>
    <w:rsid w:val="190C6BC1"/>
    <w:rsid w:val="190E44F2"/>
    <w:rsid w:val="191C0124"/>
    <w:rsid w:val="192349BD"/>
    <w:rsid w:val="19297C63"/>
    <w:rsid w:val="192A06DB"/>
    <w:rsid w:val="192C0B58"/>
    <w:rsid w:val="192D288C"/>
    <w:rsid w:val="194335B5"/>
    <w:rsid w:val="19553717"/>
    <w:rsid w:val="196A3AFC"/>
    <w:rsid w:val="198218DD"/>
    <w:rsid w:val="19A01ECA"/>
    <w:rsid w:val="19BF2F9E"/>
    <w:rsid w:val="19C56581"/>
    <w:rsid w:val="19CB4FE5"/>
    <w:rsid w:val="19CE137B"/>
    <w:rsid w:val="19EE41FA"/>
    <w:rsid w:val="1A002E3D"/>
    <w:rsid w:val="1A0E78C9"/>
    <w:rsid w:val="1A1D7FC3"/>
    <w:rsid w:val="1A4F1480"/>
    <w:rsid w:val="1A5A6066"/>
    <w:rsid w:val="1A661946"/>
    <w:rsid w:val="1A7455F2"/>
    <w:rsid w:val="1A777345"/>
    <w:rsid w:val="1A7A4184"/>
    <w:rsid w:val="1A8A7FDF"/>
    <w:rsid w:val="1A8D59A2"/>
    <w:rsid w:val="1A8E3BCD"/>
    <w:rsid w:val="1AAA1DC5"/>
    <w:rsid w:val="1ADA6CD0"/>
    <w:rsid w:val="1AF47380"/>
    <w:rsid w:val="1AF50019"/>
    <w:rsid w:val="1AF51F9D"/>
    <w:rsid w:val="1B0C0005"/>
    <w:rsid w:val="1B251F48"/>
    <w:rsid w:val="1B343F41"/>
    <w:rsid w:val="1B3833FF"/>
    <w:rsid w:val="1B396BED"/>
    <w:rsid w:val="1B4C6CA1"/>
    <w:rsid w:val="1B52759D"/>
    <w:rsid w:val="1B5379D1"/>
    <w:rsid w:val="1B612ED3"/>
    <w:rsid w:val="1B6A011C"/>
    <w:rsid w:val="1B705E15"/>
    <w:rsid w:val="1B8C6B7B"/>
    <w:rsid w:val="1B8F1B70"/>
    <w:rsid w:val="1B925883"/>
    <w:rsid w:val="1BA0571E"/>
    <w:rsid w:val="1BA22BC9"/>
    <w:rsid w:val="1BA72C10"/>
    <w:rsid w:val="1BA951FD"/>
    <w:rsid w:val="1BAD5DFE"/>
    <w:rsid w:val="1BB91038"/>
    <w:rsid w:val="1BBF65FB"/>
    <w:rsid w:val="1BC02E34"/>
    <w:rsid w:val="1BCB1770"/>
    <w:rsid w:val="1BD162E3"/>
    <w:rsid w:val="1BDE64F1"/>
    <w:rsid w:val="1BE03F9F"/>
    <w:rsid w:val="1BEA1EEC"/>
    <w:rsid w:val="1BF657FB"/>
    <w:rsid w:val="1BF868AD"/>
    <w:rsid w:val="1C0503E8"/>
    <w:rsid w:val="1C126363"/>
    <w:rsid w:val="1C2023D8"/>
    <w:rsid w:val="1C2621EC"/>
    <w:rsid w:val="1C277147"/>
    <w:rsid w:val="1C396BA4"/>
    <w:rsid w:val="1C460695"/>
    <w:rsid w:val="1C602EC8"/>
    <w:rsid w:val="1C766429"/>
    <w:rsid w:val="1C771298"/>
    <w:rsid w:val="1C786858"/>
    <w:rsid w:val="1C800114"/>
    <w:rsid w:val="1C954AA4"/>
    <w:rsid w:val="1C9A155D"/>
    <w:rsid w:val="1CB15134"/>
    <w:rsid w:val="1CC92F95"/>
    <w:rsid w:val="1CCD428A"/>
    <w:rsid w:val="1CE049DF"/>
    <w:rsid w:val="1CF31B9B"/>
    <w:rsid w:val="1CF75516"/>
    <w:rsid w:val="1CFA7EEF"/>
    <w:rsid w:val="1CFB1146"/>
    <w:rsid w:val="1D0E75B6"/>
    <w:rsid w:val="1D1A6885"/>
    <w:rsid w:val="1D2331DE"/>
    <w:rsid w:val="1D312AFC"/>
    <w:rsid w:val="1D325ED3"/>
    <w:rsid w:val="1D37062D"/>
    <w:rsid w:val="1D4105A8"/>
    <w:rsid w:val="1D487EB6"/>
    <w:rsid w:val="1D790213"/>
    <w:rsid w:val="1D792EF9"/>
    <w:rsid w:val="1D7B204C"/>
    <w:rsid w:val="1D85749C"/>
    <w:rsid w:val="1D865A46"/>
    <w:rsid w:val="1D8E41C5"/>
    <w:rsid w:val="1D8F4492"/>
    <w:rsid w:val="1DA30B47"/>
    <w:rsid w:val="1DDB546F"/>
    <w:rsid w:val="1DE0229C"/>
    <w:rsid w:val="1DE32461"/>
    <w:rsid w:val="1DFE3834"/>
    <w:rsid w:val="1E063EE9"/>
    <w:rsid w:val="1E0E4355"/>
    <w:rsid w:val="1E317170"/>
    <w:rsid w:val="1E331E3B"/>
    <w:rsid w:val="1E462876"/>
    <w:rsid w:val="1E4914EC"/>
    <w:rsid w:val="1E561B49"/>
    <w:rsid w:val="1E5B5B74"/>
    <w:rsid w:val="1E673C35"/>
    <w:rsid w:val="1E925E44"/>
    <w:rsid w:val="1EC71504"/>
    <w:rsid w:val="1EDB21B2"/>
    <w:rsid w:val="1EDE01BE"/>
    <w:rsid w:val="1EE21D29"/>
    <w:rsid w:val="1EF60973"/>
    <w:rsid w:val="1EFA3721"/>
    <w:rsid w:val="1F0B37C8"/>
    <w:rsid w:val="1F280F4B"/>
    <w:rsid w:val="1F3E1D5D"/>
    <w:rsid w:val="1F441C9D"/>
    <w:rsid w:val="1F5861E8"/>
    <w:rsid w:val="1F6C348D"/>
    <w:rsid w:val="1F6E3177"/>
    <w:rsid w:val="1F6F04BA"/>
    <w:rsid w:val="1F6F7A87"/>
    <w:rsid w:val="1F6F7D7B"/>
    <w:rsid w:val="1F7742A1"/>
    <w:rsid w:val="1F832B7E"/>
    <w:rsid w:val="1F8C15A6"/>
    <w:rsid w:val="1F96306D"/>
    <w:rsid w:val="1F986F45"/>
    <w:rsid w:val="1F9F6666"/>
    <w:rsid w:val="1FA86657"/>
    <w:rsid w:val="1FB60CDF"/>
    <w:rsid w:val="1FCD6552"/>
    <w:rsid w:val="1FD26DB9"/>
    <w:rsid w:val="1FE07634"/>
    <w:rsid w:val="1FE86420"/>
    <w:rsid w:val="1FEB5626"/>
    <w:rsid w:val="1FF50952"/>
    <w:rsid w:val="1FF829ED"/>
    <w:rsid w:val="20027E74"/>
    <w:rsid w:val="200947EB"/>
    <w:rsid w:val="201047BC"/>
    <w:rsid w:val="2019412B"/>
    <w:rsid w:val="201C465D"/>
    <w:rsid w:val="2024650C"/>
    <w:rsid w:val="20494045"/>
    <w:rsid w:val="204E5FD2"/>
    <w:rsid w:val="20541167"/>
    <w:rsid w:val="20703E6E"/>
    <w:rsid w:val="20766CBD"/>
    <w:rsid w:val="207A428C"/>
    <w:rsid w:val="20835E3C"/>
    <w:rsid w:val="208F1332"/>
    <w:rsid w:val="20A61DDA"/>
    <w:rsid w:val="20AA71C2"/>
    <w:rsid w:val="20B10A0D"/>
    <w:rsid w:val="20B875B6"/>
    <w:rsid w:val="20C45C9A"/>
    <w:rsid w:val="20D02ECC"/>
    <w:rsid w:val="20D63F56"/>
    <w:rsid w:val="20DC2970"/>
    <w:rsid w:val="20FA7410"/>
    <w:rsid w:val="21076B87"/>
    <w:rsid w:val="21094E07"/>
    <w:rsid w:val="21113681"/>
    <w:rsid w:val="211D57BC"/>
    <w:rsid w:val="21250156"/>
    <w:rsid w:val="212A0DB8"/>
    <w:rsid w:val="212B3666"/>
    <w:rsid w:val="212E5012"/>
    <w:rsid w:val="21517E79"/>
    <w:rsid w:val="21523AD1"/>
    <w:rsid w:val="215C67A4"/>
    <w:rsid w:val="215C6880"/>
    <w:rsid w:val="2165306B"/>
    <w:rsid w:val="21706206"/>
    <w:rsid w:val="21774BE5"/>
    <w:rsid w:val="21835989"/>
    <w:rsid w:val="21860B2C"/>
    <w:rsid w:val="21897887"/>
    <w:rsid w:val="218F0080"/>
    <w:rsid w:val="21981BC3"/>
    <w:rsid w:val="21BA6322"/>
    <w:rsid w:val="21D25F22"/>
    <w:rsid w:val="21D361AC"/>
    <w:rsid w:val="21DF5A8A"/>
    <w:rsid w:val="21E048C3"/>
    <w:rsid w:val="21E13F03"/>
    <w:rsid w:val="21F17045"/>
    <w:rsid w:val="21FA47DC"/>
    <w:rsid w:val="22084595"/>
    <w:rsid w:val="220F0ADB"/>
    <w:rsid w:val="221C3080"/>
    <w:rsid w:val="2225605D"/>
    <w:rsid w:val="222A72A4"/>
    <w:rsid w:val="222F2404"/>
    <w:rsid w:val="22423882"/>
    <w:rsid w:val="227334E7"/>
    <w:rsid w:val="22734646"/>
    <w:rsid w:val="228E4876"/>
    <w:rsid w:val="22906F9F"/>
    <w:rsid w:val="22921308"/>
    <w:rsid w:val="229553F2"/>
    <w:rsid w:val="22982926"/>
    <w:rsid w:val="22AE1EDE"/>
    <w:rsid w:val="22C23296"/>
    <w:rsid w:val="22C654FF"/>
    <w:rsid w:val="22DD6CC1"/>
    <w:rsid w:val="2307360A"/>
    <w:rsid w:val="230E6CB2"/>
    <w:rsid w:val="230F0CC5"/>
    <w:rsid w:val="23243D93"/>
    <w:rsid w:val="232931CF"/>
    <w:rsid w:val="232E208C"/>
    <w:rsid w:val="233E3FBC"/>
    <w:rsid w:val="23444415"/>
    <w:rsid w:val="23483157"/>
    <w:rsid w:val="234D2AE9"/>
    <w:rsid w:val="23505F5A"/>
    <w:rsid w:val="235F3612"/>
    <w:rsid w:val="23666663"/>
    <w:rsid w:val="23693289"/>
    <w:rsid w:val="23757B5B"/>
    <w:rsid w:val="237B0E89"/>
    <w:rsid w:val="238732D2"/>
    <w:rsid w:val="23875BB1"/>
    <w:rsid w:val="23887728"/>
    <w:rsid w:val="238E42C7"/>
    <w:rsid w:val="239147E1"/>
    <w:rsid w:val="23920DB7"/>
    <w:rsid w:val="239C1E68"/>
    <w:rsid w:val="23B02654"/>
    <w:rsid w:val="23B90270"/>
    <w:rsid w:val="23BB34F7"/>
    <w:rsid w:val="23D167C1"/>
    <w:rsid w:val="23D745AC"/>
    <w:rsid w:val="23DE6583"/>
    <w:rsid w:val="23FE2934"/>
    <w:rsid w:val="24105169"/>
    <w:rsid w:val="24145543"/>
    <w:rsid w:val="2415164D"/>
    <w:rsid w:val="24372605"/>
    <w:rsid w:val="24426206"/>
    <w:rsid w:val="244318F2"/>
    <w:rsid w:val="245E45B4"/>
    <w:rsid w:val="24712816"/>
    <w:rsid w:val="2475090E"/>
    <w:rsid w:val="247921D2"/>
    <w:rsid w:val="247A2A71"/>
    <w:rsid w:val="247B767D"/>
    <w:rsid w:val="248C70E1"/>
    <w:rsid w:val="249C2A7A"/>
    <w:rsid w:val="249D5D16"/>
    <w:rsid w:val="24AF1DC4"/>
    <w:rsid w:val="24D40FD8"/>
    <w:rsid w:val="24DE5C48"/>
    <w:rsid w:val="24E51E80"/>
    <w:rsid w:val="24F64777"/>
    <w:rsid w:val="24FB1C59"/>
    <w:rsid w:val="24FE0E05"/>
    <w:rsid w:val="250A59BD"/>
    <w:rsid w:val="2542465A"/>
    <w:rsid w:val="25517809"/>
    <w:rsid w:val="256071ED"/>
    <w:rsid w:val="25674788"/>
    <w:rsid w:val="256C1BBD"/>
    <w:rsid w:val="256F2571"/>
    <w:rsid w:val="25714AB0"/>
    <w:rsid w:val="2576124C"/>
    <w:rsid w:val="258130F7"/>
    <w:rsid w:val="258215D4"/>
    <w:rsid w:val="259402E7"/>
    <w:rsid w:val="25AF3989"/>
    <w:rsid w:val="25B82D92"/>
    <w:rsid w:val="25C73339"/>
    <w:rsid w:val="25C772BF"/>
    <w:rsid w:val="25D05B49"/>
    <w:rsid w:val="25D62822"/>
    <w:rsid w:val="25FD1357"/>
    <w:rsid w:val="260124E6"/>
    <w:rsid w:val="26082A19"/>
    <w:rsid w:val="260B3061"/>
    <w:rsid w:val="26205FC9"/>
    <w:rsid w:val="262931EB"/>
    <w:rsid w:val="262E591A"/>
    <w:rsid w:val="263771C4"/>
    <w:rsid w:val="26400EA4"/>
    <w:rsid w:val="265B4748"/>
    <w:rsid w:val="26622CD9"/>
    <w:rsid w:val="266372C2"/>
    <w:rsid w:val="267961DB"/>
    <w:rsid w:val="267F6E38"/>
    <w:rsid w:val="268C1A37"/>
    <w:rsid w:val="268C7D4E"/>
    <w:rsid w:val="26A60A07"/>
    <w:rsid w:val="26B05A9E"/>
    <w:rsid w:val="26B424FB"/>
    <w:rsid w:val="26BE66C7"/>
    <w:rsid w:val="26C00465"/>
    <w:rsid w:val="26CC1B59"/>
    <w:rsid w:val="26D10ECC"/>
    <w:rsid w:val="26D714BA"/>
    <w:rsid w:val="26EA702F"/>
    <w:rsid w:val="26ED70C6"/>
    <w:rsid w:val="26EF57DC"/>
    <w:rsid w:val="27015777"/>
    <w:rsid w:val="27076028"/>
    <w:rsid w:val="27083115"/>
    <w:rsid w:val="270F12F9"/>
    <w:rsid w:val="27142A2D"/>
    <w:rsid w:val="271B4881"/>
    <w:rsid w:val="27214C90"/>
    <w:rsid w:val="272414C7"/>
    <w:rsid w:val="272A2ED5"/>
    <w:rsid w:val="27394969"/>
    <w:rsid w:val="274E5779"/>
    <w:rsid w:val="27685524"/>
    <w:rsid w:val="276959E0"/>
    <w:rsid w:val="276F555C"/>
    <w:rsid w:val="27702C8E"/>
    <w:rsid w:val="27827E3D"/>
    <w:rsid w:val="278D148B"/>
    <w:rsid w:val="27A028B7"/>
    <w:rsid w:val="27AB6605"/>
    <w:rsid w:val="27AF3475"/>
    <w:rsid w:val="27B2612C"/>
    <w:rsid w:val="27BF3604"/>
    <w:rsid w:val="27CC47C3"/>
    <w:rsid w:val="27CF6A13"/>
    <w:rsid w:val="27CF76D0"/>
    <w:rsid w:val="27D26786"/>
    <w:rsid w:val="27D27481"/>
    <w:rsid w:val="27E12651"/>
    <w:rsid w:val="27EA6257"/>
    <w:rsid w:val="27EC7D2C"/>
    <w:rsid w:val="27EE55BE"/>
    <w:rsid w:val="27FD3CE9"/>
    <w:rsid w:val="282D1B35"/>
    <w:rsid w:val="2831638E"/>
    <w:rsid w:val="28342FD5"/>
    <w:rsid w:val="283C7F0C"/>
    <w:rsid w:val="284416F5"/>
    <w:rsid w:val="284F457A"/>
    <w:rsid w:val="28503B39"/>
    <w:rsid w:val="285117F8"/>
    <w:rsid w:val="28564DBB"/>
    <w:rsid w:val="28772A19"/>
    <w:rsid w:val="28797CFA"/>
    <w:rsid w:val="288340DE"/>
    <w:rsid w:val="288445F5"/>
    <w:rsid w:val="28883EBB"/>
    <w:rsid w:val="28885F5E"/>
    <w:rsid w:val="28901CD3"/>
    <w:rsid w:val="28907627"/>
    <w:rsid w:val="2899516B"/>
    <w:rsid w:val="28A908AA"/>
    <w:rsid w:val="28AE3D7E"/>
    <w:rsid w:val="28C3120E"/>
    <w:rsid w:val="28D853E8"/>
    <w:rsid w:val="28D9203E"/>
    <w:rsid w:val="28FE0FFD"/>
    <w:rsid w:val="2908018D"/>
    <w:rsid w:val="290A1459"/>
    <w:rsid w:val="290C3185"/>
    <w:rsid w:val="290D2770"/>
    <w:rsid w:val="293430C2"/>
    <w:rsid w:val="29362303"/>
    <w:rsid w:val="29394DC3"/>
    <w:rsid w:val="293B2DC9"/>
    <w:rsid w:val="294B6D5F"/>
    <w:rsid w:val="294D3F3D"/>
    <w:rsid w:val="296A69AB"/>
    <w:rsid w:val="296E2E4C"/>
    <w:rsid w:val="297554E4"/>
    <w:rsid w:val="297A28A9"/>
    <w:rsid w:val="29871168"/>
    <w:rsid w:val="298D5A5A"/>
    <w:rsid w:val="29920858"/>
    <w:rsid w:val="299C610E"/>
    <w:rsid w:val="299F7580"/>
    <w:rsid w:val="29B24934"/>
    <w:rsid w:val="29B428C6"/>
    <w:rsid w:val="29B661A7"/>
    <w:rsid w:val="29C25DAC"/>
    <w:rsid w:val="29CF5854"/>
    <w:rsid w:val="29EF59E7"/>
    <w:rsid w:val="29F70839"/>
    <w:rsid w:val="29F869C7"/>
    <w:rsid w:val="29FA460F"/>
    <w:rsid w:val="2A081208"/>
    <w:rsid w:val="2A0E0B0A"/>
    <w:rsid w:val="2A19132F"/>
    <w:rsid w:val="2A1E3A2B"/>
    <w:rsid w:val="2A3714C4"/>
    <w:rsid w:val="2A4E1459"/>
    <w:rsid w:val="2A524CC3"/>
    <w:rsid w:val="2A5E24DB"/>
    <w:rsid w:val="2A6950BC"/>
    <w:rsid w:val="2A697DEB"/>
    <w:rsid w:val="2A926984"/>
    <w:rsid w:val="2A927123"/>
    <w:rsid w:val="2AA006CA"/>
    <w:rsid w:val="2AA908E7"/>
    <w:rsid w:val="2AAC3C1E"/>
    <w:rsid w:val="2AC017A8"/>
    <w:rsid w:val="2AC36155"/>
    <w:rsid w:val="2AEE11A4"/>
    <w:rsid w:val="2AF05275"/>
    <w:rsid w:val="2AF2488D"/>
    <w:rsid w:val="2B1164B7"/>
    <w:rsid w:val="2B1C1A99"/>
    <w:rsid w:val="2B2876BC"/>
    <w:rsid w:val="2B334F71"/>
    <w:rsid w:val="2B50394A"/>
    <w:rsid w:val="2B6D603C"/>
    <w:rsid w:val="2B753191"/>
    <w:rsid w:val="2B756E6D"/>
    <w:rsid w:val="2B7B78BE"/>
    <w:rsid w:val="2B7D6E07"/>
    <w:rsid w:val="2B9444D2"/>
    <w:rsid w:val="2BA454D1"/>
    <w:rsid w:val="2BD665DC"/>
    <w:rsid w:val="2BDE0186"/>
    <w:rsid w:val="2BE340CE"/>
    <w:rsid w:val="2BFC3479"/>
    <w:rsid w:val="2C11054A"/>
    <w:rsid w:val="2C1E1CA1"/>
    <w:rsid w:val="2C1E45D5"/>
    <w:rsid w:val="2C214447"/>
    <w:rsid w:val="2C232160"/>
    <w:rsid w:val="2C33502F"/>
    <w:rsid w:val="2C4D6F1B"/>
    <w:rsid w:val="2C530E7F"/>
    <w:rsid w:val="2C587217"/>
    <w:rsid w:val="2C6438F8"/>
    <w:rsid w:val="2C7D4885"/>
    <w:rsid w:val="2C825683"/>
    <w:rsid w:val="2C8D63B1"/>
    <w:rsid w:val="2C994923"/>
    <w:rsid w:val="2CA95B4E"/>
    <w:rsid w:val="2CBB44E5"/>
    <w:rsid w:val="2CBC77F6"/>
    <w:rsid w:val="2CDB55D6"/>
    <w:rsid w:val="2D0C1E5B"/>
    <w:rsid w:val="2D1D236A"/>
    <w:rsid w:val="2D315427"/>
    <w:rsid w:val="2D557CB5"/>
    <w:rsid w:val="2D6C05D7"/>
    <w:rsid w:val="2D8023BC"/>
    <w:rsid w:val="2DA04760"/>
    <w:rsid w:val="2DA538B5"/>
    <w:rsid w:val="2DAB174B"/>
    <w:rsid w:val="2DAC3053"/>
    <w:rsid w:val="2DB21AB3"/>
    <w:rsid w:val="2DB9763A"/>
    <w:rsid w:val="2DC448A6"/>
    <w:rsid w:val="2DCA6026"/>
    <w:rsid w:val="2DCD4928"/>
    <w:rsid w:val="2DE96603"/>
    <w:rsid w:val="2DF710F6"/>
    <w:rsid w:val="2E1729D6"/>
    <w:rsid w:val="2E1A0C6A"/>
    <w:rsid w:val="2E347EE6"/>
    <w:rsid w:val="2E3701BD"/>
    <w:rsid w:val="2E374A38"/>
    <w:rsid w:val="2E3A1850"/>
    <w:rsid w:val="2E3C5510"/>
    <w:rsid w:val="2E422A88"/>
    <w:rsid w:val="2E4E5ACE"/>
    <w:rsid w:val="2E6305D7"/>
    <w:rsid w:val="2E690638"/>
    <w:rsid w:val="2E6E52AC"/>
    <w:rsid w:val="2E7D4A77"/>
    <w:rsid w:val="2E875B98"/>
    <w:rsid w:val="2E9370AF"/>
    <w:rsid w:val="2EA37EAA"/>
    <w:rsid w:val="2EA931F7"/>
    <w:rsid w:val="2EB74BF3"/>
    <w:rsid w:val="2EBD7031"/>
    <w:rsid w:val="2ED057C3"/>
    <w:rsid w:val="2ED316F4"/>
    <w:rsid w:val="2EF73B32"/>
    <w:rsid w:val="2F011E82"/>
    <w:rsid w:val="2F0139C0"/>
    <w:rsid w:val="2F240791"/>
    <w:rsid w:val="2F321F2D"/>
    <w:rsid w:val="2F3F7CCC"/>
    <w:rsid w:val="2F492921"/>
    <w:rsid w:val="2F4C7446"/>
    <w:rsid w:val="2F6858EF"/>
    <w:rsid w:val="2F6A0B1E"/>
    <w:rsid w:val="2F784161"/>
    <w:rsid w:val="2F7B48B5"/>
    <w:rsid w:val="2F853233"/>
    <w:rsid w:val="2FAF333B"/>
    <w:rsid w:val="2FBE3AD6"/>
    <w:rsid w:val="2FC27E67"/>
    <w:rsid w:val="2FCD2C96"/>
    <w:rsid w:val="2FD1192B"/>
    <w:rsid w:val="2FD12EB0"/>
    <w:rsid w:val="2FDA4B07"/>
    <w:rsid w:val="2FE66FC1"/>
    <w:rsid w:val="300D746B"/>
    <w:rsid w:val="30160CDB"/>
    <w:rsid w:val="301B2075"/>
    <w:rsid w:val="30243B4E"/>
    <w:rsid w:val="30287A71"/>
    <w:rsid w:val="30403C1A"/>
    <w:rsid w:val="3046030C"/>
    <w:rsid w:val="304A7A14"/>
    <w:rsid w:val="30571654"/>
    <w:rsid w:val="30613F93"/>
    <w:rsid w:val="306162D4"/>
    <w:rsid w:val="30635A86"/>
    <w:rsid w:val="30797BE5"/>
    <w:rsid w:val="308146B4"/>
    <w:rsid w:val="3084218C"/>
    <w:rsid w:val="309C2680"/>
    <w:rsid w:val="309F27BB"/>
    <w:rsid w:val="30A77050"/>
    <w:rsid w:val="30B07B13"/>
    <w:rsid w:val="30C01081"/>
    <w:rsid w:val="30C70CD8"/>
    <w:rsid w:val="30C81567"/>
    <w:rsid w:val="30CD46BC"/>
    <w:rsid w:val="31013135"/>
    <w:rsid w:val="311763B6"/>
    <w:rsid w:val="31257A15"/>
    <w:rsid w:val="31304A5E"/>
    <w:rsid w:val="31451920"/>
    <w:rsid w:val="31452A71"/>
    <w:rsid w:val="31527289"/>
    <w:rsid w:val="31673B67"/>
    <w:rsid w:val="317A2791"/>
    <w:rsid w:val="317D04E4"/>
    <w:rsid w:val="31834561"/>
    <w:rsid w:val="31873849"/>
    <w:rsid w:val="318F2514"/>
    <w:rsid w:val="31AC658F"/>
    <w:rsid w:val="31B2519D"/>
    <w:rsid w:val="31B37BA1"/>
    <w:rsid w:val="31BA698B"/>
    <w:rsid w:val="31D2387C"/>
    <w:rsid w:val="31D862B5"/>
    <w:rsid w:val="31DE1469"/>
    <w:rsid w:val="31E336C6"/>
    <w:rsid w:val="31EA1261"/>
    <w:rsid w:val="31EE6D68"/>
    <w:rsid w:val="31F241E6"/>
    <w:rsid w:val="31F26C8D"/>
    <w:rsid w:val="31F8290D"/>
    <w:rsid w:val="31FD2600"/>
    <w:rsid w:val="32114B98"/>
    <w:rsid w:val="32127E75"/>
    <w:rsid w:val="321A4BBA"/>
    <w:rsid w:val="32210BD1"/>
    <w:rsid w:val="322311DC"/>
    <w:rsid w:val="322658D9"/>
    <w:rsid w:val="32361B53"/>
    <w:rsid w:val="32400891"/>
    <w:rsid w:val="32493248"/>
    <w:rsid w:val="324C0B81"/>
    <w:rsid w:val="326E55E7"/>
    <w:rsid w:val="3272558C"/>
    <w:rsid w:val="327403EA"/>
    <w:rsid w:val="32B7493D"/>
    <w:rsid w:val="32BB1C21"/>
    <w:rsid w:val="32C25872"/>
    <w:rsid w:val="32C453D4"/>
    <w:rsid w:val="32D02AFC"/>
    <w:rsid w:val="32D473D1"/>
    <w:rsid w:val="32DA51AD"/>
    <w:rsid w:val="32DC671C"/>
    <w:rsid w:val="33091096"/>
    <w:rsid w:val="33197566"/>
    <w:rsid w:val="33232830"/>
    <w:rsid w:val="33247F6A"/>
    <w:rsid w:val="33462AFF"/>
    <w:rsid w:val="335A2C31"/>
    <w:rsid w:val="33763A01"/>
    <w:rsid w:val="337E52FC"/>
    <w:rsid w:val="33843CA1"/>
    <w:rsid w:val="338604C2"/>
    <w:rsid w:val="338F2A0F"/>
    <w:rsid w:val="33996246"/>
    <w:rsid w:val="33A56354"/>
    <w:rsid w:val="33AE0D9C"/>
    <w:rsid w:val="33B253B9"/>
    <w:rsid w:val="33DC7649"/>
    <w:rsid w:val="33ED0295"/>
    <w:rsid w:val="33F5762B"/>
    <w:rsid w:val="33F926B5"/>
    <w:rsid w:val="33FB4CF3"/>
    <w:rsid w:val="340639D6"/>
    <w:rsid w:val="34105AD1"/>
    <w:rsid w:val="341E7D9E"/>
    <w:rsid w:val="344639D7"/>
    <w:rsid w:val="344B5CF1"/>
    <w:rsid w:val="345439B8"/>
    <w:rsid w:val="345A3C1A"/>
    <w:rsid w:val="346F6BF7"/>
    <w:rsid w:val="34731AFC"/>
    <w:rsid w:val="347728F4"/>
    <w:rsid w:val="34781F94"/>
    <w:rsid w:val="348B54C8"/>
    <w:rsid w:val="34943A7F"/>
    <w:rsid w:val="349D56AC"/>
    <w:rsid w:val="349D6BA5"/>
    <w:rsid w:val="349F118A"/>
    <w:rsid w:val="34A11B7B"/>
    <w:rsid w:val="34A6697A"/>
    <w:rsid w:val="34AE78BD"/>
    <w:rsid w:val="34AF7E71"/>
    <w:rsid w:val="34B33A72"/>
    <w:rsid w:val="34B71901"/>
    <w:rsid w:val="34BF1760"/>
    <w:rsid w:val="34D5280E"/>
    <w:rsid w:val="34D645EB"/>
    <w:rsid w:val="34E20D20"/>
    <w:rsid w:val="34E52170"/>
    <w:rsid w:val="34F962B1"/>
    <w:rsid w:val="35016DEE"/>
    <w:rsid w:val="350C7DB7"/>
    <w:rsid w:val="3532673B"/>
    <w:rsid w:val="353A2986"/>
    <w:rsid w:val="35517FF5"/>
    <w:rsid w:val="3562042D"/>
    <w:rsid w:val="356608C9"/>
    <w:rsid w:val="3575320A"/>
    <w:rsid w:val="35850AE6"/>
    <w:rsid w:val="35B3138C"/>
    <w:rsid w:val="35C9181B"/>
    <w:rsid w:val="35DE1818"/>
    <w:rsid w:val="35E06871"/>
    <w:rsid w:val="35E42AFF"/>
    <w:rsid w:val="35F50E1F"/>
    <w:rsid w:val="35FD2DB6"/>
    <w:rsid w:val="36146F55"/>
    <w:rsid w:val="36234BC1"/>
    <w:rsid w:val="36236B14"/>
    <w:rsid w:val="363D5A72"/>
    <w:rsid w:val="36460B87"/>
    <w:rsid w:val="36464417"/>
    <w:rsid w:val="36787E34"/>
    <w:rsid w:val="368352EF"/>
    <w:rsid w:val="36880A11"/>
    <w:rsid w:val="36912102"/>
    <w:rsid w:val="36A83BBB"/>
    <w:rsid w:val="36AD3A3B"/>
    <w:rsid w:val="36AE77A2"/>
    <w:rsid w:val="36BA578E"/>
    <w:rsid w:val="36BE3B49"/>
    <w:rsid w:val="36D6004D"/>
    <w:rsid w:val="36D974F7"/>
    <w:rsid w:val="36DC756D"/>
    <w:rsid w:val="36E03CF2"/>
    <w:rsid w:val="36E05B33"/>
    <w:rsid w:val="36E77649"/>
    <w:rsid w:val="36F564AE"/>
    <w:rsid w:val="36FC06E4"/>
    <w:rsid w:val="37002BA5"/>
    <w:rsid w:val="3716177B"/>
    <w:rsid w:val="371858EA"/>
    <w:rsid w:val="372A57D1"/>
    <w:rsid w:val="373006D6"/>
    <w:rsid w:val="373215AF"/>
    <w:rsid w:val="37395AAC"/>
    <w:rsid w:val="375119C4"/>
    <w:rsid w:val="37533A9C"/>
    <w:rsid w:val="37554C2A"/>
    <w:rsid w:val="375902A7"/>
    <w:rsid w:val="376C2F8C"/>
    <w:rsid w:val="37733C45"/>
    <w:rsid w:val="378123A9"/>
    <w:rsid w:val="37862B25"/>
    <w:rsid w:val="37871FDA"/>
    <w:rsid w:val="37EA244F"/>
    <w:rsid w:val="3801691A"/>
    <w:rsid w:val="38053C44"/>
    <w:rsid w:val="3816564C"/>
    <w:rsid w:val="382A2A0E"/>
    <w:rsid w:val="383C5D00"/>
    <w:rsid w:val="383F5E4A"/>
    <w:rsid w:val="38585164"/>
    <w:rsid w:val="38622194"/>
    <w:rsid w:val="38684F32"/>
    <w:rsid w:val="38797AF3"/>
    <w:rsid w:val="387A7CA5"/>
    <w:rsid w:val="387E3BF1"/>
    <w:rsid w:val="388C198B"/>
    <w:rsid w:val="388E0F50"/>
    <w:rsid w:val="38941E98"/>
    <w:rsid w:val="38983F5E"/>
    <w:rsid w:val="38B5102B"/>
    <w:rsid w:val="38B550E5"/>
    <w:rsid w:val="38BF5204"/>
    <w:rsid w:val="38EC1118"/>
    <w:rsid w:val="38F96580"/>
    <w:rsid w:val="38FD1A72"/>
    <w:rsid w:val="39056352"/>
    <w:rsid w:val="39146718"/>
    <w:rsid w:val="392F5095"/>
    <w:rsid w:val="393E07EC"/>
    <w:rsid w:val="39413193"/>
    <w:rsid w:val="39465433"/>
    <w:rsid w:val="39494EBF"/>
    <w:rsid w:val="395B6912"/>
    <w:rsid w:val="398A61BC"/>
    <w:rsid w:val="399510E7"/>
    <w:rsid w:val="399B683C"/>
    <w:rsid w:val="399D3FE9"/>
    <w:rsid w:val="39AE025A"/>
    <w:rsid w:val="39B51F60"/>
    <w:rsid w:val="39BE3B67"/>
    <w:rsid w:val="39C453A8"/>
    <w:rsid w:val="39E932D4"/>
    <w:rsid w:val="39EA0C0C"/>
    <w:rsid w:val="3A057851"/>
    <w:rsid w:val="3A085064"/>
    <w:rsid w:val="3A09313D"/>
    <w:rsid w:val="3A0B15F1"/>
    <w:rsid w:val="3A144AA0"/>
    <w:rsid w:val="3A150E0A"/>
    <w:rsid w:val="3A193E51"/>
    <w:rsid w:val="3A1C6D85"/>
    <w:rsid w:val="3A351585"/>
    <w:rsid w:val="3A3F6C87"/>
    <w:rsid w:val="3A4F1ACF"/>
    <w:rsid w:val="3A531373"/>
    <w:rsid w:val="3A5B021A"/>
    <w:rsid w:val="3A772970"/>
    <w:rsid w:val="3A7D6D38"/>
    <w:rsid w:val="3A95289D"/>
    <w:rsid w:val="3A9C5487"/>
    <w:rsid w:val="3AB70414"/>
    <w:rsid w:val="3AB971E4"/>
    <w:rsid w:val="3ADF78F0"/>
    <w:rsid w:val="3AE00107"/>
    <w:rsid w:val="3AE428CE"/>
    <w:rsid w:val="3B023CD3"/>
    <w:rsid w:val="3B140F58"/>
    <w:rsid w:val="3B170940"/>
    <w:rsid w:val="3B2A2C19"/>
    <w:rsid w:val="3B376B70"/>
    <w:rsid w:val="3B5414CD"/>
    <w:rsid w:val="3B7A7129"/>
    <w:rsid w:val="3B7D7576"/>
    <w:rsid w:val="3B7F1E8C"/>
    <w:rsid w:val="3B822EBF"/>
    <w:rsid w:val="3B890DAC"/>
    <w:rsid w:val="3B8B3225"/>
    <w:rsid w:val="3BA25DBC"/>
    <w:rsid w:val="3BBE56F9"/>
    <w:rsid w:val="3BC41FE2"/>
    <w:rsid w:val="3BC76E9C"/>
    <w:rsid w:val="3BCB467A"/>
    <w:rsid w:val="3BE90506"/>
    <w:rsid w:val="3BEB6832"/>
    <w:rsid w:val="3BF70379"/>
    <w:rsid w:val="3BF853CD"/>
    <w:rsid w:val="3BFA06DC"/>
    <w:rsid w:val="3C0B1DB1"/>
    <w:rsid w:val="3C195946"/>
    <w:rsid w:val="3C2E5ED4"/>
    <w:rsid w:val="3C36397D"/>
    <w:rsid w:val="3C40766B"/>
    <w:rsid w:val="3C6C3E02"/>
    <w:rsid w:val="3C7B3DE3"/>
    <w:rsid w:val="3C7F621D"/>
    <w:rsid w:val="3C8B47EB"/>
    <w:rsid w:val="3C9D7EF6"/>
    <w:rsid w:val="3CBB6AC9"/>
    <w:rsid w:val="3CBD35C8"/>
    <w:rsid w:val="3CF74540"/>
    <w:rsid w:val="3D1456AE"/>
    <w:rsid w:val="3D145DCC"/>
    <w:rsid w:val="3D1C0002"/>
    <w:rsid w:val="3D267E0F"/>
    <w:rsid w:val="3D2962ED"/>
    <w:rsid w:val="3D2D7B94"/>
    <w:rsid w:val="3D340B81"/>
    <w:rsid w:val="3D4E706F"/>
    <w:rsid w:val="3D8311E9"/>
    <w:rsid w:val="3D842DD3"/>
    <w:rsid w:val="3DA058FA"/>
    <w:rsid w:val="3DAA319C"/>
    <w:rsid w:val="3DBE472F"/>
    <w:rsid w:val="3E036111"/>
    <w:rsid w:val="3E57062A"/>
    <w:rsid w:val="3E5D6B5C"/>
    <w:rsid w:val="3E7E4756"/>
    <w:rsid w:val="3E8106B7"/>
    <w:rsid w:val="3E9A3719"/>
    <w:rsid w:val="3EA75E98"/>
    <w:rsid w:val="3EAD0EFE"/>
    <w:rsid w:val="3EB351B6"/>
    <w:rsid w:val="3EB535ED"/>
    <w:rsid w:val="3EBA0FDD"/>
    <w:rsid w:val="3EC254C0"/>
    <w:rsid w:val="3ED07987"/>
    <w:rsid w:val="3EE33243"/>
    <w:rsid w:val="3EED10F8"/>
    <w:rsid w:val="3EF718D9"/>
    <w:rsid w:val="3EFE25BA"/>
    <w:rsid w:val="3F194D84"/>
    <w:rsid w:val="3F310FA6"/>
    <w:rsid w:val="3F337D20"/>
    <w:rsid w:val="3F3E693A"/>
    <w:rsid w:val="3F506818"/>
    <w:rsid w:val="3F562977"/>
    <w:rsid w:val="3F5E3456"/>
    <w:rsid w:val="3F684E6E"/>
    <w:rsid w:val="3F6A3676"/>
    <w:rsid w:val="3F6C48C8"/>
    <w:rsid w:val="3F6F356B"/>
    <w:rsid w:val="3F725E71"/>
    <w:rsid w:val="3F791C50"/>
    <w:rsid w:val="3F792BF3"/>
    <w:rsid w:val="3F7E1F67"/>
    <w:rsid w:val="3F83420A"/>
    <w:rsid w:val="3F8B6123"/>
    <w:rsid w:val="3F8F7315"/>
    <w:rsid w:val="3F9A203F"/>
    <w:rsid w:val="3FA67005"/>
    <w:rsid w:val="3FAE6184"/>
    <w:rsid w:val="3FBF19DF"/>
    <w:rsid w:val="3FCA0E5E"/>
    <w:rsid w:val="3FD54E0D"/>
    <w:rsid w:val="3FE36C1C"/>
    <w:rsid w:val="3FE72AEA"/>
    <w:rsid w:val="3FEB19D5"/>
    <w:rsid w:val="401355F1"/>
    <w:rsid w:val="401F7E73"/>
    <w:rsid w:val="403B55F7"/>
    <w:rsid w:val="403D5505"/>
    <w:rsid w:val="404C5FC4"/>
    <w:rsid w:val="40632B44"/>
    <w:rsid w:val="408853C4"/>
    <w:rsid w:val="408A7D1B"/>
    <w:rsid w:val="409524B8"/>
    <w:rsid w:val="40AD1BF3"/>
    <w:rsid w:val="40BB0E78"/>
    <w:rsid w:val="40C92D39"/>
    <w:rsid w:val="40D75E60"/>
    <w:rsid w:val="40F2437B"/>
    <w:rsid w:val="40F77DF2"/>
    <w:rsid w:val="40FA5B69"/>
    <w:rsid w:val="40FD48E0"/>
    <w:rsid w:val="40FE1BCF"/>
    <w:rsid w:val="40FE520F"/>
    <w:rsid w:val="41404FB2"/>
    <w:rsid w:val="414562FD"/>
    <w:rsid w:val="414C3B30"/>
    <w:rsid w:val="41563B9A"/>
    <w:rsid w:val="41577DB4"/>
    <w:rsid w:val="41731331"/>
    <w:rsid w:val="417439FA"/>
    <w:rsid w:val="41774A34"/>
    <w:rsid w:val="418579D7"/>
    <w:rsid w:val="418C6B85"/>
    <w:rsid w:val="419D72A2"/>
    <w:rsid w:val="41A0236E"/>
    <w:rsid w:val="41A96728"/>
    <w:rsid w:val="41AB6899"/>
    <w:rsid w:val="41C43D45"/>
    <w:rsid w:val="41F11825"/>
    <w:rsid w:val="41F95353"/>
    <w:rsid w:val="42076836"/>
    <w:rsid w:val="420F1D94"/>
    <w:rsid w:val="42152369"/>
    <w:rsid w:val="42371B30"/>
    <w:rsid w:val="423B1FA8"/>
    <w:rsid w:val="423F5B85"/>
    <w:rsid w:val="42441524"/>
    <w:rsid w:val="424C2762"/>
    <w:rsid w:val="424E4424"/>
    <w:rsid w:val="4257169C"/>
    <w:rsid w:val="42615F1A"/>
    <w:rsid w:val="42701C3C"/>
    <w:rsid w:val="429325D1"/>
    <w:rsid w:val="429B53DF"/>
    <w:rsid w:val="429E3CF8"/>
    <w:rsid w:val="42A27DE9"/>
    <w:rsid w:val="42BC7452"/>
    <w:rsid w:val="42C17EF1"/>
    <w:rsid w:val="42D12138"/>
    <w:rsid w:val="42E245F7"/>
    <w:rsid w:val="42E7080C"/>
    <w:rsid w:val="42F7079D"/>
    <w:rsid w:val="430D4AC0"/>
    <w:rsid w:val="431E047F"/>
    <w:rsid w:val="431E65EF"/>
    <w:rsid w:val="434D5253"/>
    <w:rsid w:val="43522956"/>
    <w:rsid w:val="43587534"/>
    <w:rsid w:val="43624EAD"/>
    <w:rsid w:val="437750CA"/>
    <w:rsid w:val="438D45B9"/>
    <w:rsid w:val="43986BA3"/>
    <w:rsid w:val="43AB2F4E"/>
    <w:rsid w:val="43AC3F44"/>
    <w:rsid w:val="43AD69C3"/>
    <w:rsid w:val="43B1210D"/>
    <w:rsid w:val="43B53381"/>
    <w:rsid w:val="43DE77F3"/>
    <w:rsid w:val="43EF7EFB"/>
    <w:rsid w:val="43FA2050"/>
    <w:rsid w:val="4400649E"/>
    <w:rsid w:val="440817AA"/>
    <w:rsid w:val="441910A9"/>
    <w:rsid w:val="441C5DE5"/>
    <w:rsid w:val="442B61FE"/>
    <w:rsid w:val="443470AD"/>
    <w:rsid w:val="44500782"/>
    <w:rsid w:val="44513CAD"/>
    <w:rsid w:val="446871A0"/>
    <w:rsid w:val="4478624B"/>
    <w:rsid w:val="447D332F"/>
    <w:rsid w:val="447F2089"/>
    <w:rsid w:val="449064E2"/>
    <w:rsid w:val="4493367B"/>
    <w:rsid w:val="44961F17"/>
    <w:rsid w:val="44AB74B4"/>
    <w:rsid w:val="44B175D3"/>
    <w:rsid w:val="44BB301C"/>
    <w:rsid w:val="44BD0299"/>
    <w:rsid w:val="44C610CC"/>
    <w:rsid w:val="44CD4343"/>
    <w:rsid w:val="44F22B6C"/>
    <w:rsid w:val="450A3185"/>
    <w:rsid w:val="450E61CB"/>
    <w:rsid w:val="451037D6"/>
    <w:rsid w:val="45135095"/>
    <w:rsid w:val="45271EA6"/>
    <w:rsid w:val="452905F3"/>
    <w:rsid w:val="45582FC6"/>
    <w:rsid w:val="4568103F"/>
    <w:rsid w:val="45801D53"/>
    <w:rsid w:val="45902AB2"/>
    <w:rsid w:val="45944BB7"/>
    <w:rsid w:val="45953C03"/>
    <w:rsid w:val="459C546E"/>
    <w:rsid w:val="459D198D"/>
    <w:rsid w:val="45AC11E9"/>
    <w:rsid w:val="45AE2DF6"/>
    <w:rsid w:val="45B0461E"/>
    <w:rsid w:val="45CE07A3"/>
    <w:rsid w:val="45F459D1"/>
    <w:rsid w:val="46052F0A"/>
    <w:rsid w:val="460C379B"/>
    <w:rsid w:val="461E6C6F"/>
    <w:rsid w:val="46283C32"/>
    <w:rsid w:val="462B2635"/>
    <w:rsid w:val="46386683"/>
    <w:rsid w:val="46416ED7"/>
    <w:rsid w:val="464A3711"/>
    <w:rsid w:val="465E15A0"/>
    <w:rsid w:val="465F2875"/>
    <w:rsid w:val="466205C8"/>
    <w:rsid w:val="466B4F4C"/>
    <w:rsid w:val="468D4581"/>
    <w:rsid w:val="469246C4"/>
    <w:rsid w:val="46977D08"/>
    <w:rsid w:val="46AF3AB5"/>
    <w:rsid w:val="46CC341D"/>
    <w:rsid w:val="46D0435E"/>
    <w:rsid w:val="46DF27A9"/>
    <w:rsid w:val="46E25CA4"/>
    <w:rsid w:val="46E37251"/>
    <w:rsid w:val="46E51915"/>
    <w:rsid w:val="46F40267"/>
    <w:rsid w:val="47017932"/>
    <w:rsid w:val="471D159A"/>
    <w:rsid w:val="47294A71"/>
    <w:rsid w:val="472F28D5"/>
    <w:rsid w:val="474C71DB"/>
    <w:rsid w:val="475662DB"/>
    <w:rsid w:val="476A0179"/>
    <w:rsid w:val="47742BAA"/>
    <w:rsid w:val="47744160"/>
    <w:rsid w:val="47756FD4"/>
    <w:rsid w:val="477E0592"/>
    <w:rsid w:val="47840095"/>
    <w:rsid w:val="4787764A"/>
    <w:rsid w:val="479B7297"/>
    <w:rsid w:val="479F0B90"/>
    <w:rsid w:val="47A16407"/>
    <w:rsid w:val="47A214C1"/>
    <w:rsid w:val="47D626EF"/>
    <w:rsid w:val="47DE0285"/>
    <w:rsid w:val="47EB4702"/>
    <w:rsid w:val="47F3460E"/>
    <w:rsid w:val="47F77566"/>
    <w:rsid w:val="47F94BE6"/>
    <w:rsid w:val="48072382"/>
    <w:rsid w:val="4812405E"/>
    <w:rsid w:val="481A3D49"/>
    <w:rsid w:val="481C1F20"/>
    <w:rsid w:val="48220E04"/>
    <w:rsid w:val="48225672"/>
    <w:rsid w:val="482454C6"/>
    <w:rsid w:val="48297C86"/>
    <w:rsid w:val="48370969"/>
    <w:rsid w:val="4844625B"/>
    <w:rsid w:val="485143AA"/>
    <w:rsid w:val="485B09B0"/>
    <w:rsid w:val="486B4E85"/>
    <w:rsid w:val="48777BC7"/>
    <w:rsid w:val="48801F0A"/>
    <w:rsid w:val="48836B5B"/>
    <w:rsid w:val="488C6B30"/>
    <w:rsid w:val="48913C4F"/>
    <w:rsid w:val="489757F5"/>
    <w:rsid w:val="489C3512"/>
    <w:rsid w:val="489C7EA5"/>
    <w:rsid w:val="48A12154"/>
    <w:rsid w:val="48AB069F"/>
    <w:rsid w:val="48AE7FD9"/>
    <w:rsid w:val="48AF592F"/>
    <w:rsid w:val="48DB5184"/>
    <w:rsid w:val="48DC4BB3"/>
    <w:rsid w:val="48F11175"/>
    <w:rsid w:val="48F66C32"/>
    <w:rsid w:val="48FC5916"/>
    <w:rsid w:val="49035E3C"/>
    <w:rsid w:val="490D6ED6"/>
    <w:rsid w:val="49161A6F"/>
    <w:rsid w:val="491B567A"/>
    <w:rsid w:val="492819DC"/>
    <w:rsid w:val="49336FEA"/>
    <w:rsid w:val="493E22D0"/>
    <w:rsid w:val="49415896"/>
    <w:rsid w:val="4953162D"/>
    <w:rsid w:val="495C3D14"/>
    <w:rsid w:val="49667678"/>
    <w:rsid w:val="496A4A80"/>
    <w:rsid w:val="497C5511"/>
    <w:rsid w:val="49834627"/>
    <w:rsid w:val="49865EC1"/>
    <w:rsid w:val="498E2725"/>
    <w:rsid w:val="499C6D01"/>
    <w:rsid w:val="49A3132A"/>
    <w:rsid w:val="49B57C0C"/>
    <w:rsid w:val="49B65DC9"/>
    <w:rsid w:val="49C828D8"/>
    <w:rsid w:val="49CB631F"/>
    <w:rsid w:val="49D94123"/>
    <w:rsid w:val="49E82B6B"/>
    <w:rsid w:val="49E970EA"/>
    <w:rsid w:val="49EE0415"/>
    <w:rsid w:val="49F14E3D"/>
    <w:rsid w:val="4A0416CB"/>
    <w:rsid w:val="4A0805D0"/>
    <w:rsid w:val="4A1858D7"/>
    <w:rsid w:val="4A206BD6"/>
    <w:rsid w:val="4A26545B"/>
    <w:rsid w:val="4A28292A"/>
    <w:rsid w:val="4A342C91"/>
    <w:rsid w:val="4A3E1268"/>
    <w:rsid w:val="4A4F017D"/>
    <w:rsid w:val="4A560AA6"/>
    <w:rsid w:val="4A5611CB"/>
    <w:rsid w:val="4A631F60"/>
    <w:rsid w:val="4A7B659D"/>
    <w:rsid w:val="4A8F76FA"/>
    <w:rsid w:val="4A9564CC"/>
    <w:rsid w:val="4AA81313"/>
    <w:rsid w:val="4AD018B4"/>
    <w:rsid w:val="4AD122F6"/>
    <w:rsid w:val="4AF14F1D"/>
    <w:rsid w:val="4AFB6678"/>
    <w:rsid w:val="4B0220D8"/>
    <w:rsid w:val="4B064135"/>
    <w:rsid w:val="4B12483C"/>
    <w:rsid w:val="4B281AD9"/>
    <w:rsid w:val="4B286964"/>
    <w:rsid w:val="4B2C0C89"/>
    <w:rsid w:val="4B462533"/>
    <w:rsid w:val="4B497516"/>
    <w:rsid w:val="4B556995"/>
    <w:rsid w:val="4B5F395F"/>
    <w:rsid w:val="4B887ABD"/>
    <w:rsid w:val="4B927D05"/>
    <w:rsid w:val="4BA71700"/>
    <w:rsid w:val="4BC40127"/>
    <w:rsid w:val="4BC72223"/>
    <w:rsid w:val="4BCF7C38"/>
    <w:rsid w:val="4BD1718E"/>
    <w:rsid w:val="4BD95ACE"/>
    <w:rsid w:val="4BE0639F"/>
    <w:rsid w:val="4BF7592C"/>
    <w:rsid w:val="4C000F41"/>
    <w:rsid w:val="4C1E38AF"/>
    <w:rsid w:val="4C1F09E8"/>
    <w:rsid w:val="4C1F21DA"/>
    <w:rsid w:val="4C6A4F05"/>
    <w:rsid w:val="4C6B7BE3"/>
    <w:rsid w:val="4C771D65"/>
    <w:rsid w:val="4C783020"/>
    <w:rsid w:val="4C7C1676"/>
    <w:rsid w:val="4C8756C7"/>
    <w:rsid w:val="4C9743B6"/>
    <w:rsid w:val="4CB53466"/>
    <w:rsid w:val="4CCE136C"/>
    <w:rsid w:val="4CD104DB"/>
    <w:rsid w:val="4CDE0FCC"/>
    <w:rsid w:val="4CE17735"/>
    <w:rsid w:val="4CE87775"/>
    <w:rsid w:val="4CEE4DA0"/>
    <w:rsid w:val="4CFA5EBA"/>
    <w:rsid w:val="4D0A000D"/>
    <w:rsid w:val="4D0B09F5"/>
    <w:rsid w:val="4D130A36"/>
    <w:rsid w:val="4D243AE6"/>
    <w:rsid w:val="4D2D275A"/>
    <w:rsid w:val="4D362180"/>
    <w:rsid w:val="4D3946E2"/>
    <w:rsid w:val="4D3C4079"/>
    <w:rsid w:val="4D4152D2"/>
    <w:rsid w:val="4D420722"/>
    <w:rsid w:val="4D430E37"/>
    <w:rsid w:val="4D4D696A"/>
    <w:rsid w:val="4D5D2973"/>
    <w:rsid w:val="4D670A85"/>
    <w:rsid w:val="4D743D70"/>
    <w:rsid w:val="4D806473"/>
    <w:rsid w:val="4D811D44"/>
    <w:rsid w:val="4DA27E03"/>
    <w:rsid w:val="4DA368E1"/>
    <w:rsid w:val="4DB87F6B"/>
    <w:rsid w:val="4DC049C0"/>
    <w:rsid w:val="4DE22211"/>
    <w:rsid w:val="4DF00D41"/>
    <w:rsid w:val="4DF85FC0"/>
    <w:rsid w:val="4E001052"/>
    <w:rsid w:val="4E0526D5"/>
    <w:rsid w:val="4E24005A"/>
    <w:rsid w:val="4E2B135E"/>
    <w:rsid w:val="4E3F2EE6"/>
    <w:rsid w:val="4E457068"/>
    <w:rsid w:val="4E4E4B6D"/>
    <w:rsid w:val="4E613584"/>
    <w:rsid w:val="4E625DA3"/>
    <w:rsid w:val="4E660514"/>
    <w:rsid w:val="4E660F14"/>
    <w:rsid w:val="4E7B029B"/>
    <w:rsid w:val="4E913C47"/>
    <w:rsid w:val="4E94139D"/>
    <w:rsid w:val="4ED36E10"/>
    <w:rsid w:val="4ED61833"/>
    <w:rsid w:val="4EDA18B9"/>
    <w:rsid w:val="4EE40835"/>
    <w:rsid w:val="4EEA1FB8"/>
    <w:rsid w:val="4EF54D54"/>
    <w:rsid w:val="4EF56198"/>
    <w:rsid w:val="4F1214F9"/>
    <w:rsid w:val="4F132042"/>
    <w:rsid w:val="4F1A154B"/>
    <w:rsid w:val="4F1E0751"/>
    <w:rsid w:val="4F37236C"/>
    <w:rsid w:val="4F3A252F"/>
    <w:rsid w:val="4F400F3C"/>
    <w:rsid w:val="4F4E4AE7"/>
    <w:rsid w:val="4F557BEB"/>
    <w:rsid w:val="4F573543"/>
    <w:rsid w:val="4F896C26"/>
    <w:rsid w:val="4F9A571B"/>
    <w:rsid w:val="4FA24E56"/>
    <w:rsid w:val="4FA613D6"/>
    <w:rsid w:val="4FAE4B93"/>
    <w:rsid w:val="4FAE61F9"/>
    <w:rsid w:val="4FB43984"/>
    <w:rsid w:val="4FB80520"/>
    <w:rsid w:val="4FC722D3"/>
    <w:rsid w:val="4FCA16BF"/>
    <w:rsid w:val="4FCE557D"/>
    <w:rsid w:val="4FCF67B8"/>
    <w:rsid w:val="4FDC17CC"/>
    <w:rsid w:val="4FFE7F33"/>
    <w:rsid w:val="500E331C"/>
    <w:rsid w:val="500F7F8E"/>
    <w:rsid w:val="5010363B"/>
    <w:rsid w:val="501802EF"/>
    <w:rsid w:val="50194273"/>
    <w:rsid w:val="501A6EB3"/>
    <w:rsid w:val="501C4E89"/>
    <w:rsid w:val="50520469"/>
    <w:rsid w:val="505B2E9A"/>
    <w:rsid w:val="50705EA7"/>
    <w:rsid w:val="50862745"/>
    <w:rsid w:val="508A0BD0"/>
    <w:rsid w:val="508E4B33"/>
    <w:rsid w:val="50937056"/>
    <w:rsid w:val="5095341E"/>
    <w:rsid w:val="50B12B89"/>
    <w:rsid w:val="50CD3EC4"/>
    <w:rsid w:val="50DD3BA3"/>
    <w:rsid w:val="50E1033D"/>
    <w:rsid w:val="50E4579A"/>
    <w:rsid w:val="50E61CAB"/>
    <w:rsid w:val="50E63EB7"/>
    <w:rsid w:val="50EE7DC2"/>
    <w:rsid w:val="510F21A6"/>
    <w:rsid w:val="51155287"/>
    <w:rsid w:val="51251682"/>
    <w:rsid w:val="514136A1"/>
    <w:rsid w:val="514A112D"/>
    <w:rsid w:val="514A20B0"/>
    <w:rsid w:val="515463AA"/>
    <w:rsid w:val="51667BBF"/>
    <w:rsid w:val="517D1FD1"/>
    <w:rsid w:val="51820F0A"/>
    <w:rsid w:val="519E5590"/>
    <w:rsid w:val="51A84919"/>
    <w:rsid w:val="51B00924"/>
    <w:rsid w:val="51BB7F61"/>
    <w:rsid w:val="51C55B60"/>
    <w:rsid w:val="51C720FB"/>
    <w:rsid w:val="51D2101C"/>
    <w:rsid w:val="51E441B2"/>
    <w:rsid w:val="51E44599"/>
    <w:rsid w:val="51E878B5"/>
    <w:rsid w:val="51EC2023"/>
    <w:rsid w:val="51EE3F4A"/>
    <w:rsid w:val="52144147"/>
    <w:rsid w:val="52144845"/>
    <w:rsid w:val="522B4481"/>
    <w:rsid w:val="523F3431"/>
    <w:rsid w:val="52433E33"/>
    <w:rsid w:val="52461D9B"/>
    <w:rsid w:val="524D35D0"/>
    <w:rsid w:val="52556F68"/>
    <w:rsid w:val="526131D0"/>
    <w:rsid w:val="526812FC"/>
    <w:rsid w:val="526C4548"/>
    <w:rsid w:val="526E619E"/>
    <w:rsid w:val="526F093D"/>
    <w:rsid w:val="527A0BC1"/>
    <w:rsid w:val="528E5F94"/>
    <w:rsid w:val="52A52066"/>
    <w:rsid w:val="52B73817"/>
    <w:rsid w:val="52BA495F"/>
    <w:rsid w:val="52C36142"/>
    <w:rsid w:val="52EA381C"/>
    <w:rsid w:val="53014F84"/>
    <w:rsid w:val="53081FE2"/>
    <w:rsid w:val="531D6890"/>
    <w:rsid w:val="534430D9"/>
    <w:rsid w:val="53572BD9"/>
    <w:rsid w:val="53593A5B"/>
    <w:rsid w:val="53757657"/>
    <w:rsid w:val="53836E13"/>
    <w:rsid w:val="538428B8"/>
    <w:rsid w:val="5387598C"/>
    <w:rsid w:val="538E4F1A"/>
    <w:rsid w:val="53916CF6"/>
    <w:rsid w:val="539454C6"/>
    <w:rsid w:val="5399393C"/>
    <w:rsid w:val="53BC34C4"/>
    <w:rsid w:val="53C623BB"/>
    <w:rsid w:val="53C643EA"/>
    <w:rsid w:val="53CE29B7"/>
    <w:rsid w:val="53FC4A74"/>
    <w:rsid w:val="5423339D"/>
    <w:rsid w:val="543B2335"/>
    <w:rsid w:val="54451376"/>
    <w:rsid w:val="545B0024"/>
    <w:rsid w:val="54623CCF"/>
    <w:rsid w:val="54783F91"/>
    <w:rsid w:val="54C52C01"/>
    <w:rsid w:val="54CD1A68"/>
    <w:rsid w:val="54D8799A"/>
    <w:rsid w:val="54DE257B"/>
    <w:rsid w:val="54E62706"/>
    <w:rsid w:val="54E72FCA"/>
    <w:rsid w:val="551809B1"/>
    <w:rsid w:val="551B052F"/>
    <w:rsid w:val="551E48E9"/>
    <w:rsid w:val="551F503D"/>
    <w:rsid w:val="552E7B6C"/>
    <w:rsid w:val="55356F21"/>
    <w:rsid w:val="553979F6"/>
    <w:rsid w:val="553B1566"/>
    <w:rsid w:val="553D5A1E"/>
    <w:rsid w:val="554E66B4"/>
    <w:rsid w:val="55623019"/>
    <w:rsid w:val="556D4F91"/>
    <w:rsid w:val="559508F1"/>
    <w:rsid w:val="55A0704C"/>
    <w:rsid w:val="55AB2210"/>
    <w:rsid w:val="55B50C7A"/>
    <w:rsid w:val="55B73613"/>
    <w:rsid w:val="55CD2AA4"/>
    <w:rsid w:val="55CD5B20"/>
    <w:rsid w:val="55D3191A"/>
    <w:rsid w:val="55DD38ED"/>
    <w:rsid w:val="55E33C19"/>
    <w:rsid w:val="55E3492A"/>
    <w:rsid w:val="55E3696D"/>
    <w:rsid w:val="55E6363C"/>
    <w:rsid w:val="55E63D84"/>
    <w:rsid w:val="55FB5288"/>
    <w:rsid w:val="560F5295"/>
    <w:rsid w:val="56110975"/>
    <w:rsid w:val="561F19CA"/>
    <w:rsid w:val="56536DD0"/>
    <w:rsid w:val="566A0209"/>
    <w:rsid w:val="568950D8"/>
    <w:rsid w:val="56A16CF1"/>
    <w:rsid w:val="56B66541"/>
    <w:rsid w:val="56C1405F"/>
    <w:rsid w:val="56C569E8"/>
    <w:rsid w:val="56C640F4"/>
    <w:rsid w:val="56EA1F97"/>
    <w:rsid w:val="56ED219A"/>
    <w:rsid w:val="57115A76"/>
    <w:rsid w:val="57356CE5"/>
    <w:rsid w:val="57400691"/>
    <w:rsid w:val="57477A7D"/>
    <w:rsid w:val="574C5991"/>
    <w:rsid w:val="575E0275"/>
    <w:rsid w:val="576006A1"/>
    <w:rsid w:val="57685E63"/>
    <w:rsid w:val="576E359C"/>
    <w:rsid w:val="57761A73"/>
    <w:rsid w:val="57803A91"/>
    <w:rsid w:val="578F63E0"/>
    <w:rsid w:val="57927C06"/>
    <w:rsid w:val="57974CC5"/>
    <w:rsid w:val="57AA5D1A"/>
    <w:rsid w:val="57AE5201"/>
    <w:rsid w:val="57B717AF"/>
    <w:rsid w:val="57B819BF"/>
    <w:rsid w:val="57BD44DE"/>
    <w:rsid w:val="57C06BFC"/>
    <w:rsid w:val="57D0016E"/>
    <w:rsid w:val="57D4015E"/>
    <w:rsid w:val="57D46CDD"/>
    <w:rsid w:val="57DD461C"/>
    <w:rsid w:val="57DE15F7"/>
    <w:rsid w:val="57F052A5"/>
    <w:rsid w:val="57F56DA8"/>
    <w:rsid w:val="580303F9"/>
    <w:rsid w:val="580F5DBC"/>
    <w:rsid w:val="5821277A"/>
    <w:rsid w:val="58372026"/>
    <w:rsid w:val="584308BA"/>
    <w:rsid w:val="58443427"/>
    <w:rsid w:val="584809DA"/>
    <w:rsid w:val="58661A3C"/>
    <w:rsid w:val="5873048C"/>
    <w:rsid w:val="587316C8"/>
    <w:rsid w:val="587C08A9"/>
    <w:rsid w:val="58866526"/>
    <w:rsid w:val="58893208"/>
    <w:rsid w:val="588A1881"/>
    <w:rsid w:val="588C3DE2"/>
    <w:rsid w:val="589528F0"/>
    <w:rsid w:val="58952B75"/>
    <w:rsid w:val="589923E8"/>
    <w:rsid w:val="58A45CFE"/>
    <w:rsid w:val="58BA5560"/>
    <w:rsid w:val="58C96DF4"/>
    <w:rsid w:val="58D3199A"/>
    <w:rsid w:val="58D61F7F"/>
    <w:rsid w:val="58DA5821"/>
    <w:rsid w:val="58E146E6"/>
    <w:rsid w:val="59043E08"/>
    <w:rsid w:val="5907787E"/>
    <w:rsid w:val="5934326C"/>
    <w:rsid w:val="59471B28"/>
    <w:rsid w:val="596E7E91"/>
    <w:rsid w:val="59763E82"/>
    <w:rsid w:val="597F5245"/>
    <w:rsid w:val="598A3666"/>
    <w:rsid w:val="59944246"/>
    <w:rsid w:val="59A63822"/>
    <w:rsid w:val="59A75255"/>
    <w:rsid w:val="59B8355B"/>
    <w:rsid w:val="59BB5D62"/>
    <w:rsid w:val="59C06FEB"/>
    <w:rsid w:val="59FE08FA"/>
    <w:rsid w:val="5A21472A"/>
    <w:rsid w:val="5A257E94"/>
    <w:rsid w:val="5A2A02BF"/>
    <w:rsid w:val="5A414E16"/>
    <w:rsid w:val="5A5106AE"/>
    <w:rsid w:val="5A60741A"/>
    <w:rsid w:val="5A662BAF"/>
    <w:rsid w:val="5A76692B"/>
    <w:rsid w:val="5A7A608F"/>
    <w:rsid w:val="5A7D609B"/>
    <w:rsid w:val="5A976E36"/>
    <w:rsid w:val="5A9D694A"/>
    <w:rsid w:val="5AA2358A"/>
    <w:rsid w:val="5AA24080"/>
    <w:rsid w:val="5AA37E62"/>
    <w:rsid w:val="5AA44C60"/>
    <w:rsid w:val="5AA601F5"/>
    <w:rsid w:val="5AAD1EF8"/>
    <w:rsid w:val="5AAE7390"/>
    <w:rsid w:val="5ACF7403"/>
    <w:rsid w:val="5AD6399F"/>
    <w:rsid w:val="5AE15172"/>
    <w:rsid w:val="5AF4226E"/>
    <w:rsid w:val="5AFA3B73"/>
    <w:rsid w:val="5B0C7C1E"/>
    <w:rsid w:val="5B365C08"/>
    <w:rsid w:val="5B46719F"/>
    <w:rsid w:val="5B507976"/>
    <w:rsid w:val="5B552B63"/>
    <w:rsid w:val="5B56288F"/>
    <w:rsid w:val="5B60313C"/>
    <w:rsid w:val="5B705B09"/>
    <w:rsid w:val="5B9331F3"/>
    <w:rsid w:val="5B955728"/>
    <w:rsid w:val="5B983712"/>
    <w:rsid w:val="5B997CCC"/>
    <w:rsid w:val="5B9B32D4"/>
    <w:rsid w:val="5B9D7438"/>
    <w:rsid w:val="5BA42A14"/>
    <w:rsid w:val="5BBB5D43"/>
    <w:rsid w:val="5BC52ADE"/>
    <w:rsid w:val="5BC76050"/>
    <w:rsid w:val="5BE771A8"/>
    <w:rsid w:val="5BE96A33"/>
    <w:rsid w:val="5BF9199B"/>
    <w:rsid w:val="5C2C0A44"/>
    <w:rsid w:val="5C2F595C"/>
    <w:rsid w:val="5C5A7EBD"/>
    <w:rsid w:val="5C60141A"/>
    <w:rsid w:val="5C691962"/>
    <w:rsid w:val="5C8B7FD2"/>
    <w:rsid w:val="5C8D4642"/>
    <w:rsid w:val="5CA70BEA"/>
    <w:rsid w:val="5CB8171E"/>
    <w:rsid w:val="5CC86F05"/>
    <w:rsid w:val="5CD44902"/>
    <w:rsid w:val="5CD56E5C"/>
    <w:rsid w:val="5CF86ACE"/>
    <w:rsid w:val="5CFA70E0"/>
    <w:rsid w:val="5CFF3634"/>
    <w:rsid w:val="5D0B0214"/>
    <w:rsid w:val="5D1A0A42"/>
    <w:rsid w:val="5D282771"/>
    <w:rsid w:val="5D3A4C89"/>
    <w:rsid w:val="5D3E5308"/>
    <w:rsid w:val="5D42151C"/>
    <w:rsid w:val="5D4F1710"/>
    <w:rsid w:val="5D545987"/>
    <w:rsid w:val="5D5D43F4"/>
    <w:rsid w:val="5D71045F"/>
    <w:rsid w:val="5D98793E"/>
    <w:rsid w:val="5D9A4060"/>
    <w:rsid w:val="5DA5598B"/>
    <w:rsid w:val="5DA8441F"/>
    <w:rsid w:val="5DAA5F5E"/>
    <w:rsid w:val="5DAB19D1"/>
    <w:rsid w:val="5DB24C93"/>
    <w:rsid w:val="5DBE340A"/>
    <w:rsid w:val="5DCB6665"/>
    <w:rsid w:val="5DD263B9"/>
    <w:rsid w:val="5DE4072B"/>
    <w:rsid w:val="5DE41D76"/>
    <w:rsid w:val="5DE555FC"/>
    <w:rsid w:val="5DF27C61"/>
    <w:rsid w:val="5E283663"/>
    <w:rsid w:val="5E4A015A"/>
    <w:rsid w:val="5E617327"/>
    <w:rsid w:val="5E6F1092"/>
    <w:rsid w:val="5E6F3043"/>
    <w:rsid w:val="5E731DE8"/>
    <w:rsid w:val="5E74275A"/>
    <w:rsid w:val="5E772D56"/>
    <w:rsid w:val="5E843AB7"/>
    <w:rsid w:val="5E981F2F"/>
    <w:rsid w:val="5E9A1FB9"/>
    <w:rsid w:val="5EA06192"/>
    <w:rsid w:val="5EA5667F"/>
    <w:rsid w:val="5EB7165F"/>
    <w:rsid w:val="5EDA2E6C"/>
    <w:rsid w:val="5EDF49B6"/>
    <w:rsid w:val="5EE659E4"/>
    <w:rsid w:val="5EF029BA"/>
    <w:rsid w:val="5EF2401E"/>
    <w:rsid w:val="5EF37A12"/>
    <w:rsid w:val="5F19063B"/>
    <w:rsid w:val="5F293296"/>
    <w:rsid w:val="5F2A58BF"/>
    <w:rsid w:val="5F2D2E3D"/>
    <w:rsid w:val="5F2E40E8"/>
    <w:rsid w:val="5F347D63"/>
    <w:rsid w:val="5F3F28CF"/>
    <w:rsid w:val="5F4D6034"/>
    <w:rsid w:val="5F4E345C"/>
    <w:rsid w:val="5F89443B"/>
    <w:rsid w:val="5FA93C6E"/>
    <w:rsid w:val="5FBE3FE5"/>
    <w:rsid w:val="5FC03792"/>
    <w:rsid w:val="5FC939D5"/>
    <w:rsid w:val="5FDA399F"/>
    <w:rsid w:val="5FF22D36"/>
    <w:rsid w:val="5FFA79ED"/>
    <w:rsid w:val="60075E39"/>
    <w:rsid w:val="600D0AF4"/>
    <w:rsid w:val="601F0FF5"/>
    <w:rsid w:val="60230835"/>
    <w:rsid w:val="60273573"/>
    <w:rsid w:val="60276DC2"/>
    <w:rsid w:val="602775AC"/>
    <w:rsid w:val="602A54A3"/>
    <w:rsid w:val="60310C67"/>
    <w:rsid w:val="603610A0"/>
    <w:rsid w:val="60370997"/>
    <w:rsid w:val="60486589"/>
    <w:rsid w:val="604F40FC"/>
    <w:rsid w:val="605A259A"/>
    <w:rsid w:val="606C3C92"/>
    <w:rsid w:val="606D0EF6"/>
    <w:rsid w:val="60A23B57"/>
    <w:rsid w:val="60B22ED1"/>
    <w:rsid w:val="60BE264F"/>
    <w:rsid w:val="60CE6353"/>
    <w:rsid w:val="60D06270"/>
    <w:rsid w:val="60EA7F29"/>
    <w:rsid w:val="61013040"/>
    <w:rsid w:val="611128E5"/>
    <w:rsid w:val="611C35B8"/>
    <w:rsid w:val="61315EF6"/>
    <w:rsid w:val="613A0A49"/>
    <w:rsid w:val="61455C27"/>
    <w:rsid w:val="614E56CB"/>
    <w:rsid w:val="615440FF"/>
    <w:rsid w:val="615D1386"/>
    <w:rsid w:val="61680916"/>
    <w:rsid w:val="616E368F"/>
    <w:rsid w:val="6180288A"/>
    <w:rsid w:val="6184566A"/>
    <w:rsid w:val="619012C2"/>
    <w:rsid w:val="619439E6"/>
    <w:rsid w:val="61AE7556"/>
    <w:rsid w:val="61D41854"/>
    <w:rsid w:val="61E3363C"/>
    <w:rsid w:val="61F545E2"/>
    <w:rsid w:val="620F5D18"/>
    <w:rsid w:val="62282B27"/>
    <w:rsid w:val="623743B3"/>
    <w:rsid w:val="623E7108"/>
    <w:rsid w:val="625A6442"/>
    <w:rsid w:val="62606254"/>
    <w:rsid w:val="626A1CE1"/>
    <w:rsid w:val="626A5794"/>
    <w:rsid w:val="626C134E"/>
    <w:rsid w:val="629E0E3A"/>
    <w:rsid w:val="62A3229B"/>
    <w:rsid w:val="62A45588"/>
    <w:rsid w:val="62A57C35"/>
    <w:rsid w:val="62B952CA"/>
    <w:rsid w:val="62D25E1E"/>
    <w:rsid w:val="62D73639"/>
    <w:rsid w:val="62DC6F4D"/>
    <w:rsid w:val="62E07553"/>
    <w:rsid w:val="63014F40"/>
    <w:rsid w:val="63081C9E"/>
    <w:rsid w:val="631D5F05"/>
    <w:rsid w:val="631F7422"/>
    <w:rsid w:val="63240299"/>
    <w:rsid w:val="6326273A"/>
    <w:rsid w:val="63344B2D"/>
    <w:rsid w:val="63421845"/>
    <w:rsid w:val="634A387E"/>
    <w:rsid w:val="63535BF1"/>
    <w:rsid w:val="635617B1"/>
    <w:rsid w:val="6361478E"/>
    <w:rsid w:val="636E52EB"/>
    <w:rsid w:val="638B4892"/>
    <w:rsid w:val="639279AF"/>
    <w:rsid w:val="63944825"/>
    <w:rsid w:val="63A641B1"/>
    <w:rsid w:val="63AB2643"/>
    <w:rsid w:val="63CC6949"/>
    <w:rsid w:val="63D762DC"/>
    <w:rsid w:val="63EC2A57"/>
    <w:rsid w:val="63FF7A55"/>
    <w:rsid w:val="64093D93"/>
    <w:rsid w:val="640E22EE"/>
    <w:rsid w:val="641222ED"/>
    <w:rsid w:val="64145C70"/>
    <w:rsid w:val="64156B80"/>
    <w:rsid w:val="641E6251"/>
    <w:rsid w:val="642B5582"/>
    <w:rsid w:val="642F3826"/>
    <w:rsid w:val="643B040A"/>
    <w:rsid w:val="64454C71"/>
    <w:rsid w:val="645B5ED7"/>
    <w:rsid w:val="645D1336"/>
    <w:rsid w:val="64643953"/>
    <w:rsid w:val="646D3B79"/>
    <w:rsid w:val="646E2543"/>
    <w:rsid w:val="647675CC"/>
    <w:rsid w:val="648D2F3C"/>
    <w:rsid w:val="649122E0"/>
    <w:rsid w:val="6491381F"/>
    <w:rsid w:val="64A81887"/>
    <w:rsid w:val="64AC1C1C"/>
    <w:rsid w:val="64B36FE8"/>
    <w:rsid w:val="64B41E7A"/>
    <w:rsid w:val="64B77EFF"/>
    <w:rsid w:val="64BB209D"/>
    <w:rsid w:val="64FB2F8F"/>
    <w:rsid w:val="650174ED"/>
    <w:rsid w:val="65077676"/>
    <w:rsid w:val="651722E7"/>
    <w:rsid w:val="65347231"/>
    <w:rsid w:val="653960D7"/>
    <w:rsid w:val="65740427"/>
    <w:rsid w:val="6577651D"/>
    <w:rsid w:val="658C66C4"/>
    <w:rsid w:val="65A05658"/>
    <w:rsid w:val="65AC2EFD"/>
    <w:rsid w:val="65B46375"/>
    <w:rsid w:val="65CD2439"/>
    <w:rsid w:val="65D37A5B"/>
    <w:rsid w:val="65D97050"/>
    <w:rsid w:val="65F4511D"/>
    <w:rsid w:val="65F47DC0"/>
    <w:rsid w:val="65FF7596"/>
    <w:rsid w:val="66044C7D"/>
    <w:rsid w:val="66096B05"/>
    <w:rsid w:val="66195CDB"/>
    <w:rsid w:val="66255433"/>
    <w:rsid w:val="6627721E"/>
    <w:rsid w:val="662E4020"/>
    <w:rsid w:val="663D02BE"/>
    <w:rsid w:val="66537DD0"/>
    <w:rsid w:val="665B72EF"/>
    <w:rsid w:val="666166A6"/>
    <w:rsid w:val="666360D0"/>
    <w:rsid w:val="66753E2C"/>
    <w:rsid w:val="6687460E"/>
    <w:rsid w:val="66874640"/>
    <w:rsid w:val="668E3880"/>
    <w:rsid w:val="669A430B"/>
    <w:rsid w:val="66A146AB"/>
    <w:rsid w:val="66A34F7A"/>
    <w:rsid w:val="66A43DA7"/>
    <w:rsid w:val="66AE0D1C"/>
    <w:rsid w:val="66B56271"/>
    <w:rsid w:val="66C32061"/>
    <w:rsid w:val="66CD72AA"/>
    <w:rsid w:val="66CE247E"/>
    <w:rsid w:val="66D1553B"/>
    <w:rsid w:val="66D24F8E"/>
    <w:rsid w:val="66D678E5"/>
    <w:rsid w:val="66E23A48"/>
    <w:rsid w:val="66E462AE"/>
    <w:rsid w:val="66EF31C1"/>
    <w:rsid w:val="66F123D1"/>
    <w:rsid w:val="66F16A47"/>
    <w:rsid w:val="66F203EF"/>
    <w:rsid w:val="66FD624E"/>
    <w:rsid w:val="670C5A92"/>
    <w:rsid w:val="670D7EE1"/>
    <w:rsid w:val="671A0D2D"/>
    <w:rsid w:val="671E4BDD"/>
    <w:rsid w:val="67200F9C"/>
    <w:rsid w:val="67241B81"/>
    <w:rsid w:val="67340A1D"/>
    <w:rsid w:val="673A13B8"/>
    <w:rsid w:val="674A4FC0"/>
    <w:rsid w:val="674D101A"/>
    <w:rsid w:val="67504E4B"/>
    <w:rsid w:val="675249FA"/>
    <w:rsid w:val="675A2F74"/>
    <w:rsid w:val="67683CFC"/>
    <w:rsid w:val="67953A85"/>
    <w:rsid w:val="67A40B3D"/>
    <w:rsid w:val="67B406DA"/>
    <w:rsid w:val="67C75EAB"/>
    <w:rsid w:val="67D13F82"/>
    <w:rsid w:val="67D47556"/>
    <w:rsid w:val="67E83BD3"/>
    <w:rsid w:val="67FE0A51"/>
    <w:rsid w:val="683021EA"/>
    <w:rsid w:val="6831292C"/>
    <w:rsid w:val="683A5F07"/>
    <w:rsid w:val="683B6DDB"/>
    <w:rsid w:val="683D4EA1"/>
    <w:rsid w:val="68482B4B"/>
    <w:rsid w:val="6856632F"/>
    <w:rsid w:val="6857517B"/>
    <w:rsid w:val="685F2B0C"/>
    <w:rsid w:val="68615AEE"/>
    <w:rsid w:val="686465B8"/>
    <w:rsid w:val="686E2F1C"/>
    <w:rsid w:val="686E4CA0"/>
    <w:rsid w:val="686F3D4E"/>
    <w:rsid w:val="68792F67"/>
    <w:rsid w:val="688B7A2A"/>
    <w:rsid w:val="6892121B"/>
    <w:rsid w:val="689E473A"/>
    <w:rsid w:val="68A772BD"/>
    <w:rsid w:val="68AD32C0"/>
    <w:rsid w:val="68B055E0"/>
    <w:rsid w:val="68C163CF"/>
    <w:rsid w:val="68CD7865"/>
    <w:rsid w:val="68EE10E1"/>
    <w:rsid w:val="68F55A62"/>
    <w:rsid w:val="68F66988"/>
    <w:rsid w:val="68F77559"/>
    <w:rsid w:val="68FD42F1"/>
    <w:rsid w:val="692A3D4D"/>
    <w:rsid w:val="693053C2"/>
    <w:rsid w:val="69577852"/>
    <w:rsid w:val="69580D16"/>
    <w:rsid w:val="696D60F0"/>
    <w:rsid w:val="69745EE7"/>
    <w:rsid w:val="697A46A8"/>
    <w:rsid w:val="69845065"/>
    <w:rsid w:val="69971DBD"/>
    <w:rsid w:val="69AA61FA"/>
    <w:rsid w:val="69B022B6"/>
    <w:rsid w:val="69B272D6"/>
    <w:rsid w:val="69B72806"/>
    <w:rsid w:val="69B83AE8"/>
    <w:rsid w:val="69C21FC2"/>
    <w:rsid w:val="69CE7D79"/>
    <w:rsid w:val="69D05774"/>
    <w:rsid w:val="69DD68EF"/>
    <w:rsid w:val="69F431E5"/>
    <w:rsid w:val="69FA6CA5"/>
    <w:rsid w:val="6A0B12F9"/>
    <w:rsid w:val="6A205750"/>
    <w:rsid w:val="6A2136ED"/>
    <w:rsid w:val="6A35372B"/>
    <w:rsid w:val="6A387A83"/>
    <w:rsid w:val="6A4E0809"/>
    <w:rsid w:val="6A4E3481"/>
    <w:rsid w:val="6A586B28"/>
    <w:rsid w:val="6AB0358F"/>
    <w:rsid w:val="6AB51F86"/>
    <w:rsid w:val="6AC4496E"/>
    <w:rsid w:val="6AC76605"/>
    <w:rsid w:val="6AC81DFB"/>
    <w:rsid w:val="6ACC4B2B"/>
    <w:rsid w:val="6AD5470C"/>
    <w:rsid w:val="6B1051A1"/>
    <w:rsid w:val="6B156F01"/>
    <w:rsid w:val="6B1823F4"/>
    <w:rsid w:val="6B255782"/>
    <w:rsid w:val="6B2B4A21"/>
    <w:rsid w:val="6B302155"/>
    <w:rsid w:val="6B5061B8"/>
    <w:rsid w:val="6B5541CC"/>
    <w:rsid w:val="6B594757"/>
    <w:rsid w:val="6B794694"/>
    <w:rsid w:val="6BB10ECA"/>
    <w:rsid w:val="6BB65370"/>
    <w:rsid w:val="6BB80CD3"/>
    <w:rsid w:val="6BD97443"/>
    <w:rsid w:val="6BE10A23"/>
    <w:rsid w:val="6BE154D6"/>
    <w:rsid w:val="6BE806C2"/>
    <w:rsid w:val="6BFA34BF"/>
    <w:rsid w:val="6C1E27AA"/>
    <w:rsid w:val="6C253A83"/>
    <w:rsid w:val="6C282E9B"/>
    <w:rsid w:val="6C30017A"/>
    <w:rsid w:val="6C420E04"/>
    <w:rsid w:val="6C4B75DE"/>
    <w:rsid w:val="6C4C1DDE"/>
    <w:rsid w:val="6C60775B"/>
    <w:rsid w:val="6C787CBB"/>
    <w:rsid w:val="6C8A4E5F"/>
    <w:rsid w:val="6C8C5CC8"/>
    <w:rsid w:val="6C9165B6"/>
    <w:rsid w:val="6CA87474"/>
    <w:rsid w:val="6CAE0CBE"/>
    <w:rsid w:val="6CB2152D"/>
    <w:rsid w:val="6CB250DD"/>
    <w:rsid w:val="6CBA4949"/>
    <w:rsid w:val="6CBB0BF2"/>
    <w:rsid w:val="6CC76365"/>
    <w:rsid w:val="6D1075E9"/>
    <w:rsid w:val="6D2F4343"/>
    <w:rsid w:val="6D353D8C"/>
    <w:rsid w:val="6D40601D"/>
    <w:rsid w:val="6D4E6285"/>
    <w:rsid w:val="6D500D9D"/>
    <w:rsid w:val="6D521674"/>
    <w:rsid w:val="6D5C18AC"/>
    <w:rsid w:val="6D6B1613"/>
    <w:rsid w:val="6D6C571A"/>
    <w:rsid w:val="6D7C5F83"/>
    <w:rsid w:val="6D886D51"/>
    <w:rsid w:val="6D9E6DC7"/>
    <w:rsid w:val="6DB65D64"/>
    <w:rsid w:val="6DCC4C0D"/>
    <w:rsid w:val="6DDA27AC"/>
    <w:rsid w:val="6DDD2DC4"/>
    <w:rsid w:val="6DE31A8F"/>
    <w:rsid w:val="6DEA0A67"/>
    <w:rsid w:val="6DEC6437"/>
    <w:rsid w:val="6DFC561D"/>
    <w:rsid w:val="6E0F76B0"/>
    <w:rsid w:val="6E20213A"/>
    <w:rsid w:val="6E2947A6"/>
    <w:rsid w:val="6E314328"/>
    <w:rsid w:val="6E382FA7"/>
    <w:rsid w:val="6E395E9E"/>
    <w:rsid w:val="6E4341AC"/>
    <w:rsid w:val="6E482733"/>
    <w:rsid w:val="6E4D69E7"/>
    <w:rsid w:val="6E5126B4"/>
    <w:rsid w:val="6E567C0C"/>
    <w:rsid w:val="6E5D6868"/>
    <w:rsid w:val="6E683231"/>
    <w:rsid w:val="6E7C1EB5"/>
    <w:rsid w:val="6E851B68"/>
    <w:rsid w:val="6E94397F"/>
    <w:rsid w:val="6EB664D0"/>
    <w:rsid w:val="6EB75033"/>
    <w:rsid w:val="6EC7788A"/>
    <w:rsid w:val="6ED36BB1"/>
    <w:rsid w:val="6EE110A6"/>
    <w:rsid w:val="6EEF70D8"/>
    <w:rsid w:val="6EF03BAE"/>
    <w:rsid w:val="6EF4646F"/>
    <w:rsid w:val="6F0531A3"/>
    <w:rsid w:val="6F155D21"/>
    <w:rsid w:val="6F1E3244"/>
    <w:rsid w:val="6F286746"/>
    <w:rsid w:val="6F2B2506"/>
    <w:rsid w:val="6F2E02E3"/>
    <w:rsid w:val="6F305A92"/>
    <w:rsid w:val="6F436F8F"/>
    <w:rsid w:val="6F451BBF"/>
    <w:rsid w:val="6F465DE2"/>
    <w:rsid w:val="6F6065CF"/>
    <w:rsid w:val="6F634567"/>
    <w:rsid w:val="6F8D6B1D"/>
    <w:rsid w:val="6F8F5B9D"/>
    <w:rsid w:val="6FAA1EE2"/>
    <w:rsid w:val="6FAE4748"/>
    <w:rsid w:val="6FB75BFD"/>
    <w:rsid w:val="6FBC4361"/>
    <w:rsid w:val="6FD91F90"/>
    <w:rsid w:val="6FE31AA8"/>
    <w:rsid w:val="70344C9B"/>
    <w:rsid w:val="70364F43"/>
    <w:rsid w:val="703F543C"/>
    <w:rsid w:val="704D2ABA"/>
    <w:rsid w:val="706717CB"/>
    <w:rsid w:val="707200F0"/>
    <w:rsid w:val="707663A9"/>
    <w:rsid w:val="707843BF"/>
    <w:rsid w:val="707F274F"/>
    <w:rsid w:val="70950CE0"/>
    <w:rsid w:val="709D2458"/>
    <w:rsid w:val="709E04EC"/>
    <w:rsid w:val="70A2698B"/>
    <w:rsid w:val="70AA312E"/>
    <w:rsid w:val="70AD0925"/>
    <w:rsid w:val="70BB4C5E"/>
    <w:rsid w:val="70C24A2F"/>
    <w:rsid w:val="70CC0C4C"/>
    <w:rsid w:val="70E41087"/>
    <w:rsid w:val="70E65326"/>
    <w:rsid w:val="70E80F60"/>
    <w:rsid w:val="70F11D57"/>
    <w:rsid w:val="71014D29"/>
    <w:rsid w:val="710A2B65"/>
    <w:rsid w:val="710B1063"/>
    <w:rsid w:val="7110519D"/>
    <w:rsid w:val="71191A27"/>
    <w:rsid w:val="711F713E"/>
    <w:rsid w:val="71217371"/>
    <w:rsid w:val="71255903"/>
    <w:rsid w:val="712E54D4"/>
    <w:rsid w:val="71321C7C"/>
    <w:rsid w:val="714A1780"/>
    <w:rsid w:val="7170146E"/>
    <w:rsid w:val="71705776"/>
    <w:rsid w:val="717268C8"/>
    <w:rsid w:val="71802D0E"/>
    <w:rsid w:val="71880353"/>
    <w:rsid w:val="718F5890"/>
    <w:rsid w:val="71C16BD6"/>
    <w:rsid w:val="71C363B8"/>
    <w:rsid w:val="71CE6549"/>
    <w:rsid w:val="71D14144"/>
    <w:rsid w:val="71D43DBB"/>
    <w:rsid w:val="72143089"/>
    <w:rsid w:val="72150CEA"/>
    <w:rsid w:val="721F1006"/>
    <w:rsid w:val="721F4F40"/>
    <w:rsid w:val="7227177D"/>
    <w:rsid w:val="723419F5"/>
    <w:rsid w:val="7235573F"/>
    <w:rsid w:val="72477BAC"/>
    <w:rsid w:val="7255330E"/>
    <w:rsid w:val="726C56B8"/>
    <w:rsid w:val="72760CB0"/>
    <w:rsid w:val="7288771C"/>
    <w:rsid w:val="72911C70"/>
    <w:rsid w:val="729326C7"/>
    <w:rsid w:val="72935C45"/>
    <w:rsid w:val="729A3FD8"/>
    <w:rsid w:val="72A013F9"/>
    <w:rsid w:val="72A458E1"/>
    <w:rsid w:val="72AA41A3"/>
    <w:rsid w:val="72AE23D0"/>
    <w:rsid w:val="72B13FB1"/>
    <w:rsid w:val="72C13E7C"/>
    <w:rsid w:val="72CD388B"/>
    <w:rsid w:val="72CE592F"/>
    <w:rsid w:val="72D21B1B"/>
    <w:rsid w:val="73014E33"/>
    <w:rsid w:val="730770A2"/>
    <w:rsid w:val="73197AE0"/>
    <w:rsid w:val="73221860"/>
    <w:rsid w:val="732F2FC7"/>
    <w:rsid w:val="733A4EF6"/>
    <w:rsid w:val="733D0234"/>
    <w:rsid w:val="733D17D0"/>
    <w:rsid w:val="7353645B"/>
    <w:rsid w:val="735F4C52"/>
    <w:rsid w:val="73685713"/>
    <w:rsid w:val="73773239"/>
    <w:rsid w:val="73870ECD"/>
    <w:rsid w:val="739D4E7F"/>
    <w:rsid w:val="73A52CA9"/>
    <w:rsid w:val="73AF241D"/>
    <w:rsid w:val="73C82E30"/>
    <w:rsid w:val="73F23CDA"/>
    <w:rsid w:val="73FA14E3"/>
    <w:rsid w:val="73FD29BB"/>
    <w:rsid w:val="740159B8"/>
    <w:rsid w:val="740A7F35"/>
    <w:rsid w:val="740B686A"/>
    <w:rsid w:val="74152D7A"/>
    <w:rsid w:val="74193434"/>
    <w:rsid w:val="7436153F"/>
    <w:rsid w:val="744401CE"/>
    <w:rsid w:val="745508CF"/>
    <w:rsid w:val="745819FD"/>
    <w:rsid w:val="74634E71"/>
    <w:rsid w:val="746C366D"/>
    <w:rsid w:val="746C7379"/>
    <w:rsid w:val="748200B4"/>
    <w:rsid w:val="74825F84"/>
    <w:rsid w:val="749C71E6"/>
    <w:rsid w:val="74A97AE6"/>
    <w:rsid w:val="74AC77E0"/>
    <w:rsid w:val="74B31CCE"/>
    <w:rsid w:val="74DE6D4A"/>
    <w:rsid w:val="7501174C"/>
    <w:rsid w:val="75045F44"/>
    <w:rsid w:val="75154170"/>
    <w:rsid w:val="7515652D"/>
    <w:rsid w:val="751F2CCD"/>
    <w:rsid w:val="75312DF3"/>
    <w:rsid w:val="75334F10"/>
    <w:rsid w:val="753E34C7"/>
    <w:rsid w:val="754308E7"/>
    <w:rsid w:val="754A3843"/>
    <w:rsid w:val="755E6626"/>
    <w:rsid w:val="75714F21"/>
    <w:rsid w:val="757477A3"/>
    <w:rsid w:val="75801690"/>
    <w:rsid w:val="75841DF5"/>
    <w:rsid w:val="75883FFE"/>
    <w:rsid w:val="759118EE"/>
    <w:rsid w:val="759A0BFF"/>
    <w:rsid w:val="759A5426"/>
    <w:rsid w:val="759C3A8E"/>
    <w:rsid w:val="75A62B5C"/>
    <w:rsid w:val="75B660D9"/>
    <w:rsid w:val="75C67B6C"/>
    <w:rsid w:val="75CC577D"/>
    <w:rsid w:val="75D54C00"/>
    <w:rsid w:val="75DA056C"/>
    <w:rsid w:val="75E610FF"/>
    <w:rsid w:val="75FA2F4D"/>
    <w:rsid w:val="76177C7F"/>
    <w:rsid w:val="761A521D"/>
    <w:rsid w:val="761F3A17"/>
    <w:rsid w:val="763E0D2C"/>
    <w:rsid w:val="7652518B"/>
    <w:rsid w:val="765661CE"/>
    <w:rsid w:val="7659137C"/>
    <w:rsid w:val="765D760F"/>
    <w:rsid w:val="766B1FE7"/>
    <w:rsid w:val="767737E8"/>
    <w:rsid w:val="7687321E"/>
    <w:rsid w:val="7693160B"/>
    <w:rsid w:val="769A0AF1"/>
    <w:rsid w:val="769C5380"/>
    <w:rsid w:val="769D488D"/>
    <w:rsid w:val="76A648DB"/>
    <w:rsid w:val="76AA6FCA"/>
    <w:rsid w:val="76AD33AB"/>
    <w:rsid w:val="76AE1A33"/>
    <w:rsid w:val="76B645C9"/>
    <w:rsid w:val="76BF4CDE"/>
    <w:rsid w:val="76CB05E9"/>
    <w:rsid w:val="76DB173B"/>
    <w:rsid w:val="76EE30C9"/>
    <w:rsid w:val="76F557EA"/>
    <w:rsid w:val="76FB601C"/>
    <w:rsid w:val="770B3FA0"/>
    <w:rsid w:val="77132874"/>
    <w:rsid w:val="771E0B46"/>
    <w:rsid w:val="77243900"/>
    <w:rsid w:val="7728613C"/>
    <w:rsid w:val="7745626C"/>
    <w:rsid w:val="774A218D"/>
    <w:rsid w:val="77534E7F"/>
    <w:rsid w:val="77765B6B"/>
    <w:rsid w:val="77774188"/>
    <w:rsid w:val="777D79D9"/>
    <w:rsid w:val="7788271D"/>
    <w:rsid w:val="778A3CA6"/>
    <w:rsid w:val="77A25430"/>
    <w:rsid w:val="77A6322F"/>
    <w:rsid w:val="77AB127E"/>
    <w:rsid w:val="77B35E6B"/>
    <w:rsid w:val="77B8759C"/>
    <w:rsid w:val="77CA7AD8"/>
    <w:rsid w:val="77CD1EFE"/>
    <w:rsid w:val="77E62479"/>
    <w:rsid w:val="77F00556"/>
    <w:rsid w:val="77F04589"/>
    <w:rsid w:val="77FA5E4E"/>
    <w:rsid w:val="77FF2EBE"/>
    <w:rsid w:val="780776F7"/>
    <w:rsid w:val="780F3500"/>
    <w:rsid w:val="781626AC"/>
    <w:rsid w:val="781A0211"/>
    <w:rsid w:val="781E0AA4"/>
    <w:rsid w:val="784859F2"/>
    <w:rsid w:val="785D4AC2"/>
    <w:rsid w:val="78643867"/>
    <w:rsid w:val="786F5C73"/>
    <w:rsid w:val="78755AD9"/>
    <w:rsid w:val="78867CFB"/>
    <w:rsid w:val="7895518B"/>
    <w:rsid w:val="78B51048"/>
    <w:rsid w:val="78DA375A"/>
    <w:rsid w:val="78FB6861"/>
    <w:rsid w:val="78FD7C55"/>
    <w:rsid w:val="790C30F7"/>
    <w:rsid w:val="79157138"/>
    <w:rsid w:val="79182F94"/>
    <w:rsid w:val="791E6626"/>
    <w:rsid w:val="791F15A3"/>
    <w:rsid w:val="791F1ABD"/>
    <w:rsid w:val="7926563A"/>
    <w:rsid w:val="792A6014"/>
    <w:rsid w:val="792A77CA"/>
    <w:rsid w:val="792C1C9C"/>
    <w:rsid w:val="793248B2"/>
    <w:rsid w:val="794469F3"/>
    <w:rsid w:val="79497A79"/>
    <w:rsid w:val="79534836"/>
    <w:rsid w:val="795F47C4"/>
    <w:rsid w:val="79880110"/>
    <w:rsid w:val="79894347"/>
    <w:rsid w:val="798A6ADE"/>
    <w:rsid w:val="799447B2"/>
    <w:rsid w:val="79993DEC"/>
    <w:rsid w:val="799B34EA"/>
    <w:rsid w:val="79AB3F54"/>
    <w:rsid w:val="79B00E50"/>
    <w:rsid w:val="79B155D3"/>
    <w:rsid w:val="79BE2124"/>
    <w:rsid w:val="79C44E91"/>
    <w:rsid w:val="79D75B18"/>
    <w:rsid w:val="79E43B57"/>
    <w:rsid w:val="79F9227E"/>
    <w:rsid w:val="7A03141B"/>
    <w:rsid w:val="7A135B41"/>
    <w:rsid w:val="7A140CCC"/>
    <w:rsid w:val="7A2F5A98"/>
    <w:rsid w:val="7A340EA4"/>
    <w:rsid w:val="7A3F5F0E"/>
    <w:rsid w:val="7A402127"/>
    <w:rsid w:val="7A6259E5"/>
    <w:rsid w:val="7A677819"/>
    <w:rsid w:val="7A687C40"/>
    <w:rsid w:val="7A75750A"/>
    <w:rsid w:val="7A7775CB"/>
    <w:rsid w:val="7A7C3110"/>
    <w:rsid w:val="7A87358E"/>
    <w:rsid w:val="7A8C722E"/>
    <w:rsid w:val="7A9B683C"/>
    <w:rsid w:val="7A9E603E"/>
    <w:rsid w:val="7AA5799A"/>
    <w:rsid w:val="7AA60BE5"/>
    <w:rsid w:val="7AAE7A48"/>
    <w:rsid w:val="7AB53AA6"/>
    <w:rsid w:val="7AD926A5"/>
    <w:rsid w:val="7AED52A9"/>
    <w:rsid w:val="7AF259C5"/>
    <w:rsid w:val="7AF9356F"/>
    <w:rsid w:val="7B12265C"/>
    <w:rsid w:val="7B233A3A"/>
    <w:rsid w:val="7B4E1237"/>
    <w:rsid w:val="7B557668"/>
    <w:rsid w:val="7B5721B8"/>
    <w:rsid w:val="7B610401"/>
    <w:rsid w:val="7B884D33"/>
    <w:rsid w:val="7B907319"/>
    <w:rsid w:val="7BA630A7"/>
    <w:rsid w:val="7BB57736"/>
    <w:rsid w:val="7BBB6A08"/>
    <w:rsid w:val="7BCB5994"/>
    <w:rsid w:val="7BED154E"/>
    <w:rsid w:val="7BED6B05"/>
    <w:rsid w:val="7C1946E0"/>
    <w:rsid w:val="7C42078B"/>
    <w:rsid w:val="7C446319"/>
    <w:rsid w:val="7C504369"/>
    <w:rsid w:val="7C555656"/>
    <w:rsid w:val="7C5F7DAC"/>
    <w:rsid w:val="7C7D6275"/>
    <w:rsid w:val="7C953CBE"/>
    <w:rsid w:val="7C9C6D51"/>
    <w:rsid w:val="7C9E4E71"/>
    <w:rsid w:val="7CA326C8"/>
    <w:rsid w:val="7CA43992"/>
    <w:rsid w:val="7CAA5F0D"/>
    <w:rsid w:val="7CB45C33"/>
    <w:rsid w:val="7CCC374D"/>
    <w:rsid w:val="7CD559EC"/>
    <w:rsid w:val="7CF7537C"/>
    <w:rsid w:val="7D043359"/>
    <w:rsid w:val="7D1903B1"/>
    <w:rsid w:val="7D25417D"/>
    <w:rsid w:val="7D3D2357"/>
    <w:rsid w:val="7D470375"/>
    <w:rsid w:val="7D5A124C"/>
    <w:rsid w:val="7D66369D"/>
    <w:rsid w:val="7D6B3C9C"/>
    <w:rsid w:val="7D6C7837"/>
    <w:rsid w:val="7D87483A"/>
    <w:rsid w:val="7D886B89"/>
    <w:rsid w:val="7D8A3047"/>
    <w:rsid w:val="7D8C1BBD"/>
    <w:rsid w:val="7D92427A"/>
    <w:rsid w:val="7DA00DA8"/>
    <w:rsid w:val="7DA653E8"/>
    <w:rsid w:val="7DAE4568"/>
    <w:rsid w:val="7DC3009F"/>
    <w:rsid w:val="7DC80DDA"/>
    <w:rsid w:val="7DCF1845"/>
    <w:rsid w:val="7DDC30D5"/>
    <w:rsid w:val="7E0B16A2"/>
    <w:rsid w:val="7E12506E"/>
    <w:rsid w:val="7E1853B9"/>
    <w:rsid w:val="7E1B5179"/>
    <w:rsid w:val="7E3610F8"/>
    <w:rsid w:val="7E4277D8"/>
    <w:rsid w:val="7E594E0B"/>
    <w:rsid w:val="7E7C766D"/>
    <w:rsid w:val="7E815D2C"/>
    <w:rsid w:val="7E833262"/>
    <w:rsid w:val="7E8F01CE"/>
    <w:rsid w:val="7E932FC5"/>
    <w:rsid w:val="7E9B5F2D"/>
    <w:rsid w:val="7EAB7DF6"/>
    <w:rsid w:val="7ECD0F46"/>
    <w:rsid w:val="7ECE4E91"/>
    <w:rsid w:val="7ECE6209"/>
    <w:rsid w:val="7ED0239D"/>
    <w:rsid w:val="7EDB5D8D"/>
    <w:rsid w:val="7EDD4604"/>
    <w:rsid w:val="7EE626A2"/>
    <w:rsid w:val="7EFA7FA5"/>
    <w:rsid w:val="7F0967B3"/>
    <w:rsid w:val="7F0A31ED"/>
    <w:rsid w:val="7F165CD8"/>
    <w:rsid w:val="7F1A3E31"/>
    <w:rsid w:val="7F243837"/>
    <w:rsid w:val="7F2B17D8"/>
    <w:rsid w:val="7F3C05D3"/>
    <w:rsid w:val="7F471EEA"/>
    <w:rsid w:val="7F472D20"/>
    <w:rsid w:val="7F4E60A4"/>
    <w:rsid w:val="7F5D2D8E"/>
    <w:rsid w:val="7F6331B7"/>
    <w:rsid w:val="7F676C28"/>
    <w:rsid w:val="7F78720A"/>
    <w:rsid w:val="7F7A4953"/>
    <w:rsid w:val="7F806C96"/>
    <w:rsid w:val="7F90721E"/>
    <w:rsid w:val="7F915BE0"/>
    <w:rsid w:val="7F990359"/>
    <w:rsid w:val="7FA81F30"/>
    <w:rsid w:val="7FAC08C1"/>
    <w:rsid w:val="7FAD0277"/>
    <w:rsid w:val="7FB44E0C"/>
    <w:rsid w:val="7FBC7967"/>
    <w:rsid w:val="7FBD284D"/>
    <w:rsid w:val="7FCF5193"/>
    <w:rsid w:val="7FD06104"/>
    <w:rsid w:val="7FE13367"/>
    <w:rsid w:val="7FF03D02"/>
    <w:rsid w:val="9F3F31B5"/>
    <w:rsid w:val="ADEFE9FE"/>
    <w:rsid w:val="EFFAB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link w:val="99"/>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link w:val="98"/>
    <w:semiHidden/>
    <w:unhideWhenUsed/>
    <w:qFormat/>
    <w:uiPriority w:val="0"/>
    <w:pPr>
      <w:keepNext/>
      <w:keepLines/>
      <w:tabs>
        <w:tab w:val="left" w:pos="8280"/>
      </w:tabs>
      <w:spacing w:before="260" w:after="260" w:line="416" w:lineRule="auto"/>
      <w:outlineLvl w:val="2"/>
    </w:pPr>
    <w:rPr>
      <w:bCs/>
      <w:szCs w:val="32"/>
    </w:rPr>
  </w:style>
  <w:style w:type="character" w:default="1" w:styleId="21">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next w:val="1"/>
    <w:link w:val="89"/>
    <w:qFormat/>
    <w:uiPriority w:val="0"/>
    <w:pPr>
      <w:ind w:firstLine="200" w:firstLineChars="200"/>
    </w:pPr>
  </w:style>
  <w:style w:type="paragraph" w:styleId="3">
    <w:name w:val="Body Text"/>
    <w:basedOn w:val="1"/>
    <w:next w:val="4"/>
    <w:link w:val="90"/>
    <w:qFormat/>
    <w:uiPriority w:val="0"/>
    <w:pPr>
      <w:spacing w:line="360" w:lineRule="exact"/>
    </w:pPr>
    <w:rPr>
      <w:sz w:val="24"/>
    </w:rPr>
  </w:style>
  <w:style w:type="paragraph" w:styleId="4">
    <w:name w:val="Subtitle"/>
    <w:basedOn w:val="1"/>
    <w:next w:val="1"/>
    <w:link w:val="97"/>
    <w:qFormat/>
    <w:uiPriority w:val="11"/>
    <w:pPr>
      <w:widowControl/>
      <w:spacing w:after="720"/>
      <w:jc w:val="right"/>
    </w:pPr>
    <w:rPr>
      <w:rFonts w:ascii="Calibri Light" w:hAnsi="Calibri Light"/>
      <w:kern w:val="0"/>
      <w:sz w:val="20"/>
      <w:szCs w:val="20"/>
    </w:rPr>
  </w:style>
  <w:style w:type="paragraph" w:styleId="8">
    <w:name w:val="List Number"/>
    <w:basedOn w:val="1"/>
    <w:qFormat/>
    <w:uiPriority w:val="0"/>
    <w:pPr>
      <w:numPr>
        <w:ilvl w:val="0"/>
        <w:numId w:val="2"/>
      </w:numPr>
    </w:pPr>
  </w:style>
  <w:style w:type="paragraph" w:styleId="9">
    <w:name w:val="Normal Indent"/>
    <w:basedOn w:val="1"/>
    <w:link w:val="58"/>
    <w:qFormat/>
    <w:uiPriority w:val="0"/>
    <w:pPr>
      <w:ind w:firstLine="420"/>
    </w:pPr>
    <w:rPr>
      <w:szCs w:val="20"/>
    </w:rPr>
  </w:style>
  <w:style w:type="paragraph" w:styleId="10">
    <w:name w:val="caption"/>
    <w:basedOn w:val="1"/>
    <w:next w:val="1"/>
    <w:semiHidden/>
    <w:unhideWhenUsed/>
    <w:qFormat/>
    <w:uiPriority w:val="0"/>
    <w:pPr>
      <w:widowControl/>
    </w:pPr>
    <w:rPr>
      <w:rFonts w:ascii="Cambria" w:hAnsi="Cambria" w:eastAsia="黑体"/>
      <w:sz w:val="20"/>
      <w:szCs w:val="20"/>
    </w:rPr>
  </w:style>
  <w:style w:type="paragraph" w:styleId="11">
    <w:name w:val="annotation text"/>
    <w:basedOn w:val="1"/>
    <w:link w:val="96"/>
    <w:qFormat/>
    <w:uiPriority w:val="0"/>
    <w:pPr>
      <w:jc w:val="left"/>
    </w:pPr>
    <w:rPr>
      <w:rFonts w:hint="eastAsia" w:ascii="等线" w:hAnsi="等线" w:eastAsia="等线"/>
    </w:rPr>
  </w:style>
  <w:style w:type="paragraph" w:styleId="12">
    <w:name w:val="Body Text Indent"/>
    <w:basedOn w:val="1"/>
    <w:next w:val="1"/>
    <w:link w:val="61"/>
    <w:qFormat/>
    <w:uiPriority w:val="0"/>
    <w:pPr>
      <w:spacing w:after="120"/>
      <w:ind w:left="420" w:leftChars="200"/>
    </w:pPr>
  </w:style>
  <w:style w:type="paragraph" w:styleId="13">
    <w:name w:val="Plain Text"/>
    <w:basedOn w:val="1"/>
    <w:next w:val="14"/>
    <w:link w:val="95"/>
    <w:qFormat/>
    <w:uiPriority w:val="0"/>
    <w:rPr>
      <w:rFonts w:ascii="宋体" w:hAnsi="Courier New" w:cstheme="minorBidi"/>
    </w:rPr>
  </w:style>
  <w:style w:type="paragraph" w:styleId="14">
    <w:name w:val="Date"/>
    <w:basedOn w:val="1"/>
    <w:next w:val="1"/>
    <w:link w:val="93"/>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0"/>
    <w:qFormat/>
    <w:uiPriority w:val="0"/>
    <w:rPr>
      <w:sz w:val="18"/>
      <w:szCs w:val="18"/>
    </w:rPr>
  </w:style>
  <w:style w:type="paragraph" w:styleId="16">
    <w:name w:val="footer"/>
    <w:basedOn w:val="1"/>
    <w:link w:val="100"/>
    <w:qFormat/>
    <w:uiPriority w:val="0"/>
    <w:pPr>
      <w:tabs>
        <w:tab w:val="center" w:pos="4153"/>
        <w:tab w:val="right" w:pos="8306"/>
      </w:tabs>
      <w:snapToGrid w:val="0"/>
      <w:jc w:val="left"/>
    </w:pPr>
    <w:rPr>
      <w:sz w:val="18"/>
    </w:rPr>
  </w:style>
  <w:style w:type="paragraph" w:styleId="17">
    <w:name w:val="Body Text First Indent 2"/>
    <w:basedOn w:val="12"/>
    <w:link w:val="94"/>
    <w:qFormat/>
    <w:uiPriority w:val="0"/>
    <w:pPr>
      <w:ind w:firstLine="420"/>
    </w:pPr>
  </w:style>
  <w:style w:type="paragraph" w:styleId="18">
    <w:name w:val="header"/>
    <w:basedOn w:val="1"/>
    <w:link w:val="10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2"/>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FollowedHyperlink"/>
    <w:basedOn w:val="21"/>
    <w:qFormat/>
    <w:uiPriority w:val="0"/>
    <w:rPr>
      <w:color w:val="954F72"/>
      <w:u w:val="single"/>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1"/>
    <w:qFormat/>
    <w:uiPriority w:val="0"/>
    <w:rPr>
      <w:rFonts w:hint="default" w:ascii="Arial" w:hAnsi="Arial" w:cs="Arial"/>
      <w:color w:val="000000"/>
      <w:sz w:val="20"/>
      <w:szCs w:val="20"/>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1"/>
    <w:qFormat/>
    <w:uiPriority w:val="0"/>
    <w:rPr>
      <w:rFonts w:eastAsia="宋体"/>
      <w:b/>
      <w:spacing w:val="-2"/>
      <w:sz w:val="24"/>
      <w:lang w:val="en-US" w:eastAsia="zh-CN" w:bidi="ar-SA"/>
    </w:rPr>
  </w:style>
  <w:style w:type="character" w:customStyle="1" w:styleId="50">
    <w:name w:val="批注框文本 字符"/>
    <w:basedOn w:val="21"/>
    <w:link w:val="15"/>
    <w:qFormat/>
    <w:uiPriority w:val="0"/>
    <w:rPr>
      <w:kern w:val="2"/>
      <w:sz w:val="18"/>
      <w:szCs w:val="18"/>
    </w:rPr>
  </w:style>
  <w:style w:type="character" w:customStyle="1" w:styleId="51">
    <w:name w:val="标题 2 字符"/>
    <w:basedOn w:val="21"/>
    <w:link w:val="6"/>
    <w:qFormat/>
    <w:uiPriority w:val="0"/>
    <w:rPr>
      <w:rFonts w:hint="eastAsia" w:ascii="宋体" w:hAnsi="宋体" w:eastAsia="宋体" w:cs="宋体"/>
      <w:b/>
      <w:kern w:val="2"/>
      <w:sz w:val="32"/>
      <w:szCs w:val="28"/>
    </w:rPr>
  </w:style>
  <w:style w:type="character" w:customStyle="1" w:styleId="52">
    <w:name w:val="正文文本缩进 Char"/>
    <w:basedOn w:val="21"/>
    <w:qFormat/>
    <w:uiPriority w:val="0"/>
    <w:rPr>
      <w:kern w:val="2"/>
      <w:sz w:val="21"/>
      <w:szCs w:val="24"/>
    </w:rPr>
  </w:style>
  <w:style w:type="character" w:customStyle="1" w:styleId="53">
    <w:name w:val="正文首行缩进 2 字符"/>
    <w:basedOn w:val="52"/>
    <w:link w:val="17"/>
    <w:qFormat/>
    <w:uiPriority w:val="0"/>
    <w:rPr>
      <w:kern w:val="2"/>
      <w:sz w:val="21"/>
      <w:szCs w:val="24"/>
    </w:rPr>
  </w:style>
  <w:style w:type="character" w:customStyle="1" w:styleId="54">
    <w:name w:val="日期 字符"/>
    <w:basedOn w:val="21"/>
    <w:qFormat/>
    <w:uiPriority w:val="0"/>
    <w:rPr>
      <w:kern w:val="2"/>
      <w:sz w:val="21"/>
      <w:szCs w:val="24"/>
    </w:rPr>
  </w:style>
  <w:style w:type="character" w:customStyle="1" w:styleId="55">
    <w:name w:val="批注文字 字符"/>
    <w:basedOn w:val="21"/>
    <w:qFormat/>
    <w:uiPriority w:val="0"/>
    <w:rPr>
      <w:kern w:val="2"/>
      <w:sz w:val="21"/>
      <w:szCs w:val="24"/>
    </w:rPr>
  </w:style>
  <w:style w:type="character" w:customStyle="1" w:styleId="56">
    <w:name w:val="纯文本 字符"/>
    <w:basedOn w:val="21"/>
    <w:qFormat/>
    <w:uiPriority w:val="0"/>
    <w:rPr>
      <w:rFonts w:hint="eastAsia" w:ascii="宋体" w:hAnsi="Courier New" w:eastAsia="宋体" w:cs="宋体"/>
      <w:kern w:val="2"/>
      <w:sz w:val="21"/>
      <w:szCs w:val="24"/>
    </w:rPr>
  </w:style>
  <w:style w:type="paragraph" w:customStyle="1" w:styleId="57">
    <w:name w:val="Normal Indent1"/>
    <w:basedOn w:val="1"/>
    <w:qFormat/>
    <w:uiPriority w:val="0"/>
    <w:pPr>
      <w:ind w:firstLine="420" w:firstLineChars="200"/>
    </w:pPr>
    <w:rPr>
      <w:rFonts w:hint="eastAsia" w:ascii="等线" w:hAnsi="等线"/>
    </w:rPr>
  </w:style>
  <w:style w:type="character" w:customStyle="1" w:styleId="58">
    <w:name w:val="正文缩进 字符"/>
    <w:basedOn w:val="21"/>
    <w:link w:val="9"/>
    <w:qFormat/>
    <w:uiPriority w:val="0"/>
    <w:rPr>
      <w:rFonts w:hint="eastAsia" w:ascii="宋体" w:hAnsi="宋体" w:eastAsia="宋体" w:cs="宋体"/>
      <w:snapToGrid w:val="0"/>
      <w:color w:val="000000"/>
      <w:kern w:val="28"/>
      <w:sz w:val="28"/>
    </w:rPr>
  </w:style>
  <w:style w:type="character" w:customStyle="1" w:styleId="59">
    <w:name w:val="正文2 Char Char"/>
    <w:basedOn w:val="21"/>
    <w:link w:val="60"/>
    <w:qFormat/>
    <w:uiPriority w:val="0"/>
    <w:rPr>
      <w:kern w:val="2"/>
      <w:sz w:val="24"/>
    </w:rPr>
  </w:style>
  <w:style w:type="paragraph" w:customStyle="1" w:styleId="60">
    <w:name w:val="正文2"/>
    <w:basedOn w:val="1"/>
    <w:link w:val="59"/>
    <w:qFormat/>
    <w:uiPriority w:val="0"/>
    <w:pPr>
      <w:adjustRightInd w:val="0"/>
      <w:spacing w:before="156" w:line="360" w:lineRule="auto"/>
      <w:ind w:firstLine="510" w:firstLineChars="200"/>
    </w:pPr>
    <w:rPr>
      <w:sz w:val="24"/>
      <w:szCs w:val="20"/>
    </w:rPr>
  </w:style>
  <w:style w:type="character" w:customStyle="1" w:styleId="61">
    <w:name w:val="正文文本缩进 字符"/>
    <w:basedOn w:val="21"/>
    <w:link w:val="12"/>
    <w:qFormat/>
    <w:uiPriority w:val="0"/>
    <w:rPr>
      <w:rFonts w:hint="eastAsia" w:ascii="宋体" w:hAnsi="宋体" w:eastAsia="宋体" w:cs="宋体"/>
      <w:kern w:val="2"/>
      <w:sz w:val="24"/>
      <w:szCs w:val="24"/>
    </w:rPr>
  </w:style>
  <w:style w:type="paragraph" w:customStyle="1" w:styleId="62">
    <w:name w:val="列表段落1"/>
    <w:basedOn w:val="1"/>
    <w:qFormat/>
    <w:uiPriority w:val="0"/>
    <w:pPr>
      <w:ind w:right="238" w:firstLine="420"/>
    </w:pPr>
    <w:rPr>
      <w:rFonts w:ascii="Calibri" w:hAnsi="Calibri"/>
      <w:sz w:val="24"/>
    </w:rPr>
  </w:style>
  <w:style w:type="character" w:customStyle="1" w:styleId="63">
    <w:name w:val="正文文本 字符"/>
    <w:basedOn w:val="21"/>
    <w:qFormat/>
    <w:uiPriority w:val="0"/>
    <w:rPr>
      <w:rFonts w:hint="default" w:ascii="Calibri" w:hAnsi="Calibri" w:eastAsia="宋体" w:cs="Times New Roman"/>
      <w:kern w:val="2"/>
      <w:sz w:val="21"/>
      <w:szCs w:val="24"/>
    </w:rPr>
  </w:style>
  <w:style w:type="character" w:customStyle="1" w:styleId="64">
    <w:name w:val="NormalCharacter"/>
    <w:basedOn w:val="21"/>
    <w:qFormat/>
    <w:uiPriority w:val="0"/>
  </w:style>
  <w:style w:type="character" w:customStyle="1" w:styleId="65">
    <w:name w:val="页脚 字符"/>
    <w:basedOn w:val="21"/>
    <w:qFormat/>
    <w:uiPriority w:val="0"/>
    <w:rPr>
      <w:kern w:val="2"/>
      <w:sz w:val="18"/>
      <w:szCs w:val="24"/>
    </w:rPr>
  </w:style>
  <w:style w:type="character" w:customStyle="1" w:styleId="66">
    <w:name w:val="页眉 字符"/>
    <w:basedOn w:val="21"/>
    <w:qFormat/>
    <w:uiPriority w:val="0"/>
    <w:rPr>
      <w:kern w:val="2"/>
      <w:sz w:val="18"/>
      <w:szCs w:val="24"/>
    </w:rPr>
  </w:style>
  <w:style w:type="paragraph" w:customStyle="1" w:styleId="67">
    <w:name w:val="msolistparagraph"/>
    <w:basedOn w:val="1"/>
    <w:qFormat/>
    <w:uiPriority w:val="0"/>
    <w:pPr>
      <w:adjustRightInd w:val="0"/>
      <w:spacing w:line="360" w:lineRule="auto"/>
      <w:ind w:firstLine="200" w:firstLineChars="200"/>
    </w:pPr>
    <w:rPr>
      <w:rFonts w:eastAsia="楷体_GB2312"/>
      <w:sz w:val="24"/>
    </w:rPr>
  </w:style>
  <w:style w:type="paragraph" w:customStyle="1" w:styleId="68">
    <w:name w:val="列出段落1"/>
    <w:basedOn w:val="1"/>
    <w:qFormat/>
    <w:uiPriority w:val="0"/>
    <w:pPr>
      <w:ind w:firstLine="420" w:firstLineChars="200"/>
    </w:pPr>
    <w:rPr>
      <w:sz w:val="24"/>
    </w:rPr>
  </w:style>
  <w:style w:type="paragraph" w:customStyle="1" w:styleId="69">
    <w:name w:val="正"/>
    <w:basedOn w:val="1"/>
    <w:qFormat/>
    <w:uiPriority w:val="0"/>
    <w:pPr>
      <w:spacing w:line="360" w:lineRule="auto"/>
      <w:ind w:firstLine="480" w:firstLineChars="200"/>
      <w:contextualSpacing/>
    </w:pPr>
    <w:rPr>
      <w:kern w:val="0"/>
      <w:sz w:val="24"/>
    </w:rPr>
  </w:style>
  <w:style w:type="paragraph" w:customStyle="1" w:styleId="70">
    <w:name w:val="表内文字"/>
    <w:basedOn w:val="1"/>
    <w:qFormat/>
    <w:uiPriority w:val="0"/>
    <w:pPr>
      <w:jc w:val="center"/>
    </w:pPr>
    <w:rPr>
      <w:rFonts w:hint="eastAsia" w:ascii="宋体"/>
      <w:bCs/>
      <w:color w:val="000000"/>
      <w:kern w:val="21"/>
      <w:sz w:val="18"/>
      <w:szCs w:val="21"/>
    </w:rPr>
  </w:style>
  <w:style w:type="character" w:customStyle="1" w:styleId="71">
    <w:name w:val="正文首行缩进 字符"/>
    <w:qFormat/>
    <w:uiPriority w:val="0"/>
    <w:rPr>
      <w:kern w:val="2"/>
      <w:sz w:val="24"/>
      <w:szCs w:val="24"/>
    </w:rPr>
  </w:style>
  <w:style w:type="paragraph" w:customStyle="1" w:styleId="72">
    <w:name w:val="默认段落字体 Para Char Char Char Char Char Char Char Char Char1 Char Char Char Char"/>
    <w:basedOn w:val="1"/>
    <w:qFormat/>
    <w:uiPriority w:val="0"/>
    <w:rPr>
      <w:rFonts w:ascii="Tahoma" w:hAnsi="Tahoma"/>
      <w:sz w:val="24"/>
      <w:szCs w:val="20"/>
    </w:rPr>
  </w:style>
  <w:style w:type="paragraph" w:customStyle="1" w:styleId="73">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74">
    <w:name w:val="BodyText"/>
    <w:basedOn w:val="1"/>
    <w:qFormat/>
    <w:uiPriority w:val="0"/>
    <w:pPr>
      <w:spacing w:after="120"/>
    </w:pPr>
    <w:rPr>
      <w:sz w:val="24"/>
    </w:rPr>
  </w:style>
  <w:style w:type="character" w:customStyle="1" w:styleId="75">
    <w:name w:val="正文文本 字符1"/>
    <w:basedOn w:val="21"/>
    <w:qFormat/>
    <w:uiPriority w:val="0"/>
    <w:rPr>
      <w:kern w:val="2"/>
      <w:sz w:val="21"/>
      <w:szCs w:val="24"/>
    </w:rPr>
  </w:style>
  <w:style w:type="character" w:customStyle="1" w:styleId="76">
    <w:name w:val="正文首行缩进 字符1"/>
    <w:qFormat/>
    <w:uiPriority w:val="0"/>
    <w:rPr>
      <w:kern w:val="2"/>
      <w:sz w:val="21"/>
      <w:szCs w:val="24"/>
    </w:rPr>
  </w:style>
  <w:style w:type="paragraph" w:customStyle="1" w:styleId="77">
    <w:name w:val="UserStyle_4"/>
    <w:basedOn w:val="1"/>
    <w:qFormat/>
    <w:uiPriority w:val="0"/>
    <w:pPr>
      <w:ind w:firstLine="420" w:firstLineChars="200"/>
    </w:pPr>
    <w:rPr>
      <w:sz w:val="24"/>
    </w:rPr>
  </w:style>
  <w:style w:type="paragraph" w:customStyle="1" w:styleId="78">
    <w:name w:val="HtmlNormal"/>
    <w:basedOn w:val="1"/>
    <w:qFormat/>
    <w:uiPriority w:val="0"/>
    <w:pPr>
      <w:spacing w:beforeAutospacing="1" w:afterAutospacing="1"/>
      <w:jc w:val="left"/>
    </w:pPr>
    <w:rPr>
      <w:rFonts w:hint="eastAsia" w:ascii="宋体" w:hAnsi="宋体"/>
      <w:color w:val="000000"/>
      <w:kern w:val="0"/>
      <w:sz w:val="24"/>
      <w:szCs w:val="21"/>
    </w:rPr>
  </w:style>
  <w:style w:type="character" w:customStyle="1" w:styleId="79">
    <w:name w:val="批注文字 字符1"/>
    <w:basedOn w:val="21"/>
    <w:qFormat/>
    <w:uiPriority w:val="0"/>
    <w:rPr>
      <w:kern w:val="2"/>
      <w:sz w:val="21"/>
      <w:szCs w:val="24"/>
    </w:rPr>
  </w:style>
  <w:style w:type="paragraph" w:customStyle="1" w:styleId="80">
    <w:name w:val="4、正文"/>
    <w:basedOn w:val="1"/>
    <w:qFormat/>
    <w:uiPriority w:val="0"/>
    <w:pPr>
      <w:ind w:firstLine="200" w:firstLineChars="200"/>
    </w:pPr>
    <w:rPr>
      <w:rFonts w:hint="eastAsia" w:ascii="宋体"/>
      <w:sz w:val="24"/>
      <w:szCs w:val="28"/>
    </w:rPr>
  </w:style>
  <w:style w:type="paragraph" w:customStyle="1" w:styleId="81">
    <w:name w:val="PlainText"/>
    <w:basedOn w:val="1"/>
    <w:qFormat/>
    <w:uiPriority w:val="0"/>
    <w:pPr>
      <w:spacing w:before="156" w:after="156" w:line="400" w:lineRule="atLeast"/>
    </w:pPr>
    <w:rPr>
      <w:rFonts w:hint="eastAsia" w:ascii="宋体" w:hAnsi="Courier New"/>
      <w:sz w:val="24"/>
    </w:rPr>
  </w:style>
  <w:style w:type="character" w:customStyle="1" w:styleId="82">
    <w:name w:val="页眉 字符1"/>
    <w:basedOn w:val="21"/>
    <w:link w:val="18"/>
    <w:qFormat/>
    <w:uiPriority w:val="0"/>
    <w:rPr>
      <w:kern w:val="2"/>
      <w:sz w:val="18"/>
      <w:szCs w:val="24"/>
    </w:rPr>
  </w:style>
  <w:style w:type="character" w:customStyle="1" w:styleId="83">
    <w:name w:val="页脚 字符1"/>
    <w:basedOn w:val="21"/>
    <w:link w:val="16"/>
    <w:qFormat/>
    <w:uiPriority w:val="0"/>
    <w:rPr>
      <w:kern w:val="2"/>
      <w:sz w:val="18"/>
      <w:szCs w:val="24"/>
    </w:rPr>
  </w:style>
  <w:style w:type="character" w:customStyle="1" w:styleId="84">
    <w:name w:val="纯文本 字符1"/>
    <w:basedOn w:val="21"/>
    <w:link w:val="13"/>
    <w:qFormat/>
    <w:uiPriority w:val="0"/>
    <w:rPr>
      <w:rFonts w:hint="eastAsia" w:ascii="宋体" w:hAnsi="Courier New" w:eastAsia="宋体" w:cs="Times New Roman"/>
      <w:kern w:val="2"/>
      <w:sz w:val="21"/>
      <w:szCs w:val="24"/>
    </w:rPr>
  </w:style>
  <w:style w:type="character" w:customStyle="1" w:styleId="85">
    <w:name w:val="日期 字符1"/>
    <w:basedOn w:val="21"/>
    <w:link w:val="14"/>
    <w:qFormat/>
    <w:uiPriority w:val="0"/>
    <w:rPr>
      <w:kern w:val="2"/>
      <w:sz w:val="21"/>
      <w:szCs w:val="24"/>
    </w:rPr>
  </w:style>
  <w:style w:type="character" w:customStyle="1" w:styleId="86">
    <w:name w:val="正文首行缩进 字符2"/>
    <w:basedOn w:val="87"/>
    <w:link w:val="2"/>
    <w:qFormat/>
    <w:uiPriority w:val="0"/>
    <w:rPr>
      <w:kern w:val="2"/>
      <w:sz w:val="24"/>
      <w:szCs w:val="24"/>
    </w:rPr>
  </w:style>
  <w:style w:type="character" w:customStyle="1" w:styleId="87">
    <w:name w:val="正文文本 字符2"/>
    <w:basedOn w:val="21"/>
    <w:link w:val="3"/>
    <w:qFormat/>
    <w:uiPriority w:val="0"/>
    <w:rPr>
      <w:kern w:val="2"/>
      <w:sz w:val="24"/>
      <w:szCs w:val="24"/>
    </w:rPr>
  </w:style>
  <w:style w:type="character" w:customStyle="1" w:styleId="88">
    <w:name w:val="批注文字 字符2"/>
    <w:basedOn w:val="21"/>
    <w:link w:val="11"/>
    <w:qFormat/>
    <w:uiPriority w:val="0"/>
    <w:rPr>
      <w:kern w:val="2"/>
      <w:sz w:val="21"/>
      <w:szCs w:val="24"/>
    </w:rPr>
  </w:style>
  <w:style w:type="character" w:customStyle="1" w:styleId="89">
    <w:name w:val="正文首行缩进 Char"/>
    <w:basedOn w:val="90"/>
    <w:link w:val="2"/>
    <w:qFormat/>
    <w:uiPriority w:val="0"/>
    <w:rPr>
      <w:kern w:val="2"/>
      <w:sz w:val="21"/>
      <w:szCs w:val="24"/>
    </w:rPr>
  </w:style>
  <w:style w:type="character" w:customStyle="1" w:styleId="90">
    <w:name w:val="正文文本 Char"/>
    <w:basedOn w:val="21"/>
    <w:link w:val="3"/>
    <w:qFormat/>
    <w:uiPriority w:val="0"/>
    <w:rPr>
      <w:kern w:val="2"/>
      <w:sz w:val="21"/>
      <w:szCs w:val="24"/>
    </w:rPr>
  </w:style>
  <w:style w:type="paragraph" w:customStyle="1" w:styleId="91">
    <w:name w:val="_Style 62"/>
    <w:basedOn w:val="1"/>
    <w:next w:val="28"/>
    <w:qFormat/>
    <w:uiPriority w:val="0"/>
    <w:pPr>
      <w:ind w:firstLine="420" w:firstLineChars="200"/>
    </w:pPr>
    <w:rPr>
      <w:rFonts w:ascii="Calibri" w:hAnsi="Calibri"/>
      <w:szCs w:val="22"/>
    </w:rPr>
  </w:style>
  <w:style w:type="character" w:customStyle="1" w:styleId="92">
    <w:name w:val="font31"/>
    <w:basedOn w:val="21"/>
    <w:qFormat/>
    <w:uiPriority w:val="0"/>
    <w:rPr>
      <w:rFonts w:hint="eastAsia" w:ascii="仿宋_GB2312" w:eastAsia="仿宋_GB2312" w:cs="仿宋_GB2312"/>
      <w:color w:val="FF0000"/>
      <w:sz w:val="24"/>
      <w:szCs w:val="24"/>
      <w:u w:val="none"/>
    </w:rPr>
  </w:style>
  <w:style w:type="character" w:customStyle="1" w:styleId="93">
    <w:name w:val="日期 Char"/>
    <w:basedOn w:val="21"/>
    <w:link w:val="14"/>
    <w:qFormat/>
    <w:uiPriority w:val="0"/>
    <w:rPr>
      <w:rFonts w:hint="default" w:ascii="Calibri" w:hAnsi="Calibri" w:eastAsia="楷体_GB2312" w:cs="Calibri"/>
      <w:kern w:val="2"/>
      <w:sz w:val="32"/>
      <w:szCs w:val="32"/>
    </w:rPr>
  </w:style>
  <w:style w:type="character" w:customStyle="1" w:styleId="94">
    <w:name w:val="正文首行缩进 2 Char"/>
    <w:link w:val="17"/>
    <w:qFormat/>
    <w:uiPriority w:val="0"/>
    <w:rPr>
      <w:kern w:val="2"/>
      <w:sz w:val="21"/>
      <w:szCs w:val="21"/>
    </w:rPr>
  </w:style>
  <w:style w:type="character" w:customStyle="1" w:styleId="95">
    <w:name w:val="纯文本 Char"/>
    <w:basedOn w:val="21"/>
    <w:link w:val="13"/>
    <w:qFormat/>
    <w:uiPriority w:val="0"/>
    <w:rPr>
      <w:rFonts w:hint="eastAsia" w:ascii="宋体" w:hAnsi="Courier New" w:eastAsia="宋体" w:cs="宋体"/>
      <w:kern w:val="2"/>
      <w:sz w:val="21"/>
      <w:szCs w:val="24"/>
    </w:rPr>
  </w:style>
  <w:style w:type="character" w:customStyle="1" w:styleId="96">
    <w:name w:val="批注文字 Char"/>
    <w:basedOn w:val="21"/>
    <w:link w:val="11"/>
    <w:qFormat/>
    <w:uiPriority w:val="0"/>
    <w:rPr>
      <w:rFonts w:hint="eastAsia" w:ascii="等线" w:hAnsi="等线" w:eastAsia="等线" w:cs="Times New Roman"/>
      <w:kern w:val="2"/>
      <w:sz w:val="21"/>
      <w:szCs w:val="21"/>
    </w:rPr>
  </w:style>
  <w:style w:type="character" w:customStyle="1" w:styleId="97">
    <w:name w:val="副标题 Char"/>
    <w:basedOn w:val="21"/>
    <w:link w:val="4"/>
    <w:qFormat/>
    <w:uiPriority w:val="0"/>
    <w:rPr>
      <w:rFonts w:hint="default" w:ascii="Calibri Light" w:hAnsi="Calibri Light" w:eastAsia="Calibri Light" w:cs="Calibri Light"/>
    </w:rPr>
  </w:style>
  <w:style w:type="character" w:customStyle="1" w:styleId="98">
    <w:name w:val="标题 3 Char"/>
    <w:basedOn w:val="21"/>
    <w:link w:val="7"/>
    <w:qFormat/>
    <w:uiPriority w:val="0"/>
    <w:rPr>
      <w:bCs/>
      <w:kern w:val="2"/>
      <w:sz w:val="21"/>
      <w:szCs w:val="32"/>
    </w:rPr>
  </w:style>
  <w:style w:type="character" w:customStyle="1" w:styleId="99">
    <w:name w:val="标题 2 Char"/>
    <w:basedOn w:val="21"/>
    <w:link w:val="6"/>
    <w:qFormat/>
    <w:uiPriority w:val="0"/>
    <w:rPr>
      <w:rFonts w:hint="eastAsia" w:ascii="宋体" w:hAnsi="宋体" w:eastAsia="宋体" w:cs="宋体"/>
      <w:b/>
      <w:kern w:val="2"/>
      <w:sz w:val="32"/>
      <w:szCs w:val="28"/>
    </w:rPr>
  </w:style>
  <w:style w:type="character" w:customStyle="1" w:styleId="100">
    <w:name w:val="页脚 Char"/>
    <w:basedOn w:val="21"/>
    <w:link w:val="16"/>
    <w:qFormat/>
    <w:uiPriority w:val="0"/>
    <w:rPr>
      <w:kern w:val="2"/>
      <w:sz w:val="18"/>
      <w:szCs w:val="24"/>
    </w:rPr>
  </w:style>
  <w:style w:type="character" w:customStyle="1" w:styleId="101">
    <w:name w:val="页眉 Char"/>
    <w:basedOn w:val="21"/>
    <w:link w:val="18"/>
    <w:qFormat/>
    <w:uiPriority w:val="0"/>
    <w:rPr>
      <w:kern w:val="2"/>
      <w:sz w:val="18"/>
      <w:szCs w:val="24"/>
    </w:rPr>
  </w:style>
  <w:style w:type="paragraph" w:customStyle="1" w:styleId="102">
    <w:name w:val="msolistparagraph1"/>
    <w:basedOn w:val="1"/>
    <w:qFormat/>
    <w:uiPriority w:val="0"/>
    <w:pPr>
      <w:keepNext w:val="0"/>
      <w:keepLines w:val="0"/>
      <w:widowControl w:val="0"/>
      <w:suppressLineNumbers w:val="0"/>
      <w:adjustRightInd w:val="0"/>
      <w:spacing w:before="0" w:beforeAutospacing="0" w:after="0" w:afterAutospacing="0" w:line="360" w:lineRule="auto"/>
      <w:ind w:left="0" w:right="0" w:firstLine="200" w:firstLineChars="200"/>
      <w:jc w:val="both"/>
    </w:pPr>
    <w:rPr>
      <w:rFonts w:hint="default" w:ascii="Times New Roman" w:hAnsi="Times New Roman" w:eastAsia="楷体_GB2312"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28879</Words>
  <Characters>30426</Characters>
  <Lines>208</Lines>
  <Paragraphs>58</Paragraphs>
  <TotalTime>64</TotalTime>
  <ScaleCrop>false</ScaleCrop>
  <LinksUpToDate>false</LinksUpToDate>
  <CharactersWithSpaces>31225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2024-04-29T11:42:00Z</dcterms:created>
  <dc:creator>Thorpe521</dc:creator>
  <cp:lastModifiedBy>Ushop</cp:lastModifiedBy>
  <cp:lastPrinted>2024-10-25T02:57:00Z</cp:lastPrinted>
  <dcterms:modified xsi:type="dcterms:W3CDTF">2024-10-25T07:41:31Z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E20E000FD769499887B39F3361D98633_13</vt:lpwstr>
  </property>
</Properties>
</file>