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05"/>
          <w:tab w:val="left" w:pos="735"/>
          <w:tab w:val="left" w:pos="945"/>
          <w:tab w:val="left" w:pos="3360"/>
        </w:tabs>
        <w:spacing w:line="500" w:lineRule="exact"/>
        <w:jc w:val="center"/>
        <w:rPr>
          <w:rFonts w:ascii="仿宋" w:hAnsi="仿宋" w:eastAsia="仿宋" w:cs="仿宋"/>
          <w:b/>
          <w:sz w:val="36"/>
        </w:rPr>
      </w:pPr>
    </w:p>
    <w:p>
      <w:pPr>
        <w:pStyle w:val="18"/>
        <w:rPr>
          <w:rFonts w:ascii="仿宋" w:hAnsi="仿宋" w:eastAsia="仿宋" w:cs="仿宋"/>
        </w:rPr>
      </w:pPr>
    </w:p>
    <w:p>
      <w:pPr>
        <w:spacing w:line="500" w:lineRule="exact"/>
        <w:rPr>
          <w:rFonts w:ascii="仿宋" w:hAnsi="仿宋" w:eastAsia="仿宋" w:cs="仿宋"/>
        </w:rPr>
      </w:pPr>
      <w:r>
        <w:drawing>
          <wp:anchor distT="0" distB="0" distL="114300" distR="114300" simplePos="0" relativeHeight="251663360" behindDoc="0" locked="0" layoutInCell="1" allowOverlap="1">
            <wp:simplePos x="0" y="0"/>
            <wp:positionH relativeFrom="column">
              <wp:posOffset>1877060</wp:posOffset>
            </wp:positionH>
            <wp:positionV relativeFrom="paragraph">
              <wp:posOffset>288290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469390" cy="1346200"/>
                    </a:xfrm>
                    <a:prstGeom prst="rect">
                      <a:avLst/>
                    </a:prstGeom>
                    <a:noFill/>
                    <a:ln>
                      <a:noFill/>
                    </a:ln>
                  </pic:spPr>
                </pic:pic>
              </a:graphicData>
            </a:graphic>
          </wp:anchor>
        </w:drawing>
      </w:r>
    </w:p>
    <w:p>
      <w:pPr>
        <w:spacing w:line="1000" w:lineRule="exact"/>
        <w:jc w:val="center"/>
        <w:rPr>
          <w:rFonts w:ascii="仿宋" w:hAnsi="仿宋" w:eastAsia="仿宋" w:cs="仿宋"/>
          <w:sz w:val="72"/>
        </w:rPr>
      </w:pPr>
    </w:p>
    <w:p>
      <w:pPr>
        <w:spacing w:line="360" w:lineRule="auto"/>
        <w:jc w:val="center"/>
        <w:rPr>
          <w:rFonts w:ascii="仿宋" w:hAnsi="仿宋" w:eastAsia="仿宋" w:cs="仿宋"/>
          <w:sz w:val="72"/>
          <w:szCs w:val="72"/>
        </w:rPr>
      </w:pPr>
    </w:p>
    <w:p>
      <w:pPr>
        <w:pStyle w:val="18"/>
        <w:rPr>
          <w:rFonts w:ascii="仿宋" w:hAnsi="仿宋" w:eastAsia="仿宋" w:cs="仿宋"/>
        </w:rPr>
      </w:pPr>
    </w:p>
    <w:p>
      <w:pPr>
        <w:pStyle w:val="18"/>
        <w:rPr>
          <w:rFonts w:ascii="仿宋" w:hAnsi="仿宋" w:eastAsia="仿宋" w:cs="仿宋"/>
        </w:rPr>
      </w:pPr>
    </w:p>
    <w:p>
      <w:pPr>
        <w:spacing w:line="360" w:lineRule="auto"/>
        <w:jc w:val="center"/>
        <w:rPr>
          <w:rFonts w:hint="eastAsia" w:ascii="仿宋" w:hAnsi="仿宋" w:eastAsia="仿宋" w:cs="仿宋"/>
          <w:b/>
          <w:bCs/>
          <w:sz w:val="72"/>
        </w:rPr>
      </w:pPr>
      <w:r>
        <w:rPr>
          <w:rFonts w:hint="eastAsia" w:ascii="仿宋" w:hAnsi="仿宋" w:eastAsia="仿宋" w:cs="仿宋"/>
          <w:b/>
          <w:bCs/>
          <w:sz w:val="72"/>
        </w:rPr>
        <w:t>政府采购</w:t>
      </w:r>
    </w:p>
    <w:p>
      <w:pPr>
        <w:spacing w:line="360" w:lineRule="auto"/>
        <w:jc w:val="center"/>
        <w:outlineLvl w:val="0"/>
        <w:rPr>
          <w:rFonts w:hint="eastAsia" w:ascii="仿宋" w:hAnsi="仿宋" w:eastAsia="仿宋" w:cs="仿宋"/>
          <w:b/>
          <w:bCs/>
          <w:sz w:val="72"/>
        </w:rPr>
      </w:pPr>
      <w:bookmarkStart w:id="0" w:name="_Toc3134"/>
      <w:bookmarkStart w:id="1" w:name="_Toc19641"/>
      <w:bookmarkStart w:id="2" w:name="_Toc20442"/>
      <w:r>
        <w:rPr>
          <w:rFonts w:hint="eastAsia" w:ascii="仿宋" w:hAnsi="仿宋" w:eastAsia="仿宋" w:cs="仿宋"/>
          <w:b/>
          <w:bCs/>
          <w:sz w:val="72"/>
        </w:rPr>
        <w:t>竞争性磋商文件</w:t>
      </w:r>
      <w:bookmarkEnd w:id="0"/>
      <w:bookmarkEnd w:id="1"/>
      <w:bookmarkEnd w:id="2"/>
    </w:p>
    <w:p>
      <w:pPr>
        <w:spacing w:line="360" w:lineRule="auto"/>
        <w:jc w:val="both"/>
        <w:rPr>
          <w:rFonts w:hint="eastAsia" w:ascii="仿宋" w:hAnsi="仿宋" w:eastAsia="仿宋" w:cs="仿宋"/>
          <w:sz w:val="32"/>
        </w:rPr>
      </w:pPr>
    </w:p>
    <w:p>
      <w:pPr>
        <w:pStyle w:val="18"/>
        <w:rPr>
          <w:rFonts w:hint="eastAsia" w:ascii="仿宋" w:hAnsi="仿宋" w:eastAsia="仿宋" w:cs="仿宋"/>
        </w:rPr>
      </w:pPr>
    </w:p>
    <w:p>
      <w:pPr>
        <w:tabs>
          <w:tab w:val="left" w:pos="7770"/>
          <w:tab w:val="left" w:pos="7980"/>
        </w:tabs>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项目编号:TZFD(2024)-</w:t>
      </w:r>
      <w:r>
        <w:rPr>
          <w:rFonts w:hint="eastAsia" w:ascii="仿宋" w:hAnsi="仿宋" w:eastAsia="仿宋" w:cs="仿宋"/>
          <w:sz w:val="28"/>
          <w:szCs w:val="28"/>
          <w:lang w:eastAsia="zh-CN"/>
        </w:rPr>
        <w:t>1078号</w:t>
      </w:r>
    </w:p>
    <w:p>
      <w:pPr>
        <w:tabs>
          <w:tab w:val="left" w:pos="7770"/>
          <w:tab w:val="left" w:pos="7980"/>
        </w:tabs>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台州市教育技术与信息中心超融合平台软硬件系统项目</w:t>
      </w:r>
    </w:p>
    <w:p>
      <w:pPr>
        <w:pStyle w:val="18"/>
        <w:rPr>
          <w:rFonts w:hint="eastAsia" w:ascii="仿宋" w:hAnsi="仿宋" w:eastAsia="仿宋" w:cs="仿宋"/>
        </w:rPr>
      </w:pPr>
    </w:p>
    <w:p>
      <w:pPr>
        <w:spacing w:line="360" w:lineRule="auto"/>
        <w:jc w:val="center"/>
        <w:rPr>
          <w:rFonts w:hint="eastAsia" w:ascii="仿宋" w:hAnsi="仿宋" w:eastAsia="仿宋" w:cs="仿宋"/>
          <w:spacing w:val="12"/>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pacing w:val="12"/>
          <w:sz w:val="28"/>
          <w:szCs w:val="28"/>
        </w:rPr>
        <w:t>采购单位：台州市教育技术与信息中心</w:t>
      </w:r>
    </w:p>
    <w:p>
      <w:pPr>
        <w:spacing w:line="360" w:lineRule="auto"/>
        <w:jc w:val="center"/>
        <w:rPr>
          <w:rFonts w:hint="eastAsia" w:ascii="仿宋" w:hAnsi="仿宋" w:eastAsia="仿宋" w:cs="仿宋"/>
          <w:spacing w:val="12"/>
          <w:sz w:val="28"/>
          <w:szCs w:val="28"/>
        </w:rPr>
      </w:pPr>
      <w:r>
        <w:rPr>
          <w:rFonts w:hint="eastAsia" w:ascii="仿宋" w:hAnsi="仿宋" w:eastAsia="仿宋" w:cs="仿宋"/>
          <w:spacing w:val="12"/>
          <w:sz w:val="28"/>
          <w:szCs w:val="28"/>
        </w:rPr>
        <w:t>代理机构：台州锋鼎工程项目管理有限公司</w:t>
      </w:r>
    </w:p>
    <w:p>
      <w:pPr>
        <w:pStyle w:val="3"/>
        <w:rPr>
          <w:rFonts w:hint="eastAsia" w:ascii="仿宋" w:hAnsi="仿宋" w:eastAsia="仿宋" w:cs="仿宋"/>
        </w:rPr>
      </w:pPr>
    </w:p>
    <w:p>
      <w:pPr>
        <w:spacing w:line="360" w:lineRule="auto"/>
        <w:jc w:val="center"/>
        <w:rPr>
          <w:rFonts w:hint="eastAsia" w:ascii="仿宋" w:hAnsi="仿宋" w:eastAsia="仿宋" w:cs="仿宋"/>
          <w:sz w:val="28"/>
          <w:szCs w:val="28"/>
        </w:rPr>
        <w:sectPr>
          <w:headerReference r:id="rId3" w:type="default"/>
          <w:footerReference r:id="rId4" w:type="default"/>
          <w:type w:val="continuous"/>
          <w:pgSz w:w="11906" w:h="16838"/>
          <w:pgMar w:top="1440" w:right="1797" w:bottom="1440" w:left="1797" w:header="851" w:footer="992" w:gutter="0"/>
          <w:pgNumType w:start="1"/>
          <w:cols w:space="720" w:num="1"/>
          <w:docGrid w:linePitch="312" w:charSpace="0"/>
        </w:sectPr>
      </w:pPr>
      <w:r>
        <w:rPr>
          <w:rFonts w:hint="eastAsia" w:ascii="仿宋" w:hAnsi="仿宋" w:eastAsia="仿宋" w:cs="仿宋"/>
          <w:sz w:val="28"/>
          <w:szCs w:val="28"/>
        </w:rPr>
        <w:t>2024年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p>
    <w:p>
      <w:pPr>
        <w:pStyle w:val="22"/>
        <w:spacing w:line="360" w:lineRule="auto"/>
        <w:jc w:val="center"/>
        <w:rPr>
          <w:rFonts w:hint="eastAsia" w:ascii="仿宋" w:hAnsi="仿宋" w:eastAsia="仿宋" w:cs="仿宋"/>
          <w:b/>
          <w:sz w:val="30"/>
          <w:szCs w:val="30"/>
        </w:rPr>
      </w:pPr>
    </w:p>
    <w:p>
      <w:pPr>
        <w:jc w:val="center"/>
        <w:rPr>
          <w:rFonts w:hint="eastAsia" w:ascii="仿宋" w:hAnsi="仿宋" w:eastAsia="仿宋" w:cs="仿宋"/>
          <w:b/>
          <w:sz w:val="52"/>
        </w:rPr>
      </w:pPr>
      <w:bookmarkStart w:id="3" w:name="_Toc3082"/>
      <w:bookmarkStart w:id="4" w:name="_Toc31731"/>
      <w:bookmarkStart w:id="5" w:name="_Toc24327"/>
      <w:r>
        <w:rPr>
          <w:rFonts w:hint="eastAsia" w:ascii="仿宋" w:hAnsi="仿宋" w:eastAsia="仿宋" w:cs="仿宋"/>
          <w:b/>
          <w:sz w:val="52"/>
        </w:rPr>
        <w:t>目    录</w:t>
      </w:r>
      <w:bookmarkEnd w:id="3"/>
      <w:bookmarkEnd w:id="4"/>
      <w:bookmarkEnd w:id="5"/>
    </w:p>
    <w:p>
      <w:pPr>
        <w:pStyle w:val="18"/>
        <w:rPr>
          <w:rFonts w:hint="eastAsia" w:ascii="仿宋" w:hAnsi="仿宋" w:eastAsia="仿宋" w:cs="仿宋"/>
        </w:rPr>
      </w:pPr>
    </w:p>
    <w:sdt>
      <w:sdtPr>
        <w:rPr>
          <w:rFonts w:hint="eastAsia" w:ascii="仿宋" w:hAnsi="仿宋" w:eastAsia="仿宋" w:cs="仿宋"/>
          <w:sz w:val="21"/>
        </w:rPr>
        <w:id w:val="147466154"/>
        <w15:color w:val="DBDBDB"/>
        <w:docPartObj>
          <w:docPartGallery w:val="Table of Contents"/>
          <w:docPartUnique/>
        </w:docPartObj>
      </w:sdtPr>
      <w:sdtEndPr>
        <w:rPr>
          <w:rFonts w:hint="eastAsia" w:ascii="仿宋" w:hAnsi="仿宋" w:eastAsia="仿宋" w:cs="仿宋"/>
          <w:sz w:val="21"/>
        </w:rPr>
      </w:sdtEndPr>
      <w:sdtContent>
        <w:p>
          <w:pPr>
            <w:jc w:val="center"/>
            <w:rPr>
              <w:rFonts w:hint="eastAsia" w:ascii="仿宋" w:hAnsi="仿宋" w:eastAsia="仿宋" w:cs="仿宋"/>
              <w:sz w:val="28"/>
              <w:szCs w:val="28"/>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"1-1" \h \u </w:instrText>
          </w:r>
          <w:r>
            <w:rPr>
              <w:rFonts w:hint="eastAsia" w:ascii="仿宋" w:hAnsi="仿宋" w:eastAsia="仿宋" w:cs="仿宋"/>
              <w:sz w:val="30"/>
              <w:szCs w:val="30"/>
            </w:rPr>
            <w:fldChar w:fldCharType="separate"/>
          </w:r>
        </w:p>
        <w:p>
          <w:pPr>
            <w:rPr>
              <w:rFonts w:hint="eastAsia" w:ascii="仿宋" w:hAnsi="仿宋" w:eastAsia="仿宋" w:cs="仿宋"/>
              <w:sz w:val="28"/>
              <w:szCs w:val="28"/>
            </w:rPr>
          </w:pPr>
        </w:p>
        <w:p>
          <w:pPr>
            <w:rPr>
              <w:rFonts w:hint="eastAsia" w:ascii="仿宋" w:hAnsi="仿宋" w:eastAsia="仿宋" w:cs="仿宋"/>
              <w:sz w:val="28"/>
              <w:szCs w:val="28"/>
            </w:rPr>
          </w:pP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"_Toc30545" </w:instrText>
          </w:r>
          <w:r>
            <w:rPr>
              <w:rFonts w:hint="eastAsia" w:ascii="仿宋" w:hAnsi="仿宋" w:eastAsia="仿宋" w:cs="仿宋"/>
            </w:rPr>
            <w:fldChar w:fldCharType="separate"/>
          </w:r>
          <w:r>
            <w:rPr>
              <w:rFonts w:hint="eastAsia" w:ascii="仿宋" w:hAnsi="仿宋" w:eastAsia="仿宋" w:cs="仿宋"/>
              <w:sz w:val="28"/>
              <w:szCs w:val="28"/>
            </w:rPr>
            <w:t>第一部分  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_Toc30545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"_Toc8611" </w:instrText>
          </w:r>
          <w:r>
            <w:rPr>
              <w:rFonts w:hint="eastAsia" w:ascii="仿宋" w:hAnsi="仿宋" w:eastAsia="仿宋" w:cs="仿宋"/>
            </w:rPr>
            <w:fldChar w:fldCharType="separate"/>
          </w:r>
          <w:r>
            <w:rPr>
              <w:rFonts w:hint="eastAsia" w:ascii="仿宋" w:hAnsi="仿宋" w:eastAsia="仿宋" w:cs="仿宋"/>
              <w:sz w:val="28"/>
              <w:szCs w:val="28"/>
            </w:rPr>
            <w:t>第二部分  竞争性磋商流程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_Toc8611 \h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"_Toc3210" </w:instrText>
          </w:r>
          <w:r>
            <w:rPr>
              <w:rFonts w:hint="eastAsia" w:ascii="仿宋" w:hAnsi="仿宋" w:eastAsia="仿宋" w:cs="仿宋"/>
            </w:rPr>
            <w:fldChar w:fldCharType="separate"/>
          </w:r>
          <w:r>
            <w:rPr>
              <w:rFonts w:hint="eastAsia" w:ascii="仿宋" w:hAnsi="仿宋" w:eastAsia="仿宋" w:cs="仿宋"/>
              <w:sz w:val="28"/>
              <w:szCs w:val="28"/>
            </w:rPr>
            <w:t>第三部分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"_Toc9381" </w:instrText>
          </w:r>
          <w:r>
            <w:rPr>
              <w:rFonts w:hint="eastAsia" w:ascii="仿宋" w:hAnsi="仿宋" w:eastAsia="仿宋" w:cs="仿宋"/>
            </w:rPr>
            <w:fldChar w:fldCharType="separate"/>
          </w:r>
          <w:r>
            <w:rPr>
              <w:rFonts w:hint="eastAsia" w:ascii="仿宋" w:hAnsi="仿宋" w:eastAsia="仿宋" w:cs="仿宋"/>
              <w:sz w:val="28"/>
              <w:szCs w:val="28"/>
            </w:rPr>
            <w:t>第四部分  评标办法及评审标准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_Toc9381 \h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"_Toc20886" </w:instrText>
          </w:r>
          <w:r>
            <w:rPr>
              <w:rFonts w:hint="eastAsia" w:ascii="仿宋" w:hAnsi="仿宋" w:eastAsia="仿宋" w:cs="仿宋"/>
            </w:rPr>
            <w:fldChar w:fldCharType="separate"/>
          </w:r>
          <w:r>
            <w:rPr>
              <w:rFonts w:hint="eastAsia" w:ascii="仿宋" w:hAnsi="仿宋" w:eastAsia="仿宋" w:cs="仿宋"/>
              <w:sz w:val="28"/>
              <w:szCs w:val="28"/>
            </w:rPr>
            <w:t>第五部分  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_Toc20886 \h </w:instrText>
          </w:r>
          <w:r>
            <w:rPr>
              <w:rFonts w:hint="eastAsia" w:ascii="仿宋" w:hAnsi="仿宋" w:eastAsia="仿宋" w:cs="仿宋"/>
              <w:sz w:val="28"/>
              <w:szCs w:val="28"/>
            </w:rPr>
            <w:fldChar w:fldCharType="separate"/>
          </w:r>
          <w:r>
            <w:rPr>
              <w:rFonts w:hint="eastAsia" w:ascii="仿宋" w:hAnsi="仿宋" w:eastAsia="仿宋" w:cs="仿宋"/>
              <w:sz w:val="28"/>
              <w:szCs w:val="28"/>
            </w:rPr>
            <w:t>- 30 -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"_Toc32309" </w:instrText>
          </w:r>
          <w:r>
            <w:rPr>
              <w:rFonts w:hint="eastAsia" w:ascii="仿宋" w:hAnsi="仿宋" w:eastAsia="仿宋" w:cs="仿宋"/>
            </w:rPr>
            <w:fldChar w:fldCharType="separate"/>
          </w:r>
          <w:r>
            <w:rPr>
              <w:rFonts w:hint="eastAsia" w:ascii="仿宋" w:hAnsi="仿宋" w:eastAsia="仿宋" w:cs="仿宋"/>
              <w:sz w:val="28"/>
              <w:szCs w:val="28"/>
            </w:rPr>
            <w:t>第六部分  政府采购合同主要条款指引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_Toc32309 \h </w:instrText>
          </w:r>
          <w:r>
            <w:rPr>
              <w:rFonts w:hint="eastAsia" w:ascii="仿宋" w:hAnsi="仿宋" w:eastAsia="仿宋" w:cs="仿宋"/>
              <w:sz w:val="28"/>
              <w:szCs w:val="28"/>
            </w:rPr>
            <w:fldChar w:fldCharType="separate"/>
          </w:r>
          <w:r>
            <w:rPr>
              <w:rFonts w:hint="eastAsia" w:ascii="仿宋" w:hAnsi="仿宋" w:eastAsia="仿宋" w:cs="仿宋"/>
              <w:sz w:val="28"/>
              <w:szCs w:val="28"/>
            </w:rPr>
            <w:t>- 66 -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"_Toc9011" </w:instrText>
          </w:r>
          <w:r>
            <w:rPr>
              <w:rFonts w:hint="eastAsia" w:ascii="仿宋" w:hAnsi="仿宋" w:eastAsia="仿宋" w:cs="仿宋"/>
            </w:rPr>
            <w:fldChar w:fldCharType="separate"/>
          </w:r>
          <w:r>
            <w:rPr>
              <w:rFonts w:hint="eastAsia" w:ascii="仿宋" w:hAnsi="仿宋" w:eastAsia="仿宋" w:cs="仿宋"/>
              <w:sz w:val="28"/>
              <w:szCs w:val="28"/>
            </w:rPr>
            <w:t>第七部分  响应文件格式附件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_Toc9011 \h </w:instrText>
          </w:r>
          <w:r>
            <w:rPr>
              <w:rFonts w:hint="eastAsia" w:ascii="仿宋" w:hAnsi="仿宋" w:eastAsia="仿宋" w:cs="仿宋"/>
              <w:sz w:val="28"/>
              <w:szCs w:val="28"/>
            </w:rPr>
            <w:fldChar w:fldCharType="separate"/>
          </w:r>
          <w:r>
            <w:rPr>
              <w:rFonts w:hint="eastAsia" w:ascii="仿宋" w:hAnsi="仿宋" w:eastAsia="仿宋" w:cs="仿宋"/>
              <w:sz w:val="28"/>
              <w:szCs w:val="28"/>
            </w:rPr>
            <w:t>- 70 -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tabs>
              <w:tab w:val="right" w:leader="dot" w:pos="8312"/>
            </w:tabs>
            <w:spacing w:line="480" w:lineRule="auto"/>
            <w:rPr>
              <w:rFonts w:hint="eastAsia" w:ascii="仿宋" w:hAnsi="仿宋" w:eastAsia="仿宋" w:cs="仿宋"/>
            </w:rPr>
          </w:pPr>
        </w:p>
        <w:p>
          <w:pPr>
            <w:pStyle w:val="18"/>
            <w:spacing w:after="0" w:line="360" w:lineRule="auto"/>
            <w:rPr>
              <w:rFonts w:hint="eastAsia" w:ascii="仿宋" w:hAnsi="仿宋" w:eastAsia="仿宋" w:cs="仿宋"/>
            </w:rPr>
          </w:pPr>
          <w:r>
            <w:rPr>
              <w:rFonts w:hint="eastAsia" w:ascii="仿宋" w:hAnsi="仿宋" w:eastAsia="仿宋" w:cs="仿宋"/>
              <w:szCs w:val="30"/>
            </w:rPr>
            <w:fldChar w:fldCharType="end"/>
          </w:r>
        </w:p>
      </w:sdtContent>
    </w:sdt>
    <w:p>
      <w:pPr>
        <w:pStyle w:val="18"/>
        <w:rPr>
          <w:rFonts w:hint="eastAsia" w:ascii="仿宋" w:hAnsi="仿宋" w:eastAsia="仿宋" w:cs="仿宋"/>
        </w:rPr>
      </w:pPr>
    </w:p>
    <w:p>
      <w:pPr>
        <w:tabs>
          <w:tab w:val="left" w:pos="105"/>
          <w:tab w:val="left" w:pos="735"/>
          <w:tab w:val="left" w:pos="945"/>
          <w:tab w:val="left" w:pos="2670"/>
          <w:tab w:val="left" w:pos="3360"/>
        </w:tabs>
        <w:spacing w:line="500" w:lineRule="exact"/>
        <w:jc w:val="left"/>
        <w:rPr>
          <w:rFonts w:hint="eastAsia" w:ascii="仿宋" w:hAnsi="仿宋" w:eastAsia="仿宋" w:cs="仿宋"/>
          <w:sz w:val="44"/>
          <w:lang w:eastAsia="zh-CN"/>
        </w:rPr>
      </w:pPr>
      <w:r>
        <w:rPr>
          <w:rFonts w:hint="eastAsia" w:ascii="仿宋" w:hAnsi="仿宋" w:eastAsia="仿宋" w:cs="仿宋"/>
          <w:sz w:val="44"/>
          <w:lang w:eastAsia="zh-CN"/>
        </w:rPr>
        <w:tab/>
      </w:r>
      <w:r>
        <w:rPr>
          <w:rFonts w:hint="eastAsia" w:ascii="仿宋" w:hAnsi="仿宋" w:eastAsia="仿宋" w:cs="仿宋"/>
          <w:sz w:val="44"/>
          <w:lang w:eastAsia="zh-CN"/>
        </w:rPr>
        <w:tab/>
      </w:r>
      <w:r>
        <w:rPr>
          <w:rFonts w:hint="eastAsia" w:ascii="仿宋" w:hAnsi="仿宋" w:eastAsia="仿宋" w:cs="仿宋"/>
          <w:sz w:val="44"/>
          <w:lang w:eastAsia="zh-CN"/>
        </w:rPr>
        <w:tab/>
      </w:r>
      <w:r>
        <w:rPr>
          <w:rFonts w:hint="eastAsia" w:ascii="仿宋" w:hAnsi="仿宋" w:eastAsia="仿宋" w:cs="仿宋"/>
          <w:sz w:val="44"/>
          <w:lang w:eastAsia="zh-CN"/>
        </w:rPr>
        <w:tab/>
      </w:r>
      <w:r>
        <w:rPr>
          <w:rFonts w:hint="eastAsia" w:ascii="仿宋" w:hAnsi="仿宋" w:eastAsia="仿宋" w:cs="仿宋"/>
          <w:sz w:val="44"/>
          <w:lang w:eastAsia="zh-CN"/>
        </w:rPr>
        <w:tab/>
      </w:r>
    </w:p>
    <w:p>
      <w:pPr>
        <w:tabs>
          <w:tab w:val="left" w:pos="105"/>
          <w:tab w:val="left" w:pos="735"/>
          <w:tab w:val="left" w:pos="945"/>
          <w:tab w:val="left" w:pos="3360"/>
        </w:tabs>
        <w:spacing w:line="480" w:lineRule="auto"/>
        <w:rPr>
          <w:rFonts w:hint="eastAsia" w:ascii="仿宋" w:hAnsi="仿宋" w:eastAsia="仿宋" w:cs="仿宋"/>
          <w:sz w:val="32"/>
        </w:rPr>
      </w:pPr>
    </w:p>
    <w:p>
      <w:pPr>
        <w:tabs>
          <w:tab w:val="left" w:pos="105"/>
          <w:tab w:val="left" w:pos="735"/>
          <w:tab w:val="left" w:pos="945"/>
          <w:tab w:val="left" w:pos="3360"/>
        </w:tabs>
        <w:spacing w:line="500" w:lineRule="exact"/>
        <w:rPr>
          <w:rFonts w:hint="eastAsia" w:ascii="仿宋" w:hAnsi="仿宋" w:eastAsia="仿宋" w:cs="仿宋"/>
          <w:sz w:val="32"/>
        </w:rPr>
      </w:pPr>
    </w:p>
    <w:p>
      <w:pPr>
        <w:tabs>
          <w:tab w:val="left" w:pos="105"/>
          <w:tab w:val="left" w:pos="735"/>
          <w:tab w:val="left" w:pos="945"/>
          <w:tab w:val="left" w:pos="3360"/>
        </w:tabs>
        <w:spacing w:line="500" w:lineRule="exact"/>
        <w:rPr>
          <w:rFonts w:hint="eastAsia" w:ascii="仿宋" w:hAnsi="仿宋" w:eastAsia="仿宋" w:cs="仿宋"/>
          <w:sz w:val="32"/>
        </w:rPr>
      </w:pPr>
    </w:p>
    <w:p>
      <w:pPr>
        <w:widowControl w:val="0"/>
        <w:tabs>
          <w:tab w:val="left" w:pos="105"/>
          <w:tab w:val="left" w:pos="735"/>
          <w:tab w:val="left" w:pos="945"/>
          <w:tab w:val="left" w:pos="3360"/>
        </w:tabs>
        <w:spacing w:line="500" w:lineRule="exact"/>
        <w:jc w:val="center"/>
        <w:rPr>
          <w:rFonts w:hint="eastAsia" w:ascii="仿宋" w:hAnsi="仿宋" w:eastAsia="仿宋" w:cs="仿宋"/>
          <w:b/>
          <w:sz w:val="36"/>
        </w:rPr>
      </w:pPr>
    </w:p>
    <w:p>
      <w:pPr>
        <w:widowControl w:val="0"/>
        <w:tabs>
          <w:tab w:val="left" w:pos="105"/>
          <w:tab w:val="left" w:pos="735"/>
          <w:tab w:val="left" w:pos="945"/>
          <w:tab w:val="left" w:pos="3360"/>
        </w:tabs>
        <w:spacing w:line="500" w:lineRule="exact"/>
        <w:jc w:val="center"/>
        <w:rPr>
          <w:rFonts w:hint="eastAsia" w:ascii="仿宋" w:hAnsi="仿宋" w:eastAsia="仿宋" w:cs="仿宋"/>
          <w:b/>
          <w:sz w:val="36"/>
        </w:rPr>
      </w:pPr>
    </w:p>
    <w:p>
      <w:pPr>
        <w:widowControl w:val="0"/>
        <w:tabs>
          <w:tab w:val="left" w:pos="105"/>
          <w:tab w:val="left" w:pos="735"/>
          <w:tab w:val="left" w:pos="945"/>
          <w:tab w:val="left" w:pos="3360"/>
        </w:tabs>
        <w:spacing w:line="500" w:lineRule="exact"/>
        <w:rPr>
          <w:rFonts w:hint="eastAsia" w:ascii="仿宋" w:hAnsi="仿宋" w:eastAsia="仿宋" w:cs="仿宋"/>
          <w:b/>
          <w:sz w:val="36"/>
        </w:rPr>
      </w:pPr>
    </w:p>
    <w:p>
      <w:pPr>
        <w:pStyle w:val="18"/>
        <w:rPr>
          <w:rFonts w:hint="eastAsia" w:ascii="仿宋" w:hAnsi="仿宋" w:eastAsia="仿宋" w:cs="仿宋"/>
        </w:rPr>
      </w:pPr>
    </w:p>
    <w:p>
      <w:pPr>
        <w:pStyle w:val="18"/>
        <w:rPr>
          <w:rFonts w:hint="eastAsia" w:ascii="仿宋" w:hAnsi="仿宋" w:eastAsia="仿宋" w:cs="仿宋"/>
        </w:rPr>
      </w:pPr>
    </w:p>
    <w:p>
      <w:pPr>
        <w:pStyle w:val="2"/>
        <w:tabs>
          <w:tab w:val="center" w:pos="4589"/>
        </w:tabs>
        <w:spacing w:line="360" w:lineRule="auto"/>
        <w:jc w:val="center"/>
        <w:rPr>
          <w:rFonts w:hint="eastAsia" w:ascii="仿宋" w:hAnsi="仿宋" w:eastAsia="仿宋" w:cs="仿宋"/>
        </w:rPr>
        <w:sectPr>
          <w:headerReference r:id="rId5" w:type="default"/>
          <w:footerReference r:id="rId6" w:type="default"/>
          <w:type w:val="continuous"/>
          <w:pgSz w:w="11906" w:h="16838"/>
          <w:pgMar w:top="1440" w:right="1797" w:bottom="1440" w:left="1797" w:header="851" w:footer="992" w:gutter="0"/>
          <w:pgNumType w:start="1"/>
          <w:cols w:space="720" w:num="1"/>
          <w:docGrid w:linePitch="312" w:charSpace="0"/>
        </w:sectPr>
      </w:pPr>
      <w:bookmarkStart w:id="6" w:name="_Toc417381410"/>
    </w:p>
    <w:p>
      <w:pPr>
        <w:rPr>
          <w:rFonts w:hint="eastAsia" w:ascii="仿宋" w:hAnsi="仿宋" w:eastAsia="仿宋" w:cs="仿宋"/>
        </w:rPr>
      </w:pPr>
      <w:bookmarkStart w:id="7" w:name="_Toc30545"/>
      <w:r>
        <w:rPr>
          <w:rFonts w:hint="eastAsia" w:ascii="仿宋" w:hAnsi="仿宋" w:eastAsia="仿宋" w:cs="仿宋"/>
        </w:rPr>
        <w:br w:type="page"/>
      </w:r>
    </w:p>
    <w:p>
      <w:pPr>
        <w:pStyle w:val="2"/>
        <w:tabs>
          <w:tab w:val="center" w:pos="4589"/>
        </w:tabs>
        <w:spacing w:line="360" w:lineRule="auto"/>
        <w:jc w:val="center"/>
        <w:rPr>
          <w:rFonts w:hint="eastAsia" w:ascii="仿宋" w:hAnsi="仿宋" w:eastAsia="仿宋" w:cs="仿宋"/>
          <w:sz w:val="28"/>
        </w:rPr>
      </w:pPr>
      <w:r>
        <w:rPr>
          <w:rFonts w:hint="eastAsia" w:ascii="仿宋" w:hAnsi="仿宋" w:eastAsia="仿宋" w:cs="仿宋"/>
        </w:rPr>
        <w:t>第一部分  竞争性磋商公告</w:t>
      </w:r>
      <w:bookmarkEnd w:id="6"/>
      <w:bookmarkEnd w:id="7"/>
    </w:p>
    <w:p>
      <w:pPr>
        <w:pStyle w:val="2"/>
        <w:tabs>
          <w:tab w:val="left" w:pos="0"/>
        </w:tabs>
        <w:autoSpaceDE w:val="0"/>
        <w:autoSpaceDN w:val="0"/>
        <w:adjustRightInd w:val="0"/>
        <w:spacing w:before="0" w:after="0"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 </w:t>
      </w:r>
      <w:r>
        <w:rPr>
          <w:rFonts w:hint="eastAsia" w:ascii="仿宋" w:hAnsi="仿宋" w:eastAsia="仿宋" w:cs="仿宋"/>
          <w:sz w:val="24"/>
          <w:szCs w:val="24"/>
          <w:u w:val="single"/>
          <w:lang w:eastAsia="zh-CN"/>
        </w:rPr>
        <w:t>台州市教育技术与信息中心超融合平台软硬件系统项目</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rPr>
        <w:t>采购项目的潜在投标人应在政采云平台（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44"/>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u w:val="single"/>
        </w:rPr>
        <w:t>2024 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03</w:t>
      </w:r>
      <w:r>
        <w:rPr>
          <w:rFonts w:hint="eastAsia" w:ascii="仿宋" w:hAnsi="仿宋" w:eastAsia="仿宋" w:cs="仿宋"/>
          <w:sz w:val="24"/>
          <w:u w:val="single"/>
        </w:rPr>
        <w:t>日09时</w:t>
      </w:r>
      <w:r>
        <w:rPr>
          <w:rFonts w:hint="eastAsia" w:ascii="仿宋" w:hAnsi="仿宋" w:eastAsia="仿宋" w:cs="仿宋"/>
          <w:sz w:val="24"/>
          <w:u w:val="single"/>
          <w:lang w:val="en-US" w:eastAsia="zh-CN"/>
        </w:rPr>
        <w:t>15</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rPr>
          <w:rFonts w:hint="eastAsia" w:ascii="仿宋" w:hAnsi="仿宋" w:eastAsia="仿宋" w:cs="仿宋"/>
          <w:sz w:val="24"/>
          <w:szCs w:val="24"/>
        </w:rPr>
      </w:pPr>
    </w:p>
    <w:p>
      <w:pPr>
        <w:pStyle w:val="3"/>
        <w:rPr>
          <w:rFonts w:hint="eastAsia" w:ascii="仿宋" w:hAnsi="仿宋" w:eastAsia="仿宋" w:cs="仿宋"/>
          <w:b/>
          <w:kern w:val="0"/>
          <w:sz w:val="24"/>
          <w:szCs w:val="24"/>
        </w:rPr>
      </w:pPr>
      <w:bookmarkStart w:id="8" w:name="_Toc28359089"/>
      <w:bookmarkStart w:id="9" w:name="_Toc35393798"/>
      <w:bookmarkStart w:id="10" w:name="_Toc35393629"/>
      <w:bookmarkStart w:id="11" w:name="_Toc28359012"/>
      <w:r>
        <w:rPr>
          <w:rFonts w:hint="eastAsia" w:ascii="仿宋" w:hAnsi="仿宋" w:eastAsia="仿宋" w:cs="仿宋"/>
          <w:b/>
          <w:kern w:val="0"/>
          <w:sz w:val="24"/>
          <w:szCs w:val="24"/>
        </w:rPr>
        <w:t>一、项目基本情况</w:t>
      </w:r>
      <w:bookmarkEnd w:id="8"/>
      <w:bookmarkEnd w:id="9"/>
      <w:bookmarkEnd w:id="10"/>
      <w:bookmarkEnd w:id="11"/>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项目编号：TZFD(2024)-</w:t>
      </w:r>
      <w:r>
        <w:rPr>
          <w:rFonts w:hint="eastAsia" w:ascii="仿宋" w:hAnsi="仿宋" w:eastAsia="仿宋" w:cs="仿宋"/>
          <w:sz w:val="24"/>
          <w:szCs w:val="24"/>
          <w:lang w:eastAsia="zh-CN"/>
        </w:rPr>
        <w:t>1078号</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项目名称： </w:t>
      </w:r>
      <w:r>
        <w:rPr>
          <w:rFonts w:hint="eastAsia" w:ascii="仿宋" w:hAnsi="仿宋" w:eastAsia="仿宋" w:cs="仿宋"/>
          <w:sz w:val="24"/>
          <w:szCs w:val="24"/>
          <w:lang w:eastAsia="zh-CN"/>
        </w:rPr>
        <w:t>台州市教育技术与信息中心超融合平台软硬件系统项目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采购方式：竞争性磋商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48</w:t>
      </w:r>
      <w:r>
        <w:rPr>
          <w:rFonts w:hint="eastAsia" w:ascii="仿宋" w:hAnsi="仿宋" w:eastAsia="仿宋" w:cs="仿宋"/>
          <w:sz w:val="24"/>
          <w:szCs w:val="24"/>
        </w:rPr>
        <w:t>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最高限价：/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采购需求：</w:t>
      </w:r>
    </w:p>
    <w:tbl>
      <w:tblPr>
        <w:tblStyle w:val="39"/>
        <w:tblpPr w:leftFromText="180" w:rightFromText="180" w:vertAnchor="text" w:horzAnchor="page" w:tblpX="1350" w:tblpY="33"/>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735"/>
        <w:gridCol w:w="965"/>
        <w:gridCol w:w="984"/>
        <w:gridCol w:w="1694"/>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17"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735"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
                <w:sz w:val="24"/>
                <w:szCs w:val="24"/>
              </w:rPr>
            </w:pPr>
            <w:r>
              <w:rPr>
                <w:rFonts w:hint="eastAsia" w:ascii="仿宋" w:hAnsi="仿宋" w:eastAsia="仿宋" w:cs="仿宋"/>
                <w:b/>
                <w:sz w:val="24"/>
                <w:szCs w:val="24"/>
              </w:rPr>
              <w:t>项目内容</w:t>
            </w:r>
          </w:p>
        </w:tc>
        <w:tc>
          <w:tcPr>
            <w:tcW w:w="965"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984"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694"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
                <w:sz w:val="24"/>
                <w:szCs w:val="24"/>
              </w:rPr>
            </w:pPr>
            <w:r>
              <w:rPr>
                <w:rFonts w:hint="eastAsia" w:ascii="仿宋" w:hAnsi="仿宋" w:eastAsia="仿宋" w:cs="仿宋"/>
                <w:b/>
                <w:sz w:val="24"/>
                <w:szCs w:val="24"/>
              </w:rPr>
              <w:t xml:space="preserve">预算金额 </w:t>
            </w:r>
          </w:p>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
                <w:sz w:val="24"/>
                <w:szCs w:val="24"/>
              </w:rPr>
            </w:pPr>
            <w:r>
              <w:rPr>
                <w:rFonts w:hint="eastAsia" w:ascii="仿宋" w:hAnsi="仿宋" w:eastAsia="仿宋" w:cs="仿宋"/>
                <w:b/>
                <w:sz w:val="24"/>
                <w:szCs w:val="24"/>
              </w:rPr>
              <w:t xml:space="preserve"> （万元）</w:t>
            </w:r>
          </w:p>
        </w:tc>
        <w:tc>
          <w:tcPr>
            <w:tcW w:w="1483"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eastAsia" w:ascii="仿宋" w:hAnsi="仿宋" w:eastAsia="仿宋" w:cs="仿宋"/>
                <w:b/>
                <w:sz w:val="24"/>
                <w:szCs w:val="24"/>
              </w:rPr>
            </w:pPr>
            <w:r>
              <w:rPr>
                <w:rFonts w:hint="eastAsia" w:ascii="仿宋" w:hAnsi="仿宋" w:eastAsia="仿宋" w:cs="仿宋"/>
                <w:b/>
                <w:sz w:val="24"/>
                <w:szCs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017"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735"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eastAsia="zh-CN"/>
              </w:rPr>
              <w:t>台州市教育技术与信息中心超融合平台软硬件系统项目</w:t>
            </w:r>
          </w:p>
        </w:tc>
        <w:tc>
          <w:tcPr>
            <w:tcW w:w="965" w:type="dxa"/>
            <w:vAlign w:val="center"/>
          </w:tcPr>
          <w:p>
            <w:pPr>
              <w:keepNext w:val="0"/>
              <w:keepLines w:val="0"/>
              <w:widowControl/>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984"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项</w:t>
            </w:r>
          </w:p>
        </w:tc>
        <w:tc>
          <w:tcPr>
            <w:tcW w:w="1694"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48</w:t>
            </w:r>
          </w:p>
        </w:tc>
        <w:tc>
          <w:tcPr>
            <w:tcW w:w="1483"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详见磋商文件</w:t>
            </w:r>
          </w:p>
        </w:tc>
      </w:tr>
    </w:tbl>
    <w:p>
      <w:pPr>
        <w:spacing w:before="120" w:after="120" w:line="20" w:lineRule="atLeast"/>
        <w:ind w:firstLine="480" w:firstLineChars="200"/>
        <w:rPr>
          <w:rFonts w:hint="eastAsia" w:ascii="仿宋" w:hAnsi="仿宋" w:eastAsia="仿宋" w:cs="仿宋"/>
          <w:sz w:val="24"/>
          <w:szCs w:val="24"/>
        </w:rPr>
      </w:pPr>
    </w:p>
    <w:p>
      <w:pPr>
        <w:spacing w:before="120" w:after="120" w:line="20" w:lineRule="atLeast"/>
        <w:ind w:firstLine="482" w:firstLineChars="200"/>
        <w:rPr>
          <w:rFonts w:hint="eastAsia" w:ascii="仿宋" w:hAnsi="仿宋" w:eastAsia="仿宋" w:cs="仿宋"/>
          <w:b/>
          <w:sz w:val="24"/>
          <w:szCs w:val="24"/>
        </w:rPr>
      </w:pPr>
      <w:r>
        <w:rPr>
          <w:rFonts w:hint="eastAsia" w:ascii="仿宋" w:hAnsi="仿宋" w:eastAsia="仿宋" w:cs="仿宋"/>
          <w:b/>
          <w:sz w:val="24"/>
          <w:szCs w:val="24"/>
        </w:rPr>
        <w:t>合同履约期限：按双方合同条款约定执行。</w:t>
      </w:r>
    </w:p>
    <w:p>
      <w:pPr>
        <w:spacing w:before="120" w:after="120" w:line="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本项目（是/否）接受联合体参与磋商:否。</w:t>
      </w:r>
      <w:bookmarkStart w:id="12" w:name="_Toc35393630"/>
      <w:bookmarkStart w:id="13" w:name="_Toc35393799"/>
      <w:bookmarkStart w:id="14" w:name="_Toc28359013"/>
      <w:bookmarkStart w:id="15" w:name="_Toc28359090"/>
    </w:p>
    <w:p>
      <w:pPr>
        <w:numPr>
          <w:ilvl w:val="0"/>
          <w:numId w:val="4"/>
        </w:numPr>
        <w:spacing w:before="120" w:after="120" w:line="20" w:lineRule="atLeast"/>
        <w:ind w:firstLine="482" w:firstLineChars="200"/>
        <w:rPr>
          <w:rFonts w:hint="eastAsia" w:ascii="仿宋" w:hAnsi="仿宋" w:eastAsia="仿宋" w:cs="仿宋"/>
          <w:snapToGrid w:val="0"/>
          <w:kern w:val="28"/>
          <w:sz w:val="24"/>
        </w:rPr>
      </w:pPr>
      <w:r>
        <w:rPr>
          <w:rFonts w:hint="eastAsia" w:ascii="仿宋" w:hAnsi="仿宋" w:eastAsia="仿宋" w:cs="仿宋"/>
          <w:b/>
          <w:bCs/>
          <w:sz w:val="24"/>
          <w:szCs w:val="24"/>
        </w:rPr>
        <w:t>申请人的资格要求：</w:t>
      </w:r>
      <w:bookmarkEnd w:id="12"/>
      <w:bookmarkEnd w:id="13"/>
      <w:bookmarkEnd w:id="14"/>
      <w:bookmarkEnd w:id="15"/>
      <w:bookmarkStart w:id="16" w:name="_Toc35393631"/>
      <w:bookmarkStart w:id="17" w:name="_Toc28359014"/>
      <w:bookmarkStart w:id="18" w:name="_Toc35393800"/>
      <w:bookmarkStart w:id="19" w:name="_Toc28359091"/>
    </w:p>
    <w:p>
      <w:pPr>
        <w:spacing w:before="120" w:after="120" w:line="20" w:lineRule="atLeas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before="120" w:after="120" w:line="20" w:lineRule="atLeast"/>
        <w:rPr>
          <w:rFonts w:hint="eastAsia" w:ascii="仿宋" w:hAnsi="仿宋" w:eastAsia="仿宋" w:cs="仿宋"/>
          <w:sz w:val="24"/>
          <w:highlight w:val="none"/>
        </w:rPr>
      </w:pPr>
      <w:r>
        <w:rPr>
          <w:rFonts w:hint="eastAsia" w:ascii="仿宋" w:hAnsi="仿宋" w:eastAsia="仿宋" w:cs="仿宋"/>
          <w:snapToGrid w:val="0"/>
          <w:kern w:val="28"/>
          <w:sz w:val="24"/>
        </w:rPr>
        <w:t xml:space="preserve">    2.</w:t>
      </w:r>
      <w:r>
        <w:rPr>
          <w:rFonts w:hint="eastAsia" w:ascii="仿宋" w:hAnsi="仿宋" w:eastAsia="仿宋" w:cs="仿宋"/>
        </w:rPr>
        <w:t xml:space="preserve"> </w:t>
      </w:r>
      <w:r>
        <w:rPr>
          <w:rFonts w:hint="eastAsia" w:ascii="仿宋" w:hAnsi="仿宋" w:eastAsia="仿宋" w:cs="仿宋"/>
          <w:snapToGrid w:val="0"/>
          <w:kern w:val="28"/>
          <w:sz w:val="24"/>
        </w:rPr>
        <w:t>落实政府采购政策</w:t>
      </w:r>
      <w:r>
        <w:rPr>
          <w:rFonts w:hint="eastAsia" w:ascii="仿宋" w:hAnsi="仿宋" w:eastAsia="仿宋" w:cs="仿宋"/>
          <w:snapToGrid w:val="0"/>
          <w:kern w:val="28"/>
          <w:sz w:val="24"/>
          <w:highlight w:val="none"/>
        </w:rPr>
        <w:t>需满足的资格要求：</w:t>
      </w:r>
      <w:r>
        <w:rPr>
          <w:rFonts w:hint="eastAsia" w:ascii="仿宋" w:hAnsi="仿宋" w:eastAsia="仿宋" w:cs="仿宋"/>
          <w:sz w:val="24"/>
          <w:highlight w:val="none"/>
        </w:rPr>
        <w:t>无；</w:t>
      </w:r>
    </w:p>
    <w:p>
      <w:pPr>
        <w:spacing w:before="120" w:after="120" w:line="20" w:lineRule="atLeas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3.本项目的特定资格要求：无；</w:t>
      </w:r>
    </w:p>
    <w:p>
      <w:pPr>
        <w:snapToGrid w:val="0"/>
        <w:spacing w:before="120" w:after="120" w:line="20" w:lineRule="atLeast"/>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pPr>
        <w:pStyle w:val="3"/>
        <w:spacing w:before="120" w:after="120" w:line="20" w:lineRule="atLeast"/>
        <w:rPr>
          <w:rFonts w:hint="eastAsia" w:ascii="仿宋" w:hAnsi="仿宋" w:eastAsia="仿宋" w:cs="仿宋"/>
          <w:b/>
          <w:kern w:val="0"/>
          <w:sz w:val="24"/>
          <w:szCs w:val="24"/>
        </w:rPr>
      </w:pPr>
      <w:r>
        <w:rPr>
          <w:rFonts w:hint="eastAsia" w:ascii="仿宋" w:hAnsi="仿宋" w:eastAsia="仿宋" w:cs="仿宋"/>
          <w:b/>
          <w:kern w:val="0"/>
          <w:sz w:val="24"/>
          <w:szCs w:val="24"/>
        </w:rPr>
        <w:t>三、获取采购文件</w:t>
      </w:r>
      <w:bookmarkEnd w:id="16"/>
      <w:bookmarkEnd w:id="17"/>
      <w:bookmarkEnd w:id="18"/>
      <w:bookmarkEnd w:id="19"/>
    </w:p>
    <w:p>
      <w:pPr>
        <w:snapToGrid w:val="0"/>
        <w:spacing w:before="120" w:after="120" w:line="20" w:lineRule="atLeast"/>
        <w:ind w:firstLine="482" w:firstLineChars="200"/>
        <w:rPr>
          <w:rFonts w:hint="eastAsia" w:ascii="仿宋" w:hAnsi="仿宋" w:eastAsia="仿宋" w:cs="仿宋"/>
          <w:sz w:val="24"/>
        </w:rPr>
      </w:pPr>
      <w:bookmarkStart w:id="20" w:name="_Toc28359015"/>
      <w:bookmarkStart w:id="21" w:name="_Toc35393801"/>
      <w:bookmarkStart w:id="22" w:name="_Toc35393632"/>
      <w:bookmarkStart w:id="23" w:name="_Toc28359092"/>
      <w:r>
        <w:rPr>
          <w:rFonts w:hint="eastAsia" w:ascii="仿宋" w:hAnsi="仿宋" w:eastAsia="仿宋" w:cs="仿宋"/>
          <w:b/>
          <w:sz w:val="24"/>
        </w:rPr>
        <w:t>时间：/至投标文件截止之前均可获取</w:t>
      </w:r>
      <w:r>
        <w:rPr>
          <w:rFonts w:hint="eastAsia" w:ascii="仿宋" w:hAnsi="仿宋" w:eastAsia="仿宋" w:cs="仿宋"/>
          <w:sz w:val="24"/>
        </w:rPr>
        <w:t>，每天上午00:00至12:00 ，下午12:00至23:59（北京时间，线上获取法定节假日均可，线下获取文件法定节假日除外）</w:t>
      </w:r>
    </w:p>
    <w:p>
      <w:pPr>
        <w:snapToGrid w:val="0"/>
        <w:spacing w:before="120" w:after="120" w:line="20" w:lineRule="atLeas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napToGrid w:val="0"/>
        <w:spacing w:before="120" w:after="120" w:line="20" w:lineRule="atLeast"/>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napToGrid w:val="0"/>
        <w:spacing w:before="120" w:after="120" w:line="20" w:lineRule="atLeast"/>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bookmarkEnd w:id="20"/>
    <w:bookmarkEnd w:id="21"/>
    <w:bookmarkEnd w:id="22"/>
    <w:bookmarkEnd w:id="23"/>
    <w:p>
      <w:pPr>
        <w:pStyle w:val="3"/>
        <w:spacing w:before="120" w:after="120" w:line="20" w:lineRule="atLeast"/>
        <w:rPr>
          <w:rFonts w:hint="eastAsia" w:ascii="仿宋" w:hAnsi="仿宋" w:eastAsia="仿宋" w:cs="仿宋"/>
          <w:b/>
          <w:kern w:val="0"/>
          <w:sz w:val="24"/>
          <w:szCs w:val="24"/>
        </w:rPr>
      </w:pPr>
      <w:bookmarkStart w:id="24" w:name="_Toc35393634"/>
      <w:bookmarkStart w:id="25" w:name="_Toc35393803"/>
      <w:bookmarkStart w:id="26" w:name="_Toc28359017"/>
      <w:bookmarkStart w:id="27" w:name="_Toc28359094"/>
      <w:r>
        <w:rPr>
          <w:rFonts w:hint="eastAsia" w:ascii="仿宋" w:hAnsi="仿宋" w:eastAsia="仿宋" w:cs="仿宋"/>
          <w:b/>
          <w:kern w:val="0"/>
          <w:sz w:val="24"/>
          <w:szCs w:val="24"/>
        </w:rPr>
        <w:t>四、提交投标文件截止时间、开标时间和地点</w:t>
      </w:r>
    </w:p>
    <w:p>
      <w:pPr>
        <w:snapToGrid w:val="0"/>
        <w:spacing w:before="120" w:after="120" w:line="20" w:lineRule="atLeast"/>
        <w:ind w:firstLine="482" w:firstLineChars="200"/>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 xml:space="preserve"> 2024</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03</w:t>
      </w:r>
      <w:r>
        <w:rPr>
          <w:rFonts w:hint="eastAsia" w:ascii="仿宋" w:hAnsi="仿宋" w:eastAsia="仿宋" w:cs="仿宋"/>
          <w:sz w:val="24"/>
          <w:u w:val="single"/>
        </w:rPr>
        <w:t>日09时</w:t>
      </w:r>
      <w:r>
        <w:rPr>
          <w:rFonts w:hint="eastAsia" w:ascii="仿宋" w:hAnsi="仿宋" w:eastAsia="仿宋" w:cs="仿宋"/>
          <w:sz w:val="24"/>
          <w:u w:val="single"/>
          <w:lang w:val="en-US" w:eastAsia="zh-CN"/>
        </w:rPr>
        <w:t>15</w:t>
      </w:r>
      <w:r>
        <w:rPr>
          <w:rFonts w:hint="eastAsia" w:ascii="仿宋" w:hAnsi="仿宋" w:eastAsia="仿宋" w:cs="仿宋"/>
          <w:bCs/>
          <w:sz w:val="24"/>
          <w:szCs w:val="24"/>
          <w:u w:val="single"/>
        </w:rPr>
        <w:t xml:space="preserve">分 </w:t>
      </w:r>
      <w:r>
        <w:rPr>
          <w:rFonts w:hint="eastAsia" w:ascii="仿宋" w:hAnsi="仿宋" w:eastAsia="仿宋" w:cs="仿宋"/>
          <w:sz w:val="24"/>
          <w:szCs w:val="24"/>
        </w:rPr>
        <w:t>（北京时间）</w:t>
      </w:r>
    </w:p>
    <w:p>
      <w:pPr>
        <w:snapToGrid w:val="0"/>
        <w:spacing w:before="120" w:after="120" w:line="20" w:lineRule="atLeast"/>
        <w:ind w:firstLine="482" w:firstLineChars="200"/>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bCs/>
          <w:sz w:val="24"/>
          <w:szCs w:val="24"/>
        </w:rPr>
        <w:t>请登陆</w:t>
      </w:r>
      <w:r>
        <w:rPr>
          <w:rFonts w:hint="eastAsia" w:ascii="仿宋" w:hAnsi="仿宋" w:eastAsia="仿宋" w:cs="仿宋"/>
          <w:sz w:val="24"/>
          <w:szCs w:val="24"/>
        </w:rPr>
        <w:t>政采云投标客户端</w:t>
      </w:r>
    </w:p>
    <w:p>
      <w:pPr>
        <w:pStyle w:val="3"/>
        <w:spacing w:before="120" w:after="120" w:line="20" w:lineRule="atLeast"/>
        <w:rPr>
          <w:rFonts w:hint="eastAsia" w:ascii="仿宋" w:hAnsi="仿宋" w:eastAsia="仿宋" w:cs="仿宋"/>
          <w:sz w:val="24"/>
          <w:szCs w:val="24"/>
        </w:rPr>
      </w:pPr>
      <w:bookmarkStart w:id="28" w:name="_Toc35393802"/>
      <w:bookmarkStart w:id="29" w:name="_Toc28359016"/>
      <w:bookmarkStart w:id="30" w:name="_Toc28359093"/>
      <w:bookmarkStart w:id="31" w:name="_Toc35393633"/>
      <w:r>
        <w:rPr>
          <w:rFonts w:hint="eastAsia" w:ascii="仿宋" w:hAnsi="仿宋" w:eastAsia="仿宋" w:cs="仿宋"/>
          <w:b/>
          <w:kern w:val="0"/>
          <w:sz w:val="24"/>
          <w:szCs w:val="24"/>
        </w:rPr>
        <w:t>五、开启（竞争性磋商方式必须填写）</w:t>
      </w:r>
      <w:bookmarkEnd w:id="28"/>
      <w:bookmarkEnd w:id="29"/>
      <w:bookmarkEnd w:id="30"/>
      <w:bookmarkEnd w:id="31"/>
    </w:p>
    <w:p>
      <w:pPr>
        <w:spacing w:before="120" w:after="120" w:line="20" w:lineRule="atLeast"/>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时间：</w:t>
      </w:r>
      <w:r>
        <w:rPr>
          <w:rFonts w:hint="eastAsia" w:ascii="仿宋" w:hAnsi="仿宋" w:eastAsia="仿宋" w:cs="仿宋"/>
          <w:sz w:val="24"/>
          <w:szCs w:val="24"/>
          <w:u w:val="single"/>
        </w:rPr>
        <w:t>2024</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03</w:t>
      </w:r>
      <w:r>
        <w:rPr>
          <w:rFonts w:hint="eastAsia" w:ascii="仿宋" w:hAnsi="仿宋" w:eastAsia="仿宋" w:cs="仿宋"/>
          <w:sz w:val="24"/>
          <w:u w:val="single"/>
        </w:rPr>
        <w:t>日09时</w:t>
      </w:r>
      <w:r>
        <w:rPr>
          <w:rFonts w:hint="eastAsia" w:ascii="仿宋" w:hAnsi="仿宋" w:eastAsia="仿宋" w:cs="仿宋"/>
          <w:sz w:val="24"/>
          <w:u w:val="single"/>
          <w:lang w:val="en-US" w:eastAsia="zh-CN"/>
        </w:rPr>
        <w:t>15</w:t>
      </w:r>
      <w:r>
        <w:rPr>
          <w:rFonts w:hint="eastAsia" w:ascii="仿宋" w:hAnsi="仿宋" w:eastAsia="仿宋" w:cs="仿宋"/>
          <w:bCs/>
          <w:sz w:val="24"/>
          <w:szCs w:val="24"/>
          <w:u w:val="single"/>
        </w:rPr>
        <w:t>分</w:t>
      </w:r>
      <w:r>
        <w:rPr>
          <w:rFonts w:hint="eastAsia" w:ascii="仿宋" w:hAnsi="仿宋" w:eastAsia="仿宋" w:cs="仿宋"/>
          <w:bCs/>
          <w:sz w:val="24"/>
          <w:szCs w:val="24"/>
        </w:rPr>
        <w:t>（北京时间）</w:t>
      </w:r>
    </w:p>
    <w:p>
      <w:pPr>
        <w:spacing w:before="120" w:after="120" w:line="20" w:lineRule="atLeas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地点：</w:t>
      </w:r>
      <w:r>
        <w:rPr>
          <w:rFonts w:hint="eastAsia" w:ascii="仿宋" w:hAnsi="仿宋" w:eastAsia="仿宋" w:cs="仿宋"/>
          <w:sz w:val="24"/>
          <w:szCs w:val="24"/>
          <w:u w:val="single"/>
        </w:rPr>
        <w:t xml:space="preserve"> 政采云平台（https://www.zcygov.cn/） </w:t>
      </w:r>
    </w:p>
    <w:p>
      <w:pPr>
        <w:spacing w:before="120" w:after="120" w:line="20" w:lineRule="atLeast"/>
        <w:ind w:firstLine="482" w:firstLineChars="200"/>
        <w:rPr>
          <w:rFonts w:hint="eastAsia" w:ascii="仿宋" w:hAnsi="仿宋" w:eastAsia="仿宋" w:cs="仿宋"/>
          <w:b/>
          <w:sz w:val="24"/>
          <w:szCs w:val="24"/>
        </w:rPr>
      </w:pPr>
      <w:r>
        <w:rPr>
          <w:rFonts w:hint="eastAsia" w:ascii="仿宋" w:hAnsi="仿宋" w:eastAsia="仿宋" w:cs="仿宋"/>
          <w:b/>
          <w:sz w:val="24"/>
          <w:szCs w:val="24"/>
        </w:rPr>
        <w:t>六、公告期限</w:t>
      </w:r>
    </w:p>
    <w:p>
      <w:pPr>
        <w:spacing w:before="120" w:after="120" w:line="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自本公告发布之日起3个工作日。</w:t>
      </w:r>
    </w:p>
    <w:bookmarkEnd w:id="24"/>
    <w:bookmarkEnd w:id="25"/>
    <w:bookmarkEnd w:id="26"/>
    <w:bookmarkEnd w:id="27"/>
    <w:p>
      <w:pPr>
        <w:pStyle w:val="3"/>
        <w:spacing w:before="120" w:after="120" w:line="240" w:lineRule="auto"/>
        <w:rPr>
          <w:rFonts w:hint="eastAsia" w:ascii="仿宋" w:hAnsi="仿宋" w:eastAsia="仿宋" w:cs="仿宋"/>
          <w:b/>
          <w:kern w:val="0"/>
          <w:sz w:val="24"/>
          <w:szCs w:val="24"/>
        </w:rPr>
      </w:pPr>
      <w:bookmarkStart w:id="32" w:name="_Toc35393635"/>
      <w:bookmarkStart w:id="33" w:name="_Toc35393804"/>
      <w:r>
        <w:rPr>
          <w:rFonts w:hint="eastAsia" w:ascii="仿宋" w:hAnsi="仿宋" w:eastAsia="仿宋" w:cs="仿宋"/>
          <w:b/>
          <w:kern w:val="0"/>
          <w:sz w:val="24"/>
          <w:szCs w:val="24"/>
        </w:rPr>
        <w:t>七、其他补充事宜</w:t>
      </w:r>
      <w:bookmarkEnd w:id="32"/>
      <w:bookmarkEnd w:id="33"/>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b/>
          <w:sz w:val="24"/>
          <w:szCs w:val="24"/>
        </w:rPr>
      </w:pPr>
      <w:bookmarkStart w:id="34" w:name="_Toc28359095"/>
      <w:bookmarkStart w:id="35" w:name="_Toc35393636"/>
      <w:bookmarkStart w:id="36" w:name="_Toc35393805"/>
      <w:bookmarkStart w:id="37" w:name="_Toc28359018"/>
      <w:r>
        <w:rPr>
          <w:rFonts w:hint="eastAsia" w:ascii="仿宋" w:hAnsi="仿宋" w:eastAsia="仿宋" w:cs="仿宋"/>
          <w:sz w:val="24"/>
          <w:szCs w:val="24"/>
        </w:rPr>
        <w:t>（一）</w:t>
      </w:r>
      <w:r>
        <w:rPr>
          <w:rFonts w:hint="eastAsia" w:ascii="仿宋" w:hAnsi="仿宋" w:eastAsia="仿宋" w:cs="仿宋"/>
          <w:b/>
          <w:sz w:val="24"/>
          <w:szCs w:val="24"/>
        </w:rPr>
        <w:t xml:space="preserve">在政府采购活动中，磋商供应商提供的货物、工程或者服务符合下列情形的，享受《政府采购促进中小企业发展管理办法》【财库（2020）46号】的中小企业扶持政策： </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1、在货物采购项目中，货物由中小企业制造，即货物由中小企业生产且使用该中小企业商号或者注册商标； </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sz w:val="24"/>
          <w:szCs w:val="24"/>
        </w:rPr>
      </w:pPr>
      <w:r>
        <w:rPr>
          <w:rFonts w:hint="eastAsia" w:ascii="仿宋" w:hAnsi="仿宋" w:eastAsia="仿宋" w:cs="仿宋"/>
          <w:sz w:val="24"/>
          <w:szCs w:val="24"/>
        </w:rPr>
        <w:t xml:space="preserve">2、在工程采购项目中，工程由中小企业承建，即工程施工单位为中小企业； </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sz w:val="24"/>
          <w:szCs w:val="24"/>
        </w:rPr>
      </w:pPr>
      <w:r>
        <w:rPr>
          <w:rFonts w:hint="eastAsia" w:ascii="仿宋" w:hAnsi="仿宋" w:eastAsia="仿宋" w:cs="仿宋"/>
          <w:sz w:val="24"/>
          <w:szCs w:val="24"/>
        </w:rPr>
        <w:t xml:space="preserve">3、在服务采购项目中，服务由中小企业承接，即提供服务的人员为中小企业依照《中华人民共和国劳动合同法》订立劳动合同的从业人员。 </w:t>
      </w:r>
    </w:p>
    <w:p>
      <w:pPr>
        <w:tabs>
          <w:tab w:val="left" w:pos="180"/>
          <w:tab w:val="left" w:pos="360"/>
          <w:tab w:val="left" w:pos="540"/>
          <w:tab w:val="left" w:pos="8280"/>
        </w:tabs>
        <w:autoSpaceDE w:val="0"/>
        <w:autoSpaceDN w:val="0"/>
        <w:adjustRightInd w:val="0"/>
        <w:spacing w:before="120" w:after="120"/>
        <w:ind w:right="23"/>
        <w:rPr>
          <w:rFonts w:hint="eastAsia"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在货物采购项目中，供应商提供的货物既有中小企业制造货物，也有大型企业制造货物的，不享受本办法规定的中小企业扶持政策。</w:t>
      </w:r>
    </w:p>
    <w:p>
      <w:pPr>
        <w:tabs>
          <w:tab w:val="left" w:pos="180"/>
          <w:tab w:val="left" w:pos="360"/>
          <w:tab w:val="left" w:pos="540"/>
          <w:tab w:val="left" w:pos="8280"/>
        </w:tabs>
        <w:autoSpaceDE w:val="0"/>
        <w:autoSpaceDN w:val="0"/>
        <w:adjustRightInd w:val="0"/>
        <w:spacing w:before="120" w:after="120"/>
        <w:ind w:right="23"/>
        <w:rPr>
          <w:rFonts w:hint="eastAsia" w:ascii="仿宋" w:hAnsi="仿宋" w:eastAsia="仿宋" w:cs="仿宋"/>
          <w:sz w:val="24"/>
          <w:szCs w:val="24"/>
        </w:rPr>
      </w:pPr>
      <w:r>
        <w:rPr>
          <w:rFonts w:hint="eastAsia" w:ascii="仿宋" w:hAnsi="仿宋" w:eastAsia="仿宋" w:cs="仿宋"/>
          <w:sz w:val="24"/>
          <w:szCs w:val="24"/>
        </w:rPr>
        <w:t xml:space="preserve">   以联合体形式参加政府采购活动，联合体各方均为中小企业的，联合体视同中小企业。其中，联合体各方均为小微企业的，联合体视同小微企业。</w:t>
      </w:r>
    </w:p>
    <w:p>
      <w:pPr>
        <w:snapToGrid w:val="0"/>
        <w:spacing w:before="120" w:after="120"/>
        <w:ind w:firstLine="482" w:firstLineChars="200"/>
        <w:rPr>
          <w:rFonts w:hint="eastAsia" w:ascii="仿宋" w:hAnsi="仿宋" w:eastAsia="仿宋" w:cs="仿宋"/>
          <w:b/>
          <w:sz w:val="24"/>
          <w:szCs w:val="24"/>
        </w:rPr>
      </w:pPr>
      <w:r>
        <w:rPr>
          <w:rFonts w:hint="eastAsia" w:ascii="仿宋" w:hAnsi="仿宋" w:eastAsia="仿宋" w:cs="仿宋"/>
          <w:b/>
          <w:sz w:val="24"/>
          <w:szCs w:val="24"/>
        </w:rPr>
        <w:t>（二）磋商供应商信用信息查询渠道及截止时点、信用信息查询记录和证据留存的具体方式、信用信息的使用规则：</w:t>
      </w:r>
    </w:p>
    <w:p>
      <w:pPr>
        <w:spacing w:before="120" w:after="120"/>
        <w:ind w:firstLine="588" w:firstLineChars="245"/>
        <w:rPr>
          <w:rFonts w:hint="eastAsia" w:ascii="仿宋" w:hAnsi="仿宋" w:eastAsia="仿宋" w:cs="仿宋"/>
          <w:sz w:val="24"/>
          <w:szCs w:val="24"/>
        </w:rPr>
      </w:pPr>
      <w:r>
        <w:rPr>
          <w:rFonts w:hint="eastAsia" w:ascii="仿宋" w:hAnsi="仿宋" w:eastAsia="仿宋" w:cs="仿宋"/>
          <w:sz w:val="24"/>
          <w:szCs w:val="24"/>
        </w:rPr>
        <w:t>1、查询渠道：信用中国（网址：http://www.creditchina.gov.cn）、中国政府采购网(网址：http://www.ccgp.gov.cn）、国家企业信用信息公示系统（http://www.gsxt.gov.cn/index.html）。</w:t>
      </w:r>
    </w:p>
    <w:p>
      <w:pPr>
        <w:snapToGrid w:val="0"/>
        <w:spacing w:before="120" w:after="120"/>
        <w:ind w:firstLine="480" w:firstLineChars="200"/>
        <w:rPr>
          <w:rFonts w:hint="eastAsia" w:ascii="仿宋" w:hAnsi="仿宋" w:eastAsia="仿宋" w:cs="仿宋"/>
          <w:b/>
          <w:bCs/>
          <w:sz w:val="24"/>
          <w:szCs w:val="24"/>
          <w:shd w:val="clear" w:color="FFFFFF" w:fill="D9D9D9"/>
        </w:rPr>
      </w:pPr>
      <w:r>
        <w:rPr>
          <w:rFonts w:hint="eastAsia" w:ascii="仿宋" w:hAnsi="仿宋" w:eastAsia="仿宋" w:cs="仿宋"/>
          <w:sz w:val="24"/>
          <w:szCs w:val="24"/>
        </w:rPr>
        <w:t>2、截止时点：开标后评标前。</w:t>
      </w:r>
    </w:p>
    <w:p>
      <w:pPr>
        <w:snapToGrid w:val="0"/>
        <w:spacing w:before="120" w:after="120"/>
        <w:ind w:firstLine="480" w:firstLineChars="200"/>
        <w:rPr>
          <w:rFonts w:hint="eastAsia" w:ascii="仿宋" w:hAnsi="仿宋" w:eastAsia="仿宋" w:cs="仿宋"/>
          <w:sz w:val="24"/>
          <w:szCs w:val="24"/>
        </w:rPr>
      </w:pPr>
      <w:r>
        <w:rPr>
          <w:rFonts w:hint="eastAsia" w:ascii="仿宋" w:hAnsi="仿宋" w:eastAsia="仿宋" w:cs="仿宋"/>
          <w:sz w:val="24"/>
          <w:szCs w:val="24"/>
        </w:rPr>
        <w:t>3、信用信息查询记录和证据留存的具体方式：由采购组织机构在规定查询时间内打印信用信息查询记录并归入项目档案。</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b/>
          <w:sz w:val="24"/>
          <w:szCs w:val="24"/>
        </w:rPr>
      </w:pPr>
      <w:r>
        <w:rPr>
          <w:rFonts w:hint="eastAsia" w:ascii="仿宋" w:hAnsi="仿宋" w:eastAsia="仿宋" w:cs="仿宋"/>
          <w:sz w:val="24"/>
          <w:szCs w:val="24"/>
        </w:rPr>
        <w:t>4、使用规则：对列入失信被执行人、重大税收违法失信主体、政府采购严重违法失信行为记录名单及其他不符合《中华人民共和国政府采购法》第二十二条规定条件的供应商，将被拒绝其参与政府采购活动。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spacing w:before="120" w:after="120"/>
        <w:ind w:right="23"/>
        <w:rPr>
          <w:rFonts w:hint="eastAsia" w:ascii="仿宋" w:hAnsi="仿宋" w:eastAsia="仿宋" w:cs="仿宋"/>
          <w:b/>
          <w:sz w:val="24"/>
          <w:szCs w:val="24"/>
        </w:rPr>
      </w:pPr>
      <w:r>
        <w:rPr>
          <w:rFonts w:hint="eastAsia" w:ascii="仿宋" w:hAnsi="仿宋" w:eastAsia="仿宋" w:cs="仿宋"/>
          <w:b/>
          <w:sz w:val="24"/>
          <w:szCs w:val="24"/>
        </w:rPr>
        <w:t>（三）其他事项：</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sz w:val="24"/>
          <w:szCs w:val="24"/>
        </w:rPr>
      </w:pPr>
      <w:r>
        <w:rPr>
          <w:rFonts w:hint="eastAsia" w:ascii="仿宋" w:hAnsi="仿宋" w:eastAsia="仿宋" w:cs="仿宋"/>
          <w:sz w:val="24"/>
          <w:szCs w:val="24"/>
        </w:rPr>
        <w:t>1.采购文件公告期限截止之日之后有潜在供应商提出获取采购文件的，在获取期限内采购代理机构将允许其获取，但该供应商如对采购文件有质疑的，应于收到采购文件之日或者采购文件公告期限届满之日起以书面形式一次性针对同一环节向采购代理机构提出。质疑供应商对采购人、采购代理机构的答复不满意或者采购人、采购代理机构未在规定的时间内作出答复的，可以在答复期满后十五个工作日内向同级政府采购监督管理部门投诉。</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sz w:val="24"/>
          <w:szCs w:val="24"/>
        </w:rPr>
      </w:pPr>
      <w:r>
        <w:rPr>
          <w:rFonts w:hint="eastAsia" w:ascii="仿宋" w:hAnsi="仿宋" w:eastAsia="仿宋" w:cs="仿宋"/>
          <w:sz w:val="24"/>
          <w:szCs w:val="24"/>
        </w:rPr>
        <w:t>2. 对采购过程提出质疑的，为各采购程序环节结束之日起7个工作日内一次性提出；</w:t>
      </w:r>
    </w:p>
    <w:p>
      <w:pPr>
        <w:tabs>
          <w:tab w:val="left" w:pos="180"/>
          <w:tab w:val="left" w:pos="360"/>
          <w:tab w:val="left" w:pos="540"/>
          <w:tab w:val="left" w:pos="8280"/>
        </w:tabs>
        <w:autoSpaceDE w:val="0"/>
        <w:autoSpaceDN w:val="0"/>
        <w:adjustRightInd w:val="0"/>
        <w:spacing w:before="120" w:after="120"/>
        <w:ind w:right="23" w:firstLine="480" w:firstLineChars="200"/>
        <w:rPr>
          <w:rFonts w:hint="eastAsia" w:ascii="仿宋" w:hAnsi="仿宋" w:eastAsia="仿宋" w:cs="仿宋"/>
          <w:sz w:val="24"/>
          <w:szCs w:val="24"/>
        </w:rPr>
      </w:pPr>
      <w:r>
        <w:rPr>
          <w:rFonts w:hint="eastAsia" w:ascii="仿宋" w:hAnsi="仿宋" w:eastAsia="仿宋" w:cs="仿宋"/>
          <w:sz w:val="24"/>
          <w:szCs w:val="24"/>
        </w:rPr>
        <w:t>3. 中标结果质疑期限：对中标结果提出质疑的，应当在中标结果公告期限届满之日起7个工作日内一次性提出。</w:t>
      </w:r>
    </w:p>
    <w:p>
      <w:pPr>
        <w:pStyle w:val="3"/>
        <w:spacing w:before="120" w:after="120" w:line="240" w:lineRule="auto"/>
        <w:rPr>
          <w:rFonts w:hint="eastAsia" w:ascii="仿宋" w:hAnsi="仿宋" w:eastAsia="仿宋" w:cs="仿宋"/>
          <w:b/>
          <w:kern w:val="0"/>
          <w:sz w:val="24"/>
          <w:szCs w:val="24"/>
        </w:rPr>
      </w:pPr>
      <w:r>
        <w:rPr>
          <w:rFonts w:hint="eastAsia" w:ascii="仿宋" w:hAnsi="仿宋" w:eastAsia="仿宋" w:cs="仿宋"/>
          <w:b/>
          <w:kern w:val="0"/>
          <w:sz w:val="24"/>
          <w:szCs w:val="24"/>
        </w:rPr>
        <w:t>八、凡对本次采购提出询问，请按以下方式联系。</w:t>
      </w:r>
      <w:bookmarkEnd w:id="34"/>
      <w:bookmarkEnd w:id="35"/>
      <w:bookmarkEnd w:id="36"/>
      <w:bookmarkEnd w:id="37"/>
    </w:p>
    <w:p>
      <w:pPr>
        <w:spacing w:before="120" w:after="120"/>
        <w:rPr>
          <w:rFonts w:hint="eastAsia" w:ascii="仿宋" w:hAnsi="仿宋" w:eastAsia="仿宋" w:cs="仿宋"/>
          <w:sz w:val="24"/>
        </w:rPr>
      </w:pPr>
      <w:r>
        <w:rPr>
          <w:rFonts w:hint="eastAsia" w:ascii="仿宋" w:hAnsi="仿宋" w:eastAsia="仿宋" w:cs="仿宋"/>
          <w:sz w:val="24"/>
        </w:rPr>
        <w:t xml:space="preserve">   1.采购人信息</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名    称：台州市教育技术与信息中心</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 xml:space="preserve">地    址：浙江省台州市椒江区康平路188号      </w:t>
      </w:r>
    </w:p>
    <w:p>
      <w:pPr>
        <w:snapToGrid w:val="0"/>
        <w:spacing w:before="120" w:after="120"/>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rPr>
        <w:t xml:space="preserve">传    </w:t>
      </w:r>
      <w:r>
        <w:rPr>
          <w:rFonts w:hint="eastAsia" w:ascii="仿宋" w:hAnsi="仿宋" w:eastAsia="仿宋" w:cs="仿宋"/>
          <w:sz w:val="24"/>
          <w:highlight w:val="none"/>
          <w:u w:val="none"/>
        </w:rPr>
        <w:t xml:space="preserve">真：      </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u w:val="none"/>
        </w:rPr>
        <w:t xml:space="preserve">      </w:t>
      </w:r>
    </w:p>
    <w:p>
      <w:pPr>
        <w:snapToGrid w:val="0"/>
        <w:spacing w:before="120" w:after="120"/>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项目联系人（询问）：  柯先生</w:t>
      </w:r>
    </w:p>
    <w:p>
      <w:pPr>
        <w:snapToGrid w:val="0"/>
        <w:spacing w:before="120" w:after="120"/>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项目联系方式（询问）：0576-88582063 </w:t>
      </w:r>
    </w:p>
    <w:p>
      <w:pPr>
        <w:snapToGrid w:val="0"/>
        <w:spacing w:before="120" w:after="120"/>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质疑联系人： </w:t>
      </w:r>
      <w:r>
        <w:rPr>
          <w:rFonts w:hint="eastAsia" w:ascii="仿宋" w:hAnsi="仿宋" w:eastAsia="仿宋" w:cs="仿宋"/>
          <w:sz w:val="24"/>
          <w:highlight w:val="none"/>
          <w:u w:val="none"/>
          <w:lang w:val="en-US" w:eastAsia="zh-CN"/>
        </w:rPr>
        <w:t>张先生</w:t>
      </w:r>
      <w:r>
        <w:rPr>
          <w:rFonts w:hint="eastAsia" w:ascii="仿宋" w:hAnsi="仿宋" w:eastAsia="仿宋" w:cs="仿宋"/>
          <w:sz w:val="24"/>
          <w:highlight w:val="none"/>
          <w:u w:val="none"/>
        </w:rPr>
        <w:t xml:space="preserve">                            </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highlight w:val="none"/>
          <w:u w:val="none"/>
        </w:rPr>
        <w:t xml:space="preserve">质疑联系方式： </w:t>
      </w:r>
      <w:r>
        <w:rPr>
          <w:rFonts w:hint="eastAsia" w:ascii="仿宋" w:hAnsi="仿宋" w:eastAsia="仿宋" w:cs="仿宋"/>
          <w:sz w:val="24"/>
          <w:highlight w:val="none"/>
          <w:u w:val="none"/>
          <w:lang w:val="en-US" w:eastAsia="zh-CN"/>
        </w:rPr>
        <w:t>0576-88582077</w:t>
      </w:r>
      <w:r>
        <w:rPr>
          <w:rFonts w:hint="eastAsia" w:ascii="仿宋" w:hAnsi="仿宋" w:eastAsia="仿宋" w:cs="仿宋"/>
          <w:sz w:val="24"/>
          <w:highlight w:val="none"/>
          <w:u w:val="none"/>
        </w:rPr>
        <w:t xml:space="preserve">             </w:t>
      </w:r>
      <w:r>
        <w:rPr>
          <w:rFonts w:hint="eastAsia" w:ascii="仿宋" w:hAnsi="仿宋" w:eastAsia="仿宋" w:cs="仿宋"/>
          <w:sz w:val="24"/>
          <w:highlight w:val="none"/>
        </w:rPr>
        <w:t xml:space="preserve">            </w:t>
      </w:r>
      <w:r>
        <w:rPr>
          <w:rFonts w:hint="eastAsia" w:ascii="仿宋" w:hAnsi="仿宋" w:eastAsia="仿宋" w:cs="仿宋"/>
          <w:sz w:val="24"/>
        </w:rPr>
        <w:t xml:space="preserve">  </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 xml:space="preserve"> 2.采购代理机构信息</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名 称：台州锋鼎工程项目管理有限公司　</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地 址：浙江省台州市椒江区华中大厦1单元1703室　</w:t>
      </w:r>
    </w:p>
    <w:p>
      <w:pPr>
        <w:snapToGrid w:val="0"/>
        <w:spacing w:before="120" w:after="120"/>
        <w:ind w:firstLine="480" w:firstLineChars="200"/>
        <w:rPr>
          <w:rFonts w:hint="eastAsia" w:ascii="仿宋" w:hAnsi="仿宋" w:eastAsia="仿宋" w:cs="仿宋"/>
          <w:sz w:val="24"/>
        </w:rPr>
      </w:pPr>
      <w:bookmarkStart w:id="38" w:name="_Toc28359087"/>
      <w:bookmarkStart w:id="39" w:name="_Toc28359010"/>
      <w:r>
        <w:rPr>
          <w:rFonts w:hint="eastAsia" w:ascii="仿宋" w:hAnsi="仿宋" w:eastAsia="仿宋" w:cs="仿宋"/>
          <w:sz w:val="24"/>
        </w:rPr>
        <w:t>传  真：0576-88786369   　</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项目联系人（询问）：蔡女士　   　　　　　　　　　　　</w:t>
      </w:r>
    </w:p>
    <w:p>
      <w:pPr>
        <w:snapToGrid w:val="0"/>
        <w:spacing w:before="120" w:after="120"/>
        <w:ind w:firstLine="480" w:firstLineChars="200"/>
        <w:rPr>
          <w:rFonts w:hint="eastAsia" w:ascii="仿宋" w:hAnsi="仿宋" w:eastAsia="仿宋" w:cs="仿宋"/>
          <w:sz w:val="24"/>
        </w:rPr>
      </w:pPr>
      <w:r>
        <w:rPr>
          <w:rFonts w:hint="eastAsia" w:ascii="仿宋" w:hAnsi="仿宋" w:eastAsia="仿宋" w:cs="仿宋"/>
          <w:sz w:val="24"/>
        </w:rPr>
        <w:t>项目联系方式（询问）：15372111333</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质疑联系人：陶女士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质疑联系方式：0576-88228375　</w:t>
      </w:r>
    </w:p>
    <w:bookmarkEnd w:id="38"/>
    <w:bookmarkEnd w:id="39"/>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  称： 台州市财政局政府采购监管处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 台州市椒江区纬一路66号天元大厦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  真： 0576-88200827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 ： 陈女士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监督投诉电话：0576-88206705　</w:t>
      </w:r>
    </w:p>
    <w:p>
      <w:pPr>
        <w:spacing w:line="360" w:lineRule="auto"/>
        <w:ind w:firstLine="723" w:firstLineChars="300"/>
        <w:rPr>
          <w:rFonts w:hint="eastAsia" w:ascii="仿宋" w:hAnsi="仿宋" w:eastAsia="仿宋" w:cs="仿宋"/>
          <w:b/>
          <w:sz w:val="24"/>
          <w:szCs w:val="24"/>
        </w:rPr>
      </w:pPr>
      <w:r>
        <w:rPr>
          <w:rFonts w:hint="eastAsia" w:ascii="仿宋" w:hAnsi="仿宋" w:eastAsia="仿宋" w:cs="仿宋"/>
          <w:b/>
          <w:sz w:val="24"/>
          <w:szCs w:val="24"/>
        </w:rPr>
        <w:t>九、中标供应商如有融资需求，可使用以下服务</w:t>
      </w:r>
    </w:p>
    <w:p>
      <w:pPr>
        <w:pStyle w:val="13"/>
        <w:ind w:firstLine="0"/>
        <w:jc w:val="center"/>
        <w:rPr>
          <w:rFonts w:hint="eastAsia" w:ascii="仿宋" w:hAnsi="仿宋" w:eastAsia="仿宋" w:cs="仿宋"/>
          <w:sz w:val="24"/>
          <w:szCs w:val="24"/>
        </w:rPr>
      </w:pPr>
      <w:r>
        <w:rPr>
          <w:rFonts w:hint="eastAsia" w:ascii="仿宋" w:hAnsi="仿宋" w:eastAsia="仿宋" w:cs="仿宋"/>
          <w:sz w:val="24"/>
          <w:szCs w:val="24"/>
        </w:rPr>
        <w:t>政采贷联系方式</w:t>
      </w: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银行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贷款年利率</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中国工商银行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3.8%起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王霖</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中国农业银行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3.8%起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龚盛</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中国建设银行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3.8%起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梅晶晶</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88525339</w:t>
            </w:r>
          </w:p>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中国银行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3.75%起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王海</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浦发银行台州分行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4.05%起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王渊</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浦发银行椒江分行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4.05%起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孙瑞华</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交通银行台州分行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3.75%起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周翔宇</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招商银行台州分行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4.32%起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王海玲</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浙商银行台州分行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5.01%起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章涉漪</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81880185</w:t>
            </w:r>
          </w:p>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中信银行台州分行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4.15%起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陈金园</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华夏银行台州分行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邱明达</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81871518</w:t>
            </w:r>
          </w:p>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泰隆银行开发区支行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5.6%起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梁宛莉</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民泰银行椒江支行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5.8%起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陈慧珠</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绍兴银行台州分行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5.1%起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郭庭斌</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温州银行台州分行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4.55%起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王晓波</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平安银行台州分行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6.53%起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李俊丽</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宁波银行台州分行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4.35%起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戴莉丽</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金华银行台州分行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4.05%起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金雪婷</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81886670</w:t>
            </w:r>
          </w:p>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台州银行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5.6%起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洪婷</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邮储银行台州分行</w:t>
            </w:r>
          </w:p>
        </w:tc>
        <w:tc>
          <w:tcPr>
            <w:tcW w:w="172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3.85%起</w:t>
            </w:r>
          </w:p>
        </w:tc>
        <w:tc>
          <w:tcPr>
            <w:tcW w:w="1688"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董庆</w:t>
            </w:r>
          </w:p>
        </w:tc>
        <w:tc>
          <w:tcPr>
            <w:tcW w:w="213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81888982</w:t>
            </w:r>
          </w:p>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18957683435</w:t>
            </w:r>
          </w:p>
        </w:tc>
      </w:tr>
    </w:tbl>
    <w:p>
      <w:pPr>
        <w:ind w:firstLine="840" w:firstLineChars="350"/>
        <w:jc w:val="center"/>
        <w:rPr>
          <w:rFonts w:hint="eastAsia" w:ascii="仿宋" w:hAnsi="仿宋" w:eastAsia="仿宋" w:cs="仿宋"/>
          <w:sz w:val="24"/>
          <w:szCs w:val="24"/>
        </w:rPr>
      </w:pPr>
    </w:p>
    <w:p>
      <w:pPr>
        <w:ind w:firstLine="840" w:firstLineChars="350"/>
        <w:jc w:val="center"/>
        <w:outlineLvl w:val="0"/>
        <w:rPr>
          <w:rFonts w:hint="eastAsia" w:ascii="仿宋" w:hAnsi="仿宋" w:eastAsia="仿宋" w:cs="仿宋"/>
          <w:sz w:val="24"/>
          <w:szCs w:val="24"/>
        </w:rPr>
      </w:pPr>
      <w:bookmarkStart w:id="40" w:name="_Toc29166"/>
      <w:bookmarkStart w:id="41" w:name="_Toc2631"/>
      <w:bookmarkStart w:id="42" w:name="_Toc26179"/>
      <w:r>
        <w:rPr>
          <w:rFonts w:hint="eastAsia" w:ascii="仿宋" w:hAnsi="仿宋" w:eastAsia="仿宋" w:cs="仿宋"/>
          <w:sz w:val="24"/>
          <w:szCs w:val="24"/>
        </w:rPr>
        <w:t>合同履约保函联系方式</w:t>
      </w:r>
      <w:bookmarkEnd w:id="40"/>
      <w:bookmarkEnd w:id="41"/>
      <w:bookmarkEnd w:id="42"/>
    </w:p>
    <w:tbl>
      <w:tblPr>
        <w:tblStyle w:val="4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73"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保险公司名称</w:t>
            </w:r>
          </w:p>
        </w:tc>
        <w:tc>
          <w:tcPr>
            <w:tcW w:w="2633"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保费率</w:t>
            </w:r>
          </w:p>
        </w:tc>
        <w:tc>
          <w:tcPr>
            <w:tcW w:w="986"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w:t>
            </w:r>
          </w:p>
        </w:tc>
        <w:tc>
          <w:tcPr>
            <w:tcW w:w="1536"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中国人寿财产保险股份有限公司台州中心支公司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年费率1%，最低保费500元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徐凌</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永诚财产保险股份有限公司台州分公司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年费率1%，最低保费1000元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尹刚强</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华泰财产保险有限公司台州中心支公司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年费率0.5%，最低保费1000元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王灵芳</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中国大地财产保险股份有限公司台州中心支公司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年费率1.5%，最低保费1000元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徐小明</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阳光保险台州中心支公司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年费率1%，最低保费500元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林高明</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中华联合财产保险股份有限公司台州中心支公司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年费率2%，最低保费500元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王仙高</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中国人民财产保险股份有限公司台州中心支公司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年费率0.3%，最低保费1000元</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王仙春</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永安财产保险股份有限公司台州中心支公司</w:t>
            </w:r>
          </w:p>
        </w:tc>
        <w:tc>
          <w:tcPr>
            <w:tcW w:w="2633"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年费率0.3%，最低保费1000</w:t>
            </w:r>
          </w:p>
        </w:tc>
        <w:tc>
          <w:tcPr>
            <w:tcW w:w="98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王春宇</w:t>
            </w:r>
          </w:p>
        </w:tc>
        <w:tc>
          <w:tcPr>
            <w:tcW w:w="1536"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13676675331</w:t>
            </w:r>
          </w:p>
        </w:tc>
      </w:tr>
    </w:tbl>
    <w:p>
      <w:pPr>
        <w:ind w:firstLine="840" w:firstLineChars="350"/>
        <w:jc w:val="center"/>
        <w:rPr>
          <w:rFonts w:hint="eastAsia" w:ascii="仿宋" w:hAnsi="仿宋" w:eastAsia="仿宋" w:cs="仿宋"/>
          <w:sz w:val="24"/>
          <w:szCs w:val="24"/>
        </w:rPr>
      </w:pPr>
    </w:p>
    <w:p>
      <w:pPr>
        <w:ind w:firstLine="840" w:firstLineChars="350"/>
        <w:jc w:val="center"/>
        <w:rPr>
          <w:rFonts w:hint="eastAsia" w:ascii="仿宋" w:hAnsi="仿宋" w:eastAsia="仿宋" w:cs="仿宋"/>
          <w:sz w:val="24"/>
          <w:szCs w:val="24"/>
        </w:rPr>
      </w:pPr>
      <w:r>
        <w:rPr>
          <w:rFonts w:hint="eastAsia" w:ascii="仿宋" w:hAnsi="仿宋" w:eastAsia="仿宋" w:cs="仿宋"/>
          <w:sz w:val="24"/>
          <w:szCs w:val="24"/>
        </w:rPr>
        <w:t>预付款保函联系方式</w:t>
      </w:r>
    </w:p>
    <w:tbl>
      <w:tblPr>
        <w:tblStyle w:val="4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36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保险公司名称</w:t>
            </w:r>
          </w:p>
        </w:tc>
        <w:tc>
          <w:tcPr>
            <w:tcW w:w="170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保费率</w:t>
            </w:r>
          </w:p>
        </w:tc>
        <w:tc>
          <w:tcPr>
            <w:tcW w:w="992"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w:t>
            </w:r>
          </w:p>
        </w:tc>
        <w:tc>
          <w:tcPr>
            <w:tcW w:w="1468"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中国人寿财产保险股份有限公司台州中心支公司</w:t>
            </w:r>
          </w:p>
        </w:tc>
        <w:tc>
          <w:tcPr>
            <w:tcW w:w="1701"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年费率3%，最低保费500元</w:t>
            </w:r>
          </w:p>
        </w:tc>
        <w:tc>
          <w:tcPr>
            <w:tcW w:w="992"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徐凌</w:t>
            </w:r>
          </w:p>
        </w:tc>
        <w:tc>
          <w:tcPr>
            <w:tcW w:w="1468"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阳光保险台州中心支公司</w:t>
            </w:r>
          </w:p>
        </w:tc>
        <w:tc>
          <w:tcPr>
            <w:tcW w:w="1701"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年费率1%，最低保费500元</w:t>
            </w:r>
          </w:p>
        </w:tc>
        <w:tc>
          <w:tcPr>
            <w:tcW w:w="992"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林高明</w:t>
            </w:r>
          </w:p>
        </w:tc>
        <w:tc>
          <w:tcPr>
            <w:tcW w:w="1468"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天安财产保险股份有限公司台州中心支公司</w:t>
            </w:r>
          </w:p>
        </w:tc>
        <w:tc>
          <w:tcPr>
            <w:tcW w:w="1701"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年费率1%-2%，最低保费500元</w:t>
            </w:r>
          </w:p>
        </w:tc>
        <w:tc>
          <w:tcPr>
            <w:tcW w:w="992"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罗赛</w:t>
            </w:r>
          </w:p>
        </w:tc>
        <w:tc>
          <w:tcPr>
            <w:tcW w:w="1468" w:type="dxa"/>
          </w:tcPr>
          <w:p>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13736605643</w:t>
            </w:r>
          </w:p>
        </w:tc>
      </w:tr>
    </w:tbl>
    <w:p>
      <w:pPr>
        <w:pStyle w:val="38"/>
        <w:ind w:firstLine="480"/>
        <w:rPr>
          <w:rFonts w:hint="eastAsia" w:ascii="仿宋" w:hAnsi="仿宋" w:eastAsia="仿宋" w:cs="仿宋"/>
          <w:sz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5"/>
        </w:numPr>
        <w:spacing w:line="240" w:lineRule="auto"/>
        <w:ind w:firstLine="1767" w:firstLineChars="400"/>
        <w:jc w:val="both"/>
        <w:rPr>
          <w:rFonts w:hint="eastAsia" w:ascii="仿宋" w:hAnsi="仿宋" w:eastAsia="仿宋" w:cs="仿宋"/>
        </w:rPr>
      </w:pPr>
      <w:bookmarkStart w:id="43" w:name="_Toc417381411"/>
      <w:bookmarkEnd w:id="43"/>
      <w:bookmarkStart w:id="44" w:name="_Toc8611"/>
      <w:r>
        <w:rPr>
          <w:rFonts w:hint="eastAsia" w:ascii="仿宋" w:hAnsi="仿宋" w:eastAsia="仿宋" w:cs="仿宋"/>
        </w:rPr>
        <w:t>竞争性磋商流程</w:t>
      </w:r>
      <w:bookmarkEnd w:id="44"/>
    </w:p>
    <w:p>
      <w:pPr>
        <w:pStyle w:val="112"/>
        <w:spacing w:before="0"/>
        <w:ind w:firstLine="0" w:firstLineChars="0"/>
        <w:rPr>
          <w:rFonts w:hint="eastAsia" w:ascii="仿宋" w:hAnsi="仿宋" w:eastAsia="仿宋" w:cs="仿宋"/>
          <w:szCs w:val="24"/>
        </w:rPr>
      </w:pPr>
      <w:r>
        <w:rPr>
          <w:rFonts w:hint="eastAsia" w:ascii="仿宋" w:hAnsi="仿宋" w:eastAsia="仿宋" w:cs="仿宋"/>
          <w:szCs w:val="24"/>
        </w:rPr>
        <w:t>1.征集供应商</w:t>
      </w:r>
    </w:p>
    <w:p>
      <w:pPr>
        <w:pStyle w:val="112"/>
        <w:spacing w:before="0"/>
        <w:ind w:firstLine="480"/>
        <w:rPr>
          <w:rFonts w:hint="eastAsia" w:ascii="仿宋" w:hAnsi="仿宋" w:eastAsia="仿宋" w:cs="仿宋"/>
          <w:szCs w:val="24"/>
        </w:rPr>
      </w:pPr>
      <w:r>
        <w:rPr>
          <w:rFonts w:hint="eastAsia" w:ascii="仿宋" w:hAnsi="仿宋" w:eastAsia="仿宋" w:cs="仿宋"/>
          <w:szCs w:val="24"/>
        </w:rPr>
        <w:t>1.1征集供应商。</w:t>
      </w:r>
    </w:p>
    <w:p>
      <w:pPr>
        <w:pStyle w:val="112"/>
        <w:numPr>
          <w:ilvl w:val="0"/>
          <w:numId w:val="6"/>
        </w:numPr>
        <w:spacing w:before="0"/>
        <w:ind w:firstLineChars="0"/>
        <w:rPr>
          <w:rFonts w:hint="eastAsia" w:ascii="仿宋" w:hAnsi="仿宋" w:eastAsia="仿宋" w:cs="仿宋"/>
          <w:szCs w:val="24"/>
        </w:rPr>
      </w:pPr>
      <w:r>
        <w:rPr>
          <w:rFonts w:hint="eastAsia" w:ascii="仿宋" w:hAnsi="仿宋" w:eastAsia="仿宋" w:cs="仿宋"/>
          <w:szCs w:val="24"/>
        </w:rPr>
        <w:t>采用公告方式征集供应商的，由采购人、采购代理机构在省级以上人民政府财政部门指定的政府采购信息发布媒体上发布磋商公告，征集符合相应资格条件的供应商参与竞争性磋商采购活动。</w:t>
      </w:r>
    </w:p>
    <w:p>
      <w:pPr>
        <w:pStyle w:val="112"/>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pPr>
        <w:pStyle w:val="112"/>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112"/>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112"/>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112"/>
        <w:spacing w:before="0"/>
        <w:ind w:firstLine="0" w:firstLineChars="0"/>
        <w:rPr>
          <w:rFonts w:hint="eastAsia" w:ascii="仿宋" w:hAnsi="仿宋" w:eastAsia="仿宋" w:cs="仿宋"/>
          <w:szCs w:val="24"/>
        </w:rPr>
      </w:pPr>
      <w:r>
        <w:rPr>
          <w:rFonts w:hint="eastAsia" w:ascii="仿宋" w:hAnsi="仿宋" w:eastAsia="仿宋" w:cs="仿宋"/>
          <w:szCs w:val="24"/>
        </w:rPr>
        <w:t>2.响应文件开启与信用信息查询</w:t>
      </w:r>
    </w:p>
    <w:p>
      <w:pPr>
        <w:pStyle w:val="112"/>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112"/>
        <w:spacing w:before="0"/>
        <w:ind w:firstLine="480"/>
        <w:rPr>
          <w:rFonts w:hint="eastAsia" w:ascii="仿宋" w:hAnsi="仿宋" w:eastAsia="仿宋" w:cs="仿宋"/>
          <w:szCs w:val="24"/>
        </w:rPr>
      </w:pPr>
      <w:r>
        <w:rPr>
          <w:rFonts w:hint="eastAsia" w:ascii="仿宋" w:hAnsi="仿宋" w:eastAsia="仿宋" w:cs="仿宋"/>
          <w:szCs w:val="24"/>
        </w:rPr>
        <w:t>2.2采购代理机构将通过“信用中国”网站(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szCs w:val="24"/>
        </w:rPr>
        <w:t>www.creditchina.gov.cn</w:t>
      </w:r>
      <w:r>
        <w:rPr>
          <w:rFonts w:hint="eastAsia" w:ascii="仿宋" w:hAnsi="仿宋" w:eastAsia="仿宋" w:cs="仿宋"/>
          <w:szCs w:val="24"/>
        </w:rPr>
        <w:fldChar w:fldCharType="end"/>
      </w:r>
      <w:r>
        <w:rPr>
          <w:rFonts w:hint="eastAsia" w:ascii="仿宋" w:hAnsi="仿宋" w:eastAsia="仿宋" w:cs="仿宋"/>
          <w:szCs w:val="24"/>
        </w:rPr>
        <w:t>)和中国政府采购网(www.ccgp.gov.cn)渠道查询供应商响应截止时间当日的信用记录。</w:t>
      </w:r>
    </w:p>
    <w:p>
      <w:pPr>
        <w:pStyle w:val="112"/>
        <w:spacing w:before="0"/>
        <w:ind w:firstLine="0" w:firstLineChars="0"/>
        <w:rPr>
          <w:rFonts w:hint="eastAsia" w:ascii="仿宋" w:hAnsi="仿宋" w:eastAsia="仿宋" w:cs="仿宋"/>
          <w:szCs w:val="24"/>
        </w:rPr>
      </w:pPr>
      <w:r>
        <w:rPr>
          <w:rFonts w:hint="eastAsia" w:ascii="仿宋" w:hAnsi="仿宋" w:eastAsia="仿宋" w:cs="仿宋"/>
          <w:szCs w:val="24"/>
        </w:rPr>
        <w:t>3.磋商与评审</w:t>
      </w:r>
    </w:p>
    <w:p>
      <w:pPr>
        <w:pStyle w:val="112"/>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112"/>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pPr>
        <w:pStyle w:val="112"/>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112"/>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pPr>
        <w:pStyle w:val="112"/>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pPr>
        <w:pStyle w:val="112"/>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112"/>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112"/>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pStyle w:val="112"/>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112"/>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112"/>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112"/>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112"/>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112"/>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112"/>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pPr>
        <w:pStyle w:val="112"/>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112"/>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3.15磋商小组应当根据综合评分情况，按照评审得分由高到低顺序推荐成交候选供应商，并编写评审报告。</w:t>
      </w:r>
    </w:p>
    <w:p>
      <w:pPr>
        <w:pStyle w:val="112"/>
        <w:spacing w:before="0"/>
        <w:ind w:firstLine="480"/>
        <w:rPr>
          <w:rFonts w:hint="eastAsia" w:ascii="仿宋" w:hAnsi="仿宋" w:eastAsia="仿宋" w:cs="仿宋"/>
          <w:szCs w:val="24"/>
        </w:rPr>
      </w:pPr>
      <w:r>
        <w:rPr>
          <w:rFonts w:hint="eastAsia" w:ascii="仿宋" w:hAnsi="仿宋" w:eastAsia="仿宋" w:cs="仿宋"/>
          <w:szCs w:val="24"/>
        </w:rPr>
        <w:t>4. 成交</w:t>
      </w:r>
    </w:p>
    <w:p>
      <w:pPr>
        <w:pStyle w:val="112"/>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112"/>
        <w:spacing w:before="0"/>
        <w:ind w:firstLine="48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112"/>
        <w:spacing w:before="0"/>
        <w:ind w:firstLine="480"/>
        <w:rPr>
          <w:rFonts w:hint="eastAsia" w:ascii="仿宋" w:hAnsi="仿宋" w:eastAsia="仿宋" w:cs="仿宋"/>
          <w:szCs w:val="24"/>
        </w:rPr>
      </w:pPr>
      <w:r>
        <w:rPr>
          <w:rFonts w:hint="eastAsia" w:ascii="仿宋" w:hAnsi="仿宋" w:eastAsia="仿宋" w:cs="仿宋"/>
          <w:szCs w:val="24"/>
        </w:rPr>
        <w:t>5.合同及履约验收</w:t>
      </w:r>
    </w:p>
    <w:p>
      <w:pPr>
        <w:pStyle w:val="112"/>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5.1采购人与成交供应商应当在成交通知书发出之日起30个工作日内签订政府采购合同。</w:t>
      </w:r>
    </w:p>
    <w:p>
      <w:pPr>
        <w:pStyle w:val="112"/>
        <w:spacing w:before="0"/>
        <w:ind w:firstLine="480"/>
        <w:rPr>
          <w:rFonts w:hint="eastAsia" w:ascii="仿宋" w:hAnsi="仿宋" w:eastAsia="仿宋" w:cs="仿宋"/>
          <w:szCs w:val="24"/>
        </w:rPr>
      </w:pPr>
      <w:r>
        <w:rPr>
          <w:rFonts w:hint="eastAsia" w:ascii="仿宋" w:hAnsi="仿宋" w:eastAsia="仿宋" w:cs="仿宋"/>
          <w:szCs w:val="24"/>
        </w:rPr>
        <w:t>5.2合同履约。</w:t>
      </w:r>
    </w:p>
    <w:p>
      <w:pPr>
        <w:pStyle w:val="112"/>
        <w:spacing w:before="0"/>
        <w:ind w:firstLine="480"/>
        <w:rPr>
          <w:rFonts w:hint="eastAsia" w:ascii="仿宋" w:hAnsi="仿宋" w:eastAsia="仿宋" w:cs="仿宋"/>
          <w:szCs w:val="24"/>
        </w:rPr>
      </w:pPr>
      <w:r>
        <w:rPr>
          <w:rFonts w:hint="eastAsia" w:ascii="仿宋" w:hAnsi="仿宋" w:eastAsia="仿宋" w:cs="仿宋"/>
          <w:szCs w:val="24"/>
        </w:rPr>
        <w:t>5.3采购人组织验收。</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5"/>
        </w:numPr>
        <w:spacing w:line="240" w:lineRule="auto"/>
        <w:ind w:firstLine="1767" w:firstLineChars="400"/>
        <w:jc w:val="both"/>
        <w:rPr>
          <w:rFonts w:hint="eastAsia" w:ascii="仿宋" w:hAnsi="仿宋" w:eastAsia="仿宋" w:cs="仿宋"/>
        </w:rPr>
      </w:pPr>
      <w:bookmarkStart w:id="45" w:name="_Toc3210"/>
      <w:r>
        <w:rPr>
          <w:rFonts w:hint="eastAsia" w:ascii="仿宋" w:hAnsi="仿宋" w:eastAsia="仿宋" w:cs="仿宋"/>
        </w:rPr>
        <w:t>供应商须知</w:t>
      </w:r>
      <w:bookmarkEnd w:id="45"/>
    </w:p>
    <w:p>
      <w:pPr>
        <w:pStyle w:val="3"/>
        <w:jc w:val="center"/>
        <w:rPr>
          <w:rFonts w:hint="eastAsia" w:ascii="仿宋" w:hAnsi="仿宋" w:eastAsia="仿宋" w:cs="仿宋"/>
          <w:b/>
          <w:kern w:val="0"/>
          <w:sz w:val="28"/>
          <w:szCs w:val="28"/>
        </w:rPr>
      </w:pPr>
      <w:r>
        <w:rPr>
          <w:rFonts w:hint="eastAsia" w:ascii="仿宋" w:hAnsi="仿宋" w:eastAsia="仿宋" w:cs="仿宋"/>
          <w:b/>
          <w:kern w:val="0"/>
          <w:sz w:val="28"/>
          <w:szCs w:val="28"/>
        </w:rPr>
        <w:t>前附表</w:t>
      </w:r>
    </w:p>
    <w:tbl>
      <w:tblPr>
        <w:tblStyle w:val="39"/>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78"/>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val="0"/>
              <w:suppressLineNumbers w:val="0"/>
              <w:spacing w:before="0" w:beforeAutospacing="0" w:after="0" w:afterAutospacing="0" w:line="30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 号</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val="0"/>
              <w:suppressLineNumbers w:val="0"/>
              <w:spacing w:before="0" w:beforeAutospacing="0" w:after="0" w:afterAutospacing="0" w:line="30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事 项</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val="0"/>
              <w:suppressLineNumbers w:val="0"/>
              <w:spacing w:before="0" w:beforeAutospacing="0" w:after="0" w:afterAutospacing="0" w:line="30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是否允许联合体</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是否允许分包</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答疑会或</w:t>
            </w:r>
          </w:p>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现场踏勘</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sdt>
              <w:sdtPr>
                <w:rPr>
                  <w:rFonts w:hint="eastAsia" w:ascii="仿宋" w:hAnsi="仿宋" w:eastAsia="仿宋" w:cs="仿宋"/>
                  <w:sz w:val="24"/>
                  <w:szCs w:val="20"/>
                </w:rPr>
                <w:id w:val="-1"/>
              </w:sdtPr>
              <w:sdtEndPr>
                <w:rPr>
                  <w:rFonts w:hint="eastAsia" w:ascii="仿宋" w:hAnsi="仿宋" w:eastAsia="仿宋" w:cs="仿宋"/>
                  <w:sz w:val="24"/>
                  <w:szCs w:val="20"/>
                </w:rPr>
              </w:sdtEndPr>
              <w:sdtContent>
                <w:r>
                  <w:rPr>
                    <w:rFonts w:hint="eastAsia" w:ascii="仿宋" w:hAnsi="仿宋" w:eastAsia="仿宋" w:cs="仿宋"/>
                    <w:sz w:val="24"/>
                    <w:szCs w:val="20"/>
                  </w:rPr>
                  <w:t>不组织。</w:t>
                </w:r>
              </w:sdtContent>
            </w:sdt>
            <w:r>
              <w:rPr>
                <w:rFonts w:hint="eastAsia" w:ascii="仿宋" w:hAnsi="仿宋" w:eastAsia="仿宋" w:cs="仿宋"/>
                <w:sz w:val="24"/>
                <w:szCs w:val="20"/>
              </w:rPr>
              <w:t>投标人需自主勘察现场，各投标人应根据现场情况，充分考虑项目的实际工程量，投标人投标报价应包含所有费用。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响应文件的制作和递交</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请供应商仔细阅读“政府采购项目电子交易操作指南”。</w:t>
            </w:r>
          </w:p>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1.响应文件的制作：供应商按照本项目磋商文件和政采云平台的要求，通过政采云电子交易客户端编制、加密并递交响应文件（下载网址：</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"http://www.zjzfcg.gov.cn/bidClientTemplate/2019-09-24/12975.html）。" </w:instrText>
            </w:r>
            <w:r>
              <w:rPr>
                <w:rFonts w:hint="eastAsia" w:ascii="仿宋" w:hAnsi="仿宋" w:eastAsia="仿宋" w:cs="仿宋"/>
                <w:sz w:val="20"/>
                <w:szCs w:val="20"/>
              </w:rPr>
              <w:fldChar w:fldCharType="separate"/>
            </w:r>
            <w:r>
              <w:rPr>
                <w:rFonts w:hint="eastAsia" w:ascii="仿宋" w:hAnsi="仿宋" w:eastAsia="仿宋" w:cs="仿宋"/>
                <w:sz w:val="24"/>
                <w:szCs w:val="24"/>
              </w:rPr>
              <w:t>https://zfcg.czt.zj.gov.cn/download/index.html）。</w:t>
            </w:r>
            <w:r>
              <w:rPr>
                <w:rFonts w:hint="eastAsia" w:ascii="仿宋" w:hAnsi="仿宋" w:eastAsia="仿宋" w:cs="仿宋"/>
                <w:sz w:val="24"/>
                <w:szCs w:val="24"/>
              </w:rPr>
              <w:fldChar w:fldCharType="end"/>
            </w:r>
          </w:p>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2.递交响应文件：供应商应当在响应截止时间前（磋商当天北京时间</w:t>
            </w:r>
            <w:r>
              <w:rPr>
                <w:rFonts w:hint="eastAsia" w:ascii="仿宋" w:hAnsi="仿宋" w:eastAsia="仿宋" w:cs="仿宋"/>
                <w:sz w:val="24"/>
                <w:szCs w:val="24"/>
                <w:u w:val="single"/>
              </w:rPr>
              <w:t>09:</w:t>
            </w:r>
            <w:r>
              <w:rPr>
                <w:rFonts w:hint="eastAsia" w:ascii="仿宋" w:hAnsi="仿宋" w:eastAsia="仿宋" w:cs="仿宋"/>
                <w:sz w:val="24"/>
                <w:szCs w:val="24"/>
                <w:u w:val="single"/>
                <w:lang w:val="en-US" w:eastAsia="zh-CN"/>
              </w:rPr>
              <w:t>15</w:t>
            </w:r>
            <w:r>
              <w:rPr>
                <w:rFonts w:hint="eastAsia" w:ascii="仿宋" w:hAnsi="仿宋" w:eastAsia="仿宋" w:cs="仿宋"/>
                <w:sz w:val="24"/>
                <w:szCs w:val="24"/>
              </w:rPr>
              <w:t>）完成响应文件的递交，逾期递交的响应文件恕不接受。补充或者修改响应文件的，应当先行撤回原文件，补充、修改后重新递交。响应截止时间前未完成递交的，视为撤回响应文件。</w:t>
            </w:r>
          </w:p>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3.响应文件解密：供应商应在磋商当天北京时间</w:t>
            </w:r>
            <w:r>
              <w:rPr>
                <w:rFonts w:hint="eastAsia" w:ascii="仿宋" w:hAnsi="仿宋" w:eastAsia="仿宋" w:cs="仿宋"/>
                <w:sz w:val="24"/>
                <w:szCs w:val="24"/>
                <w:u w:val="single"/>
              </w:rPr>
              <w:t>09:</w:t>
            </w:r>
            <w:r>
              <w:rPr>
                <w:rFonts w:hint="eastAsia" w:ascii="仿宋" w:hAnsi="仿宋" w:eastAsia="仿宋" w:cs="仿宋"/>
                <w:sz w:val="24"/>
                <w:szCs w:val="24"/>
                <w:u w:val="single"/>
                <w:lang w:val="en-US" w:eastAsia="zh-CN"/>
              </w:rPr>
              <w:t>15</w:t>
            </w:r>
            <w:r>
              <w:rPr>
                <w:rFonts w:hint="eastAsia" w:ascii="仿宋" w:hAnsi="仿宋" w:eastAsia="仿宋" w:cs="仿宋"/>
                <w:sz w:val="24"/>
                <w:szCs w:val="24"/>
              </w:rPr>
              <w:t>至</w:t>
            </w:r>
            <w:r>
              <w:rPr>
                <w:rFonts w:hint="eastAsia" w:ascii="仿宋" w:hAnsi="仿宋" w:eastAsia="仿宋" w:cs="仿宋"/>
                <w:sz w:val="24"/>
                <w:szCs w:val="24"/>
                <w:u w:val="single"/>
              </w:rPr>
              <w:t>09:</w:t>
            </w:r>
            <w:r>
              <w:rPr>
                <w:rFonts w:hint="eastAsia" w:ascii="仿宋" w:hAnsi="仿宋" w:eastAsia="仿宋" w:cs="仿宋"/>
                <w:sz w:val="24"/>
                <w:szCs w:val="24"/>
                <w:u w:val="single"/>
                <w:lang w:val="en-US" w:eastAsia="zh-CN"/>
              </w:rPr>
              <w:t>45</w:t>
            </w:r>
            <w:r>
              <w:rPr>
                <w:rFonts w:hint="eastAsia" w:ascii="仿宋" w:hAnsi="仿宋" w:eastAsia="仿宋" w:cs="仿宋"/>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keepNext w:val="0"/>
              <w:keepLines w:val="0"/>
              <w:suppressLineNumbers w:val="0"/>
              <w:snapToGrid/>
              <w:spacing w:before="0" w:beforeAutospacing="0" w:after="0" w:afterAutospacing="0" w:line="300" w:lineRule="auto"/>
              <w:ind w:left="0" w:right="0" w:firstLine="0" w:firstLineChars="0"/>
              <w:rPr>
                <w:rFonts w:hint="eastAsia" w:ascii="仿宋" w:hAnsi="仿宋" w:eastAsia="仿宋" w:cs="仿宋"/>
                <w:kern w:val="0"/>
                <w:sz w:val="24"/>
              </w:rPr>
            </w:pPr>
            <w:r>
              <w:rPr>
                <w:rFonts w:hint="eastAsia" w:ascii="仿宋" w:hAnsi="仿宋" w:eastAsia="仿宋" w:cs="仿宋"/>
                <w:sz w:val="24"/>
              </w:rPr>
              <w:t>备份响应文件的递交</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本项目实行电子投标，供应商建议准备电子投标文件、以介质存储的数据电文形式的备份投标文件、纸质备份投标文件三类：</w:t>
            </w:r>
          </w:p>
          <w:p>
            <w:pPr>
              <w:keepNext w:val="0"/>
              <w:keepLines w:val="0"/>
              <w:widowControl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1.电子投标文件，按政采云平台项目采购--电子招投标操作指南及本磋商文件要求编制、递交。</w:t>
            </w:r>
          </w:p>
          <w:p>
            <w:pPr>
              <w:keepNext w:val="0"/>
              <w:keepLines w:val="0"/>
              <w:widowControl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 以介质存储的数据电文形式的备份投标文件，按政采云平台项目采购-电子招投标操作指南中上传的电子投标文件格式，以U盘形式提供。数量为1份。</w:t>
            </w:r>
          </w:p>
          <w:p>
            <w:pPr>
              <w:keepNext w:val="0"/>
              <w:keepLines w:val="0"/>
              <w:widowControl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3.纸质备份投标文件以纸质文件的形式编制，数量为</w:t>
            </w:r>
            <w:r>
              <w:rPr>
                <w:rFonts w:hint="eastAsia" w:ascii="仿宋" w:hAnsi="仿宋" w:eastAsia="仿宋" w:cs="仿宋"/>
                <w:sz w:val="24"/>
                <w:szCs w:val="24"/>
                <w:lang w:val="en-US" w:eastAsia="zh-CN"/>
              </w:rPr>
              <w:t>2</w:t>
            </w:r>
            <w:bookmarkStart w:id="85" w:name="_GoBack"/>
            <w:bookmarkEnd w:id="85"/>
            <w:r>
              <w:rPr>
                <w:rFonts w:hint="eastAsia" w:ascii="仿宋" w:hAnsi="仿宋" w:eastAsia="仿宋" w:cs="仿宋"/>
                <w:sz w:val="24"/>
                <w:szCs w:val="24"/>
              </w:rPr>
              <w:t>份（正本一份，副本</w:t>
            </w:r>
            <w:r>
              <w:rPr>
                <w:rFonts w:hint="eastAsia" w:ascii="仿宋" w:hAnsi="仿宋" w:eastAsia="仿宋" w:cs="仿宋"/>
                <w:sz w:val="24"/>
                <w:szCs w:val="20"/>
                <w:lang w:eastAsia="zh-CN"/>
              </w:rPr>
              <w:t>一</w:t>
            </w:r>
            <w:r>
              <w:rPr>
                <w:rFonts w:hint="eastAsia" w:ascii="仿宋" w:hAnsi="仿宋" w:eastAsia="仿宋" w:cs="仿宋"/>
                <w:sz w:val="24"/>
                <w:szCs w:val="24"/>
              </w:rPr>
              <w:t>份）。</w:t>
            </w:r>
          </w:p>
          <w:p>
            <w:pPr>
              <w:keepNext w:val="0"/>
              <w:keepLines w:val="0"/>
              <w:widowControl w:val="0"/>
              <w:suppressLineNumbers w:val="0"/>
              <w:spacing w:before="0" w:beforeAutospacing="0" w:after="0" w:afterAutospacing="0" w:line="40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4.投标文件启用顺序和效力：投标文件的启用，按先后顺位分别为电子投标文件、以U盘存储的数据电文形式的备份投标文件、纸质备份投标文件。顺位在先的投标文件已按时解密的，备份投标文件自动失效。在下一顺位的投标文件启用时，前一顺位的投标文件自动失效。</w:t>
            </w:r>
          </w:p>
          <w:p>
            <w:pPr>
              <w:pStyle w:val="38"/>
              <w:keepNext w:val="0"/>
              <w:keepLines w:val="0"/>
              <w:suppressLineNumbers w:val="0"/>
              <w:snapToGrid/>
              <w:spacing w:before="0" w:beforeAutospacing="0" w:after="0" w:afterAutospacing="0" w:line="300" w:lineRule="auto"/>
              <w:ind w:left="0" w:right="0" w:firstLine="480"/>
              <w:jc w:val="left"/>
              <w:rPr>
                <w:rFonts w:hint="eastAsia" w:ascii="仿宋" w:hAnsi="仿宋" w:eastAsia="仿宋" w:cs="仿宋"/>
                <w:sz w:val="24"/>
              </w:rPr>
            </w:pPr>
            <w:r>
              <w:rPr>
                <w:rFonts w:hint="eastAsia" w:ascii="仿宋" w:hAnsi="仿宋" w:eastAsia="仿宋" w:cs="仿宋"/>
                <w:sz w:val="24"/>
              </w:rPr>
              <w:t>5.▲未传输递交电子投标文件的，投标无效。未按规定提供相应的备份投标文件，造成项目开评标活动无法进行下去的，投标无效。</w:t>
            </w:r>
          </w:p>
          <w:p>
            <w:pPr>
              <w:pStyle w:val="38"/>
              <w:keepNext w:val="0"/>
              <w:keepLines w:val="0"/>
              <w:suppressLineNumbers w:val="0"/>
              <w:snapToGrid/>
              <w:spacing w:before="0" w:beforeAutospacing="0" w:after="0" w:afterAutospacing="0" w:line="300" w:lineRule="auto"/>
              <w:ind w:left="0" w:right="0" w:firstLine="480"/>
              <w:jc w:val="left"/>
              <w:rPr>
                <w:rFonts w:hint="eastAsia" w:ascii="仿宋" w:hAnsi="仿宋" w:eastAsia="仿宋" w:cs="仿宋"/>
                <w:sz w:val="24"/>
              </w:rPr>
            </w:pPr>
            <w:r>
              <w:rPr>
                <w:rFonts w:hint="eastAsia" w:ascii="仿宋" w:hAnsi="仿宋" w:eastAsia="仿宋" w:cs="仿宋"/>
                <w:sz w:val="24"/>
              </w:rPr>
              <w:t>6.纸质备份投标文件送达地点： 椒江区华中大厦1单元1703室 ；备份投标文件签收人员联系电话：15372111333。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keepNext w:val="0"/>
              <w:keepLines w:val="0"/>
              <w:suppressLineNumbers w:val="0"/>
              <w:spacing w:before="0" w:beforeAutospacing="0" w:after="0" w:afterAutospacing="0" w:line="300" w:lineRule="auto"/>
              <w:ind w:left="0" w:right="0" w:firstLine="0" w:firstLineChars="0"/>
              <w:rPr>
                <w:rFonts w:hint="eastAsia" w:ascii="仿宋" w:hAnsi="仿宋" w:eastAsia="仿宋" w:cs="仿宋"/>
              </w:rPr>
            </w:pPr>
            <w:r>
              <w:rPr>
                <w:rFonts w:hint="eastAsia" w:ascii="仿宋" w:hAnsi="仿宋" w:eastAsia="仿宋" w:cs="仿宋"/>
              </w:rPr>
              <w:t>不见面磋商</w:t>
            </w:r>
          </w:p>
          <w:p>
            <w:pPr>
              <w:pStyle w:val="12"/>
              <w:keepNext w:val="0"/>
              <w:keepLines w:val="0"/>
              <w:suppressLineNumbers w:val="0"/>
              <w:spacing w:before="0" w:beforeAutospacing="0" w:after="0" w:afterAutospacing="0" w:line="300" w:lineRule="auto"/>
              <w:ind w:left="0" w:right="0" w:firstLine="480"/>
              <w:jc w:val="center"/>
              <w:rPr>
                <w:rFonts w:hint="eastAsia" w:ascii="仿宋" w:hAnsi="仿宋" w:eastAsia="仿宋" w:cs="仿宋"/>
              </w:rPr>
            </w:pP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4"/>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rPr>
            </w:pPr>
            <w:r>
              <w:rPr>
                <w:rFonts w:hint="eastAsia" w:ascii="仿宋" w:hAnsi="仿宋" w:eastAsia="仿宋" w:cs="仿宋"/>
              </w:rPr>
              <w:t>磋商活动实行政采云视频会议磋商。</w:t>
            </w:r>
          </w:p>
          <w:p>
            <w:pPr>
              <w:keepNext w:val="0"/>
              <w:keepLines w:val="0"/>
              <w:widowControl/>
              <w:suppressLineNumbers w:val="0"/>
              <w:spacing w:before="0" w:beforeAutospacing="0" w:after="0" w:afterAutospacing="0" w:line="400" w:lineRule="exact"/>
              <w:ind w:left="0" w:right="0" w:firstLine="398" w:firstLineChars="166"/>
              <w:rPr>
                <w:rFonts w:hint="eastAsia" w:ascii="仿宋" w:hAnsi="仿宋" w:eastAsia="仿宋" w:cs="仿宋"/>
                <w:sz w:val="24"/>
                <w:szCs w:val="24"/>
              </w:rPr>
            </w:pPr>
            <w:r>
              <w:rPr>
                <w:rFonts w:hint="eastAsia" w:ascii="仿宋" w:hAnsi="仿宋" w:eastAsia="仿宋" w:cs="仿宋"/>
                <w:sz w:val="24"/>
                <w:szCs w:val="24"/>
                <w:lang w:val="zh-CN"/>
              </w:rPr>
              <w:t>采购组织机构按照磋商文件规定的时间通过“政采云平台”组织开启，所有供应商均应当准时在线参加。如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磋商注意事项</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1.本项目实行电子采购，采用电子响应文件。若供应商参与本项目，自行承担磋商活动一切费用。</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p>
            <w:pPr>
              <w:pStyle w:val="22"/>
              <w:keepNext w:val="0"/>
              <w:keepLines w:val="0"/>
              <w:suppressLineNumbers w:val="0"/>
              <w:spacing w:before="0" w:beforeAutospacing="0" w:after="0" w:afterAutospacing="0"/>
              <w:ind w:left="0" w:right="0" w:firstLine="480" w:firstLineChars="200"/>
              <w:rPr>
                <w:rFonts w:hint="eastAsia" w:ascii="仿宋" w:hAnsi="仿宋" w:eastAsia="仿宋" w:cs="仿宋"/>
                <w:szCs w:val="20"/>
              </w:rPr>
            </w:pPr>
            <w:r>
              <w:rPr>
                <w:rFonts w:hint="eastAsia" w:ascii="仿宋" w:hAnsi="仿宋" w:eastAsia="仿宋" w:cs="仿宋"/>
                <w:kern w:val="0"/>
                <w:sz w:val="24"/>
                <w:szCs w:val="24"/>
              </w:rPr>
              <w:t>3.本项目采用电子磋商方式，请各供应商自行准备可进行视频沟通的电脑设备，否则因此造成无法进行磋商情况的，由各供应商自行承担。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bCs/>
                <w:sz w:val="24"/>
                <w:szCs w:val="20"/>
              </w:rPr>
              <w:t>方案讲解演示</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sym w:font="Wingdings" w:char="00FE"/>
            </w:r>
            <w:r>
              <w:rPr>
                <w:rFonts w:hint="eastAsia" w:ascii="仿宋" w:hAnsi="仿宋" w:eastAsia="仿宋" w:cs="仿宋"/>
                <w:kern w:val="0"/>
                <w:sz w:val="24"/>
                <w:szCs w:val="24"/>
                <w:lang w:val="zh-CN"/>
              </w:rPr>
              <w:t>A不组织。</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sym w:font="Wingdings" w:char="00A8"/>
            </w:r>
            <w:r>
              <w:rPr>
                <w:rFonts w:hint="eastAsia" w:ascii="仿宋" w:hAnsi="仿宋" w:eastAsia="仿宋" w:cs="仿宋"/>
                <w:kern w:val="0"/>
                <w:sz w:val="24"/>
                <w:szCs w:val="24"/>
                <w:lang w:val="zh-CN"/>
              </w:rPr>
              <w:t>B组织。</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本项目要求提供演示，讲解由供应商事先录制讲解视频（时间不超过</w:t>
            </w:r>
            <w:r>
              <w:rPr>
                <w:rFonts w:hint="eastAsia" w:ascii="仿宋" w:hAnsi="仿宋" w:eastAsia="仿宋" w:cs="仿宋"/>
                <w:kern w:val="0"/>
                <w:sz w:val="24"/>
                <w:szCs w:val="24"/>
              </w:rPr>
              <w:t>15</w:t>
            </w:r>
            <w:r>
              <w:rPr>
                <w:rFonts w:hint="eastAsia" w:ascii="仿宋" w:hAnsi="仿宋" w:eastAsia="仿宋" w:cs="仿宋"/>
                <w:kern w:val="0"/>
                <w:sz w:val="24"/>
                <w:szCs w:val="24"/>
                <w:lang w:val="zh-CN"/>
              </w:rPr>
              <w:t>分钟），以介质存储（U盘）并且密封包装（外包装上要求标注项目名称、项目编号、演示视频字样、供应商名称并加盖公章）后在响应文件提交截止时间前递交一份送到开标现场（可邮寄，发生泄露、遗失、损坏或延期送达等情况的，由供应商自行负责）。</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邮寄地址：浙江省椒江区华中大厦1单元1703室台州锋鼎工程项目管理有限公司</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联系人：蔡女士  联系电话：</w:t>
            </w:r>
            <w:r>
              <w:rPr>
                <w:rFonts w:hint="eastAsia" w:ascii="仿宋" w:hAnsi="仿宋" w:eastAsia="仿宋" w:cs="仿宋"/>
                <w:kern w:val="0"/>
                <w:sz w:val="24"/>
                <w:szCs w:val="24"/>
              </w:rPr>
              <w:t>15372111333</w:t>
            </w:r>
            <w:r>
              <w:rPr>
                <w:rFonts w:hint="eastAsia" w:ascii="仿宋" w:hAnsi="仿宋" w:eastAsia="仿宋" w:cs="仿宋"/>
                <w:kern w:val="0"/>
                <w:sz w:val="24"/>
                <w:szCs w:val="24"/>
                <w:lang w:val="zh-CN"/>
              </w:rPr>
              <w:t xml:space="preserve"> </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rPr>
              <w:t>邮寄</w:t>
            </w:r>
            <w:r>
              <w:rPr>
                <w:rFonts w:hint="eastAsia" w:ascii="仿宋" w:hAnsi="仿宋" w:eastAsia="仿宋" w:cs="仿宋"/>
                <w:kern w:val="0"/>
                <w:sz w:val="24"/>
                <w:szCs w:val="24"/>
                <w:lang w:val="zh-CN"/>
              </w:rPr>
              <w:t>截止时间：2024 年</w:t>
            </w:r>
            <w:r>
              <w:rPr>
                <w:rFonts w:hint="eastAsia" w:ascii="仿宋" w:hAnsi="仿宋" w:eastAsia="仿宋" w:cs="仿宋"/>
                <w:kern w:val="0"/>
                <w:sz w:val="24"/>
                <w:szCs w:val="24"/>
              </w:rPr>
              <w:t xml:space="preserve"> 月 </w:t>
            </w:r>
            <w:r>
              <w:rPr>
                <w:rFonts w:hint="eastAsia" w:ascii="仿宋" w:hAnsi="仿宋" w:eastAsia="仿宋" w:cs="仿宋"/>
                <w:kern w:val="0"/>
                <w:sz w:val="24"/>
                <w:szCs w:val="24"/>
                <w:lang w:val="zh-CN"/>
              </w:rPr>
              <w:t xml:space="preserve">日 </w:t>
            </w:r>
            <w:r>
              <w:rPr>
                <w:rFonts w:hint="eastAsia" w:ascii="仿宋" w:hAnsi="仿宋" w:eastAsia="仿宋" w:cs="仿宋"/>
                <w:kern w:val="0"/>
                <w:sz w:val="24"/>
                <w:szCs w:val="24"/>
              </w:rPr>
              <w:t>16</w:t>
            </w:r>
            <w:r>
              <w:rPr>
                <w:rFonts w:hint="eastAsia" w:ascii="仿宋" w:hAnsi="仿宋" w:eastAsia="仿宋" w:cs="仿宋"/>
                <w:kern w:val="0"/>
                <w:sz w:val="24"/>
                <w:szCs w:val="24"/>
                <w:lang w:val="zh-CN"/>
              </w:rPr>
              <w:t>点</w:t>
            </w:r>
            <w:r>
              <w:rPr>
                <w:rFonts w:hint="eastAsia" w:ascii="仿宋" w:hAnsi="仿宋" w:eastAsia="仿宋" w:cs="仿宋"/>
                <w:kern w:val="0"/>
                <w:sz w:val="24"/>
                <w:szCs w:val="24"/>
              </w:rPr>
              <w:t>0</w:t>
            </w:r>
            <w:r>
              <w:rPr>
                <w:rFonts w:hint="eastAsia" w:ascii="仿宋" w:hAnsi="仿宋" w:eastAsia="仿宋" w:cs="仿宋"/>
                <w:kern w:val="0"/>
                <w:sz w:val="24"/>
                <w:szCs w:val="24"/>
                <w:lang w:val="zh-CN"/>
              </w:rPr>
              <w:t>0分整</w:t>
            </w:r>
          </w:p>
          <w:p>
            <w:pPr>
              <w:pStyle w:val="21"/>
              <w:keepNext w:val="0"/>
              <w:keepLines w:val="0"/>
              <w:suppressLineNumbers w:val="0"/>
              <w:spacing w:before="0" w:beforeAutospacing="0" w:after="0" w:afterAutospacing="0" w:line="300" w:lineRule="auto"/>
              <w:ind w:left="0"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zh-CN"/>
              </w:rPr>
              <w:t>逾期送达或未密封将被拒收。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信用信息</w:t>
            </w:r>
          </w:p>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查询渠道</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信用中国（网址：</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"http://www.creditchina.gov.cn" </w:instrText>
            </w:r>
            <w:r>
              <w:rPr>
                <w:rFonts w:hint="eastAsia" w:ascii="仿宋" w:hAnsi="仿宋" w:eastAsia="仿宋" w:cs="仿宋"/>
                <w:sz w:val="20"/>
                <w:szCs w:val="20"/>
              </w:rPr>
              <w:fldChar w:fldCharType="separate"/>
            </w:r>
            <w:r>
              <w:rPr>
                <w:rFonts w:hint="eastAsia" w:ascii="仿宋" w:hAnsi="仿宋" w:eastAsia="仿宋" w:cs="仿宋"/>
                <w:sz w:val="24"/>
                <w:szCs w:val="24"/>
              </w:rPr>
              <w:t>http://www.creditchina.gov.cn</w:t>
            </w:r>
            <w:r>
              <w:rPr>
                <w:rFonts w:hint="eastAsia" w:ascii="仿宋" w:hAnsi="仿宋" w:eastAsia="仿宋" w:cs="仿宋"/>
                <w:sz w:val="24"/>
                <w:szCs w:val="24"/>
              </w:rPr>
              <w:fldChar w:fldCharType="end"/>
            </w:r>
            <w:r>
              <w:rPr>
                <w:rFonts w:hint="eastAsia" w:ascii="仿宋" w:hAnsi="仿宋" w:eastAsia="仿宋" w:cs="仿宋"/>
                <w:sz w:val="24"/>
                <w:szCs w:val="24"/>
              </w:rPr>
              <w:t>)</w:t>
            </w:r>
          </w:p>
          <w:p>
            <w:pPr>
              <w:keepNext w:val="0"/>
              <w:keepLines w:val="0"/>
              <w:widowControl/>
              <w:suppressLineNumbers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57" w:type="dxa"/>
            <w:vMerge w:val="restart"/>
            <w:tcBorders>
              <w:top w:val="single" w:color="auto" w:sz="4" w:space="0"/>
              <w:left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1578" w:type="dxa"/>
            <w:vMerge w:val="restart"/>
            <w:tcBorders>
              <w:top w:val="single" w:color="auto" w:sz="4" w:space="0"/>
              <w:left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中小企业预留份额情况</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4"/>
                <w:szCs w:val="20"/>
              </w:rPr>
            </w:pPr>
            <w:sdt>
              <w:sdtPr>
                <w:rPr>
                  <w:rFonts w:hint="eastAsia" w:ascii="仿宋" w:hAnsi="仿宋" w:eastAsia="仿宋" w:cs="仿宋"/>
                  <w:sz w:val="24"/>
                  <w:szCs w:val="20"/>
                </w:rPr>
                <w:id w:val="118727868"/>
              </w:sdtPr>
              <w:sdtEndPr>
                <w:rPr>
                  <w:rFonts w:hint="eastAsia" w:ascii="仿宋" w:hAnsi="仿宋" w:eastAsia="仿宋" w:cs="仿宋"/>
                  <w:sz w:val="24"/>
                  <w:szCs w:val="20"/>
                </w:rPr>
              </w:sdtEndPr>
              <w:sdtContent>
                <w:r>
                  <w:rPr>
                    <w:rFonts w:hint="eastAsia" w:ascii="仿宋" w:hAnsi="仿宋" w:eastAsia="仿宋" w:cs="仿宋"/>
                    <w:sz w:val="24"/>
                    <w:szCs w:val="20"/>
                  </w:rPr>
                  <w:sym w:font="Wingdings" w:char="00FE"/>
                </w:r>
              </w:sdtContent>
            </w:sdt>
            <w:r>
              <w:rPr>
                <w:rFonts w:hint="eastAsia" w:ascii="仿宋" w:hAnsi="仿宋" w:eastAsia="仿宋" w:cs="仿宋"/>
                <w:sz w:val="24"/>
                <w:szCs w:val="20"/>
              </w:rPr>
              <w:t>A货物类，核心产品为：</w:t>
            </w:r>
            <w:r>
              <w:rPr>
                <w:rFonts w:hint="eastAsia" w:ascii="仿宋" w:hAnsi="仿宋" w:eastAsia="仿宋" w:cs="仿宋"/>
                <w:sz w:val="24"/>
                <w:szCs w:val="20"/>
                <w:u w:val="single"/>
              </w:rPr>
              <w:t xml:space="preserve"> 超融合一体机   </w:t>
            </w:r>
            <w:r>
              <w:rPr>
                <w:rFonts w:hint="eastAsia" w:ascii="仿宋" w:hAnsi="仿宋" w:eastAsia="仿宋" w:cs="仿宋"/>
                <w:sz w:val="24"/>
                <w:szCs w:val="20"/>
              </w:rPr>
              <w:t>。</w:t>
            </w:r>
          </w:p>
          <w:p>
            <w:pPr>
              <w:keepNext w:val="0"/>
              <w:keepLines w:val="0"/>
              <w:widowControl/>
              <w:suppressLineNumbers w:val="0"/>
              <w:spacing w:before="0" w:beforeAutospacing="0" w:after="0" w:afterAutospacing="0"/>
              <w:ind w:left="0" w:right="0"/>
              <w:rPr>
                <w:rFonts w:hint="eastAsia" w:ascii="仿宋" w:hAnsi="仿宋" w:eastAsia="仿宋" w:cs="仿宋"/>
                <w:sz w:val="24"/>
                <w:szCs w:val="20"/>
              </w:rPr>
            </w:pPr>
            <w:sdt>
              <w:sdtPr>
                <w:rPr>
                  <w:rFonts w:hint="eastAsia" w:ascii="仿宋" w:hAnsi="仿宋" w:eastAsia="仿宋" w:cs="仿宋"/>
                  <w:sz w:val="24"/>
                  <w:szCs w:val="20"/>
                </w:rPr>
                <w:id w:val="474885559"/>
              </w:sdtPr>
              <w:sdtEndPr>
                <w:rPr>
                  <w:rFonts w:hint="eastAsia" w:ascii="仿宋" w:hAnsi="仿宋" w:eastAsia="仿宋" w:cs="仿宋"/>
                  <w:sz w:val="24"/>
                  <w:szCs w:val="20"/>
                </w:rPr>
              </w:sdtEndPr>
              <w:sdtContent>
                <w:sdt>
                  <w:sdtPr>
                    <w:rPr>
                      <w:rFonts w:hint="eastAsia" w:ascii="仿宋" w:hAnsi="仿宋" w:eastAsia="仿宋" w:cs="仿宋"/>
                      <w:sz w:val="24"/>
                      <w:szCs w:val="20"/>
                    </w:rPr>
                    <w:id w:val="-1"/>
                  </w:sdtPr>
                  <w:sdtEndPr>
                    <w:rPr>
                      <w:rFonts w:hint="eastAsia" w:ascii="仿宋" w:hAnsi="仿宋" w:eastAsia="仿宋" w:cs="仿宋"/>
                      <w:sz w:val="24"/>
                      <w:szCs w:val="20"/>
                    </w:rPr>
                  </w:sdtEndPr>
                  <w:sdtContent>
                    <w:r>
                      <w:rPr>
                        <w:rFonts w:hint="eastAsia" w:ascii="仿宋" w:hAnsi="仿宋" w:eastAsia="仿宋" w:cs="仿宋"/>
                        <w:sz w:val="24"/>
                        <w:szCs w:val="20"/>
                      </w:rPr>
                      <w:sym w:font="Wingdings" w:char="00A8"/>
                    </w:r>
                  </w:sdtContent>
                </w:sdt>
              </w:sdtContent>
            </w:sdt>
            <w:r>
              <w:rPr>
                <w:rFonts w:hint="eastAsia" w:ascii="仿宋" w:hAnsi="仿宋" w:eastAsia="仿宋" w:cs="仿宋"/>
                <w:sz w:val="24"/>
                <w:szCs w:val="20"/>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57" w:type="dxa"/>
            <w:vMerge w:val="continue"/>
            <w:tcBorders>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rPr>
                <w:rFonts w:hint="eastAsia" w:ascii="仿宋" w:hAnsi="仿宋" w:eastAsia="仿宋" w:cs="仿宋"/>
                <w:sz w:val="20"/>
                <w:szCs w:val="20"/>
              </w:rPr>
            </w:pPr>
          </w:p>
        </w:tc>
        <w:tc>
          <w:tcPr>
            <w:tcW w:w="1578" w:type="dxa"/>
            <w:vMerge w:val="continue"/>
            <w:tcBorders>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rPr>
                <w:rFonts w:hint="eastAsia" w:ascii="仿宋" w:hAnsi="仿宋" w:eastAsia="仿宋" w:cs="仿宋"/>
                <w:sz w:val="20"/>
                <w:szCs w:val="20"/>
              </w:rPr>
            </w:pP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
              <w:suppressLineNumbers w:val="0"/>
              <w:tabs>
                <w:tab w:val="left" w:pos="432"/>
              </w:tabs>
              <w:spacing w:beforeAutospacing="0" w:afterAutospacing="0" w:line="240" w:lineRule="auto"/>
              <w:ind w:left="0" w:right="0"/>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sz w:val="24"/>
                <w:u w:val="single"/>
                <w:lang w:eastAsia="zh-CN"/>
              </w:rPr>
              <w:t>台州市教育技术与信息中心超融合平台软硬件系统项目</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（行业划分按《工信部关于印发中小企业划型标准规定的通知（工信部联企业〔2011〕300号）》执行） </w:t>
            </w:r>
            <w:r>
              <w:rPr>
                <w:rFonts w:hint="eastAsia" w:ascii="仿宋" w:hAnsi="仿宋" w:eastAsia="仿宋" w:cs="仿宋"/>
                <w:sz w:val="24"/>
                <w:u w:val="single"/>
                <w:lang w:eastAsia="zh-CN"/>
              </w:rPr>
              <w:t>工</w:t>
            </w:r>
            <w:r>
              <w:rPr>
                <w:rFonts w:hint="eastAsia" w:ascii="仿宋" w:hAnsi="仿宋" w:eastAsia="仿宋" w:cs="仿宋"/>
                <w:sz w:val="24"/>
                <w:u w:val="single"/>
              </w:rPr>
              <w:t>业行业</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11</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0"/>
              </w:rPr>
              <w:t>履约保证金</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482" w:firstLineChars="200"/>
              <w:rPr>
                <w:rFonts w:hint="eastAsia" w:ascii="仿宋" w:hAnsi="仿宋" w:eastAsia="仿宋" w:cs="仿宋"/>
                <w:sz w:val="24"/>
                <w:szCs w:val="24"/>
              </w:rPr>
            </w:pPr>
            <w:r>
              <w:rPr>
                <w:rFonts w:hint="eastAsia" w:ascii="仿宋" w:hAnsi="仿宋" w:eastAsia="仿宋" w:cs="仿宋"/>
                <w:b/>
                <w:sz w:val="24"/>
                <w:szCs w:val="20"/>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招标服务费</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1.本项目的采购代理服务费为：</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（1）采购代理服务收费采用差额定率累进计费方式，以中标金额为计算基数。</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（2）各区段具体收费标准如下：</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中标金额              费率</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100万元以下          1.5%</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100-500万元          0.8%</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500-1000万元         0.45%</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备注：</w:t>
            </w:r>
            <w:r>
              <w:rPr>
                <w:rFonts w:hint="eastAsia" w:ascii="仿宋" w:hAnsi="仿宋" w:eastAsia="仿宋" w:cs="仿宋"/>
                <w:sz w:val="24"/>
                <w:szCs w:val="20"/>
                <w:lang w:val="zh-CN"/>
              </w:rPr>
              <w:t>（1）</w:t>
            </w:r>
            <w:r>
              <w:rPr>
                <w:rFonts w:hint="eastAsia" w:ascii="仿宋" w:hAnsi="仿宋" w:eastAsia="仿宋" w:cs="仿宋"/>
                <w:sz w:val="24"/>
                <w:szCs w:val="20"/>
                <w:lang w:val="en-US" w:eastAsia="zh-CN"/>
              </w:rPr>
              <w:t>代理费</w:t>
            </w:r>
            <w:r>
              <w:rPr>
                <w:rFonts w:hint="eastAsia" w:ascii="仿宋" w:hAnsi="仿宋" w:eastAsia="仿宋" w:cs="仿宋"/>
                <w:sz w:val="24"/>
                <w:szCs w:val="20"/>
              </w:rPr>
              <w:t>不足陆仟元按定额陆仟元收取</w:t>
            </w:r>
            <w:r>
              <w:rPr>
                <w:rFonts w:hint="eastAsia" w:ascii="仿宋" w:hAnsi="仿宋" w:eastAsia="仿宋" w:cs="仿宋"/>
                <w:sz w:val="24"/>
                <w:szCs w:val="20"/>
                <w:lang w:val="en-US" w:eastAsia="zh-CN"/>
              </w:rPr>
              <w:t>。</w:t>
            </w:r>
            <w:r>
              <w:rPr>
                <w:rFonts w:hint="eastAsia" w:ascii="仿宋" w:hAnsi="仿宋" w:eastAsia="仿宋" w:cs="仿宋"/>
                <w:sz w:val="24"/>
                <w:szCs w:val="20"/>
                <w:lang w:val="zh-CN"/>
              </w:rPr>
              <w:t>（</w:t>
            </w:r>
            <w:r>
              <w:rPr>
                <w:rFonts w:hint="eastAsia" w:ascii="仿宋" w:hAnsi="仿宋" w:eastAsia="仿宋" w:cs="仿宋"/>
                <w:sz w:val="24"/>
                <w:szCs w:val="20"/>
                <w:lang w:val="en-US" w:eastAsia="zh-CN"/>
              </w:rPr>
              <w:t>2</w:t>
            </w:r>
            <w:r>
              <w:rPr>
                <w:rFonts w:hint="eastAsia" w:ascii="仿宋" w:hAnsi="仿宋" w:eastAsia="仿宋" w:cs="仿宋"/>
                <w:sz w:val="24"/>
                <w:szCs w:val="20"/>
                <w:lang w:val="zh-CN"/>
              </w:rPr>
              <w:t>）本项费用在报价表中不单列报价子项，由供应商自行在企业运营成本等或各单价中列支。（</w:t>
            </w:r>
            <w:r>
              <w:rPr>
                <w:rFonts w:hint="eastAsia" w:ascii="仿宋" w:hAnsi="仿宋" w:eastAsia="仿宋" w:cs="仿宋"/>
                <w:sz w:val="24"/>
                <w:szCs w:val="20"/>
                <w:lang w:val="en-US" w:eastAsia="zh-CN"/>
              </w:rPr>
              <w:t>3</w:t>
            </w:r>
            <w:r>
              <w:rPr>
                <w:rFonts w:hint="eastAsia" w:ascii="仿宋" w:hAnsi="仿宋" w:eastAsia="仿宋" w:cs="仿宋"/>
                <w:sz w:val="24"/>
                <w:szCs w:val="20"/>
                <w:lang w:val="zh-CN"/>
              </w:rPr>
              <w:t>）由中标人在结果公告发布之日起5个工作日内，向采购代理机构一次性交纳采购代理服务费。</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2.收费账号：</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账户名称：台州锋鼎工程项目管理有限公司</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开户银行：中国工商银行股份有限公司台州分行</w:t>
            </w:r>
          </w:p>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4"/>
                <w:szCs w:val="20"/>
              </w:rPr>
              <w:t>银行账号：1207 0212 0920 0306 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15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jc w:val="center"/>
              <w:rPr>
                <w:rFonts w:hint="eastAsia" w:ascii="仿宋" w:hAnsi="仿宋" w:eastAsia="仿宋" w:cs="仿宋"/>
                <w:sz w:val="24"/>
                <w:szCs w:val="24"/>
              </w:rPr>
            </w:pPr>
            <w:r>
              <w:rPr>
                <w:rFonts w:hint="eastAsia" w:ascii="仿宋" w:hAnsi="仿宋" w:eastAsia="仿宋" w:cs="仿宋"/>
                <w:sz w:val="24"/>
                <w:szCs w:val="24"/>
              </w:rPr>
              <w:t>解释权</w:t>
            </w:r>
          </w:p>
        </w:tc>
        <w:tc>
          <w:tcPr>
            <w:tcW w:w="668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autoSpaceDE w:val="0"/>
              <w:autoSpaceDN w:val="0"/>
              <w:spacing w:before="0" w:beforeAutospacing="0" w:after="0" w:afterAutospacing="0" w:line="30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本磋商文件解释权属于采购人和采购组织机构。</w:t>
            </w:r>
          </w:p>
        </w:tc>
      </w:tr>
    </w:tbl>
    <w:p>
      <w:pPr>
        <w:pStyle w:val="21"/>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说 明</w:t>
      </w:r>
    </w:p>
    <w:p>
      <w:pPr>
        <w:pStyle w:val="22"/>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（一）总则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磋商文件依据《中华人民共和国政府采购法》《中华人民共和国政府采购法实施条例》（国务院令第658号）和《政府采购竞争性磋商采购方式管理暂行办法》（财库〔2014〕214号）及国家和浙江省有关法律、法规、规章编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（二）适用范围</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本磋商文件适用于</w:t>
      </w:r>
      <w:r>
        <w:rPr>
          <w:rFonts w:hint="eastAsia" w:ascii="仿宋" w:hAnsi="仿宋" w:eastAsia="仿宋" w:cs="仿宋"/>
          <w:bCs/>
          <w:sz w:val="24"/>
        </w:rPr>
        <w:t>本次</w:t>
      </w:r>
      <w:r>
        <w:rPr>
          <w:rFonts w:hint="eastAsia" w:ascii="仿宋" w:hAnsi="仿宋" w:eastAsia="仿宋" w:cs="仿宋"/>
          <w:sz w:val="24"/>
        </w:rPr>
        <w:t>项目的磋商、</w:t>
      </w:r>
      <w:r>
        <w:rPr>
          <w:rFonts w:hint="eastAsia" w:ascii="仿宋" w:hAnsi="仿宋" w:eastAsia="仿宋" w:cs="仿宋"/>
          <w:bCs/>
          <w:sz w:val="24"/>
        </w:rPr>
        <w:t>评审、确定成交供应商</w:t>
      </w:r>
      <w:r>
        <w:rPr>
          <w:rFonts w:hint="eastAsia" w:ascii="仿宋" w:hAnsi="仿宋" w:eastAsia="仿宋" w:cs="仿宋"/>
          <w:sz w:val="24"/>
        </w:rPr>
        <w:t>、验收、合同履约、付款等行为（法律、法规另有规定的，从其规定）。</w:t>
      </w:r>
    </w:p>
    <w:p>
      <w:pPr>
        <w:pStyle w:val="18"/>
        <w:spacing w:line="360" w:lineRule="auto"/>
        <w:ind w:firstLine="480" w:firstLineChars="200"/>
        <w:rPr>
          <w:rFonts w:hint="eastAsia" w:ascii="仿宋" w:hAnsi="仿宋" w:eastAsia="仿宋" w:cs="仿宋"/>
          <w:sz w:val="24"/>
        </w:rPr>
      </w:pPr>
      <w:r>
        <w:rPr>
          <w:rFonts w:hint="eastAsia" w:ascii="仿宋" w:hAnsi="仿宋" w:eastAsia="仿宋" w:cs="仿宋"/>
          <w:sz w:val="24"/>
        </w:rPr>
        <w:t>本磋商文件仅适用于本次采购公告中所涉及的项目和内容。</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（三）当事人</w:t>
      </w:r>
    </w:p>
    <w:p>
      <w:pPr>
        <w:pStyle w:val="4"/>
        <w:keepNext w:val="0"/>
        <w:keepLines w:val="0"/>
        <w:tabs>
          <w:tab w:val="left" w:pos="0"/>
          <w:tab w:val="left" w:pos="851"/>
          <w:tab w:val="left" w:pos="8280"/>
        </w:tabs>
        <w:snapToGrid w:val="0"/>
        <w:spacing w:before="0" w:after="0" w:line="360" w:lineRule="auto"/>
        <w:ind w:firstLine="482" w:firstLineChars="200"/>
        <w:rPr>
          <w:rFonts w:hint="eastAsia" w:ascii="仿宋" w:hAnsi="仿宋" w:eastAsia="仿宋" w:cs="仿宋"/>
          <w:bCs w:val="0"/>
          <w:sz w:val="24"/>
          <w:szCs w:val="24"/>
        </w:rPr>
      </w:pPr>
      <w:r>
        <w:rPr>
          <w:rFonts w:hint="eastAsia" w:ascii="仿宋" w:hAnsi="仿宋" w:eastAsia="仿宋" w:cs="仿宋"/>
          <w:sz w:val="24"/>
          <w:szCs w:val="24"/>
        </w:rPr>
        <w:t>1.</w:t>
      </w:r>
      <w:r>
        <w:rPr>
          <w:rFonts w:hint="eastAsia" w:ascii="仿宋" w:hAnsi="仿宋" w:eastAsia="仿宋" w:cs="仿宋"/>
          <w:sz w:val="24"/>
        </w:rPr>
        <w:t>采购人：是指依法进行政府采购的国家机关、事业单位和团体组织。</w:t>
      </w:r>
    </w:p>
    <w:p>
      <w:pPr>
        <w:pStyle w:val="4"/>
        <w:keepNext w:val="0"/>
        <w:keepLines w:val="0"/>
        <w:tabs>
          <w:tab w:val="left" w:pos="0"/>
          <w:tab w:val="left" w:pos="851"/>
          <w:tab w:val="left" w:pos="8280"/>
        </w:tabs>
        <w:snapToGrid w:val="0"/>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val="0"/>
          <w:sz w:val="24"/>
          <w:szCs w:val="24"/>
          <w:lang w:val="zh-CN"/>
        </w:rPr>
        <w:t>采购组织机构：</w:t>
      </w:r>
      <w:r>
        <w:rPr>
          <w:rFonts w:hint="eastAsia" w:ascii="仿宋" w:hAnsi="仿宋" w:eastAsia="仿宋" w:cs="仿宋"/>
          <w:bCs w:val="0"/>
          <w:sz w:val="24"/>
          <w:szCs w:val="24"/>
        </w:rPr>
        <w:t>是</w:t>
      </w:r>
      <w:r>
        <w:rPr>
          <w:rFonts w:hint="eastAsia" w:ascii="仿宋" w:hAnsi="仿宋" w:eastAsia="仿宋" w:cs="仿宋"/>
          <w:bCs w:val="0"/>
          <w:sz w:val="24"/>
          <w:szCs w:val="24"/>
          <w:lang w:val="zh-CN"/>
        </w:rPr>
        <w:t>指采购人委托组织</w:t>
      </w:r>
      <w:r>
        <w:rPr>
          <w:rFonts w:hint="eastAsia" w:ascii="仿宋" w:hAnsi="仿宋" w:eastAsia="仿宋" w:cs="仿宋"/>
          <w:bCs w:val="0"/>
          <w:sz w:val="24"/>
          <w:szCs w:val="24"/>
        </w:rPr>
        <w:t>磋商</w:t>
      </w:r>
      <w:r>
        <w:rPr>
          <w:rFonts w:hint="eastAsia" w:ascii="仿宋" w:hAnsi="仿宋" w:eastAsia="仿宋" w:cs="仿宋"/>
          <w:bCs w:val="0"/>
          <w:sz w:val="24"/>
          <w:szCs w:val="24"/>
          <w:lang w:val="zh-CN"/>
        </w:rPr>
        <w:t>的集中采购机构</w:t>
      </w:r>
      <w:r>
        <w:rPr>
          <w:rFonts w:hint="eastAsia" w:ascii="仿宋" w:hAnsi="仿宋" w:eastAsia="仿宋" w:cs="仿宋"/>
          <w:bCs w:val="0"/>
          <w:sz w:val="24"/>
          <w:szCs w:val="24"/>
        </w:rPr>
        <w:t>/</w:t>
      </w:r>
      <w:r>
        <w:rPr>
          <w:rFonts w:hint="eastAsia" w:ascii="仿宋" w:hAnsi="仿宋" w:eastAsia="仿宋" w:cs="仿宋"/>
          <w:bCs w:val="0"/>
          <w:sz w:val="24"/>
          <w:szCs w:val="24"/>
          <w:lang w:val="zh-CN"/>
        </w:rPr>
        <w:t>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3.供应商：是指向采购人提供货物、工程或者服务的法人、其他组织或者自然人。</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4.成交</w:t>
      </w:r>
      <w:r>
        <w:rPr>
          <w:rFonts w:hint="eastAsia" w:ascii="仿宋" w:hAnsi="仿宋" w:eastAsia="仿宋" w:cs="仿宋"/>
          <w:sz w:val="24"/>
          <w:lang w:val="zh-CN"/>
        </w:rPr>
        <w:t>供应商：是指经</w:t>
      </w:r>
      <w:r>
        <w:rPr>
          <w:rFonts w:hint="eastAsia" w:ascii="仿宋" w:hAnsi="仿宋" w:eastAsia="仿宋" w:cs="仿宋"/>
          <w:sz w:val="24"/>
        </w:rPr>
        <w:t>磋商小组</w:t>
      </w:r>
      <w:r>
        <w:rPr>
          <w:rFonts w:hint="eastAsia" w:ascii="仿宋" w:hAnsi="仿宋" w:eastAsia="仿宋" w:cs="仿宋"/>
          <w:sz w:val="24"/>
          <w:lang w:val="zh-CN"/>
        </w:rPr>
        <w:t>评审确定的对</w:t>
      </w:r>
      <w:r>
        <w:rPr>
          <w:rFonts w:hint="eastAsia" w:ascii="仿宋" w:hAnsi="仿宋" w:eastAsia="仿宋" w:cs="仿宋"/>
          <w:sz w:val="24"/>
        </w:rPr>
        <w:t>磋商</w:t>
      </w:r>
      <w:r>
        <w:rPr>
          <w:rFonts w:hint="eastAsia" w:ascii="仿宋" w:hAnsi="仿宋" w:eastAsia="仿宋" w:cs="仿宋"/>
          <w:sz w:val="24"/>
          <w:lang w:val="zh-CN"/>
        </w:rPr>
        <w:t>文件作出实质性响应，经采购人按照规定在</w:t>
      </w:r>
      <w:r>
        <w:rPr>
          <w:rFonts w:hint="eastAsia" w:ascii="仿宋" w:hAnsi="仿宋" w:eastAsia="仿宋" w:cs="仿宋"/>
          <w:sz w:val="24"/>
        </w:rPr>
        <w:t>磋商小组</w:t>
      </w:r>
      <w:r>
        <w:rPr>
          <w:rFonts w:hint="eastAsia" w:ascii="仿宋" w:hAnsi="仿宋" w:eastAsia="仿宋" w:cs="仿宋"/>
          <w:sz w:val="24"/>
          <w:lang w:val="zh-CN"/>
        </w:rPr>
        <w:t>推荐的</w:t>
      </w:r>
      <w:r>
        <w:rPr>
          <w:rFonts w:hint="eastAsia" w:ascii="仿宋" w:hAnsi="仿宋" w:eastAsia="仿宋" w:cs="仿宋"/>
          <w:sz w:val="24"/>
        </w:rPr>
        <w:t>成交</w:t>
      </w:r>
      <w:r>
        <w:rPr>
          <w:rFonts w:hint="eastAsia" w:ascii="仿宋" w:hAnsi="仿宋" w:eastAsia="仿宋" w:cs="仿宋"/>
          <w:sz w:val="24"/>
          <w:lang w:val="zh-CN"/>
        </w:rPr>
        <w:t>候选人中确定的或受采购人委托直接确认的，与采购人签订合同资格的供应商。</w:t>
      </w:r>
    </w:p>
    <w:p>
      <w:pPr>
        <w:pStyle w:val="38"/>
        <w:spacing w:after="0" w:line="360" w:lineRule="auto"/>
        <w:ind w:left="0" w:firstLine="480"/>
        <w:rPr>
          <w:rFonts w:hint="eastAsia" w:ascii="仿宋" w:hAnsi="仿宋" w:eastAsia="仿宋" w:cs="仿宋"/>
        </w:rPr>
      </w:pPr>
      <w:r>
        <w:rPr>
          <w:rFonts w:hint="eastAsia" w:ascii="仿宋" w:hAnsi="仿宋" w:eastAsia="仿宋" w:cs="仿宋"/>
          <w:sz w:val="24"/>
        </w:rPr>
        <w:t>5.联合体：两个或两个以上法人或者其他组织可以组成一个联合体，以一个供应商的身份共同参与磋商。</w:t>
      </w: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（四）以联合体形式磋商的，应符合以下规定：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1.联合体各方应签订联合体协议书，明确联合体牵头人和各方权利义务，并作为磋商响应文件组成部分。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2.联合体各方均应当具备</w:t>
      </w:r>
      <w:r>
        <w:rPr>
          <w:rFonts w:hint="eastAsia" w:ascii="仿宋" w:hAnsi="仿宋" w:eastAsia="仿宋" w:cs="仿宋"/>
          <w:sz w:val="24"/>
          <w:lang w:val="zh-CN"/>
        </w:rPr>
        <w:t>《中华人民共和国政府采购法》</w:t>
      </w:r>
      <w:r>
        <w:rPr>
          <w:rFonts w:hint="eastAsia" w:ascii="仿宋" w:hAnsi="仿宋" w:eastAsia="仿宋" w:cs="仿宋"/>
          <w:sz w:val="24"/>
        </w:rPr>
        <w:t>第二十二条规定的条件，并在响应文件中提供联合体各方的相关证明材料。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3.联合体成员存在不良信用记录的，视同联合体存在不良信用记录。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5.联合体各方不得再以自己名义单独参加同一合同项目，也不得组成新的联合体参加同一项目。</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6.联合体各方应当共同与采购人签订采购合同，就合同约定的事项对采购人承担连带责任。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7.磋商时，应以联合体协议中确定的主体方名义磋商，对联合体各方均具有约束力。</w:t>
      </w: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（五）语言文字以及度量衡单位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磋商响应文件以及供应商与集中采购机构/采购代理机构名称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2.所有计量均采用中国法定的计量单位。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3.所有报价一律使用人民币，货币单位：元。</w:t>
      </w:r>
    </w:p>
    <w:p>
      <w:pPr>
        <w:pStyle w:val="124"/>
        <w:tabs>
          <w:tab w:val="left" w:pos="437"/>
        </w:tabs>
        <w:spacing w:line="360" w:lineRule="auto"/>
        <w:ind w:firstLine="489"/>
        <w:rPr>
          <w:rFonts w:hint="eastAsia" w:ascii="仿宋" w:hAnsi="仿宋" w:eastAsia="仿宋" w:cs="仿宋"/>
          <w:b/>
          <w:bCs/>
          <w:sz w:val="24"/>
          <w:szCs w:val="24"/>
        </w:rPr>
      </w:pPr>
      <w:r>
        <w:rPr>
          <w:rFonts w:hint="eastAsia" w:ascii="仿宋" w:hAnsi="仿宋" w:eastAsia="仿宋" w:cs="仿宋"/>
          <w:b/>
          <w:bCs/>
          <w:sz w:val="24"/>
          <w:szCs w:val="24"/>
        </w:rPr>
        <w:t>（六）现场踏勘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1.磋商文件规定组织踏勘现场的，采购人按磋商文件规定的时间、地点组织供应商踏勘项目现场。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2.供应商自行承担踏勘现场发生的责任、风险和自身费用。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3.采购人在踏勘现场中介绍的资料和数据等，不构成对磋商文件的修改或不作为供应商编制磋商响应文件的依据。</w:t>
      </w:r>
    </w:p>
    <w:p>
      <w:pPr>
        <w:pStyle w:val="21"/>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（七）特别说明</w:t>
      </w:r>
    </w:p>
    <w:p>
      <w:pPr>
        <w:pStyle w:val="21"/>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1.供应商磋商所使用的资格、信誉、荣誉、业绩与企业认证必须为本法人所拥有且所提供的资料都是真实有效的。供应商磋商所使用的采购项目实施人员必须为本法人员工。</w:t>
      </w:r>
    </w:p>
    <w:p>
      <w:pPr>
        <w:pStyle w:val="124"/>
        <w:snapToGrid w:val="0"/>
        <w:spacing w:line="360" w:lineRule="auto"/>
        <w:ind w:firstLine="480"/>
        <w:rPr>
          <w:rFonts w:hint="eastAsia" w:ascii="仿宋" w:hAnsi="仿宋" w:eastAsia="仿宋" w:cs="仿宋"/>
          <w:sz w:val="24"/>
        </w:rPr>
      </w:pPr>
      <w:r>
        <w:rPr>
          <w:rFonts w:hint="eastAsia" w:ascii="仿宋" w:hAnsi="仿宋" w:eastAsia="仿宋" w:cs="仿宋"/>
          <w:sz w:val="24"/>
        </w:rPr>
        <w:t>2.供应商磋商标的除磋商文件中明确规定要求“提供官网截图或相应检测报告的证明材料”以外，所有技术参数描述均以响应文件为准。供应商对磋商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pPr>
        <w:pStyle w:val="124"/>
        <w:snapToGrid w:val="0"/>
        <w:spacing w:line="360" w:lineRule="auto"/>
        <w:ind w:firstLine="480"/>
        <w:rPr>
          <w:rFonts w:hint="eastAsia" w:ascii="仿宋" w:hAnsi="仿宋" w:eastAsia="仿宋" w:cs="仿宋"/>
          <w:sz w:val="24"/>
        </w:rPr>
      </w:pPr>
      <w:r>
        <w:rPr>
          <w:rFonts w:hint="eastAsia" w:ascii="仿宋" w:hAnsi="仿宋" w:eastAsia="仿宋" w:cs="仿宋"/>
          <w:sz w:val="24"/>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三、磋商文件</w:t>
      </w:r>
    </w:p>
    <w:p>
      <w:pPr>
        <w:pStyle w:val="124"/>
        <w:snapToGrid w:val="0"/>
        <w:spacing w:line="360" w:lineRule="auto"/>
        <w:ind w:firstLine="480"/>
        <w:rPr>
          <w:rFonts w:hint="eastAsia" w:ascii="仿宋" w:hAnsi="仿宋" w:eastAsia="仿宋" w:cs="仿宋"/>
          <w:sz w:val="24"/>
        </w:rPr>
      </w:pPr>
      <w:r>
        <w:rPr>
          <w:rFonts w:hint="eastAsia" w:ascii="仿宋" w:hAnsi="仿宋" w:eastAsia="仿宋" w:cs="仿宋"/>
          <w:sz w:val="24"/>
        </w:rPr>
        <w:t>（一）磋商文件由磋商文件目录所列内容组成。</w:t>
      </w:r>
    </w:p>
    <w:p>
      <w:pPr>
        <w:pStyle w:val="124"/>
        <w:snapToGrid w:val="0"/>
        <w:spacing w:line="360" w:lineRule="auto"/>
        <w:ind w:firstLine="480"/>
        <w:rPr>
          <w:rFonts w:hint="eastAsia" w:ascii="仿宋" w:hAnsi="仿宋" w:eastAsia="仿宋" w:cs="仿宋"/>
          <w:sz w:val="24"/>
        </w:rPr>
      </w:pPr>
      <w:r>
        <w:rPr>
          <w:rFonts w:hint="eastAsia" w:ascii="仿宋" w:hAnsi="仿宋" w:eastAsia="仿宋" w:cs="仿宋"/>
          <w:sz w:val="24"/>
        </w:rPr>
        <w:t>（二）供应商在规定的时间内未对磋商文件提出疑问、质疑或要求澄清的，将视其为无异议。</w:t>
      </w:r>
    </w:p>
    <w:p>
      <w:pPr>
        <w:pStyle w:val="124"/>
        <w:snapToGrid w:val="0"/>
        <w:spacing w:line="360" w:lineRule="auto"/>
        <w:ind w:firstLine="480"/>
        <w:rPr>
          <w:rFonts w:hint="eastAsia" w:ascii="仿宋" w:hAnsi="仿宋" w:eastAsia="仿宋" w:cs="仿宋"/>
          <w:sz w:val="24"/>
        </w:rPr>
      </w:pPr>
      <w:r>
        <w:rPr>
          <w:rFonts w:hint="eastAsia" w:ascii="仿宋" w:hAnsi="仿宋" w:eastAsia="仿宋" w:cs="仿宋"/>
          <w:sz w:val="24"/>
        </w:rPr>
        <w:t>（三）对磋商文件中描述有歧义或前后不一致的地方，磋商小组有权进行评判，但对同一条款的评判应适用于每个供应商。</w:t>
      </w:r>
    </w:p>
    <w:p>
      <w:pPr>
        <w:pStyle w:val="124"/>
        <w:snapToGrid w:val="0"/>
        <w:spacing w:line="360" w:lineRule="auto"/>
        <w:ind w:firstLine="480"/>
        <w:rPr>
          <w:rFonts w:hint="eastAsia" w:ascii="仿宋" w:hAnsi="仿宋" w:eastAsia="仿宋" w:cs="仿宋"/>
          <w:sz w:val="24"/>
        </w:rPr>
      </w:pPr>
      <w:r>
        <w:rPr>
          <w:rFonts w:hint="eastAsia" w:ascii="仿宋" w:hAnsi="仿宋" w:eastAsia="仿宋" w:cs="仿宋"/>
          <w:sz w:val="24"/>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四、响应文件</w:t>
      </w:r>
    </w:p>
    <w:p>
      <w:pPr>
        <w:pStyle w:val="12"/>
        <w:spacing w:line="360" w:lineRule="auto"/>
        <w:ind w:firstLine="489"/>
        <w:rPr>
          <w:rFonts w:hint="eastAsia" w:ascii="仿宋" w:hAnsi="仿宋" w:eastAsia="仿宋" w:cs="仿宋"/>
          <w:b/>
          <w:kern w:val="0"/>
        </w:rPr>
      </w:pPr>
      <w:r>
        <w:rPr>
          <w:rFonts w:hint="eastAsia" w:ascii="仿宋" w:hAnsi="仿宋" w:eastAsia="仿宋" w:cs="仿宋"/>
          <w:b/>
          <w:kern w:val="0"/>
        </w:rPr>
        <w:t>（一）响应文件的编制</w:t>
      </w:r>
    </w:p>
    <w:p>
      <w:pPr>
        <w:pStyle w:val="12"/>
        <w:spacing w:line="360" w:lineRule="auto"/>
        <w:ind w:firstLine="480"/>
        <w:rPr>
          <w:rFonts w:hint="eastAsia" w:ascii="仿宋" w:hAnsi="仿宋" w:eastAsia="仿宋" w:cs="仿宋"/>
          <w:bCs/>
          <w:kern w:val="0"/>
        </w:rPr>
      </w:pPr>
      <w:r>
        <w:rPr>
          <w:rFonts w:hint="eastAsia" w:ascii="仿宋" w:hAnsi="仿宋" w:eastAsia="仿宋" w:cs="仿宋"/>
          <w:kern w:val="0"/>
        </w:rPr>
        <w:t>供应商获取磋商文件后，按照采购组织机构的要求提供：磋商响应文件</w:t>
      </w:r>
      <w:r>
        <w:rPr>
          <w:rFonts w:hint="eastAsia" w:ascii="仿宋" w:hAnsi="仿宋" w:eastAsia="仿宋" w:cs="仿宋"/>
          <w:kern w:val="0"/>
          <w:lang w:val="zh-CN"/>
        </w:rPr>
        <w:t>【特别提示：如在磋商响应时有要求提供资料原件的，将原件扫描放入</w:t>
      </w:r>
      <w:r>
        <w:rPr>
          <w:rFonts w:hint="eastAsia" w:ascii="仿宋" w:hAnsi="仿宋" w:eastAsia="仿宋" w:cs="仿宋"/>
          <w:kern w:val="0"/>
        </w:rPr>
        <w:t>磋商响应</w:t>
      </w:r>
      <w:r>
        <w:rPr>
          <w:rFonts w:hint="eastAsia" w:ascii="仿宋" w:hAnsi="仿宋" w:eastAsia="仿宋" w:cs="仿宋"/>
          <w:kern w:val="0"/>
          <w:lang w:val="zh-CN"/>
        </w:rPr>
        <w:t>文件】。</w:t>
      </w:r>
      <w:r>
        <w:rPr>
          <w:rFonts w:hint="eastAsia" w:ascii="仿宋" w:hAnsi="仿宋" w:eastAsia="仿宋" w:cs="仿宋"/>
          <w:bCs/>
          <w:kern w:val="0"/>
        </w:rPr>
        <w:t>若参与多标项</w:t>
      </w:r>
      <w:r>
        <w:rPr>
          <w:rFonts w:hint="eastAsia" w:ascii="仿宋" w:hAnsi="仿宋" w:eastAsia="仿宋" w:cs="仿宋"/>
          <w:kern w:val="0"/>
        </w:rPr>
        <w:t>磋商响应</w:t>
      </w:r>
      <w:r>
        <w:rPr>
          <w:rFonts w:hint="eastAsia" w:ascii="仿宋" w:hAnsi="仿宋" w:eastAsia="仿宋" w:cs="仿宋"/>
          <w:bCs/>
          <w:kern w:val="0"/>
        </w:rPr>
        <w:t>的，则按每个标项分别独立编制磋商响应文件。</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▲1.资格证明内容的组成：</w:t>
      </w:r>
    </w:p>
    <w:tbl>
      <w:tblPr>
        <w:tblStyle w:val="39"/>
        <w:tblpPr w:leftFromText="180" w:rightFromText="180" w:vertAnchor="text" w:horzAnchor="page" w:tblpX="1660" w:tblpY="474"/>
        <w:tblOverlap w:val="never"/>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430" w:lineRule="atLeast"/>
              <w:ind w:left="0" w:right="0"/>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4638"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内容</w:t>
            </w:r>
          </w:p>
          <w:p>
            <w:pPr>
              <w:keepNext w:val="0"/>
              <w:keepLines w:val="0"/>
              <w:widowControl/>
              <w:suppressLineNumbers w:val="0"/>
              <w:snapToGrid w:val="0"/>
              <w:spacing w:before="0" w:beforeAutospacing="0" w:after="0" w:afterAutospacing="0" w:line="430" w:lineRule="atLeast"/>
              <w:ind w:left="0" w:right="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b/>
                <w:sz w:val="24"/>
                <w:szCs w:val="24"/>
                <w:lang w:val="zh-CN"/>
              </w:rPr>
              <w:t>以下1-</w:t>
            </w:r>
            <w:r>
              <w:rPr>
                <w:rFonts w:hint="eastAsia" w:ascii="仿宋" w:hAnsi="仿宋" w:eastAsia="仿宋" w:cs="仿宋"/>
                <w:b/>
                <w:sz w:val="24"/>
                <w:szCs w:val="24"/>
                <w:lang w:val="en-US" w:eastAsia="zh-CN"/>
              </w:rPr>
              <w:t>2</w:t>
            </w:r>
            <w:r>
              <w:rPr>
                <w:rFonts w:hint="eastAsia" w:ascii="仿宋" w:hAnsi="仿宋" w:eastAsia="仿宋" w:cs="仿宋"/>
                <w:b/>
                <w:sz w:val="24"/>
                <w:szCs w:val="24"/>
                <w:lang w:val="zh-CN"/>
              </w:rPr>
              <w:t>项内容投标供应商必须提供，否则不能通过资格审查的，责任自负。</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7"/>
              </w:numPr>
              <w:suppressLineNumbers w:val="0"/>
              <w:snapToGrid w:val="0"/>
              <w:spacing w:before="0" w:beforeAutospacing="0" w:after="0" w:afterAutospacing="0" w:line="360" w:lineRule="auto"/>
              <w:ind w:right="0"/>
              <w:jc w:val="center"/>
              <w:rPr>
                <w:rFonts w:hint="eastAsia" w:ascii="仿宋" w:hAnsi="仿宋" w:eastAsia="仿宋" w:cs="仿宋"/>
                <w:sz w:val="24"/>
                <w:szCs w:val="24"/>
              </w:rPr>
            </w:pPr>
          </w:p>
        </w:tc>
        <w:tc>
          <w:tcPr>
            <w:tcW w:w="4638"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7"/>
              </w:numPr>
              <w:suppressLineNumbers w:val="0"/>
              <w:snapToGrid w:val="0"/>
              <w:spacing w:before="0" w:beforeAutospacing="0" w:after="0" w:afterAutospacing="0" w:line="360" w:lineRule="auto"/>
              <w:ind w:right="0"/>
              <w:jc w:val="center"/>
              <w:rPr>
                <w:rFonts w:hint="eastAsia" w:ascii="仿宋" w:hAnsi="仿宋" w:eastAsia="仿宋" w:cs="仿宋"/>
                <w:sz w:val="24"/>
                <w:szCs w:val="24"/>
              </w:rPr>
            </w:pPr>
          </w:p>
        </w:tc>
        <w:tc>
          <w:tcPr>
            <w:tcW w:w="4638"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法人或者其他组织的营业执照等证明文件，自然人的身份证明（如为多证合一仅需提供营业执照，扫描件加盖公章）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7"/>
              </w:numPr>
              <w:suppressLineNumbers w:val="0"/>
              <w:snapToGrid w:val="0"/>
              <w:spacing w:before="0" w:beforeAutospacing="0" w:after="0" w:afterAutospacing="0" w:line="360" w:lineRule="auto"/>
              <w:ind w:right="0"/>
              <w:jc w:val="center"/>
              <w:rPr>
                <w:rFonts w:hint="eastAsia" w:ascii="仿宋" w:hAnsi="仿宋" w:eastAsia="仿宋" w:cs="仿宋"/>
                <w:sz w:val="24"/>
                <w:szCs w:val="24"/>
              </w:rPr>
            </w:pPr>
          </w:p>
        </w:tc>
        <w:tc>
          <w:tcPr>
            <w:tcW w:w="4638"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请根据"落实政府采购政策需满足的资格要求"，按要求提供；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7"/>
              </w:numPr>
              <w:suppressLineNumbers w:val="0"/>
              <w:snapToGrid w:val="0"/>
              <w:spacing w:before="0" w:beforeAutospacing="0" w:after="0" w:afterAutospacing="0" w:line="360" w:lineRule="auto"/>
              <w:ind w:right="0"/>
              <w:jc w:val="center"/>
              <w:rPr>
                <w:rFonts w:hint="eastAsia" w:ascii="仿宋" w:hAnsi="仿宋" w:eastAsia="仿宋" w:cs="仿宋"/>
                <w:sz w:val="24"/>
                <w:szCs w:val="24"/>
              </w:rPr>
            </w:pPr>
          </w:p>
        </w:tc>
        <w:tc>
          <w:tcPr>
            <w:tcW w:w="4638"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提供采购公告中符合供应商特定条件的有效资质证书（磋商供应商特定条件中有要求的必须提供），以及需要说明的其他资料。</w:t>
            </w:r>
          </w:p>
        </w:tc>
      </w:tr>
    </w:tbl>
    <w:p>
      <w:pPr>
        <w:tabs>
          <w:tab w:val="left" w:pos="5566"/>
        </w:tabs>
        <w:snapToGrid w:val="0"/>
        <w:spacing w:before="50" w:after="50" w:line="360" w:lineRule="auto"/>
        <w:ind w:firstLine="422" w:firstLineChars="150"/>
        <w:outlineLvl w:val="0"/>
        <w:rPr>
          <w:rFonts w:hint="eastAsia" w:ascii="仿宋" w:hAnsi="仿宋" w:eastAsia="仿宋" w:cs="仿宋"/>
          <w:b/>
          <w:bCs/>
          <w:sz w:val="28"/>
          <w:szCs w:val="28"/>
        </w:rPr>
      </w:pPr>
      <w:bookmarkStart w:id="46" w:name="_Toc5078"/>
      <w:bookmarkStart w:id="47" w:name="_Toc3595"/>
      <w:r>
        <w:rPr>
          <w:rFonts w:hint="eastAsia" w:ascii="仿宋" w:hAnsi="仿宋" w:eastAsia="仿宋" w:cs="仿宋"/>
          <w:b/>
          <w:bCs/>
          <w:sz w:val="28"/>
          <w:szCs w:val="28"/>
          <w:lang w:val="zh-CN"/>
        </w:rPr>
        <w:t>第二部分：商务技术文件</w:t>
      </w:r>
      <w:bookmarkEnd w:id="46"/>
      <w:bookmarkEnd w:id="47"/>
    </w:p>
    <w:tbl>
      <w:tblPr>
        <w:tblStyle w:val="39"/>
        <w:tblpPr w:leftFromText="180" w:rightFromText="180" w:vertAnchor="text" w:horzAnchor="page" w:tblpX="1525" w:tblpY="520"/>
        <w:tblOverlap w:val="never"/>
        <w:tblW w:w="53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64"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430" w:lineRule="atLeast"/>
              <w:ind w:left="0" w:right="0"/>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4635"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内容</w:t>
            </w:r>
          </w:p>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b/>
                <w:sz w:val="24"/>
                <w:szCs w:val="24"/>
                <w:lang w:val="zh-CN"/>
              </w:rPr>
              <w:t>以下1-</w:t>
            </w:r>
            <w:r>
              <w:rPr>
                <w:rFonts w:hint="eastAsia" w:ascii="仿宋" w:hAnsi="仿宋" w:eastAsia="仿宋" w:cs="仿宋"/>
                <w:b/>
                <w:sz w:val="24"/>
                <w:szCs w:val="24"/>
              </w:rPr>
              <w:t>2</w:t>
            </w:r>
            <w:r>
              <w:rPr>
                <w:rFonts w:hint="eastAsia" w:ascii="仿宋" w:hAnsi="仿宋" w:eastAsia="仿宋" w:cs="仿宋"/>
                <w:b/>
                <w:sz w:val="24"/>
                <w:szCs w:val="24"/>
                <w:lang w:val="zh-CN"/>
              </w:rPr>
              <w:t>项内容投标供应商必须提供，否则不能通过</w:t>
            </w:r>
            <w:r>
              <w:rPr>
                <w:rFonts w:hint="eastAsia" w:ascii="仿宋" w:hAnsi="仿宋" w:eastAsia="仿宋" w:cs="仿宋"/>
                <w:b/>
                <w:sz w:val="24"/>
                <w:szCs w:val="24"/>
              </w:rPr>
              <w:t>符合性</w:t>
            </w:r>
            <w:r>
              <w:rPr>
                <w:rFonts w:hint="eastAsia" w:ascii="仿宋" w:hAnsi="仿宋" w:eastAsia="仿宋" w:cs="仿宋"/>
                <w:b/>
                <w:sz w:val="24"/>
                <w:szCs w:val="24"/>
                <w:lang w:val="zh-CN"/>
              </w:rPr>
              <w:t>审查的，责任自负。</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法人诚信投标承诺书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法定代表人授权书，法定代表人参与投标的仅需提供法定代表人的身份证扫描件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lang w:val="zh-CN"/>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投标人情况介绍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企业实力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投标人项目团队人员要求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技术性能</w:t>
            </w:r>
            <w:r>
              <w:rPr>
                <w:rFonts w:hint="eastAsia" w:ascii="仿宋" w:hAnsi="仿宋" w:eastAsia="仿宋" w:cs="仿宋"/>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组织实</w:t>
            </w:r>
            <w:r>
              <w:rPr>
                <w:rFonts w:hint="eastAsia" w:ascii="仿宋" w:hAnsi="仿宋" w:eastAsia="仿宋" w:cs="仿宋"/>
                <w:sz w:val="24"/>
                <w:szCs w:val="24"/>
              </w:rPr>
              <w:t>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lang w:eastAsia="zh-CN"/>
              </w:rPr>
              <w:t>应急</w:t>
            </w:r>
            <w:r>
              <w:rPr>
                <w:rFonts w:hint="eastAsia" w:ascii="仿宋" w:hAnsi="仿宋" w:eastAsia="仿宋" w:cs="仿宋"/>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zh-CN"/>
              </w:rPr>
              <w:t>政府采购供应商廉洁自律承诺书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8"/>
              </w:numPr>
              <w:suppressLineNumbers w:val="0"/>
              <w:snapToGrid w:val="0"/>
              <w:spacing w:before="0" w:beforeAutospacing="0" w:after="0" w:afterAutospacing="0" w:line="430" w:lineRule="atLeast"/>
              <w:ind w:right="0"/>
              <w:jc w:val="center"/>
              <w:rPr>
                <w:rFonts w:hint="eastAsia" w:ascii="仿宋" w:hAnsi="仿宋" w:eastAsia="仿宋" w:cs="仿宋"/>
                <w:sz w:val="24"/>
                <w:szCs w:val="24"/>
              </w:rPr>
            </w:pPr>
          </w:p>
        </w:tc>
        <w:tc>
          <w:tcPr>
            <w:tcW w:w="463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360" w:lineRule="exact"/>
              <w:ind w:left="0" w:right="0"/>
              <w:jc w:val="both"/>
              <w:rPr>
                <w:rFonts w:hint="eastAsia" w:ascii="仿宋" w:hAnsi="仿宋" w:eastAsia="仿宋" w:cs="仿宋"/>
                <w:sz w:val="24"/>
                <w:szCs w:val="24"/>
              </w:rPr>
            </w:pPr>
            <w:r>
              <w:rPr>
                <w:rFonts w:hint="eastAsia" w:ascii="仿宋" w:hAnsi="仿宋" w:eastAsia="仿宋" w:cs="仿宋"/>
                <w:sz w:val="24"/>
                <w:szCs w:val="24"/>
              </w:rPr>
              <w:t>其他须说明的资料（如有则提供）</w:t>
            </w:r>
          </w:p>
        </w:tc>
      </w:tr>
    </w:tbl>
    <w:p>
      <w:pPr>
        <w:tabs>
          <w:tab w:val="left" w:pos="5566"/>
        </w:tabs>
        <w:snapToGrid w:val="0"/>
        <w:spacing w:before="50" w:after="50" w:line="360" w:lineRule="auto"/>
        <w:ind w:firstLine="422" w:firstLineChars="150"/>
        <w:outlineLvl w:val="0"/>
        <w:rPr>
          <w:rFonts w:hint="eastAsia" w:ascii="仿宋" w:hAnsi="仿宋" w:eastAsia="仿宋" w:cs="仿宋"/>
          <w:b/>
          <w:bCs/>
          <w:sz w:val="28"/>
          <w:szCs w:val="28"/>
        </w:rPr>
      </w:pPr>
      <w:bookmarkStart w:id="48" w:name="_Toc12776"/>
      <w:bookmarkStart w:id="49" w:name="_Toc21786"/>
      <w:r>
        <w:rPr>
          <w:rFonts w:hint="eastAsia" w:ascii="仿宋" w:hAnsi="仿宋" w:eastAsia="仿宋" w:cs="仿宋"/>
          <w:b/>
          <w:bCs/>
          <w:sz w:val="28"/>
          <w:szCs w:val="28"/>
        </w:rPr>
        <w:t>第三部分 ：报价文件</w:t>
      </w:r>
      <w:bookmarkEnd w:id="48"/>
      <w:bookmarkEnd w:id="49"/>
    </w:p>
    <w:tbl>
      <w:tblPr>
        <w:tblStyle w:val="39"/>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4643"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内容</w:t>
            </w:r>
          </w:p>
          <w:p>
            <w:pPr>
              <w:keepNext w:val="0"/>
              <w:keepLines w:val="0"/>
              <w:widowControl/>
              <w:suppressLineNumbers w:val="0"/>
              <w:snapToGrid w:val="0"/>
              <w:spacing w:before="0" w:beforeAutospacing="0" w:after="0" w:afterAutospacing="0" w:line="430" w:lineRule="atLeast"/>
              <w:ind w:left="0" w:right="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b/>
                <w:sz w:val="24"/>
                <w:szCs w:val="24"/>
                <w:lang w:val="zh-CN"/>
              </w:rPr>
              <w:t>序号</w:t>
            </w:r>
            <w:r>
              <w:rPr>
                <w:rFonts w:hint="eastAsia" w:ascii="仿宋" w:hAnsi="仿宋" w:eastAsia="仿宋" w:cs="仿宋"/>
                <w:b/>
                <w:sz w:val="24"/>
                <w:szCs w:val="24"/>
              </w:rPr>
              <w:t>1</w:t>
            </w:r>
            <w:r>
              <w:rPr>
                <w:rFonts w:hint="eastAsia" w:ascii="仿宋" w:hAnsi="仿宋" w:eastAsia="仿宋" w:cs="仿宋"/>
                <w:b/>
                <w:sz w:val="24"/>
                <w:szCs w:val="24"/>
                <w:lang w:val="zh-CN"/>
              </w:rPr>
              <w:t>项投标供应商必须提供，否则不能通过符合性审查的，责任自负。</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4643"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pacing w:before="0" w:beforeAutospacing="0" w:after="0" w:afterAutospacing="0" w:line="430" w:lineRule="atLeast"/>
              <w:ind w:left="0" w:right="0"/>
              <w:textAlignment w:val="bottom"/>
              <w:rPr>
                <w:rFonts w:hint="eastAsia" w:ascii="仿宋" w:hAnsi="仿宋" w:eastAsia="仿宋" w:cs="仿宋"/>
                <w:sz w:val="24"/>
                <w:szCs w:val="24"/>
              </w:rPr>
            </w:pPr>
            <w:r>
              <w:rPr>
                <w:rFonts w:hint="eastAsia" w:ascii="仿宋" w:hAnsi="仿宋" w:eastAsia="仿宋" w:cs="仿宋"/>
                <w:sz w:val="24"/>
                <w:szCs w:val="24"/>
              </w:rPr>
              <w:t>磋商报价一览表 (首次)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4643"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pacing w:before="0" w:beforeAutospacing="0" w:after="0" w:afterAutospacing="0" w:line="430" w:lineRule="atLeast"/>
              <w:ind w:left="0" w:right="0"/>
              <w:textAlignment w:val="bottom"/>
              <w:rPr>
                <w:rFonts w:hint="eastAsia" w:ascii="仿宋" w:hAnsi="仿宋" w:eastAsia="仿宋" w:cs="仿宋"/>
                <w:sz w:val="24"/>
                <w:szCs w:val="24"/>
              </w:rPr>
            </w:pPr>
            <w:r>
              <w:rPr>
                <w:rFonts w:hint="eastAsia" w:ascii="仿宋" w:hAnsi="仿宋" w:eastAsia="仿宋" w:cs="仿宋"/>
                <w:sz w:val="24"/>
                <w:szCs w:val="24"/>
                <w:lang w:val="zh-CN"/>
              </w:rPr>
              <w:t>中小企业等声明函、</w:t>
            </w:r>
            <w:r>
              <w:rPr>
                <w:rFonts w:hint="eastAsia" w:ascii="仿宋" w:hAnsi="仿宋" w:eastAsia="仿宋" w:cs="仿宋"/>
                <w:sz w:val="24"/>
                <w:szCs w:val="24"/>
                <w:lang w:val="en-GB"/>
              </w:rPr>
              <w:t>残疾人福利性单位声明函、监狱企业声明函</w:t>
            </w:r>
            <w:r>
              <w:rPr>
                <w:rFonts w:hint="eastAsia" w:ascii="仿宋" w:hAnsi="仿宋" w:eastAsia="仿宋" w:cs="仿宋"/>
                <w:sz w:val="24"/>
                <w:szCs w:val="24"/>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napToGrid w:val="0"/>
              <w:spacing w:before="0" w:beforeAutospacing="0" w:after="0" w:afterAutospacing="0" w:line="430" w:lineRule="atLeast"/>
              <w:ind w:left="0" w:right="0"/>
              <w:jc w:val="center"/>
              <w:rPr>
                <w:rFonts w:hint="eastAsia" w:ascii="仿宋" w:hAnsi="仿宋" w:eastAsia="仿宋" w:cs="仿宋"/>
                <w:sz w:val="24"/>
                <w:szCs w:val="24"/>
                <w:lang w:val="zh-CN"/>
              </w:rPr>
            </w:pPr>
            <w:r>
              <w:rPr>
                <w:rFonts w:hint="eastAsia" w:ascii="仿宋" w:hAnsi="仿宋" w:eastAsia="仿宋" w:cs="仿宋"/>
                <w:sz w:val="24"/>
                <w:szCs w:val="24"/>
              </w:rPr>
              <w:t>3</w:t>
            </w:r>
          </w:p>
        </w:tc>
        <w:tc>
          <w:tcPr>
            <w:tcW w:w="4643" w:type="pct"/>
            <w:tcBorders>
              <w:top w:val="single" w:color="auto" w:sz="4" w:space="0"/>
              <w:left w:val="single" w:color="auto" w:sz="4" w:space="0"/>
              <w:bottom w:val="single" w:color="auto" w:sz="4" w:space="0"/>
              <w:right w:val="single" w:color="auto" w:sz="4" w:space="0"/>
            </w:tcBorders>
            <w:noWrap/>
          </w:tcPr>
          <w:p>
            <w:pPr>
              <w:keepNext w:val="0"/>
              <w:keepLines w:val="0"/>
              <w:widowControl/>
              <w:suppressLineNumbers w:val="0"/>
              <w:spacing w:before="0" w:beforeAutospacing="0" w:after="0" w:afterAutospacing="0" w:line="430" w:lineRule="atLeast"/>
              <w:ind w:left="0" w:right="0"/>
              <w:textAlignment w:val="bottom"/>
              <w:rPr>
                <w:rFonts w:hint="eastAsia" w:ascii="仿宋" w:hAnsi="仿宋" w:eastAsia="仿宋" w:cs="仿宋"/>
                <w:sz w:val="24"/>
                <w:szCs w:val="24"/>
              </w:rPr>
            </w:pPr>
            <w:r>
              <w:rPr>
                <w:rFonts w:hint="eastAsia" w:ascii="仿宋" w:hAnsi="仿宋" w:eastAsia="仿宋" w:cs="仿宋"/>
                <w:sz w:val="24"/>
                <w:szCs w:val="24"/>
              </w:rPr>
              <w:t>其他须说明的资料（如有则提供）</w:t>
            </w:r>
          </w:p>
        </w:tc>
      </w:tr>
    </w:tbl>
    <w:p>
      <w:pPr>
        <w:rPr>
          <w:rFonts w:hint="eastAsia" w:ascii="仿宋" w:hAnsi="仿宋" w:eastAsia="仿宋" w:cs="仿宋"/>
          <w:b/>
        </w:rPr>
      </w:pPr>
    </w:p>
    <w:p>
      <w:pPr>
        <w:pStyle w:val="12"/>
        <w:spacing w:line="360" w:lineRule="auto"/>
        <w:ind w:firstLine="489"/>
        <w:rPr>
          <w:rFonts w:hint="eastAsia" w:ascii="仿宋" w:hAnsi="仿宋" w:eastAsia="仿宋" w:cs="仿宋"/>
          <w:b/>
          <w:kern w:val="0"/>
        </w:rPr>
      </w:pPr>
      <w:r>
        <w:rPr>
          <w:rFonts w:hint="eastAsia" w:ascii="仿宋" w:hAnsi="仿宋" w:eastAsia="仿宋" w:cs="仿宋"/>
          <w:b/>
          <w:kern w:val="0"/>
        </w:rPr>
        <w:t>（二）报价</w:t>
      </w:r>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2.磋商报价包括本项目采购需求和投入使用的所有费用，包括但不限于主件、标准附件、备品备件、施工、服务、专用工具、安装、调试、检验、培训、运输、保险、税款等。</w:t>
      </w:r>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3.磋商报价不得为选择性报价和附有条件的报价。</w:t>
      </w:r>
    </w:p>
    <w:p>
      <w:pPr>
        <w:pStyle w:val="12"/>
        <w:spacing w:line="360" w:lineRule="auto"/>
        <w:ind w:firstLine="489"/>
        <w:rPr>
          <w:rFonts w:hint="eastAsia" w:ascii="仿宋" w:hAnsi="仿宋" w:eastAsia="仿宋" w:cs="仿宋"/>
          <w:b/>
          <w:kern w:val="0"/>
        </w:rPr>
      </w:pPr>
      <w:r>
        <w:rPr>
          <w:rFonts w:hint="eastAsia" w:ascii="仿宋" w:hAnsi="仿宋" w:eastAsia="仿宋" w:cs="仿宋"/>
          <w:b/>
          <w:kern w:val="0"/>
        </w:rPr>
        <w:t>（三）响应文件的有效期</w:t>
      </w:r>
    </w:p>
    <w:p>
      <w:pPr>
        <w:pStyle w:val="12"/>
        <w:spacing w:line="360" w:lineRule="auto"/>
        <w:ind w:firstLine="480"/>
        <w:rPr>
          <w:rFonts w:hint="eastAsia" w:ascii="仿宋" w:hAnsi="仿宋" w:eastAsia="仿宋" w:cs="仿宋"/>
          <w:lang w:val="en-GB"/>
        </w:rPr>
      </w:pPr>
      <w:r>
        <w:rPr>
          <w:rFonts w:hint="eastAsia" w:ascii="仿宋" w:hAnsi="仿宋" w:eastAsia="仿宋" w:cs="仿宋"/>
        </w:rPr>
        <w:t>1.响应文件有效期为磋商</w:t>
      </w:r>
      <w:r>
        <w:rPr>
          <w:rFonts w:hint="eastAsia" w:ascii="仿宋" w:hAnsi="仿宋" w:eastAsia="仿宋" w:cs="仿宋"/>
          <w:lang w:val="en-GB"/>
        </w:rPr>
        <w:t>截止日起90天。</w:t>
      </w:r>
    </w:p>
    <w:p>
      <w:pPr>
        <w:pStyle w:val="12"/>
        <w:spacing w:line="360" w:lineRule="auto"/>
        <w:ind w:firstLine="480"/>
        <w:rPr>
          <w:rFonts w:hint="eastAsia" w:ascii="仿宋" w:hAnsi="仿宋" w:eastAsia="仿宋" w:cs="仿宋"/>
          <w:lang w:val="en-GB"/>
        </w:rPr>
      </w:pPr>
      <w:r>
        <w:rPr>
          <w:rFonts w:hint="eastAsia" w:ascii="仿宋" w:hAnsi="仿宋" w:eastAsia="仿宋" w:cs="仿宋"/>
        </w:rPr>
        <w:t>2.</w:t>
      </w:r>
      <w:r>
        <w:rPr>
          <w:rFonts w:hint="eastAsia" w:ascii="仿宋" w:hAnsi="仿宋" w:eastAsia="仿宋" w:cs="仿宋"/>
          <w:lang w:val="en-GB"/>
        </w:rPr>
        <w:t>在特殊情况下，采购人可与</w:t>
      </w:r>
      <w:r>
        <w:rPr>
          <w:rFonts w:hint="eastAsia" w:ascii="仿宋" w:hAnsi="仿宋" w:eastAsia="仿宋" w:cs="仿宋"/>
        </w:rPr>
        <w:t>供应商</w:t>
      </w:r>
      <w:r>
        <w:rPr>
          <w:rFonts w:hint="eastAsia" w:ascii="仿宋" w:hAnsi="仿宋" w:eastAsia="仿宋" w:cs="仿宋"/>
          <w:lang w:val="en-GB"/>
        </w:rPr>
        <w:t>协商延长</w:t>
      </w:r>
      <w:r>
        <w:rPr>
          <w:rFonts w:hint="eastAsia" w:ascii="仿宋" w:hAnsi="仿宋" w:eastAsia="仿宋" w:cs="仿宋"/>
        </w:rPr>
        <w:t>响应</w:t>
      </w:r>
      <w:r>
        <w:rPr>
          <w:rFonts w:hint="eastAsia" w:ascii="仿宋" w:hAnsi="仿宋" w:eastAsia="仿宋" w:cs="仿宋"/>
          <w:lang w:val="en-GB"/>
        </w:rPr>
        <w:t>文件的有效期。</w:t>
      </w:r>
    </w:p>
    <w:p>
      <w:pPr>
        <w:snapToGrid w:val="0"/>
        <w:spacing w:line="360" w:lineRule="auto"/>
        <w:ind w:firstLine="480" w:firstLineChars="200"/>
        <w:outlineLvl w:val="0"/>
        <w:rPr>
          <w:rFonts w:hint="eastAsia" w:ascii="仿宋" w:hAnsi="仿宋" w:eastAsia="仿宋" w:cs="仿宋"/>
          <w:sz w:val="24"/>
        </w:rPr>
      </w:pPr>
      <w:bookmarkStart w:id="50" w:name="_Toc15937"/>
      <w:bookmarkStart w:id="51" w:name="_Toc30568"/>
      <w:bookmarkStart w:id="52" w:name="_Toc4018"/>
      <w:bookmarkStart w:id="53" w:name="_Toc8754"/>
      <w:r>
        <w:rPr>
          <w:rFonts w:hint="eastAsia" w:ascii="仿宋" w:hAnsi="仿宋" w:eastAsia="仿宋" w:cs="仿宋"/>
          <w:sz w:val="24"/>
        </w:rPr>
        <w:t>3.成交供应商的磋商响应文件自磋商之日起至合同履行完毕均应保持有效。</w:t>
      </w:r>
      <w:bookmarkEnd w:id="50"/>
      <w:bookmarkEnd w:id="51"/>
      <w:bookmarkEnd w:id="52"/>
      <w:bookmarkEnd w:id="53"/>
    </w:p>
    <w:p>
      <w:pPr>
        <w:autoSpaceDE w:val="0"/>
        <w:autoSpaceDN w:val="0"/>
        <w:adjustRightInd w:val="0"/>
        <w:spacing w:line="360" w:lineRule="auto"/>
        <w:ind w:firstLine="482" w:firstLineChars="200"/>
        <w:rPr>
          <w:rFonts w:hint="eastAsia" w:ascii="仿宋" w:hAnsi="仿宋" w:eastAsia="仿宋" w:cs="仿宋"/>
          <w:b/>
          <w:bCs/>
          <w:sz w:val="24"/>
        </w:rPr>
      </w:pPr>
      <w:bookmarkStart w:id="54" w:name="_Toc14235"/>
      <w:r>
        <w:rPr>
          <w:rFonts w:hint="eastAsia" w:ascii="仿宋" w:hAnsi="仿宋" w:eastAsia="仿宋" w:cs="仿宋"/>
          <w:b/>
          <w:bCs/>
          <w:sz w:val="24"/>
        </w:rPr>
        <w:t>（四）响应文件的签署</w:t>
      </w:r>
      <w:bookmarkEnd w:id="54"/>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2.响应文件中所有的插字、涂改和增删，必须由法定代表人或经其正式授权的代表签字或盖章才有效。</w:t>
      </w:r>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3.响应文件中要求加盖公章处，可使用有效安全的电子签章替代。</w:t>
      </w:r>
    </w:p>
    <w:p>
      <w:pPr>
        <w:autoSpaceDE w:val="0"/>
        <w:autoSpaceDN w:val="0"/>
        <w:adjustRightIn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w:t>
      </w:r>
      <w:r>
        <w:rPr>
          <w:rFonts w:hint="eastAsia" w:ascii="仿宋" w:hAnsi="仿宋" w:eastAsia="仿宋" w:cs="仿宋"/>
          <w:b/>
          <w:sz w:val="24"/>
        </w:rPr>
        <w:t>响应</w:t>
      </w:r>
      <w:r>
        <w:rPr>
          <w:rFonts w:hint="eastAsia" w:ascii="仿宋" w:hAnsi="仿宋" w:eastAsia="仿宋" w:cs="仿宋"/>
          <w:b/>
          <w:bCs/>
          <w:sz w:val="24"/>
        </w:rPr>
        <w:t>文件的递交要求</w:t>
      </w:r>
    </w:p>
    <w:p>
      <w:pPr>
        <w:tabs>
          <w:tab w:val="left" w:pos="1418"/>
        </w:tabs>
        <w:autoSpaceDE w:val="0"/>
        <w:autoSpaceDN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按照前附表要求提交，如采购组织机构延长截止时间和磋商时间，采购组织机构和供应商的权利和义务将受到新的截止时间和磋商时间的约束。</w:t>
      </w:r>
    </w:p>
    <w:p>
      <w:pPr>
        <w:pStyle w:val="12"/>
        <w:spacing w:line="360" w:lineRule="auto"/>
        <w:ind w:firstLine="489"/>
        <w:rPr>
          <w:rFonts w:hint="eastAsia" w:ascii="仿宋" w:hAnsi="仿宋" w:eastAsia="仿宋" w:cs="仿宋"/>
          <w:b/>
          <w:kern w:val="0"/>
        </w:rPr>
      </w:pPr>
      <w:r>
        <w:rPr>
          <w:rFonts w:hint="eastAsia" w:ascii="仿宋" w:hAnsi="仿宋" w:eastAsia="仿宋" w:cs="仿宋"/>
          <w:b/>
          <w:kern w:val="0"/>
        </w:rPr>
        <w:t>（六）演示</w:t>
      </w:r>
    </w:p>
    <w:p>
      <w:pPr>
        <w:pStyle w:val="12"/>
        <w:spacing w:line="360" w:lineRule="auto"/>
        <w:ind w:firstLine="480"/>
        <w:rPr>
          <w:rFonts w:hint="eastAsia" w:ascii="仿宋" w:hAnsi="仿宋" w:eastAsia="仿宋" w:cs="仿宋"/>
          <w:bCs/>
          <w:kern w:val="0"/>
        </w:rPr>
      </w:pPr>
      <w:r>
        <w:rPr>
          <w:rFonts w:hint="eastAsia" w:ascii="仿宋" w:hAnsi="仿宋" w:eastAsia="仿宋" w:cs="仿宋"/>
          <w:bCs/>
          <w:kern w:val="0"/>
        </w:rPr>
        <w:t>若需要演示的，供应商应提前做好演示准备（包括演示设备）。</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四、磋商程序</w:t>
      </w:r>
    </w:p>
    <w:p>
      <w:pPr>
        <w:pStyle w:val="12"/>
        <w:spacing w:line="360" w:lineRule="auto"/>
        <w:ind w:firstLine="480"/>
        <w:rPr>
          <w:rFonts w:hint="eastAsia" w:ascii="仿宋" w:hAnsi="仿宋" w:eastAsia="仿宋" w:cs="仿宋"/>
        </w:rPr>
      </w:pPr>
      <w:r>
        <w:rPr>
          <w:rFonts w:hint="eastAsia" w:ascii="仿宋" w:hAnsi="仿宋" w:eastAsia="仿宋" w:cs="仿宋"/>
        </w:rPr>
        <w:t>（一）磋商开始时间到后，主持人准时组织磋商；</w:t>
      </w:r>
    </w:p>
    <w:p>
      <w:pPr>
        <w:pStyle w:val="12"/>
        <w:spacing w:line="360" w:lineRule="auto"/>
        <w:ind w:firstLine="480"/>
        <w:rPr>
          <w:rFonts w:hint="eastAsia" w:ascii="仿宋" w:hAnsi="仿宋" w:eastAsia="仿宋" w:cs="仿宋"/>
        </w:rPr>
      </w:pPr>
      <w:r>
        <w:rPr>
          <w:rFonts w:hint="eastAsia" w:ascii="仿宋" w:hAnsi="仿宋" w:eastAsia="仿宋" w:cs="仿宋"/>
        </w:rPr>
        <w:t>（二）宣布采购组织机构工作人员；</w:t>
      </w:r>
    </w:p>
    <w:p>
      <w:pPr>
        <w:pStyle w:val="12"/>
        <w:spacing w:line="360" w:lineRule="auto"/>
        <w:ind w:firstLine="480"/>
        <w:rPr>
          <w:rFonts w:hint="eastAsia" w:ascii="仿宋" w:hAnsi="仿宋" w:eastAsia="仿宋" w:cs="仿宋"/>
        </w:rPr>
      </w:pPr>
      <w:r>
        <w:rPr>
          <w:rFonts w:hint="eastAsia" w:ascii="仿宋" w:hAnsi="仿宋" w:eastAsia="仿宋" w:cs="仿宋"/>
        </w:rPr>
        <w:t>（三）供应商登录政采云平台，用“项目采购-开标评标”功能对响应文件进行在线解密。在线解密</w:t>
      </w:r>
      <w:r>
        <w:rPr>
          <w:rFonts w:hint="eastAsia" w:ascii="仿宋" w:hAnsi="仿宋" w:eastAsia="仿宋" w:cs="仿宋"/>
          <w:bCs/>
          <w:kern w:val="0"/>
        </w:rPr>
        <w:t>响应文件</w:t>
      </w:r>
      <w:r>
        <w:rPr>
          <w:rFonts w:hint="eastAsia" w:ascii="仿宋" w:hAnsi="仿宋" w:eastAsia="仿宋" w:cs="仿宋"/>
        </w:rPr>
        <w:t>时间为磋商时间起半个小时内；</w:t>
      </w:r>
    </w:p>
    <w:p>
      <w:pPr>
        <w:pStyle w:val="12"/>
        <w:spacing w:line="360" w:lineRule="auto"/>
        <w:ind w:firstLine="480"/>
        <w:rPr>
          <w:rFonts w:hint="eastAsia" w:ascii="仿宋" w:hAnsi="仿宋" w:eastAsia="仿宋" w:cs="仿宋"/>
        </w:rPr>
      </w:pPr>
      <w:r>
        <w:rPr>
          <w:rFonts w:hint="eastAsia" w:ascii="仿宋" w:hAnsi="仿宋" w:eastAsia="仿宋" w:cs="仿宋"/>
        </w:rPr>
        <w:t>（四）磋商(详见第四章)；</w:t>
      </w:r>
    </w:p>
    <w:p>
      <w:pPr>
        <w:pStyle w:val="21"/>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rPr>
        <w:t>（五）磋商结果公告。</w:t>
      </w:r>
    </w:p>
    <w:p>
      <w:pPr>
        <w:pStyle w:val="12"/>
        <w:spacing w:line="360" w:lineRule="auto"/>
        <w:ind w:firstLine="489"/>
        <w:rPr>
          <w:rFonts w:hint="eastAsia" w:ascii="仿宋" w:hAnsi="仿宋" w:eastAsia="仿宋" w:cs="仿宋"/>
          <w:b/>
          <w:bCs/>
        </w:rPr>
      </w:pPr>
      <w:r>
        <w:rPr>
          <w:rFonts w:hint="eastAsia" w:ascii="仿宋" w:hAnsi="仿宋" w:eastAsia="仿宋" w:cs="仿宋"/>
          <w:b/>
          <w:bCs/>
        </w:rPr>
        <w:t>五、磋商异议</w:t>
      </w:r>
    </w:p>
    <w:p>
      <w:pPr>
        <w:pStyle w:val="12"/>
        <w:spacing w:line="360" w:lineRule="auto"/>
        <w:ind w:firstLine="480"/>
        <w:rPr>
          <w:rFonts w:hint="eastAsia" w:ascii="仿宋" w:hAnsi="仿宋" w:eastAsia="仿宋" w:cs="仿宋"/>
        </w:rPr>
      </w:pPr>
      <w:r>
        <w:rPr>
          <w:rFonts w:hint="eastAsia" w:ascii="仿宋" w:hAnsi="仿宋" w:eastAsia="仿宋" w:cs="仿宋"/>
        </w:rPr>
        <w:t>供应商代表对磋商过程和磋商记录有疑义，以及认为采购人、采购组织机构相关工作人员有需要回避的情形的，应当场提出询问或者回避申请，磋商会议结束后不再接受相关询问、质疑或者回避申请。</w:t>
      </w:r>
    </w:p>
    <w:p>
      <w:pPr>
        <w:pStyle w:val="34"/>
        <w:spacing w:before="0" w:beforeAutospacing="0" w:after="0" w:afterAutospacing="0" w:line="360" w:lineRule="auto"/>
        <w:ind w:firstLine="482" w:firstLineChars="200"/>
        <w:jc w:val="both"/>
        <w:rPr>
          <w:rFonts w:hint="eastAsia" w:ascii="仿宋" w:hAnsi="仿宋" w:eastAsia="仿宋" w:cs="仿宋"/>
          <w:b/>
        </w:rPr>
      </w:pPr>
      <w:r>
        <w:rPr>
          <w:rFonts w:hint="eastAsia" w:ascii="仿宋" w:hAnsi="仿宋" w:eastAsia="仿宋" w:cs="仿宋"/>
          <w:b/>
        </w:rPr>
        <w:t>六、磋商结果确定</w:t>
      </w:r>
    </w:p>
    <w:p>
      <w:pPr>
        <w:pStyle w:val="34"/>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一）确定成交供应商。磋商小组将根据综合评分情况，按照评审得分由高到低顺序推荐3名成交候选供应商，并编写评审报告。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（二）发布成交结果公告。采购组织机构自成交供应商确定之日起2个工作日内，在浙江省政府采购网上公告成交结果，成交结果公告期为1个工作日。</w:t>
      </w:r>
    </w:p>
    <w:p>
      <w:pPr>
        <w:pStyle w:val="16"/>
        <w:spacing w:line="360" w:lineRule="auto"/>
        <w:ind w:firstLine="480" w:firstLineChars="200"/>
        <w:jc w:val="both"/>
        <w:rPr>
          <w:rFonts w:hint="eastAsia" w:ascii="仿宋" w:hAnsi="仿宋" w:eastAsia="仿宋" w:cs="仿宋"/>
          <w:kern w:val="0"/>
          <w:sz w:val="24"/>
        </w:rPr>
      </w:pPr>
      <w:r>
        <w:rPr>
          <w:rFonts w:hint="eastAsia" w:ascii="仿宋" w:hAnsi="仿宋" w:eastAsia="仿宋" w:cs="仿宋"/>
          <w:kern w:val="0"/>
          <w:sz w:val="24"/>
        </w:rPr>
        <w:t>（三）发放成交通知书。采购组织机构在发布成交结果公告的同时，</w:t>
      </w:r>
      <w:r>
        <w:rPr>
          <w:rFonts w:hint="eastAsia" w:ascii="仿宋" w:hAnsi="仿宋" w:eastAsia="仿宋" w:cs="仿宋"/>
          <w:sz w:val="24"/>
        </w:rPr>
        <w:t>通过政采云平台向成交供应商发放成交通知书</w:t>
      </w:r>
      <w:r>
        <w:rPr>
          <w:rFonts w:hint="eastAsia" w:ascii="仿宋" w:hAnsi="仿宋" w:eastAsia="仿宋" w:cs="仿宋"/>
          <w:kern w:val="0"/>
          <w:sz w:val="24"/>
        </w:rPr>
        <w:t>。</w:t>
      </w:r>
    </w:p>
    <w:p>
      <w:pPr>
        <w:pStyle w:val="16"/>
        <w:spacing w:line="360" w:lineRule="auto"/>
        <w:ind w:firstLine="480" w:firstLineChars="200"/>
        <w:jc w:val="both"/>
        <w:rPr>
          <w:rFonts w:hint="eastAsia" w:ascii="仿宋" w:hAnsi="仿宋" w:eastAsia="仿宋" w:cs="仿宋"/>
          <w:kern w:val="0"/>
          <w:sz w:val="24"/>
        </w:rPr>
      </w:pPr>
      <w:r>
        <w:rPr>
          <w:rFonts w:hint="eastAsia" w:ascii="仿宋" w:hAnsi="仿宋" w:eastAsia="仿宋" w:cs="仿宋"/>
          <w:kern w:val="0"/>
          <w:sz w:val="24"/>
        </w:rPr>
        <w:t>（四）定标中，应坚持第一成交候选人为中标人。</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七、合同签订及公告</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（一）签订合同</w:t>
      </w:r>
    </w:p>
    <w:p>
      <w:pPr>
        <w:pStyle w:val="34"/>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34"/>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2.采购人不得向成交供应商提出任何不合理的要求作为签订合同的条件。</w:t>
      </w:r>
    </w:p>
    <w:p>
      <w:pPr>
        <w:pStyle w:val="34"/>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3.成交供应商无故拖延、拒签合同的，将取消成交资格。</w:t>
      </w:r>
    </w:p>
    <w:p>
      <w:pPr>
        <w:pStyle w:val="34"/>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34"/>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5.询问或者质疑事项可能影响成交结果的，采购人应当暂停签订合同，已经签订合同的，应当中止履行合同。</w:t>
      </w:r>
    </w:p>
    <w:p>
      <w:pPr>
        <w:pStyle w:val="34"/>
        <w:spacing w:before="0" w:beforeAutospacing="0" w:after="0" w:afterAutospacing="0" w:line="360" w:lineRule="auto"/>
        <w:ind w:firstLine="482" w:firstLineChars="200"/>
        <w:jc w:val="both"/>
        <w:rPr>
          <w:rFonts w:hint="eastAsia" w:ascii="仿宋" w:hAnsi="仿宋" w:eastAsia="仿宋" w:cs="仿宋"/>
          <w:b/>
        </w:rPr>
      </w:pPr>
      <w:r>
        <w:rPr>
          <w:rFonts w:hint="eastAsia" w:ascii="仿宋" w:hAnsi="仿宋" w:eastAsia="仿宋" w:cs="仿宋"/>
          <w:b/>
        </w:rPr>
        <w:t>（二）合同公告及备案</w:t>
      </w:r>
    </w:p>
    <w:p>
      <w:pPr>
        <w:pStyle w:val="13"/>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1.采购人应当自政府采购合同签订之日起2个工作日内，</w:t>
      </w:r>
      <w:r>
        <w:rPr>
          <w:rFonts w:hint="eastAsia" w:ascii="仿宋" w:hAnsi="仿宋" w:eastAsia="仿宋" w:cs="仿宋"/>
          <w:kern w:val="0"/>
          <w:sz w:val="24"/>
        </w:rPr>
        <w:t>在省级以上财政部门指定的政府采购信息发布媒体及相关网站上公告</w:t>
      </w:r>
      <w:r>
        <w:rPr>
          <w:rFonts w:hint="eastAsia" w:ascii="仿宋" w:hAnsi="仿宋" w:eastAsia="仿宋" w:cs="仿宋"/>
          <w:sz w:val="24"/>
        </w:rPr>
        <w:t>。</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2.采购人应当自政府采购合同签订之日起7个工作日内，将合同通过政采云平台提交至同级人民政府财政部门备案存档。</w:t>
      </w:r>
    </w:p>
    <w:p>
      <w:pPr>
        <w:pStyle w:val="16"/>
        <w:spacing w:line="360" w:lineRule="auto"/>
        <w:ind w:firstLine="482" w:firstLineChars="200"/>
        <w:jc w:val="both"/>
        <w:rPr>
          <w:rFonts w:hint="eastAsia" w:ascii="仿宋" w:hAnsi="仿宋" w:eastAsia="仿宋" w:cs="仿宋"/>
          <w:b/>
          <w:bCs/>
          <w:sz w:val="24"/>
        </w:rPr>
      </w:pPr>
      <w:r>
        <w:rPr>
          <w:rFonts w:hint="eastAsia" w:ascii="仿宋" w:hAnsi="仿宋" w:eastAsia="仿宋" w:cs="仿宋"/>
          <w:b/>
          <w:bCs/>
          <w:sz w:val="24"/>
        </w:rPr>
        <w:t>八、询问、质疑与投诉</w:t>
      </w:r>
    </w:p>
    <w:p>
      <w:pPr>
        <w:pStyle w:val="16"/>
        <w:spacing w:line="360" w:lineRule="auto"/>
        <w:ind w:firstLine="482" w:firstLineChars="200"/>
        <w:jc w:val="both"/>
        <w:rPr>
          <w:rFonts w:hint="eastAsia" w:ascii="仿宋" w:hAnsi="仿宋" w:eastAsia="仿宋" w:cs="仿宋"/>
          <w:b/>
          <w:bCs/>
          <w:sz w:val="24"/>
        </w:rPr>
      </w:pPr>
      <w:r>
        <w:rPr>
          <w:rFonts w:hint="eastAsia" w:ascii="仿宋" w:hAnsi="仿宋" w:eastAsia="仿宋" w:cs="仿宋"/>
          <w:b/>
          <w:bCs/>
          <w:sz w:val="24"/>
        </w:rPr>
        <w:t>（一）询问</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pPr>
        <w:pStyle w:val="16"/>
        <w:spacing w:line="360" w:lineRule="auto"/>
        <w:ind w:firstLine="482" w:firstLineChars="200"/>
        <w:jc w:val="both"/>
        <w:rPr>
          <w:rFonts w:hint="eastAsia" w:ascii="仿宋" w:hAnsi="仿宋" w:eastAsia="仿宋" w:cs="仿宋"/>
          <w:b/>
          <w:bCs/>
          <w:sz w:val="24"/>
        </w:rPr>
      </w:pPr>
      <w:r>
        <w:rPr>
          <w:rFonts w:hint="eastAsia" w:ascii="仿宋" w:hAnsi="仿宋" w:eastAsia="仿宋" w:cs="仿宋"/>
          <w:b/>
          <w:bCs/>
          <w:sz w:val="24"/>
        </w:rPr>
        <w:t>（二）质疑</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1.报名本项目的供应商认为磋商文件、采购过程和成交结果使自己的权益受到损害的，通过政采云平台的质疑系统一次性向采购人或采购组织机构书面提出质疑：</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（1）供应商认为磋商文件的内容损害其权益的，应当自获取之日起（获取截止日之后收到磋商文件的，以获取截止日为准）7个工作日内提出质疑；</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（2）供应商对采购过程提出质疑的，应当在各采购程序环节结束之日起7个工作日内提出质疑；</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（3）供应商对成交结果提出质疑的，应当在成交结果公告期限届满之日起7个工作日内提出质疑；</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2.采购人或采购组织机构在收到磋商供应商的书面质疑后7个工作日内作出答复，并以书面形式通知质疑磋商供应商和其他有关磋商供应商，但答复内容不涉及商业秘密。</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6"/>
        <w:spacing w:line="360" w:lineRule="auto"/>
        <w:ind w:firstLine="482" w:firstLineChars="200"/>
        <w:jc w:val="both"/>
        <w:rPr>
          <w:rFonts w:hint="eastAsia" w:ascii="仿宋" w:hAnsi="仿宋" w:eastAsia="仿宋" w:cs="仿宋"/>
          <w:b/>
          <w:bCs/>
          <w:sz w:val="24"/>
        </w:rPr>
      </w:pPr>
      <w:r>
        <w:rPr>
          <w:rFonts w:hint="eastAsia" w:ascii="仿宋" w:hAnsi="仿宋" w:eastAsia="仿宋" w:cs="仿宋"/>
          <w:b/>
          <w:bCs/>
          <w:sz w:val="24"/>
        </w:rPr>
        <w:t>（三）投诉</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磋商供应商对采购人或采购组织机构的质疑答复不满意或在规定时间内未得到答复的，可以在答复期满后15个工作日内，向同级政府采购监督管理机构投诉。</w:t>
      </w:r>
    </w:p>
    <w:p>
      <w:pPr>
        <w:pStyle w:val="2"/>
        <w:spacing w:line="360" w:lineRule="auto"/>
        <w:jc w:val="center"/>
        <w:rPr>
          <w:rFonts w:hint="eastAsia" w:ascii="仿宋" w:hAnsi="仿宋" w:eastAsia="仿宋" w:cs="仿宋"/>
        </w:rPr>
      </w:pPr>
      <w:r>
        <w:rPr>
          <w:rFonts w:hint="eastAsia" w:ascii="仿宋" w:hAnsi="仿宋" w:eastAsia="仿宋" w:cs="仿宋"/>
        </w:rPr>
        <w:br w:type="page"/>
      </w:r>
      <w:bookmarkStart w:id="55" w:name="_Toc6750"/>
      <w:bookmarkStart w:id="56" w:name="_Toc9381"/>
      <w:r>
        <w:rPr>
          <w:rFonts w:hint="eastAsia" w:ascii="仿宋" w:hAnsi="仿宋" w:eastAsia="仿宋" w:cs="仿宋"/>
        </w:rPr>
        <w:t>第四部分  评标办法及评审标准</w:t>
      </w:r>
      <w:bookmarkEnd w:id="55"/>
      <w:bookmarkEnd w:id="56"/>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总则</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一、磋商原则</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二、评审方法</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综合评分法，是指响应文件</w:t>
      </w:r>
      <w:r>
        <w:rPr>
          <w:rFonts w:hint="eastAsia" w:ascii="仿宋" w:hAnsi="仿宋" w:eastAsia="仿宋" w:cs="仿宋"/>
          <w:color w:val="000000" w:themeColor="text1"/>
          <w:sz w:val="24"/>
          <w:szCs w:val="24"/>
          <w14:textFill>
            <w14:solidFill>
              <w14:schemeClr w14:val="tx1"/>
            </w14:solidFill>
          </w14:textFill>
        </w:rPr>
        <w:t>满足磋商文件全部实质性要求且按评审因素的量化指标评审得分最高的供应商为成交候选供应商的评审方法。</w:t>
      </w:r>
    </w:p>
    <w:p>
      <w:pPr>
        <w:pStyle w:val="21"/>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三、磋商小组</w:t>
      </w:r>
    </w:p>
    <w:p>
      <w:pPr>
        <w:pStyle w:val="12"/>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（一）磋商小组由采购人代表和评审专家共3人以上单数组成。</w:t>
      </w:r>
    </w:p>
    <w:p>
      <w:pPr>
        <w:pStyle w:val="12"/>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（二）磋商小组成员与参与磋商的供应商有下列情形之一的，应当回避：</w:t>
      </w:r>
    </w:p>
    <w:p>
      <w:pPr>
        <w:pStyle w:val="12"/>
        <w:spacing w:line="360" w:lineRule="auto"/>
        <w:ind w:firstLine="480"/>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t>1.参加采购活动前3年内与供应商存在劳动关系</w:t>
      </w:r>
      <w:r>
        <w:rPr>
          <w:rFonts w:hint="eastAsia" w:ascii="仿宋" w:hAnsi="仿宋" w:eastAsia="仿宋" w:cs="仿宋"/>
        </w:rPr>
        <w:t>；</w:t>
      </w:r>
    </w:p>
    <w:p>
      <w:pPr>
        <w:pStyle w:val="12"/>
        <w:spacing w:line="360" w:lineRule="auto"/>
        <w:ind w:firstLine="480"/>
        <w:rPr>
          <w:rFonts w:hint="eastAsia" w:ascii="仿宋" w:hAnsi="仿宋" w:eastAsia="仿宋" w:cs="仿宋"/>
        </w:rPr>
      </w:pPr>
      <w:r>
        <w:rPr>
          <w:rFonts w:hint="eastAsia" w:ascii="仿宋" w:hAnsi="仿宋" w:eastAsia="仿宋" w:cs="仿宋"/>
        </w:rPr>
        <w:t>2.参加采购活动前3年内担任供应商的董事、监事；</w:t>
      </w:r>
    </w:p>
    <w:p>
      <w:pPr>
        <w:pStyle w:val="12"/>
        <w:spacing w:line="360" w:lineRule="auto"/>
        <w:ind w:firstLine="480"/>
        <w:rPr>
          <w:rFonts w:hint="eastAsia" w:ascii="仿宋" w:hAnsi="仿宋" w:eastAsia="仿宋" w:cs="仿宋"/>
        </w:rPr>
      </w:pPr>
      <w:r>
        <w:rPr>
          <w:rFonts w:hint="eastAsia" w:ascii="仿宋" w:hAnsi="仿宋" w:eastAsia="仿宋" w:cs="仿宋"/>
        </w:rPr>
        <w:t>3.参加采购活动前3年内是供应商的控股股东或者实际控制人；</w:t>
      </w:r>
    </w:p>
    <w:p>
      <w:pPr>
        <w:pStyle w:val="12"/>
        <w:spacing w:line="360" w:lineRule="auto"/>
        <w:ind w:firstLine="480"/>
        <w:rPr>
          <w:rFonts w:hint="eastAsia" w:ascii="仿宋" w:hAnsi="仿宋" w:eastAsia="仿宋" w:cs="仿宋"/>
        </w:rPr>
      </w:pPr>
      <w:r>
        <w:rPr>
          <w:rFonts w:hint="eastAsia" w:ascii="仿宋" w:hAnsi="仿宋" w:eastAsia="仿宋" w:cs="仿宋"/>
        </w:rPr>
        <w:t>4.与供应商的法定代表人或者负责人有夫妻、直系血亲、三代以内旁系血亲或者近姻亲关系；</w:t>
      </w:r>
    </w:p>
    <w:p>
      <w:pPr>
        <w:pStyle w:val="12"/>
        <w:spacing w:line="360" w:lineRule="auto"/>
        <w:ind w:firstLine="480"/>
        <w:rPr>
          <w:rFonts w:hint="eastAsia" w:ascii="仿宋" w:hAnsi="仿宋" w:eastAsia="仿宋" w:cs="仿宋"/>
        </w:rPr>
      </w:pPr>
      <w:r>
        <w:rPr>
          <w:rFonts w:hint="eastAsia" w:ascii="仿宋" w:hAnsi="仿宋" w:eastAsia="仿宋" w:cs="仿宋"/>
        </w:rPr>
        <w:t>5.与供应商有其他可能影响政府采购活动公平、公正进行的关系；</w:t>
      </w:r>
    </w:p>
    <w:p>
      <w:pPr>
        <w:pStyle w:val="12"/>
        <w:spacing w:line="360" w:lineRule="auto"/>
        <w:ind w:firstLine="480"/>
        <w:rPr>
          <w:rFonts w:hint="eastAsia" w:ascii="仿宋" w:hAnsi="仿宋" w:eastAsia="仿宋" w:cs="仿宋"/>
        </w:rPr>
      </w:pPr>
      <w:r>
        <w:rPr>
          <w:rFonts w:hint="eastAsia" w:ascii="仿宋" w:hAnsi="仿宋" w:eastAsia="仿宋" w:cs="仿宋"/>
        </w:rPr>
        <w:t>6.法律法规规定的其他情形。</w:t>
      </w:r>
    </w:p>
    <w:p>
      <w:pPr>
        <w:pStyle w:val="12"/>
        <w:spacing w:line="360" w:lineRule="auto"/>
        <w:ind w:firstLine="480"/>
        <w:rPr>
          <w:rFonts w:hint="eastAsia" w:ascii="仿宋" w:hAnsi="仿宋" w:eastAsia="仿宋" w:cs="仿宋"/>
        </w:rPr>
      </w:pPr>
      <w:r>
        <w:rPr>
          <w:rFonts w:hint="eastAsia" w:ascii="仿宋" w:hAnsi="仿宋" w:eastAsia="仿宋" w:cs="仿宋"/>
        </w:rPr>
        <w:t>（三）磋商小组负责具体评审事务，并独立履行下列职责：</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对供应商的资格进行审查；对响应文件的有效性、完整性和响应程度进行审查；</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审查、评价响应文件是否符合磋商文件的商务、技术等实质性要求；</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要求供应商对响应文件有关事项作出澄清、说明或者更正；</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磋商小组集中与单一供应商分别进行磋商；</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确定磋商文件的变动情况，并确定提交最后报价的供应商；</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根据磋商文件确定的评审办法及评审标准对提交最后报价的供应商的响应文件和最后报价采用综合评分法进行综合评分；</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编制评审报告，确定成交候选人名单，以及根据采购人委托直接确定成交人；</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向采购人、采购代理机构或者有关部门报告评审中发现的违法行为；</w:t>
      </w:r>
    </w:p>
    <w:p>
      <w:pPr>
        <w:numPr>
          <w:ilvl w:val="0"/>
          <w:numId w:val="9"/>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法律、法规、规章、磋商文件等规定的其它事项。</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（四）磋商小组及其成员不得有下列行为：</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确定参与本项目至评审结束前私自接触供应商；</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接受供应商提出的“超出响应文件的范围或者改变响应文件的实质性内容”的澄清、说明或者更正； </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违反评审纪律发表倾向性意见或者征询采购人的倾向性意见；</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对需要专业判断的主观评审因素协商评分；</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在评审过程中擅离职守，影响评审程序正常进行的；</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记录、复制或者带走任何评审资料；</w:t>
      </w:r>
    </w:p>
    <w:p>
      <w:pPr>
        <w:numPr>
          <w:ilvl w:val="0"/>
          <w:numId w:val="10"/>
        </w:numPr>
        <w:spacing w:line="360" w:lineRule="auto"/>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其他不遵守评审纪律的行为。</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磋商小组成员有2.1-2.5行为之一的，其评审意见无效，并不得获取评审劳务报酬和报销异地评审差旅费。</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四、磋商要求</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（一）采购人、采购代理机构不得对磋商小组中的评审专家作倾向性、误导性的解释或者说明。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（二）磋商小组所有成员应当集中与单一供应商分别进行磋商，并给予所有参加磋商的供应商平等的磋商机会。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（四）对磋商文件作出的实质性变动是磋商文件的有效组成部分，磋商小组应当及时以书面形式同时通知所有参加磋商的供应商。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（五）供应商应当按照磋商文件的变动情况和磋商小组的要求重新提交响应文件，并由其法定代表人或授权代表签字或者加盖公章。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（六）已提交响应文件的供应商，在提交最后报价之前，可以根据磋商情况退出磋商。</w:t>
      </w:r>
    </w:p>
    <w:p>
      <w:pPr>
        <w:pStyle w:val="112"/>
        <w:spacing w:before="0"/>
        <w:ind w:firstLine="0" w:firstLineChars="0"/>
        <w:rPr>
          <w:rFonts w:hint="eastAsia" w:ascii="仿宋" w:hAnsi="仿宋" w:eastAsia="仿宋" w:cs="仿宋"/>
          <w:b/>
          <w:szCs w:val="24"/>
        </w:rPr>
      </w:pPr>
      <w:r>
        <w:rPr>
          <w:rFonts w:hint="eastAsia" w:ascii="仿宋" w:hAnsi="仿宋" w:eastAsia="仿宋" w:cs="仿宋"/>
          <w:b/>
        </w:rPr>
        <w:t>五、</w:t>
      </w:r>
      <w:r>
        <w:rPr>
          <w:rFonts w:hint="eastAsia" w:ascii="仿宋" w:hAnsi="仿宋" w:eastAsia="仿宋" w:cs="仿宋"/>
          <w:b/>
          <w:szCs w:val="24"/>
        </w:rPr>
        <w:t xml:space="preserve">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112"/>
        <w:spacing w:before="0"/>
        <w:ind w:firstLine="0" w:firstLineChars="0"/>
        <w:rPr>
          <w:rFonts w:hint="eastAsia" w:ascii="仿宋" w:hAnsi="仿宋" w:eastAsia="仿宋" w:cs="仿宋"/>
          <w:b/>
          <w:szCs w:val="24"/>
        </w:rPr>
      </w:pPr>
      <w:r>
        <w:rPr>
          <w:rFonts w:hint="eastAsia" w:ascii="仿宋" w:hAnsi="仿宋" w:eastAsia="仿宋" w:cs="仿宋"/>
          <w:b/>
          <w:lang w:val="en-US" w:eastAsia="zh-CN"/>
        </w:rPr>
        <w:t>六、</w:t>
      </w:r>
      <w:r>
        <w:rPr>
          <w:rFonts w:hint="eastAsia" w:ascii="仿宋" w:hAnsi="仿宋" w:eastAsia="仿宋" w:cs="仿宋"/>
          <w:b/>
        </w:rPr>
        <w:t>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numPr>
          <w:ilvl w:val="0"/>
          <w:numId w:val="11"/>
        </w:num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《最后报价一览表》内容与响应文件中响应内容不一致的，以《最后报价一览表》为准;</w:t>
      </w:r>
    </w:p>
    <w:p>
      <w:pPr>
        <w:numPr>
          <w:ilvl w:val="0"/>
          <w:numId w:val="11"/>
        </w:num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大写金额和小写金额不一致的，以大写金额为准;</w:t>
      </w:r>
    </w:p>
    <w:p>
      <w:pPr>
        <w:numPr>
          <w:ilvl w:val="0"/>
          <w:numId w:val="11"/>
        </w:num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单价金额小数点或者百分比有明显错位的，以《最后报价一览表》的总价为准，并修改单价;</w:t>
      </w:r>
    </w:p>
    <w:p>
      <w:pPr>
        <w:numPr>
          <w:ilvl w:val="0"/>
          <w:numId w:val="11"/>
        </w:num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总价金额与按单价汇总金额不一致的，以单价金额计算结果为准。</w:t>
      </w:r>
    </w:p>
    <w:p>
      <w:pPr>
        <w:numPr>
          <w:ilvl w:val="0"/>
          <w:numId w:val="11"/>
        </w:num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同时出现两种以上不一致的，按照前款规定的顺序修正。</w:t>
      </w:r>
    </w:p>
    <w:p>
      <w:pPr>
        <w:numPr>
          <w:ilvl w:val="0"/>
          <w:numId w:val="11"/>
        </w:num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以修正后的总价作为最后报价。</w:t>
      </w:r>
    </w:p>
    <w:p>
      <w:pPr>
        <w:spacing w:line="360" w:lineRule="auto"/>
        <w:rPr>
          <w:rFonts w:cs="仿宋_GB2312" w:asciiTheme="minorEastAsia" w:hAnsiTheme="minorEastAsia" w:eastAsiaTheme="minorEastAsia"/>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r>
        <w:rPr>
          <w:rFonts w:hint="eastAsia" w:cs="仿宋_GB2312" w:asciiTheme="minorEastAsia" w:hAnsiTheme="minorEastAsia" w:eastAsiaTheme="minorEastAsia"/>
          <w:b/>
          <w:bCs/>
          <w:sz w:val="24"/>
        </w:rPr>
        <w:t>。</w:t>
      </w:r>
    </w:p>
    <w:p>
      <w:pPr>
        <w:pStyle w:val="34"/>
        <w:spacing w:before="0" w:beforeAutospacing="0" w:after="0" w:afterAutospacing="0" w:line="360" w:lineRule="auto"/>
        <w:ind w:firstLine="482" w:firstLineChars="200"/>
        <w:jc w:val="both"/>
        <w:rPr>
          <w:rFonts w:ascii="仿宋" w:hAnsi="仿宋" w:eastAsia="仿宋" w:cs="仿宋"/>
          <w:b/>
        </w:rPr>
      </w:pPr>
      <w:r>
        <w:rPr>
          <w:rFonts w:hint="eastAsia" w:ascii="仿宋" w:hAnsi="仿宋" w:eastAsia="仿宋" w:cs="仿宋"/>
          <w:b/>
          <w:lang w:val="en-US" w:eastAsia="zh-CN"/>
        </w:rPr>
        <w:t>七、</w:t>
      </w:r>
      <w:r>
        <w:rPr>
          <w:rFonts w:hint="eastAsia" w:ascii="仿宋" w:hAnsi="仿宋" w:eastAsia="仿宋" w:cs="仿宋"/>
          <w:b/>
        </w:rPr>
        <w:t>无效响应情形</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不具备磋商文件中规定的资格要求的；</w:t>
      </w:r>
      <w:r>
        <w:rPr>
          <w:rFonts w:hint="eastAsia" w:ascii="仿宋" w:hAnsi="仿宋" w:eastAsia="仿宋" w:cs="仿宋"/>
          <w:sz w:val="24"/>
          <w:szCs w:val="24"/>
          <w:lang w:eastAsia="zh-CN"/>
        </w:rPr>
        <w:tab/>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响应文件含有采购人不能接受的附加条件的；</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磋商小组认为供应商的报价明显低于其他通过符合性审查供应商的报价，有可能影响服务质量或者不能诚信履约的，供应商在限定的时间内不能证明其报价合理性的，磋商小组应当将其作为无效响应处理；</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报价超过磋商文件中规定的预算金额/最高限价； </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响应文件未按磋商文件中规定要求签字盖章的；</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响应文件存在虚假材料的； </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不同供应商的响应文件由同一单位或者个人编制；</w:t>
      </w:r>
    </w:p>
    <w:p>
      <w:pPr>
        <w:pStyle w:val="16"/>
        <w:numPr>
          <w:ilvl w:val="0"/>
          <w:numId w:val="12"/>
        </w:numPr>
        <w:spacing w:line="360" w:lineRule="auto"/>
        <w:ind w:left="-20" w:leftChars="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不同供应商委托同一单位或者个人办理磋商事宜；</w:t>
      </w:r>
    </w:p>
    <w:p>
      <w:pPr>
        <w:pStyle w:val="34"/>
        <w:numPr>
          <w:ilvl w:val="0"/>
          <w:numId w:val="12"/>
        </w:numPr>
        <w:spacing w:before="0" w:beforeAutospacing="0" w:after="0" w:afterAutospacing="0" w:line="360" w:lineRule="auto"/>
        <w:ind w:left="-20" w:leftChars="0" w:firstLineChars="0"/>
        <w:jc w:val="both"/>
        <w:rPr>
          <w:rFonts w:ascii="仿宋" w:hAnsi="仿宋" w:eastAsia="仿宋" w:cs="仿宋"/>
        </w:rPr>
      </w:pPr>
      <w:r>
        <w:rPr>
          <w:rFonts w:hint="eastAsia" w:ascii="仿宋" w:hAnsi="仿宋" w:eastAsia="仿宋" w:cs="仿宋"/>
        </w:rPr>
        <w:t>不同供应商的响应文件载明的项目管理成员或者联系人员为同一人</w:t>
      </w:r>
      <w:r>
        <w:rPr>
          <w:rFonts w:hint="eastAsia" w:ascii="仿宋" w:hAnsi="仿宋" w:eastAsia="仿宋" w:cs="仿宋"/>
          <w:lang w:eastAsia="zh-CN"/>
        </w:rPr>
        <w:t>，</w:t>
      </w:r>
      <w:r>
        <w:rPr>
          <w:rFonts w:hint="eastAsia" w:ascii="仿宋" w:hAnsi="仿宋" w:eastAsia="仿宋" w:cs="仿宋"/>
        </w:rPr>
        <w:t>或不同联系人的联系电话一致，且无法合理解释的。</w:t>
      </w:r>
    </w:p>
    <w:p>
      <w:pPr>
        <w:pStyle w:val="34"/>
        <w:numPr>
          <w:ilvl w:val="0"/>
          <w:numId w:val="12"/>
        </w:numPr>
        <w:spacing w:before="0" w:beforeAutospacing="0" w:after="0" w:afterAutospacing="0" w:line="360" w:lineRule="auto"/>
        <w:ind w:left="-20" w:leftChars="0" w:firstLineChars="0"/>
        <w:jc w:val="both"/>
        <w:rPr>
          <w:rFonts w:ascii="仿宋" w:hAnsi="仿宋" w:eastAsia="仿宋" w:cs="仿宋"/>
        </w:rPr>
      </w:pPr>
      <w:r>
        <w:rPr>
          <w:rFonts w:hint="eastAsia" w:ascii="仿宋" w:hAnsi="仿宋" w:eastAsia="仿宋" w:cs="仿宋"/>
        </w:rPr>
        <w:t>不同供应商的响应文件异常一致</w:t>
      </w:r>
      <w:r>
        <w:rPr>
          <w:rFonts w:hint="eastAsia" w:ascii="仿宋" w:hAnsi="仿宋" w:eastAsia="仿宋" w:cs="仿宋"/>
          <w:lang w:eastAsia="zh-CN"/>
        </w:rPr>
        <w:t>或</w:t>
      </w:r>
      <w:r>
        <w:rPr>
          <w:rFonts w:hint="eastAsia" w:ascii="仿宋" w:hAnsi="仿宋" w:eastAsia="仿宋" w:cs="仿宋"/>
        </w:rPr>
        <w:t>投标文件的内容存在三处（含）以上错误一致，且无法合理解释的；</w:t>
      </w:r>
    </w:p>
    <w:p>
      <w:pPr>
        <w:pStyle w:val="34"/>
        <w:numPr>
          <w:ilvl w:val="0"/>
          <w:numId w:val="12"/>
        </w:numPr>
        <w:spacing w:before="0" w:beforeAutospacing="0" w:after="0" w:afterAutospacing="0" w:line="360" w:lineRule="auto"/>
        <w:ind w:left="-20" w:leftChars="0" w:firstLineChars="0"/>
        <w:jc w:val="both"/>
        <w:rPr>
          <w:rFonts w:ascii="仿宋" w:hAnsi="仿宋" w:eastAsia="仿宋" w:cs="仿宋"/>
        </w:rPr>
      </w:pPr>
      <w:r>
        <w:rPr>
          <w:rFonts w:hint="eastAsia" w:ascii="仿宋" w:hAnsi="仿宋" w:eastAsia="仿宋" w:cs="仿宋"/>
        </w:rPr>
        <w:t>不同供应商的响应文件相互混装；</w:t>
      </w:r>
    </w:p>
    <w:p>
      <w:pPr>
        <w:pStyle w:val="34"/>
        <w:numPr>
          <w:ilvl w:val="0"/>
          <w:numId w:val="12"/>
        </w:numPr>
        <w:spacing w:before="0" w:beforeAutospacing="0" w:after="0" w:afterAutospacing="0" w:line="360" w:lineRule="auto"/>
        <w:ind w:left="-20" w:leftChars="0" w:firstLineChars="0"/>
        <w:jc w:val="both"/>
        <w:rPr>
          <w:rFonts w:ascii="仿宋" w:hAnsi="仿宋" w:eastAsia="仿宋" w:cs="仿宋"/>
        </w:rPr>
      </w:pPr>
      <w:r>
        <w:rPr>
          <w:rFonts w:hint="eastAsia" w:ascii="仿宋" w:hAnsi="仿宋" w:eastAsia="仿宋" w:cs="仿宋"/>
        </w:rPr>
        <w:t>实质性要求（磋商文件中打“▲”内容）不响应的；</w:t>
      </w:r>
    </w:p>
    <w:p>
      <w:pPr>
        <w:pStyle w:val="12"/>
        <w:numPr>
          <w:ilvl w:val="0"/>
          <w:numId w:val="12"/>
        </w:numPr>
        <w:spacing w:line="360" w:lineRule="auto"/>
        <w:ind w:left="-20" w:leftChars="0" w:firstLine="480" w:firstLineChars="0"/>
        <w:rPr>
          <w:rFonts w:ascii="仿宋" w:hAnsi="仿宋" w:eastAsia="仿宋" w:cs="仿宋"/>
          <w:kern w:val="0"/>
        </w:rPr>
      </w:pPr>
      <w:r>
        <w:rPr>
          <w:rFonts w:hint="eastAsia" w:ascii="仿宋" w:hAnsi="仿宋" w:eastAsia="仿宋" w:cs="仿宋"/>
          <w:kern w:val="0"/>
        </w:rPr>
        <w:t>商务条款不响应；</w:t>
      </w:r>
    </w:p>
    <w:p>
      <w:pPr>
        <w:pStyle w:val="12"/>
        <w:numPr>
          <w:ilvl w:val="0"/>
          <w:numId w:val="12"/>
        </w:numPr>
        <w:spacing w:line="360" w:lineRule="auto"/>
        <w:ind w:left="-20" w:leftChars="0" w:firstLine="480" w:firstLineChars="0"/>
        <w:rPr>
          <w:rFonts w:ascii="仿宋" w:hAnsi="仿宋" w:eastAsia="仿宋" w:cs="仿宋"/>
          <w:kern w:val="0"/>
        </w:rPr>
      </w:pPr>
      <w:r>
        <w:rPr>
          <w:rFonts w:hint="eastAsia" w:ascii="仿宋" w:hAnsi="仿宋" w:eastAsia="仿宋" w:cs="仿宋"/>
        </w:rPr>
        <w:t>响应</w:t>
      </w:r>
      <w:r>
        <w:rPr>
          <w:rFonts w:hint="eastAsia" w:ascii="仿宋" w:hAnsi="仿宋" w:eastAsia="仿宋" w:cs="仿宋"/>
          <w:kern w:val="0"/>
        </w:rPr>
        <w:t>文件有效期不足的；</w:t>
      </w:r>
    </w:p>
    <w:p>
      <w:pPr>
        <w:pStyle w:val="12"/>
        <w:numPr>
          <w:ilvl w:val="0"/>
          <w:numId w:val="12"/>
        </w:numPr>
        <w:spacing w:line="360" w:lineRule="auto"/>
        <w:ind w:left="-20" w:leftChars="0" w:firstLine="480" w:firstLineChars="0"/>
        <w:rPr>
          <w:rFonts w:ascii="仿宋" w:hAnsi="仿宋" w:eastAsia="仿宋" w:cs="仿宋"/>
          <w:kern w:val="0"/>
        </w:rPr>
      </w:pPr>
      <w:r>
        <w:rPr>
          <w:rFonts w:hint="eastAsia" w:ascii="仿宋" w:hAnsi="仿宋" w:eastAsia="仿宋" w:cs="仿宋"/>
          <w:kern w:val="0"/>
        </w:rPr>
        <w:t>逾期或未按要求提交</w:t>
      </w:r>
      <w:r>
        <w:rPr>
          <w:rFonts w:hint="eastAsia" w:ascii="仿宋" w:hAnsi="仿宋" w:eastAsia="仿宋" w:cs="仿宋"/>
        </w:rPr>
        <w:t>响应</w:t>
      </w:r>
      <w:r>
        <w:rPr>
          <w:rFonts w:hint="eastAsia" w:ascii="仿宋" w:hAnsi="仿宋" w:eastAsia="仿宋" w:cs="仿宋"/>
          <w:kern w:val="0"/>
        </w:rPr>
        <w:t>文件的；</w:t>
      </w:r>
    </w:p>
    <w:p>
      <w:pPr>
        <w:pStyle w:val="12"/>
        <w:numPr>
          <w:ilvl w:val="0"/>
          <w:numId w:val="12"/>
        </w:numPr>
        <w:spacing w:line="360" w:lineRule="auto"/>
        <w:ind w:left="-20" w:leftChars="0" w:firstLine="480" w:firstLineChars="0"/>
        <w:rPr>
          <w:rFonts w:ascii="仿宋" w:hAnsi="仿宋" w:eastAsia="仿宋" w:cs="仿宋"/>
          <w:kern w:val="0"/>
        </w:rPr>
      </w:pPr>
      <w:r>
        <w:rPr>
          <w:rFonts w:hint="eastAsia" w:ascii="仿宋" w:hAnsi="仿宋" w:eastAsia="仿宋" w:cs="仿宋"/>
          <w:kern w:val="0"/>
        </w:rPr>
        <w:t>不同</w:t>
      </w:r>
      <w:r>
        <w:rPr>
          <w:rFonts w:hint="eastAsia" w:ascii="仿宋" w:hAnsi="仿宋" w:eastAsia="仿宋" w:cs="仿宋"/>
        </w:rPr>
        <w:t>供应商</w:t>
      </w:r>
      <w:r>
        <w:rPr>
          <w:rFonts w:hint="eastAsia" w:ascii="仿宋" w:hAnsi="仿宋" w:eastAsia="仿宋" w:cs="仿宋"/>
          <w:kern w:val="0"/>
        </w:rPr>
        <w:t>的电子投标文件上传计算机的IP地址、网卡MAC地址、CPU序列号或硬盘序列号等硬件信息相同的；</w:t>
      </w:r>
    </w:p>
    <w:p>
      <w:pPr>
        <w:pStyle w:val="12"/>
        <w:numPr>
          <w:ilvl w:val="0"/>
          <w:numId w:val="12"/>
        </w:numPr>
        <w:spacing w:line="360" w:lineRule="auto"/>
        <w:ind w:left="-20" w:leftChars="0" w:firstLine="480" w:firstLineChars="0"/>
        <w:rPr>
          <w:rFonts w:ascii="仿宋" w:hAnsi="仿宋" w:eastAsia="仿宋" w:cs="仿宋"/>
          <w:kern w:val="0"/>
        </w:rPr>
      </w:pPr>
      <w:r>
        <w:rPr>
          <w:rFonts w:hint="eastAsia" w:ascii="仿宋" w:hAnsi="仿宋" w:eastAsia="仿宋" w:cs="仿宋"/>
          <w:kern w:val="0"/>
        </w:rPr>
        <w:t>上传的电子投标文件若出现使用本项目其他投标供应商的数字证书加密的，或者加盖本项目其他投标人的电子印章的；</w:t>
      </w:r>
    </w:p>
    <w:p>
      <w:pPr>
        <w:pStyle w:val="12"/>
        <w:numPr>
          <w:ilvl w:val="0"/>
          <w:numId w:val="12"/>
        </w:numPr>
        <w:spacing w:line="360" w:lineRule="auto"/>
        <w:ind w:left="-20" w:leftChars="0" w:firstLine="480" w:firstLineChars="0"/>
        <w:rPr>
          <w:rFonts w:ascii="仿宋" w:hAnsi="仿宋" w:eastAsia="仿宋" w:cs="仿宋"/>
          <w:kern w:val="0"/>
        </w:rPr>
      </w:pPr>
      <w:r>
        <w:rPr>
          <w:rFonts w:hint="eastAsia" w:ascii="仿宋" w:hAnsi="仿宋" w:eastAsia="仿宋" w:cs="仿宋"/>
          <w:kern w:val="0"/>
        </w:rPr>
        <w:t>其他</w:t>
      </w:r>
      <w:r>
        <w:rPr>
          <w:rFonts w:hint="eastAsia" w:ascii="仿宋" w:hAnsi="仿宋" w:eastAsia="仿宋" w:cs="仿宋"/>
        </w:rPr>
        <w:t>不符合法律、法规相关规定的。</w:t>
      </w:r>
    </w:p>
    <w:p>
      <w:pPr>
        <w:autoSpaceDE w:val="0"/>
        <w:autoSpaceDN w:val="0"/>
        <w:adjustRightInd w:val="0"/>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、终止磋商情形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（一）出现影响采购公正的违法、违规行为的；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（二）磋商小组发现磋商文件存在歧义、重大缺陷导致评审工作无法进行，或者磋商文件内容违反国家有关强制性规定的；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（三）因重大变故，采购任务取消的；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（四）在采购过程中符合磋商要求的供应商或者提交最后报价的供应商不足3家的（政府购买服务项目，市场竞争不充分的科研项目，以及需要扶持的科技成果转化项目，提交最后报价的供应商可以为2家）；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（五）法律、法规和磋商文件规定的其他导致评审结果无效的。</w:t>
      </w:r>
    </w:p>
    <w:p>
      <w:pPr>
        <w:pStyle w:val="21"/>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、磋商过程的监控</w:t>
      </w:r>
    </w:p>
    <w:p>
      <w:pPr>
        <w:pStyle w:val="34"/>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本项目磋商过程实行全程录音、录像监控，政府采购监管部门视情进行现场监督，供应商在磋商过程中所进行的试图影响磋商结果的不公正活动，可能导致其磋商响应被拒绝。</w:t>
      </w:r>
    </w:p>
    <w:p>
      <w:pPr>
        <w:pStyle w:val="21"/>
        <w:snapToGrid w:val="0"/>
        <w:spacing w:line="360" w:lineRule="auto"/>
        <w:ind w:firstLine="482" w:firstLineChars="200"/>
        <w:rPr>
          <w:rFonts w:ascii="仿宋" w:hAnsi="仿宋" w:eastAsia="仿宋" w:cs="仿宋"/>
          <w:b/>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、评审程序</w:t>
      </w:r>
    </w:p>
    <w:p>
      <w:pPr>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（一）资格审查</w:t>
      </w:r>
    </w:p>
    <w:p>
      <w:pPr>
        <w:pStyle w:val="16"/>
        <w:spacing w:line="360" w:lineRule="auto"/>
        <w:ind w:firstLine="480" w:firstLineChars="20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响应文件解密后，采购人或采购组织机构依法对供应商的资格进行审查，对审查发现无效的进行必要的</w:t>
      </w:r>
      <w:r>
        <w:rPr>
          <w:rFonts w:hint="eastAsia" w:ascii="仿宋" w:hAnsi="仿宋" w:eastAsia="仿宋" w:cs="仿宋"/>
          <w:color w:val="000000" w:themeColor="text1"/>
          <w:sz w:val="24"/>
          <w14:textFill>
            <w14:solidFill>
              <w14:schemeClr w14:val="tx1"/>
            </w14:solidFill>
          </w14:textFill>
        </w:rPr>
        <w:t>询问，在政采云平台公布无效响应的供应商名单、响应无效的原因。</w:t>
      </w:r>
    </w:p>
    <w:p>
      <w:pPr>
        <w:pStyle w:val="16"/>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（二）符合性审查</w:t>
      </w:r>
    </w:p>
    <w:p>
      <w:pPr>
        <w:pStyle w:val="16"/>
        <w:spacing w:line="360" w:lineRule="auto"/>
        <w:ind w:firstLine="480" w:firstLineChars="200"/>
        <w:jc w:val="both"/>
        <w:rPr>
          <w:rFonts w:hint="eastAsia" w:ascii="仿宋" w:hAnsi="仿宋" w:eastAsia="仿宋" w:cs="仿宋"/>
          <w:sz w:val="24"/>
        </w:rPr>
      </w:pPr>
      <w:r>
        <w:rPr>
          <w:rFonts w:hint="eastAsia" w:ascii="仿宋" w:hAnsi="仿宋" w:eastAsia="仿宋" w:cs="仿宋"/>
          <w:sz w:val="24"/>
        </w:rPr>
        <w:t>磋商小组应当对符合资格的供应商的磋商响应文件进行符合性审查，以确定其是否满足磋商文件的实质性要求，对审查发现无效的进行必要</w:t>
      </w:r>
      <w:r>
        <w:rPr>
          <w:rFonts w:hint="eastAsia" w:ascii="仿宋" w:hAnsi="仿宋" w:eastAsia="仿宋" w:cs="仿宋"/>
          <w:color w:val="000000" w:themeColor="text1"/>
          <w:sz w:val="24"/>
          <w14:textFill>
            <w14:solidFill>
              <w14:schemeClr w14:val="tx1"/>
            </w14:solidFill>
          </w14:textFill>
        </w:rPr>
        <w:t>的询问</w:t>
      </w:r>
      <w:r>
        <w:rPr>
          <w:rFonts w:hint="eastAsia" w:ascii="仿宋" w:hAnsi="仿宋" w:eastAsia="仿宋" w:cs="仿宋"/>
          <w:sz w:val="24"/>
        </w:rPr>
        <w:t>，对无效响应的供应商名单及响应无效原因的公布方式同上。</w:t>
      </w:r>
    </w:p>
    <w:p>
      <w:pPr>
        <w:autoSpaceDE w:val="0"/>
        <w:autoSpaceDN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（三）商务技术及价格评审</w:t>
      </w:r>
    </w:p>
    <w:p>
      <w:pPr>
        <w:autoSpaceDE w:val="0"/>
        <w:autoSpaceDN w:val="0"/>
        <w:spacing w:line="360" w:lineRule="auto"/>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一）本次磋商项目的评审方法为综合评分法，总计100分。磋商报价分</w:t>
      </w:r>
      <w:r>
        <w:rPr>
          <w:rFonts w:hint="eastAsia" w:ascii="仿宋" w:hAnsi="仿宋" w:eastAsia="仿宋" w:cs="仿宋"/>
          <w:sz w:val="24"/>
          <w:szCs w:val="24"/>
          <w:lang w:val="en-US" w:eastAsia="zh-CN"/>
        </w:rPr>
        <w:t>30</w:t>
      </w:r>
      <w:r>
        <w:rPr>
          <w:rFonts w:hint="eastAsia" w:ascii="仿宋" w:hAnsi="仿宋" w:eastAsia="仿宋" w:cs="仿宋"/>
          <w:sz w:val="24"/>
          <w:szCs w:val="24"/>
        </w:rPr>
        <w:t>分、磋商技术分</w:t>
      </w:r>
      <w:r>
        <w:rPr>
          <w:rFonts w:hint="eastAsia" w:ascii="仿宋" w:hAnsi="仿宋" w:eastAsia="仿宋" w:cs="仿宋"/>
          <w:sz w:val="24"/>
          <w:szCs w:val="24"/>
          <w:lang w:val="en-US" w:eastAsia="zh-CN"/>
        </w:rPr>
        <w:t>70</w:t>
      </w:r>
      <w:r>
        <w:rPr>
          <w:rFonts w:hint="eastAsia" w:ascii="仿宋" w:hAnsi="仿宋" w:eastAsia="仿宋" w:cs="仿宋"/>
          <w:sz w:val="24"/>
          <w:szCs w:val="24"/>
        </w:rPr>
        <w:t>分。</w:t>
      </w:r>
    </w:p>
    <w:p>
      <w:pPr>
        <w:autoSpaceDE w:val="0"/>
        <w:autoSpaceDN w:val="0"/>
        <w:adjustRightInd w:val="0"/>
        <w:spacing w:line="360" w:lineRule="auto"/>
        <w:ind w:right="84" w:firstLine="472"/>
        <w:rPr>
          <w:rFonts w:hint="eastAsia" w:ascii="仿宋" w:hAnsi="仿宋" w:eastAsia="仿宋" w:cs="仿宋"/>
          <w:bCs/>
          <w:sz w:val="24"/>
          <w:szCs w:val="24"/>
          <w:lang w:val="zh-CN"/>
        </w:rPr>
      </w:pPr>
      <w:r>
        <w:rPr>
          <w:rFonts w:hint="eastAsia" w:ascii="仿宋" w:hAnsi="仿宋" w:eastAsia="仿宋" w:cs="仿宋"/>
          <w:bCs/>
          <w:sz w:val="24"/>
          <w:szCs w:val="24"/>
          <w:lang w:val="zh-CN"/>
        </w:rPr>
        <w:t>（一）商务与技术文件中的客观分由</w:t>
      </w:r>
      <w:r>
        <w:rPr>
          <w:rFonts w:hint="eastAsia" w:ascii="仿宋" w:hAnsi="仿宋" w:eastAsia="仿宋" w:cs="仿宋"/>
          <w:sz w:val="24"/>
          <w:szCs w:val="24"/>
        </w:rPr>
        <w:t>磋商小组</w:t>
      </w:r>
      <w:r>
        <w:rPr>
          <w:rFonts w:hint="eastAsia" w:ascii="仿宋" w:hAnsi="仿宋" w:eastAsia="仿宋" w:cs="仿宋"/>
          <w:bCs/>
          <w:sz w:val="24"/>
          <w:szCs w:val="24"/>
          <w:lang w:val="zh-CN"/>
        </w:rPr>
        <w:t>讨论后统一打分；其余在规定的分值内单独评定打分。</w:t>
      </w:r>
    </w:p>
    <w:p>
      <w:pPr>
        <w:autoSpaceDE w:val="0"/>
        <w:autoSpaceDN w:val="0"/>
        <w:adjustRightInd w:val="0"/>
        <w:spacing w:line="360" w:lineRule="auto"/>
        <w:ind w:right="84" w:firstLine="472"/>
        <w:rPr>
          <w:rFonts w:hint="eastAsia" w:ascii="仿宋" w:hAnsi="仿宋" w:eastAsia="仿宋" w:cs="仿宋"/>
          <w:bCs/>
          <w:sz w:val="24"/>
          <w:szCs w:val="24"/>
          <w:lang w:val="zh-CN"/>
        </w:rPr>
      </w:pPr>
      <w:r>
        <w:rPr>
          <w:rFonts w:hint="eastAsia" w:ascii="仿宋" w:hAnsi="仿宋" w:eastAsia="仿宋" w:cs="仿宋"/>
          <w:bCs/>
          <w:sz w:val="24"/>
          <w:szCs w:val="24"/>
          <w:lang w:val="zh-CN"/>
        </w:rPr>
        <w:t>（二）各磋商供应商商务与技术文件</w:t>
      </w:r>
      <w:r>
        <w:rPr>
          <w:rFonts w:hint="eastAsia" w:ascii="仿宋" w:hAnsi="仿宋" w:eastAsia="仿宋" w:cs="仿宋"/>
          <w:sz w:val="24"/>
          <w:szCs w:val="24"/>
          <w:lang w:val="zh-CN"/>
        </w:rPr>
        <w:t>得分按照</w:t>
      </w:r>
      <w:r>
        <w:rPr>
          <w:rFonts w:hint="eastAsia" w:ascii="仿宋" w:hAnsi="仿宋" w:eastAsia="仿宋" w:cs="仿宋"/>
          <w:sz w:val="24"/>
          <w:szCs w:val="24"/>
        </w:rPr>
        <w:t>磋商小组</w:t>
      </w:r>
      <w:r>
        <w:rPr>
          <w:rFonts w:hint="eastAsia" w:ascii="仿宋" w:hAnsi="仿宋" w:eastAsia="仿宋" w:cs="仿宋"/>
          <w:sz w:val="24"/>
          <w:szCs w:val="24"/>
          <w:lang w:val="zh-CN"/>
        </w:rPr>
        <w:t>成</w:t>
      </w:r>
      <w:r>
        <w:rPr>
          <w:rFonts w:hint="eastAsia" w:ascii="仿宋" w:hAnsi="仿宋" w:eastAsia="仿宋" w:cs="仿宋"/>
          <w:bCs/>
          <w:sz w:val="24"/>
          <w:szCs w:val="24"/>
          <w:lang w:val="zh-CN"/>
        </w:rPr>
        <w:t>员的独立评分结果汇总后的算术平均分计算，计算公式为：</w:t>
      </w:r>
    </w:p>
    <w:p>
      <w:pPr>
        <w:autoSpaceDE w:val="0"/>
        <w:autoSpaceDN w:val="0"/>
        <w:adjustRightInd w:val="0"/>
        <w:spacing w:line="360" w:lineRule="auto"/>
        <w:ind w:right="84" w:firstLine="472"/>
        <w:rPr>
          <w:rFonts w:hint="eastAsia" w:ascii="仿宋" w:hAnsi="仿宋" w:eastAsia="仿宋" w:cs="仿宋"/>
          <w:bCs/>
          <w:sz w:val="24"/>
          <w:szCs w:val="24"/>
          <w:lang w:val="zh-CN"/>
        </w:rPr>
      </w:pPr>
      <w:r>
        <w:rPr>
          <w:rFonts w:hint="eastAsia" w:ascii="仿宋" w:hAnsi="仿宋" w:eastAsia="仿宋" w:cs="仿宋"/>
          <w:sz w:val="24"/>
          <w:szCs w:val="24"/>
        </w:rPr>
        <w:t>商务与技术文件得分</w:t>
      </w:r>
      <w:r>
        <w:rPr>
          <w:rFonts w:hint="eastAsia" w:ascii="仿宋" w:hAnsi="仿宋" w:eastAsia="仿宋" w:cs="仿宋"/>
          <w:bCs/>
          <w:sz w:val="24"/>
          <w:szCs w:val="24"/>
          <w:lang w:val="zh-CN"/>
        </w:rPr>
        <w:t>=</w:t>
      </w:r>
      <w:r>
        <w:rPr>
          <w:rFonts w:hint="eastAsia" w:ascii="仿宋" w:hAnsi="仿宋" w:eastAsia="仿宋" w:cs="仿宋"/>
          <w:sz w:val="24"/>
          <w:szCs w:val="24"/>
        </w:rPr>
        <w:t>磋商小组</w:t>
      </w:r>
      <w:r>
        <w:rPr>
          <w:rFonts w:hint="eastAsia" w:ascii="仿宋" w:hAnsi="仿宋" w:eastAsia="仿宋" w:cs="仿宋"/>
          <w:bCs/>
          <w:sz w:val="24"/>
          <w:szCs w:val="24"/>
          <w:lang w:val="zh-CN"/>
        </w:rPr>
        <w:t>所有成员评分合计数/</w:t>
      </w:r>
      <w:r>
        <w:rPr>
          <w:rFonts w:hint="eastAsia" w:ascii="仿宋" w:hAnsi="仿宋" w:eastAsia="仿宋" w:cs="仿宋"/>
          <w:sz w:val="24"/>
          <w:szCs w:val="24"/>
        </w:rPr>
        <w:t>磋商小组</w:t>
      </w:r>
      <w:r>
        <w:rPr>
          <w:rFonts w:hint="eastAsia" w:ascii="仿宋" w:hAnsi="仿宋" w:eastAsia="仿宋" w:cs="仿宋"/>
          <w:bCs/>
          <w:sz w:val="24"/>
          <w:szCs w:val="24"/>
          <w:lang w:val="zh-CN"/>
        </w:rPr>
        <w:t>组成人员数。</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bCs/>
          <w:sz w:val="24"/>
          <w:szCs w:val="24"/>
          <w:lang w:val="zh-CN"/>
        </w:rPr>
        <w:t>（三）</w:t>
      </w:r>
      <w:r>
        <w:rPr>
          <w:rFonts w:hint="eastAsia" w:ascii="仿宋" w:hAnsi="仿宋" w:eastAsia="仿宋" w:cs="仿宋"/>
          <w:sz w:val="24"/>
          <w:szCs w:val="24"/>
        </w:rPr>
        <w:t>综合评分法中的价格分统一</w:t>
      </w:r>
      <w:r>
        <w:rPr>
          <w:rFonts w:hint="eastAsia" w:ascii="仿宋" w:hAnsi="仿宋" w:eastAsia="仿宋" w:cs="仿宋"/>
          <w:sz w:val="24"/>
          <w:szCs w:val="24"/>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磋商报价得分=(</w:t>
      </w:r>
      <w:r>
        <w:rPr>
          <w:rFonts w:hint="eastAsia" w:ascii="仿宋" w:hAnsi="仿宋" w:eastAsia="仿宋" w:cs="仿宋"/>
          <w:sz w:val="24"/>
          <w:szCs w:val="24"/>
          <w:u w:val="single"/>
          <w:lang w:val="zh-CN"/>
        </w:rPr>
        <w:t>磋商基准价</w:t>
      </w:r>
      <w:r>
        <w:rPr>
          <w:rFonts w:hint="eastAsia" w:ascii="仿宋" w:hAnsi="仿宋" w:eastAsia="仿宋" w:cs="仿宋"/>
          <w:sz w:val="24"/>
          <w:szCs w:val="24"/>
          <w:u w:val="single"/>
        </w:rPr>
        <w:t>／最后磋商报价)×</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%×100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u w:val="single"/>
        </w:rPr>
        <w:t>注：</w:t>
      </w:r>
      <w:r>
        <w:rPr>
          <w:rFonts w:hint="eastAsia" w:ascii="仿宋" w:hAnsi="仿宋" w:eastAsia="仿宋" w:cs="仿宋"/>
          <w:b/>
          <w:bCs/>
          <w:sz w:val="24"/>
          <w:szCs w:val="24"/>
          <w:u w:val="single"/>
          <w:lang w:val="zh-CN"/>
        </w:rPr>
        <w:t>对于投标报价明显低于成本价，且</w:t>
      </w:r>
      <w:r>
        <w:rPr>
          <w:rFonts w:hint="eastAsia" w:ascii="仿宋" w:hAnsi="仿宋" w:eastAsia="仿宋" w:cs="仿宋"/>
          <w:b/>
          <w:bCs/>
          <w:sz w:val="24"/>
          <w:szCs w:val="24"/>
          <w:u w:val="single"/>
        </w:rPr>
        <w:t>磋商供应商不能合理说明原因并提供证明材料的</w:t>
      </w:r>
      <w:r>
        <w:rPr>
          <w:rFonts w:hint="eastAsia" w:ascii="仿宋" w:hAnsi="仿宋" w:eastAsia="仿宋" w:cs="仿宋"/>
          <w:b/>
          <w:bCs/>
          <w:sz w:val="24"/>
          <w:szCs w:val="24"/>
          <w:u w:val="single"/>
          <w:lang w:val="zh-CN"/>
        </w:rPr>
        <w:t>，</w:t>
      </w:r>
      <w:r>
        <w:rPr>
          <w:rFonts w:hint="eastAsia" w:ascii="仿宋" w:hAnsi="仿宋" w:eastAsia="仿宋" w:cs="仿宋"/>
          <w:b/>
          <w:bCs/>
          <w:sz w:val="24"/>
          <w:szCs w:val="24"/>
          <w:u w:val="single"/>
        </w:rPr>
        <w:t>评标</w:t>
      </w:r>
      <w:r>
        <w:rPr>
          <w:rFonts w:hint="eastAsia" w:ascii="仿宋" w:hAnsi="仿宋" w:eastAsia="仿宋" w:cs="仿宋"/>
          <w:b/>
          <w:bCs/>
          <w:sz w:val="24"/>
          <w:szCs w:val="24"/>
          <w:u w:val="single"/>
          <w:lang w:val="zh-CN"/>
        </w:rPr>
        <w:t>小组认为其有可能影响商品质量和不能诚信履约的</w:t>
      </w:r>
      <w:r>
        <w:rPr>
          <w:rFonts w:hint="eastAsia" w:ascii="仿宋" w:hAnsi="仿宋" w:eastAsia="仿宋" w:cs="仿宋"/>
          <w:b/>
          <w:bCs/>
          <w:sz w:val="24"/>
          <w:szCs w:val="24"/>
          <w:u w:val="single"/>
        </w:rPr>
        <w:t>作</w:t>
      </w:r>
      <w:r>
        <w:rPr>
          <w:rFonts w:hint="eastAsia" w:ascii="仿宋" w:hAnsi="仿宋" w:eastAsia="仿宋" w:cs="仿宋"/>
          <w:b/>
          <w:bCs/>
          <w:sz w:val="24"/>
          <w:szCs w:val="24"/>
          <w:u w:val="single"/>
          <w:lang w:val="zh-CN"/>
        </w:rPr>
        <w:t>无效标处理。</w:t>
      </w:r>
      <w:r>
        <w:rPr>
          <w:rFonts w:hint="eastAsia" w:ascii="仿宋" w:hAnsi="仿宋" w:eastAsia="仿宋" w:cs="仿宋"/>
          <w:b/>
          <w:bCs/>
          <w:sz w:val="24"/>
          <w:szCs w:val="24"/>
          <w:u w:val="single"/>
        </w:rPr>
        <w:t>同时采购人或采购代理机构将该情况报同级财政部门，并视情将其列入不良供应商名单。</w:t>
      </w:r>
    </w:p>
    <w:p>
      <w:pPr>
        <w:autoSpaceDE w:val="0"/>
        <w:autoSpaceDN w:val="0"/>
        <w:spacing w:line="360" w:lineRule="auto"/>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（四）政府采购政策及优惠：</w:t>
      </w:r>
    </w:p>
    <w:p>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根据【关于印发《政府采购促进中小企业发展管理办法》的通知</w:t>
      </w:r>
      <w:r>
        <w:rPr>
          <w:rFonts w:hint="eastAsia" w:ascii="仿宋" w:hAnsi="仿宋" w:eastAsia="仿宋" w:cs="仿宋"/>
          <w:bCs/>
          <w:sz w:val="24"/>
          <w:szCs w:val="24"/>
        </w:rPr>
        <w:t>【财库（2020）46号】</w:t>
      </w:r>
      <w:r>
        <w:rPr>
          <w:rFonts w:hint="eastAsia" w:ascii="仿宋" w:hAnsi="仿宋" w:eastAsia="仿宋" w:cs="仿宋"/>
          <w:sz w:val="24"/>
          <w:szCs w:val="24"/>
          <w:lang w:val="zh-CN"/>
        </w:rPr>
        <w:t>的相关规定：</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1.对于非专门面向中小企业采购的项目，在评审时对小型和微型企业报价给予</w:t>
      </w:r>
      <w:r>
        <w:rPr>
          <w:rFonts w:hint="eastAsia" w:ascii="仿宋" w:hAnsi="仿宋" w:eastAsia="仿宋" w:cs="仿宋"/>
          <w:sz w:val="24"/>
          <w:szCs w:val="24"/>
        </w:rPr>
        <w:t>10</w:t>
      </w:r>
      <w:r>
        <w:rPr>
          <w:rFonts w:hint="eastAsia" w:ascii="仿宋" w:hAnsi="仿宋" w:eastAsia="仿宋" w:cs="仿宋"/>
          <w:sz w:val="24"/>
          <w:szCs w:val="24"/>
          <w:lang w:val="zh-CN"/>
        </w:rPr>
        <w:t>%（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3.中小企业参加政府采购活动，应当出具本办法规定的《中小企业声明函》，否则不得享受相关中小企业扶持政策。任何单位和个人不得要求供应商提供《中小企业声明函》之外的中小企业身份证明文件。</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）根据</w:t>
      </w:r>
      <w:r>
        <w:rPr>
          <w:rFonts w:hint="eastAsia" w:ascii="仿宋" w:hAnsi="仿宋" w:eastAsia="仿宋" w:cs="仿宋"/>
          <w:bCs/>
          <w:sz w:val="24"/>
          <w:szCs w:val="24"/>
        </w:rPr>
        <w:t>【</w:t>
      </w:r>
      <w:r>
        <w:rPr>
          <w:rFonts w:hint="eastAsia" w:ascii="仿宋" w:hAnsi="仿宋" w:eastAsia="仿宋" w:cs="仿宋"/>
          <w:bCs/>
          <w:sz w:val="24"/>
          <w:szCs w:val="24"/>
          <w:lang w:val="zh-CN"/>
        </w:rPr>
        <w:t>财库[2017]141号</w:t>
      </w:r>
      <w:r>
        <w:rPr>
          <w:rFonts w:hint="eastAsia" w:ascii="仿宋" w:hAnsi="仿宋" w:eastAsia="仿宋" w:cs="仿宋"/>
          <w:bCs/>
          <w:sz w:val="24"/>
          <w:szCs w:val="24"/>
        </w:rPr>
        <w:t>】</w:t>
      </w:r>
      <w:r>
        <w:rPr>
          <w:rFonts w:hint="eastAsia" w:ascii="仿宋" w:hAnsi="仿宋" w:eastAsia="仿宋" w:cs="仿宋"/>
          <w:sz w:val="24"/>
          <w:szCs w:val="24"/>
          <w:lang w:val="zh-CN"/>
        </w:rPr>
        <w:t>的相关规定：在政府采购活动中，残疾人福利性单位视同小型、微型企业，享受评审中价格扣除政策。属于享受政府采购支持政策的残疾人福利性单位，应满足</w:t>
      </w:r>
      <w:r>
        <w:rPr>
          <w:rFonts w:hint="eastAsia" w:ascii="仿宋" w:hAnsi="仿宋" w:eastAsia="仿宋" w:cs="仿宋"/>
          <w:bCs/>
          <w:sz w:val="24"/>
          <w:szCs w:val="24"/>
        </w:rPr>
        <w:t>【</w:t>
      </w:r>
      <w:r>
        <w:rPr>
          <w:rFonts w:hint="eastAsia" w:ascii="仿宋" w:hAnsi="仿宋" w:eastAsia="仿宋" w:cs="仿宋"/>
          <w:sz w:val="24"/>
          <w:szCs w:val="24"/>
          <w:lang w:val="zh-CN"/>
        </w:rPr>
        <w:t>财库[2017]141号</w:t>
      </w:r>
      <w:r>
        <w:rPr>
          <w:rFonts w:hint="eastAsia" w:ascii="仿宋" w:hAnsi="仿宋" w:eastAsia="仿宋" w:cs="仿宋"/>
          <w:bCs/>
          <w:sz w:val="24"/>
          <w:szCs w:val="24"/>
        </w:rPr>
        <w:t>】</w:t>
      </w:r>
      <w:r>
        <w:rPr>
          <w:rFonts w:hint="eastAsia" w:ascii="仿宋" w:hAnsi="仿宋" w:eastAsia="仿宋" w:cs="仿宋"/>
          <w:sz w:val="24"/>
          <w:szCs w:val="24"/>
          <w:lang w:val="zh-CN"/>
        </w:rPr>
        <w:t>文件第一条的规定，并在投标文件中提供残疾人福利性单位声明函（见附件相关规定）。</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）根据</w:t>
      </w:r>
      <w:r>
        <w:rPr>
          <w:rFonts w:hint="eastAsia" w:ascii="仿宋" w:hAnsi="仿宋" w:eastAsia="仿宋" w:cs="仿宋"/>
          <w:bCs/>
          <w:sz w:val="24"/>
          <w:szCs w:val="24"/>
        </w:rPr>
        <w:t>【</w:t>
      </w:r>
      <w:r>
        <w:rPr>
          <w:rFonts w:hint="eastAsia" w:ascii="仿宋" w:hAnsi="仿宋" w:eastAsia="仿宋" w:cs="仿宋"/>
          <w:sz w:val="24"/>
          <w:szCs w:val="24"/>
          <w:lang w:val="zh-CN"/>
        </w:rPr>
        <w:t>财库[2014]68号</w:t>
      </w:r>
      <w:r>
        <w:rPr>
          <w:rFonts w:hint="eastAsia" w:ascii="仿宋" w:hAnsi="仿宋" w:eastAsia="仿宋" w:cs="仿宋"/>
          <w:bCs/>
          <w:sz w:val="24"/>
          <w:szCs w:val="24"/>
        </w:rPr>
        <w:t>】</w:t>
      </w:r>
      <w:r>
        <w:rPr>
          <w:rFonts w:hint="eastAsia" w:ascii="仿宋" w:hAnsi="仿宋" w:eastAsia="仿宋" w:cs="仿宋"/>
          <w:sz w:val="24"/>
          <w:szCs w:val="24"/>
          <w:lang w:val="zh-CN"/>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上述内容详见附件相关规定。</w:t>
      </w:r>
    </w:p>
    <w:p>
      <w:pPr>
        <w:autoSpaceDE w:val="0"/>
        <w:autoSpaceDN w:val="0"/>
        <w:adjustRightInd w:val="0"/>
        <w:spacing w:line="360" w:lineRule="auto"/>
        <w:ind w:right="85" w:firstLine="480" w:firstLineChars="200"/>
        <w:rPr>
          <w:rFonts w:hint="eastAsia" w:ascii="仿宋" w:hAnsi="仿宋" w:eastAsia="仿宋" w:cs="仿宋"/>
          <w:color w:val="0000FF"/>
          <w:sz w:val="24"/>
          <w:szCs w:val="24"/>
          <w:lang w:val="zh-CN"/>
        </w:rPr>
      </w:pPr>
      <w:r>
        <w:rPr>
          <w:rFonts w:hint="eastAsia" w:ascii="仿宋" w:hAnsi="仿宋" w:eastAsia="仿宋" w:cs="仿宋"/>
          <w:color w:val="0000FF"/>
          <w:sz w:val="24"/>
          <w:szCs w:val="24"/>
          <w:lang w:val="zh-CN"/>
        </w:rPr>
        <w:t>（</w:t>
      </w:r>
      <w:r>
        <w:rPr>
          <w:rFonts w:hint="eastAsia" w:ascii="仿宋" w:hAnsi="仿宋" w:eastAsia="仿宋" w:cs="仿宋"/>
          <w:color w:val="0000FF"/>
          <w:sz w:val="24"/>
          <w:szCs w:val="24"/>
        </w:rPr>
        <w:t>3</w:t>
      </w:r>
      <w:r>
        <w:rPr>
          <w:rFonts w:hint="eastAsia" w:ascii="仿宋" w:hAnsi="仿宋" w:eastAsia="仿宋" w:cs="仿宋"/>
          <w:color w:val="0000FF"/>
          <w:sz w:val="24"/>
          <w:szCs w:val="24"/>
          <w:lang w:val="zh-CN"/>
        </w:rPr>
        <w:t>）本项目相关情况及执行的政策：</w:t>
      </w:r>
    </w:p>
    <w:p>
      <w:pPr>
        <w:autoSpaceDE w:val="0"/>
        <w:autoSpaceDN w:val="0"/>
        <w:adjustRightInd w:val="0"/>
        <w:spacing w:line="360" w:lineRule="auto"/>
        <w:ind w:right="85" w:firstLine="480" w:firstLineChars="200"/>
        <w:rPr>
          <w:rFonts w:hint="eastAsia" w:ascii="仿宋" w:hAnsi="仿宋" w:eastAsia="仿宋" w:cs="仿宋"/>
          <w:color w:val="0000FF"/>
          <w:sz w:val="24"/>
          <w:szCs w:val="24"/>
          <w:lang w:val="zh-CN"/>
        </w:rPr>
      </w:pPr>
      <w:sdt>
        <w:sdtPr>
          <w:rPr>
            <w:rFonts w:hint="eastAsia" w:ascii="仿宋" w:hAnsi="仿宋" w:eastAsia="仿宋" w:cs="仿宋"/>
            <w:sz w:val="24"/>
          </w:rPr>
          <w:id w:val="1174071719"/>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MS Gothic" w:hAnsi="MS Gothic" w:eastAsia="仿宋" w:cs="仿宋"/>
              <w:sz w:val="24"/>
              <w:szCs w:val="24"/>
              <w:lang w:val="en-US" w:eastAsia="zh-CN" w:bidi="ar-SA"/>
            </w:rPr>
            <w:t>☐</w:t>
          </w:r>
        </w:sdtContent>
      </w:sdt>
      <w:r>
        <w:rPr>
          <w:rFonts w:hint="eastAsia" w:ascii="仿宋" w:hAnsi="仿宋" w:eastAsia="仿宋" w:cs="仿宋"/>
          <w:color w:val="0000FF"/>
          <w:sz w:val="24"/>
          <w:szCs w:val="24"/>
          <w:lang w:val="zh-CN"/>
        </w:rPr>
        <w:t>本项目执行价格评审优惠的扶持政策。</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）节能产品、环境标志产品的强制采购政策</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）节能产品、环境标志产品的优先采购政策</w:t>
      </w:r>
    </w:p>
    <w:p>
      <w:pPr>
        <w:autoSpaceDE w:val="0"/>
        <w:autoSpaceDN w:val="0"/>
        <w:adjustRightInd w:val="0"/>
        <w:spacing w:line="360" w:lineRule="auto"/>
        <w:ind w:right="8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adjustRightInd w:val="0"/>
        <w:spacing w:line="360" w:lineRule="auto"/>
        <w:ind w:right="84" w:firstLine="472"/>
        <w:rPr>
          <w:rFonts w:hint="eastAsia" w:ascii="仿宋" w:hAnsi="仿宋" w:eastAsia="仿宋" w:cs="仿宋"/>
          <w:bCs/>
          <w:sz w:val="24"/>
          <w:szCs w:val="24"/>
          <w:lang w:val="zh-CN"/>
        </w:rPr>
      </w:pPr>
      <w:r>
        <w:rPr>
          <w:rFonts w:hint="eastAsia" w:ascii="仿宋" w:hAnsi="仿宋" w:eastAsia="仿宋" w:cs="仿宋"/>
          <w:sz w:val="24"/>
          <w:szCs w:val="24"/>
          <w:lang w:val="zh-CN"/>
        </w:rPr>
        <w:t>注：得分以系统计算为准，保留2位小数。</w:t>
      </w:r>
    </w:p>
    <w:p>
      <w:pPr>
        <w:autoSpaceDE w:val="0"/>
        <w:autoSpaceDN w:val="0"/>
        <w:spacing w:line="360" w:lineRule="auto"/>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五）本次评分具体分值细化条款如下表：</w:t>
      </w:r>
    </w:p>
    <w:tbl>
      <w:tblPr>
        <w:tblStyle w:val="39"/>
        <w:tblpPr w:leftFromText="180" w:rightFromText="180" w:vertAnchor="text" w:horzAnchor="page" w:tblpX="1773" w:tblpY="473"/>
        <w:tblW w:w="50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058"/>
        <w:gridCol w:w="684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88"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Cs/>
                <w:sz w:val="21"/>
                <w:szCs w:val="21"/>
                <w:highlight w:val="none"/>
              </w:rPr>
            </w:pPr>
            <w:r>
              <w:rPr>
                <w:rFonts w:hint="eastAsia" w:ascii="仿宋" w:hAnsi="仿宋" w:eastAsia="仿宋" w:cs="仿宋"/>
                <w:b/>
                <w:bCs/>
                <w:sz w:val="21"/>
                <w:szCs w:val="21"/>
                <w:highlight w:val="none"/>
                <w:shd w:val="clear" w:color="auto" w:fill="FFFFFF"/>
              </w:rPr>
              <w:t>评审内容</w:t>
            </w:r>
          </w:p>
        </w:tc>
        <w:tc>
          <w:tcPr>
            <w:tcW w:w="3804"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Cs/>
                <w:sz w:val="21"/>
                <w:szCs w:val="21"/>
                <w:highlight w:val="none"/>
              </w:rPr>
            </w:pPr>
            <w:r>
              <w:rPr>
                <w:rFonts w:hint="eastAsia" w:ascii="仿宋" w:hAnsi="仿宋" w:eastAsia="仿宋" w:cs="仿宋"/>
                <w:b/>
                <w:bCs/>
                <w:sz w:val="21"/>
                <w:szCs w:val="21"/>
                <w:highlight w:val="none"/>
                <w:shd w:val="clear" w:color="auto" w:fill="FFFFFF"/>
              </w:rPr>
              <w:t>评分标准</w:t>
            </w:r>
          </w:p>
        </w:tc>
        <w:tc>
          <w:tcPr>
            <w:tcW w:w="38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Cs/>
                <w:sz w:val="21"/>
                <w:szCs w:val="21"/>
                <w:highlight w:val="none"/>
              </w:rPr>
            </w:pPr>
            <w:r>
              <w:rPr>
                <w:rFonts w:hint="eastAsia" w:ascii="仿宋" w:hAnsi="仿宋" w:eastAsia="仿宋" w:cs="仿宋"/>
                <w:b/>
                <w:bCs/>
                <w:sz w:val="21"/>
                <w:szCs w:val="21"/>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商务资信（</w:t>
            </w: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r>
              <w:rPr>
                <w:rFonts w:hint="eastAsia" w:ascii="仿宋" w:hAnsi="仿宋" w:eastAsia="仿宋" w:cs="仿宋"/>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outlineLvl w:val="0"/>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企业实力</w:t>
            </w:r>
          </w:p>
          <w:p>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3804" w:type="pct"/>
            <w:vAlign w:val="top"/>
          </w:tcPr>
          <w:p>
            <w:pPr>
              <w:pStyle w:val="150"/>
              <w:keepNext w:val="0"/>
              <w:keepLines w:val="0"/>
              <w:framePr w:wrap="auto" w:vAnchor="margin" w:hAnchor="text" w:yAlign="inline"/>
              <w:suppressLineNumbers w:val="0"/>
              <w:spacing w:before="0" w:beforeAutospacing="0" w:after="0" w:afterAutospacing="0" w:line="320" w:lineRule="exac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投标人具有ISO9001质量管理体系认证证书得2分。</w:t>
            </w:r>
          </w:p>
          <w:p>
            <w:pPr>
              <w:pStyle w:val="150"/>
              <w:keepNext w:val="0"/>
              <w:keepLines w:val="0"/>
              <w:framePr w:wrap="auto" w:vAnchor="margin" w:hAnchor="text" w:yAlign="inline"/>
              <w:suppressLineNumbers w:val="0"/>
              <w:spacing w:before="0" w:beforeAutospacing="0" w:after="0" w:afterAutospacing="0" w:line="320" w:lineRule="exac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投标人具有DSMM数据安全能力成熟度模型等级三级及以上证书得2分。</w:t>
            </w:r>
          </w:p>
          <w:p>
            <w:pPr>
              <w:pStyle w:val="150"/>
              <w:keepNext w:val="0"/>
              <w:keepLines w:val="0"/>
              <w:framePr w:wrap="auto" w:vAnchor="margin" w:hAnchor="text" w:yAlign="inline"/>
              <w:suppressLineNumbers w:val="0"/>
              <w:spacing w:before="0" w:beforeAutospacing="0" w:after="0" w:afterAutospacing="0" w:line="320" w:lineRule="exact"/>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注：须提供以上证书（扫描件或复印件）加盖投标人公章，且在有效期内，未提供的对应项不得分。</w:t>
            </w:r>
          </w:p>
        </w:tc>
        <w:tc>
          <w:tcPr>
            <w:tcW w:w="383" w:type="pct"/>
            <w:vAlign w:val="center"/>
          </w:tcPr>
          <w:p>
            <w:pPr>
              <w:pStyle w:val="151"/>
              <w:keepNext w:val="0"/>
              <w:keepLines w:val="0"/>
              <w:framePr w:wrap="auto" w:vAnchor="margin" w:hAnchor="text" w:yAlign="inline"/>
              <w:suppressLineNumbers w:val="0"/>
              <w:spacing w:before="0" w:beforeAutospacing="0" w:after="0" w:afterAutospacing="0" w:line="320" w:lineRule="exac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sz w:val="21"/>
                <w:szCs w:val="21"/>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outlineLvl w:val="0"/>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类似业绩</w:t>
            </w:r>
          </w:p>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sz w:val="21"/>
                <w:szCs w:val="21"/>
                <w:highlight w:val="none"/>
              </w:rPr>
            </w:pPr>
          </w:p>
        </w:tc>
        <w:tc>
          <w:tcPr>
            <w:tcW w:w="3804" w:type="pct"/>
            <w:vAlign w:val="center"/>
          </w:tcPr>
          <w:p>
            <w:pPr>
              <w:pStyle w:val="150"/>
              <w:keepNext w:val="0"/>
              <w:keepLines w:val="0"/>
              <w:framePr w:wrap="auto" w:vAnchor="margin" w:hAnchor="text" w:yAlign="inline"/>
              <w:suppressLineNumbers w:val="0"/>
              <w:spacing w:before="0" w:beforeAutospacing="0" w:after="0" w:afterAutospacing="0" w:line="320" w:lineRule="exact"/>
              <w:ind w:left="0" w:right="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TW" w:eastAsia="zh-TW" w:bidi="ar-SA"/>
                <w14:textFill>
                  <w14:solidFill>
                    <w14:schemeClr w14:val="tx1"/>
                  </w14:solidFill>
                </w14:textFill>
              </w:rPr>
              <w:t>投标人自20</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21</w:t>
            </w:r>
            <w:r>
              <w:rPr>
                <w:rFonts w:hint="eastAsia" w:ascii="仿宋" w:hAnsi="仿宋" w:eastAsia="仿宋" w:cs="仿宋"/>
                <w:color w:val="000000" w:themeColor="text1"/>
                <w:kern w:val="2"/>
                <w:sz w:val="21"/>
                <w:szCs w:val="21"/>
                <w:highlight w:val="none"/>
                <w:lang w:val="zh-TW" w:eastAsia="zh-TW" w:bidi="ar-SA"/>
                <w14:textFill>
                  <w14:solidFill>
                    <w14:schemeClr w14:val="tx1"/>
                  </w14:solidFill>
                </w14:textFill>
              </w:rPr>
              <w:t>年</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11</w:t>
            </w:r>
            <w:r>
              <w:rPr>
                <w:rFonts w:hint="eastAsia" w:ascii="仿宋" w:hAnsi="仿宋" w:eastAsia="仿宋" w:cs="仿宋"/>
                <w:color w:val="000000" w:themeColor="text1"/>
                <w:kern w:val="2"/>
                <w:sz w:val="21"/>
                <w:szCs w:val="21"/>
                <w:highlight w:val="none"/>
                <w:lang w:val="zh-TW" w:eastAsia="zh-TW" w:bidi="ar-SA"/>
                <w14:textFill>
                  <w14:solidFill>
                    <w14:schemeClr w14:val="tx1"/>
                  </w14:solidFill>
                </w14:textFill>
              </w:rPr>
              <w:t>月1日以来（以合同签订时间为准）承接过类似</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信息化建设</w:t>
            </w:r>
            <w:r>
              <w:rPr>
                <w:rFonts w:hint="eastAsia" w:ascii="仿宋" w:hAnsi="仿宋" w:eastAsia="仿宋" w:cs="仿宋"/>
                <w:color w:val="000000" w:themeColor="text1"/>
                <w:kern w:val="2"/>
                <w:sz w:val="21"/>
                <w:szCs w:val="21"/>
                <w:highlight w:val="none"/>
                <w:lang w:val="zh-TW" w:eastAsia="zh-TW" w:bidi="ar-SA"/>
                <w14:textFill>
                  <w14:solidFill>
                    <w14:schemeClr w14:val="tx1"/>
                  </w14:solidFill>
                </w14:textFill>
              </w:rPr>
              <w:t>项目业绩</w:t>
            </w:r>
            <w:r>
              <w:rPr>
                <w:rFonts w:hint="eastAsia" w:ascii="仿宋" w:hAnsi="仿宋" w:eastAsia="仿宋" w:cs="仿宋"/>
                <w:color w:val="000000" w:themeColor="text1"/>
                <w:kern w:val="2"/>
                <w:sz w:val="21"/>
                <w:szCs w:val="21"/>
                <w:highlight w:val="none"/>
                <w:lang w:val="zh-TW" w:eastAsia="zh-CN" w:bidi="ar-SA"/>
                <w14:textFill>
                  <w14:solidFill>
                    <w14:schemeClr w14:val="tx1"/>
                  </w14:solidFill>
                </w14:textFill>
              </w:rPr>
              <w:t>，</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每个得1分，最高得3分。</w:t>
            </w:r>
          </w:p>
          <w:p>
            <w:pPr>
              <w:pStyle w:val="150"/>
              <w:keepNext w:val="0"/>
              <w:keepLines w:val="0"/>
              <w:framePr w:wrap="auto" w:vAnchor="margin" w:hAnchor="text" w:yAlign="inline"/>
              <w:suppressLineNumbers w:val="0"/>
              <w:spacing w:before="0" w:beforeAutospacing="0" w:after="0" w:afterAutospacing="0" w:line="320" w:lineRule="exact"/>
              <w:ind w:left="0" w:right="0"/>
              <w:rPr>
                <w:rFonts w:hint="eastAsia" w:ascii="仿宋" w:hAnsi="仿宋" w:eastAsia="仿宋" w:cs="仿宋"/>
                <w:color w:val="000000"/>
                <w:sz w:val="21"/>
                <w:szCs w:val="21"/>
                <w:lang w:val="en-US" w:eastAsia="zh-CN"/>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（须提供合同复印件并加盖投标人公章，不提供或</w:t>
            </w:r>
            <w:r>
              <w:rPr>
                <w:rFonts w:hint="eastAsia" w:ascii="仿宋" w:hAnsi="仿宋" w:eastAsia="仿宋" w:cs="仿宋"/>
                <w:color w:val="000000"/>
                <w:kern w:val="2"/>
                <w:sz w:val="21"/>
                <w:szCs w:val="21"/>
                <w:lang w:val="en-US" w:eastAsia="zh-CN" w:bidi="ar-SA"/>
              </w:rPr>
              <w:t>未按要求</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提供的不得分）</w:t>
            </w:r>
          </w:p>
        </w:tc>
        <w:tc>
          <w:tcPr>
            <w:tcW w:w="383" w:type="pct"/>
            <w:vAlign w:val="center"/>
          </w:tcPr>
          <w:p>
            <w:pPr>
              <w:pStyle w:val="151"/>
              <w:keepNext w:val="0"/>
              <w:keepLines w:val="0"/>
              <w:framePr w:wrap="auto" w:vAnchor="margin" w:hAnchor="text" w:yAlign="inline"/>
              <w:suppressLineNumbers w:val="0"/>
              <w:spacing w:before="0" w:beforeAutospacing="0" w:after="0" w:afterAutospacing="0" w:line="320" w:lineRule="exact"/>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sz w:val="21"/>
                <w:szCs w:val="21"/>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4" w:type="pct"/>
            <w:vMerge w:val="restart"/>
            <w:vAlign w:val="center"/>
          </w:tcPr>
          <w:p>
            <w:pPr>
              <w:keepNext w:val="0"/>
              <w:keepLines w:val="0"/>
              <w:widowControl/>
              <w:numPr>
                <w:ilvl w:val="0"/>
                <w:numId w:val="13"/>
              </w:numPr>
              <w:suppressLineNumbers w:val="0"/>
              <w:spacing w:before="0" w:beforeAutospacing="0" w:after="0" w:afterAutospacing="0"/>
              <w:ind w:right="0"/>
              <w:jc w:val="center"/>
              <w:outlineLvl w:val="0"/>
              <w:rPr>
                <w:rFonts w:hint="eastAsia" w:ascii="仿宋" w:hAnsi="仿宋" w:eastAsia="仿宋" w:cs="仿宋"/>
                <w:sz w:val="21"/>
                <w:szCs w:val="21"/>
                <w:highlight w:val="none"/>
              </w:rPr>
            </w:pPr>
          </w:p>
        </w:tc>
        <w:tc>
          <w:tcPr>
            <w:tcW w:w="588" w:type="pct"/>
            <w:vMerge w:val="restar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sz w:val="21"/>
                <w:szCs w:val="21"/>
                <w:highlight w:val="none"/>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投标人项目团队人员要求</w:t>
            </w:r>
          </w:p>
        </w:tc>
        <w:tc>
          <w:tcPr>
            <w:tcW w:w="3804" w:type="pct"/>
            <w:vAlign w:val="center"/>
          </w:tcPr>
          <w:p>
            <w:pPr>
              <w:pStyle w:val="150"/>
              <w:keepNext w:val="0"/>
              <w:keepLines w:val="0"/>
              <w:framePr w:wrap="auto" w:vAnchor="margin" w:hAnchor="text" w:yAlign="inline"/>
              <w:numPr>
                <w:ilvl w:val="0"/>
                <w:numId w:val="14"/>
              </w:numPr>
              <w:suppressLineNumbers w:val="0"/>
              <w:spacing w:before="0" w:beforeAutospacing="0" w:after="0" w:afterAutospacing="0" w:line="320" w:lineRule="exact"/>
              <w:ind w:left="0" w:right="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项目负责人：同时具有信息系统项目管理师(高级）和注册信息安全工程师证书的得4分，没有不得分。</w:t>
            </w:r>
          </w:p>
          <w:p>
            <w:pPr>
              <w:pStyle w:val="150"/>
              <w:keepNext w:val="0"/>
              <w:keepLines w:val="0"/>
              <w:framePr w:wrap="auto" w:vAnchor="margin" w:hAnchor="text" w:yAlign="inline"/>
              <w:numPr>
                <w:ilvl w:val="0"/>
                <w:numId w:val="0"/>
              </w:numPr>
              <w:suppressLineNumbers w:val="0"/>
              <w:spacing w:before="0" w:beforeAutospacing="0" w:after="0" w:afterAutospacing="0" w:line="320" w:lineRule="exact"/>
              <w:ind w:left="0" w:right="0"/>
              <w:jc w:val="left"/>
              <w:rPr>
                <w:rFonts w:hint="eastAsia" w:ascii="仿宋" w:hAnsi="仿宋" w:eastAsia="仿宋" w:cs="仿宋"/>
                <w:color w:val="000000"/>
                <w:kern w:val="2"/>
                <w:sz w:val="21"/>
                <w:szCs w:val="21"/>
                <w:lang w:val="zh-TW" w:eastAsia="zh-TW" w:bidi="ar-SA"/>
              </w:rPr>
            </w:pPr>
            <w:r>
              <w:rPr>
                <w:rFonts w:hint="eastAsia" w:ascii="仿宋" w:hAnsi="仿宋" w:eastAsia="仿宋" w:cs="仿宋"/>
                <w:color w:val="000000"/>
                <w:kern w:val="2"/>
                <w:sz w:val="21"/>
                <w:szCs w:val="21"/>
                <w:lang w:val="en-US" w:eastAsia="zh-CN" w:bidi="ar-SA"/>
              </w:rPr>
              <w:t>（须提供相应的证书复印件和投标截止日近3月任一月社保证明的复印件并加盖投标人公章，社保缴纳单位必须与投标人单位名称一致，未提供或未按要求提供的不得分）</w:t>
            </w:r>
          </w:p>
        </w:tc>
        <w:tc>
          <w:tcPr>
            <w:tcW w:w="383" w:type="pct"/>
            <w:vAlign w:val="center"/>
          </w:tcPr>
          <w:p>
            <w:pPr>
              <w:pStyle w:val="151"/>
              <w:keepNext w:val="0"/>
              <w:keepLines w:val="0"/>
              <w:framePr w:wrap="auto" w:vAnchor="margin" w:hAnchor="text" w:yAlign="inline"/>
              <w:suppressLineNumbers w:val="0"/>
              <w:spacing w:before="0" w:beforeAutospacing="0" w:after="0" w:afterAutospacing="0" w:line="3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4" w:type="pct"/>
            <w:vMerge w:val="continue"/>
            <w:vAlign w:val="center"/>
          </w:tcPr>
          <w:p>
            <w:pPr>
              <w:pStyle w:val="151"/>
              <w:keepNext w:val="0"/>
              <w:keepLines w:val="0"/>
              <w:framePr w:wrap="auto" w:vAnchor="margin" w:hAnchor="text" w:yAlign="inline"/>
              <w:suppressLineNumbers w:val="0"/>
              <w:spacing w:before="0" w:beforeAutospacing="0" w:after="0" w:afterAutospacing="0" w:line="320" w:lineRule="exact"/>
              <w:ind w:left="0" w:right="0"/>
              <w:jc w:val="center"/>
              <w:rPr>
                <w:rFonts w:hint="eastAsia" w:ascii="仿宋" w:hAnsi="仿宋" w:eastAsia="仿宋" w:cs="仿宋"/>
                <w:color w:val="000000"/>
                <w:sz w:val="21"/>
                <w:szCs w:val="21"/>
                <w:lang w:val="zh-TW" w:eastAsia="zh-TW"/>
              </w:rPr>
            </w:pPr>
          </w:p>
        </w:tc>
        <w:tc>
          <w:tcPr>
            <w:tcW w:w="588" w:type="pct"/>
            <w:vMerge w:val="continue"/>
            <w:vAlign w:val="center"/>
          </w:tcPr>
          <w:p>
            <w:pPr>
              <w:pStyle w:val="151"/>
              <w:keepNext w:val="0"/>
              <w:keepLines w:val="0"/>
              <w:framePr w:wrap="auto" w:vAnchor="margin" w:hAnchor="text" w:yAlign="inline"/>
              <w:suppressLineNumbers w:val="0"/>
              <w:spacing w:before="0" w:beforeAutospacing="0" w:after="0" w:afterAutospacing="0" w:line="320" w:lineRule="exact"/>
              <w:ind w:left="0" w:right="0"/>
              <w:jc w:val="center"/>
              <w:rPr>
                <w:rFonts w:hint="eastAsia" w:ascii="仿宋" w:hAnsi="仿宋" w:eastAsia="仿宋" w:cs="仿宋"/>
                <w:color w:val="000000"/>
                <w:sz w:val="21"/>
                <w:szCs w:val="21"/>
                <w:lang w:val="zh-TW" w:eastAsia="zh-TW"/>
              </w:rPr>
            </w:pPr>
          </w:p>
        </w:tc>
        <w:tc>
          <w:tcPr>
            <w:tcW w:w="3804" w:type="pct"/>
            <w:vAlign w:val="center"/>
          </w:tcPr>
          <w:p>
            <w:pPr>
              <w:pStyle w:val="151"/>
              <w:keepNext w:val="0"/>
              <w:keepLines w:val="0"/>
              <w:framePr w:wrap="auto" w:vAnchor="margin" w:hAnchor="text" w:yAlign="inline"/>
              <w:numPr>
                <w:ilvl w:val="0"/>
                <w:numId w:val="0"/>
              </w:numPr>
              <w:suppressLineNumbers w:val="0"/>
              <w:spacing w:before="0" w:beforeAutospacing="0" w:after="0" w:afterAutospacing="0" w:line="320" w:lineRule="exact"/>
              <w:ind w:left="0" w:leftChars="0" w:right="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2、项目团队成员具备专业研发实施管理能力：</w:t>
            </w:r>
          </w:p>
          <w:p>
            <w:pPr>
              <w:keepNext w:val="0"/>
              <w:keepLines w:val="0"/>
              <w:widowControl/>
              <w:suppressLineNumbers w:val="0"/>
              <w:spacing w:before="0" w:beforeAutospacing="0" w:after="0" w:afterAutospacing="0" w:line="360" w:lineRule="exact"/>
              <w:ind w:left="0" w:right="0"/>
              <w:rPr>
                <w:rFonts w:hint="eastAsia" w:ascii="仿宋" w:hAnsi="仿宋" w:eastAsia="仿宋" w:cs="仿宋"/>
                <w:color w:val="000000"/>
                <w:kern w:val="2"/>
                <w:sz w:val="21"/>
                <w:szCs w:val="21"/>
                <w:u w:color="000000"/>
                <w:lang w:val="en-US" w:eastAsia="zh-CN" w:bidi="ar-SA"/>
              </w:rPr>
            </w:pPr>
            <w:r>
              <w:rPr>
                <w:rFonts w:hint="eastAsia" w:ascii="仿宋" w:hAnsi="仿宋" w:eastAsia="仿宋" w:cs="仿宋"/>
                <w:color w:val="000000"/>
                <w:kern w:val="2"/>
                <w:sz w:val="21"/>
                <w:szCs w:val="21"/>
                <w:u w:color="000000"/>
                <w:lang w:val="en-US" w:eastAsia="zh-CN" w:bidi="ar-SA"/>
              </w:rPr>
              <w:t>(1)具有人社部门颁发的软件设计师证书，每人得2分，最高得2分；</w:t>
            </w:r>
          </w:p>
          <w:p>
            <w:pPr>
              <w:keepNext w:val="0"/>
              <w:keepLines w:val="0"/>
              <w:widowControl/>
              <w:suppressLineNumbers w:val="0"/>
              <w:spacing w:before="0" w:beforeAutospacing="0" w:after="0" w:afterAutospacing="0" w:line="360" w:lineRule="exact"/>
              <w:ind w:left="0" w:right="0"/>
              <w:rPr>
                <w:rFonts w:hint="eastAsia" w:ascii="仿宋" w:hAnsi="仿宋" w:eastAsia="仿宋" w:cs="仿宋"/>
                <w:color w:val="000000"/>
                <w:kern w:val="2"/>
                <w:sz w:val="21"/>
                <w:szCs w:val="21"/>
                <w:u w:color="000000"/>
                <w:lang w:val="en-US" w:eastAsia="zh-CN" w:bidi="ar-SA"/>
              </w:rPr>
            </w:pPr>
            <w:r>
              <w:rPr>
                <w:rFonts w:hint="eastAsia" w:ascii="仿宋" w:hAnsi="仿宋" w:eastAsia="仿宋" w:cs="仿宋"/>
                <w:color w:val="000000"/>
                <w:kern w:val="2"/>
                <w:sz w:val="21"/>
                <w:szCs w:val="21"/>
                <w:u w:color="000000"/>
                <w:lang w:val="en-US" w:eastAsia="zh-CN" w:bidi="ar-SA"/>
              </w:rPr>
              <w:t>(2)具有人社部门颁发的数据库系统工程师证书，每人得2分，最高得4分。</w:t>
            </w:r>
          </w:p>
          <w:p>
            <w:pPr>
              <w:pStyle w:val="151"/>
              <w:keepNext w:val="0"/>
              <w:keepLines w:val="0"/>
              <w:framePr w:wrap="auto" w:vAnchor="margin" w:hAnchor="text" w:yAlign="inline"/>
              <w:numPr>
                <w:ilvl w:val="0"/>
                <w:numId w:val="0"/>
              </w:numPr>
              <w:suppressLineNumbers w:val="0"/>
              <w:spacing w:before="0" w:beforeAutospacing="0" w:after="0" w:afterAutospacing="0" w:line="320" w:lineRule="exact"/>
              <w:ind w:left="0" w:leftChars="0" w:right="0"/>
              <w:jc w:val="left"/>
              <w:rPr>
                <w:rFonts w:hint="eastAsia" w:ascii="仿宋" w:hAnsi="仿宋" w:eastAsia="仿宋" w:cs="仿宋"/>
                <w:color w:val="000000"/>
                <w:kern w:val="2"/>
                <w:sz w:val="21"/>
                <w:szCs w:val="21"/>
                <w:lang w:val="zh-TW" w:eastAsia="zh-TW" w:bidi="ar-SA"/>
              </w:rPr>
            </w:pPr>
            <w:r>
              <w:rPr>
                <w:rFonts w:hint="eastAsia" w:ascii="仿宋" w:hAnsi="仿宋" w:eastAsia="仿宋" w:cs="仿宋"/>
                <w:color w:val="000000"/>
                <w:kern w:val="2"/>
                <w:sz w:val="21"/>
                <w:szCs w:val="21"/>
                <w:lang w:val="en-US" w:eastAsia="zh-CN" w:bidi="ar-SA"/>
              </w:rPr>
              <w:t>一人有多项证书的，只按一次得分。（须提供相应的证书复印件和投标截止日近3月任一月社保证明的复印件并加盖投标人公章，社保缴纳单位必须与投标人单位名称一致，未提供或未按要求提供的不得分）</w:t>
            </w:r>
          </w:p>
        </w:tc>
        <w:tc>
          <w:tcPr>
            <w:tcW w:w="383" w:type="pct"/>
            <w:vAlign w:val="center"/>
          </w:tcPr>
          <w:p>
            <w:pPr>
              <w:pStyle w:val="151"/>
              <w:keepNext w:val="0"/>
              <w:keepLines w:val="0"/>
              <w:framePr w:wrap="auto" w:vAnchor="margin" w:hAnchor="text" w:yAlign="inline"/>
              <w:suppressLineNumbers w:val="0"/>
              <w:spacing w:before="0" w:beforeAutospacing="0" w:after="0" w:afterAutospacing="0" w:line="320" w:lineRule="exact"/>
              <w:ind w:left="0" w:right="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商务技术（</w:t>
            </w:r>
            <w:r>
              <w:rPr>
                <w:rFonts w:hint="eastAsia" w:ascii="仿宋" w:hAnsi="仿宋" w:eastAsia="仿宋" w:cs="仿宋"/>
                <w:color w:val="000000" w:themeColor="text1"/>
                <w:sz w:val="21"/>
                <w:szCs w:val="21"/>
                <w:highlight w:val="none"/>
                <w:lang w:val="en-US" w:eastAsia="zh-CN"/>
                <w14:textFill>
                  <w14:solidFill>
                    <w14:schemeClr w14:val="tx1"/>
                  </w14:solidFill>
                </w14:textFill>
              </w:rPr>
              <w:t>53</w:t>
            </w:r>
            <w:r>
              <w:rPr>
                <w:rFonts w:hint="eastAsia" w:ascii="仿宋" w:hAnsi="仿宋" w:eastAsia="仿宋" w:cs="仿宋"/>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技术性能</w:t>
            </w:r>
            <w:r>
              <w:rPr>
                <w:rFonts w:hint="eastAsia" w:ascii="仿宋" w:hAnsi="仿宋" w:eastAsia="仿宋" w:cs="仿宋"/>
                <w:b/>
                <w:color w:val="000000" w:themeColor="text1"/>
                <w:sz w:val="21"/>
                <w:szCs w:val="21"/>
                <w:highlight w:val="none"/>
                <w14:textFill>
                  <w14:solidFill>
                    <w14:schemeClr w14:val="tx1"/>
                  </w14:solidFill>
                </w14:textFill>
              </w:rPr>
              <w:t>响应程度</w:t>
            </w:r>
          </w:p>
        </w:tc>
        <w:tc>
          <w:tcPr>
            <w:tcW w:w="3804" w:type="pct"/>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000000"/>
                <w:kern w:val="2"/>
                <w:sz w:val="21"/>
                <w:szCs w:val="21"/>
                <w:u w:color="000000"/>
                <w:lang w:val="en-US" w:eastAsia="zh-CN" w:bidi="ar-SA"/>
              </w:rPr>
            </w:pPr>
            <w:r>
              <w:rPr>
                <w:rFonts w:hint="eastAsia" w:ascii="仿宋" w:hAnsi="仿宋" w:eastAsia="仿宋" w:cs="仿宋"/>
                <w:color w:val="000000"/>
                <w:kern w:val="2"/>
                <w:sz w:val="21"/>
                <w:szCs w:val="21"/>
                <w:u w:color="000000"/>
                <w:lang w:val="en-US" w:eastAsia="zh-CN" w:bidi="ar-SA"/>
              </w:rPr>
              <w:t>投标供应商须对应招标文件“第四部分招标需求逐条逐项做出投标响应。根据所投产品性能优越性和响应偏离情况进行打分。全部响应满分20分。技术指标中带“★”为核心指标，不满足或负偏离1项扣2分；其他技术指标不满足或负偏离1项扣1分，扣完为止。</w:t>
            </w:r>
          </w:p>
          <w:p>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sz w:val="20"/>
                <w:szCs w:val="20"/>
              </w:rPr>
            </w:pPr>
            <w:r>
              <w:rPr>
                <w:rFonts w:hint="eastAsia" w:ascii="仿宋" w:hAnsi="仿宋" w:eastAsia="仿宋" w:cs="仿宋"/>
                <w:color w:val="000000"/>
                <w:kern w:val="2"/>
                <w:sz w:val="21"/>
                <w:szCs w:val="21"/>
                <w:u w:color="000000"/>
                <w:lang w:val="en-US" w:eastAsia="zh-CN" w:bidi="ar-SA"/>
              </w:rPr>
              <w:t>注：技术参数中要求提供证明文件的，投标文件中必须按要求提供，否则视为技术参数负偏离。</w:t>
            </w:r>
          </w:p>
        </w:tc>
        <w:tc>
          <w:tcPr>
            <w:tcW w:w="383" w:type="pct"/>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技术方案</w:t>
            </w:r>
          </w:p>
        </w:tc>
        <w:tc>
          <w:tcPr>
            <w:tcW w:w="3804" w:type="pct"/>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根据投标人提供的技术方案的科学性、与采购方实际需求的匹配程度和可扩展性，数据迁移方案等进行打分。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①思路清晰，内容重点突出、需求分析针对性强的得4-6分；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②思路基本清晰，内容基本完整，基本符合用户需求的得2-3.9分；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③思路不清晰，内容简单粗糙的得0.5-1.9分；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没有内容的本项不得分。</w:t>
            </w:r>
          </w:p>
        </w:tc>
        <w:tc>
          <w:tcPr>
            <w:tcW w:w="38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组织实施方案</w:t>
            </w:r>
          </w:p>
        </w:tc>
        <w:tc>
          <w:tcPr>
            <w:tcW w:w="3804" w:type="pct"/>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组织实施方案的科学性、合理性、规范性和可操作性程度； 项目组织是否机构健全、职责明确、人员设备软件等配备充分；实施进度是否清晰、准确、完整，关键节点的控制措施是否有力、合理、可行；质量管理制度是否健全，制度完善，质量规格能否符合技术要求规定，是否有完善项目开发质量保证体系和措施。</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①组织实施方案清晰、合理、完整的，得4-6分；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②组织实施方案较清晰、较合理、较完整的，得2-3.9分；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③组织实施方案不清晰、不合理、不完整的，得0.5-1.9分；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bidi="ar-SA"/>
              </w:rPr>
              <w:t>没有内容的本项不得分。</w:t>
            </w:r>
          </w:p>
        </w:tc>
        <w:tc>
          <w:tcPr>
            <w:tcW w:w="383"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4" w:type="pct"/>
            <w:vMerge w:val="restart"/>
            <w:vAlign w:val="center"/>
          </w:tcPr>
          <w:p>
            <w:pPr>
              <w:keepNext w:val="0"/>
              <w:keepLines w:val="0"/>
              <w:widowControl/>
              <w:numPr>
                <w:ilvl w:val="0"/>
                <w:numId w:val="13"/>
              </w:numPr>
              <w:suppressLineNumbers w:val="0"/>
              <w:spacing w:before="0" w:beforeAutospacing="0" w:after="0" w:afterAutospacing="0"/>
              <w:ind w:right="0"/>
              <w:jc w:val="center"/>
              <w:rPr>
                <w:rFonts w:hint="eastAsia" w:ascii="仿宋" w:hAnsi="仿宋" w:eastAsia="仿宋" w:cs="仿宋"/>
                <w:sz w:val="21"/>
                <w:szCs w:val="21"/>
                <w:highlight w:val="none"/>
              </w:rPr>
            </w:pPr>
          </w:p>
        </w:tc>
        <w:tc>
          <w:tcPr>
            <w:tcW w:w="588" w:type="pct"/>
            <w:vMerge w:val="restar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21"/>
                <w:szCs w:val="21"/>
                <w:highlight w:val="none"/>
                <w:lang w:bidi="ar"/>
              </w:rPr>
            </w:pPr>
            <w:r>
              <w:rPr>
                <w:rFonts w:hint="eastAsia" w:ascii="仿宋" w:hAnsi="仿宋" w:eastAsia="仿宋" w:cs="仿宋"/>
                <w:b/>
                <w:bCs/>
                <w:color w:val="000000"/>
                <w:kern w:val="0"/>
                <w:sz w:val="21"/>
                <w:szCs w:val="21"/>
                <w:highlight w:val="none"/>
                <w:lang w:val="en-US" w:eastAsia="zh-CN" w:bidi="ar"/>
              </w:rPr>
              <w:t>售后服务方案</w:t>
            </w:r>
          </w:p>
        </w:tc>
        <w:tc>
          <w:tcPr>
            <w:tcW w:w="3804" w:type="pct"/>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售后服务方案情况：包括售后服务的承诺情况以及服务承诺落实的保障措施，维护期内外的后续技术支持和维护能力情况等进行打分。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服务方案全面、后续技术保障措施合理有效的得</w:t>
            </w:r>
            <w:r>
              <w:rPr>
                <w:rFonts w:hint="eastAsia" w:ascii="仿宋" w:hAnsi="仿宋" w:eastAsia="仿宋" w:cs="仿宋"/>
                <w:sz w:val="21"/>
                <w:szCs w:val="21"/>
                <w:lang w:val="en-US" w:eastAsia="zh-CN" w:bidi="ar-SA"/>
              </w:rPr>
              <w:t>4-5</w:t>
            </w:r>
            <w:r>
              <w:rPr>
                <w:rFonts w:hint="eastAsia" w:ascii="仿宋" w:hAnsi="仿宋" w:eastAsia="仿宋" w:cs="仿宋"/>
                <w:color w:val="000000"/>
                <w:sz w:val="21"/>
                <w:szCs w:val="21"/>
                <w:highlight w:val="none"/>
                <w:lang w:val="en-US" w:eastAsia="zh-CN"/>
              </w:rPr>
              <w:t>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服务方案阐述较详尽，后续技术保障措施有欠缺的得</w:t>
            </w:r>
            <w:r>
              <w:rPr>
                <w:rFonts w:hint="eastAsia" w:ascii="仿宋" w:hAnsi="仿宋" w:eastAsia="仿宋" w:cs="仿宋"/>
                <w:sz w:val="21"/>
                <w:szCs w:val="21"/>
                <w:lang w:val="en-US" w:eastAsia="zh-CN" w:bidi="ar-SA"/>
              </w:rPr>
              <w:t>2-3.9</w:t>
            </w:r>
            <w:r>
              <w:rPr>
                <w:rFonts w:hint="eastAsia" w:ascii="仿宋" w:hAnsi="仿宋" w:eastAsia="仿宋" w:cs="仿宋"/>
                <w:color w:val="000000"/>
                <w:sz w:val="21"/>
                <w:szCs w:val="21"/>
                <w:highlight w:val="none"/>
                <w:lang w:val="en-US" w:eastAsia="zh-CN"/>
              </w:rPr>
              <w:t>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服务方案阐述简单，后续保障欠缺较差的得</w:t>
            </w:r>
            <w:r>
              <w:rPr>
                <w:rFonts w:hint="eastAsia" w:ascii="仿宋" w:hAnsi="仿宋" w:eastAsia="仿宋" w:cs="仿宋"/>
                <w:sz w:val="21"/>
                <w:szCs w:val="21"/>
                <w:lang w:val="en-US" w:eastAsia="zh-CN" w:bidi="ar-SA"/>
              </w:rPr>
              <w:t>0.5-1.9分</w:t>
            </w:r>
          </w:p>
          <w:p>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1"/>
                <w:szCs w:val="21"/>
                <w:highlight w:val="none"/>
                <w:lang w:eastAsia="zh-CN" w:bidi="ar"/>
              </w:rPr>
            </w:pPr>
            <w:r>
              <w:rPr>
                <w:rFonts w:hint="eastAsia" w:ascii="仿宋" w:hAnsi="仿宋" w:eastAsia="仿宋" w:cs="仿宋"/>
                <w:color w:val="000000"/>
                <w:sz w:val="21"/>
                <w:szCs w:val="21"/>
                <w:highlight w:val="none"/>
                <w:lang w:val="en-US" w:eastAsia="zh-CN"/>
              </w:rPr>
              <w:t>未提及此项不得分。</w:t>
            </w:r>
          </w:p>
        </w:tc>
        <w:tc>
          <w:tcPr>
            <w:tcW w:w="383"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0"/>
                <w:szCs w:val="20"/>
              </w:rPr>
            </w:pPr>
          </w:p>
        </w:tc>
        <w:tc>
          <w:tcPr>
            <w:tcW w:w="58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0"/>
                <w:szCs w:val="20"/>
              </w:rPr>
            </w:pPr>
          </w:p>
        </w:tc>
        <w:tc>
          <w:tcPr>
            <w:tcW w:w="3804" w:type="pct"/>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售后服务响应速度能否满足采购人快速响应要求：</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售后服务人员能在1小时内到达采购人现场得3分；售后服务人员能在2小时内到达采购人现场得2分；售后服务人员能在4小时内到达采购人现场得1分，其他情况、未提供或不满足：0分 （提供承诺书）</w:t>
            </w:r>
          </w:p>
        </w:tc>
        <w:tc>
          <w:tcPr>
            <w:tcW w:w="383"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lang w:val="en-US" w:eastAsia="zh-CN"/>
              </w:rPr>
            </w:pPr>
          </w:p>
        </w:tc>
        <w:tc>
          <w:tcPr>
            <w:tcW w:w="588"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lang w:val="en-US" w:eastAsia="zh-CN"/>
              </w:rPr>
            </w:pPr>
          </w:p>
        </w:tc>
        <w:tc>
          <w:tcPr>
            <w:tcW w:w="3804" w:type="pct"/>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投标人根据本项目维保设备的备品备件响应情况：备品备件覆盖所有产品、半小时内响应、1小时内到达采购人现场得4分；备品备件覆盖部分产品、半小时内响应、 1小时内到达采购人现场得2分；备品备件覆盖部分产品、半小时内响应、 2小时内到达采购人现场得1分，其他情况或无备品备件服务0分；最高得2分。</w:t>
            </w:r>
          </w:p>
        </w:tc>
        <w:tc>
          <w:tcPr>
            <w:tcW w:w="383" w:type="pct"/>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b/>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kern w:val="0"/>
                <w:sz w:val="21"/>
                <w:szCs w:val="21"/>
                <w:highlight w:val="none"/>
                <w:lang w:val="en-US" w:eastAsia="zh-CN" w:bidi="ar"/>
              </w:rPr>
              <w:t>应急方案</w:t>
            </w:r>
          </w:p>
        </w:tc>
        <w:tc>
          <w:tcPr>
            <w:tcW w:w="3804" w:type="pct"/>
            <w:vAlign w:val="top"/>
          </w:tcPr>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根据投标人提供的应急方案（包括</w:t>
            </w:r>
            <w:r>
              <w:rPr>
                <w:rFonts w:hint="eastAsia" w:ascii="仿宋" w:hAnsi="仿宋" w:eastAsia="仿宋" w:cs="仿宋"/>
                <w:color w:val="000000"/>
                <w:sz w:val="21"/>
                <w:szCs w:val="21"/>
                <w:highlight w:val="none"/>
                <w:lang w:val="zh-CN" w:eastAsia="zh-CN"/>
              </w:rPr>
              <w:t>服务保障应急预案、对可能遇到的问题及其应对措施的考虑、故障处理的组织和联系机制</w:t>
            </w:r>
            <w:r>
              <w:rPr>
                <w:rFonts w:hint="eastAsia" w:ascii="仿宋" w:hAnsi="仿宋" w:eastAsia="仿宋" w:cs="仿宋"/>
                <w:color w:val="000000"/>
                <w:sz w:val="21"/>
                <w:szCs w:val="21"/>
                <w:highlight w:val="none"/>
                <w:lang w:val="en-US" w:eastAsia="zh-CN"/>
              </w:rPr>
              <w:t>）进行综合打分：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①方案详实、内容完整、操作性强的得</w:t>
            </w:r>
            <w:r>
              <w:rPr>
                <w:rFonts w:hint="eastAsia" w:ascii="仿宋" w:hAnsi="仿宋" w:eastAsia="仿宋" w:cs="仿宋"/>
                <w:sz w:val="21"/>
                <w:szCs w:val="21"/>
                <w:lang w:val="en-US" w:eastAsia="zh-CN" w:bidi="ar-SA"/>
              </w:rPr>
              <w:t>4-5</w:t>
            </w:r>
            <w:r>
              <w:rPr>
                <w:rFonts w:hint="eastAsia" w:ascii="仿宋" w:hAnsi="仿宋" w:eastAsia="仿宋" w:cs="仿宋"/>
                <w:color w:val="000000"/>
                <w:sz w:val="21"/>
                <w:szCs w:val="21"/>
                <w:highlight w:val="none"/>
                <w:lang w:val="en-US" w:eastAsia="zh-CN"/>
              </w:rPr>
              <w:t>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②方案合理、内容常规、操作性一般的得</w:t>
            </w:r>
            <w:r>
              <w:rPr>
                <w:rFonts w:hint="eastAsia" w:ascii="仿宋" w:hAnsi="仿宋" w:eastAsia="仿宋" w:cs="仿宋"/>
                <w:sz w:val="21"/>
                <w:szCs w:val="21"/>
                <w:lang w:val="en-US" w:eastAsia="zh-CN" w:bidi="ar-SA"/>
              </w:rPr>
              <w:t>2-3.9</w:t>
            </w:r>
            <w:r>
              <w:rPr>
                <w:rFonts w:hint="eastAsia" w:ascii="仿宋" w:hAnsi="仿宋" w:eastAsia="仿宋" w:cs="仿宋"/>
                <w:color w:val="000000"/>
                <w:sz w:val="21"/>
                <w:szCs w:val="21"/>
                <w:highlight w:val="none"/>
                <w:lang w:val="en-US" w:eastAsia="zh-CN"/>
              </w:rPr>
              <w:t>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③方案粗糙、内容缺漏、操作性差的得</w:t>
            </w:r>
            <w:r>
              <w:rPr>
                <w:rFonts w:hint="eastAsia" w:ascii="仿宋" w:hAnsi="仿宋" w:eastAsia="仿宋" w:cs="仿宋"/>
                <w:sz w:val="21"/>
                <w:szCs w:val="21"/>
                <w:lang w:val="en-US" w:eastAsia="zh-CN" w:bidi="ar-SA"/>
              </w:rPr>
              <w:t>0.5-1.9</w:t>
            </w:r>
            <w:r>
              <w:rPr>
                <w:rFonts w:hint="eastAsia" w:ascii="仿宋" w:hAnsi="仿宋" w:eastAsia="仿宋" w:cs="仿宋"/>
                <w:color w:val="000000"/>
                <w:sz w:val="21"/>
                <w:szCs w:val="21"/>
                <w:highlight w:val="none"/>
                <w:lang w:val="en-US" w:eastAsia="zh-CN"/>
              </w:rPr>
              <w:t>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color w:val="000000"/>
                <w:sz w:val="21"/>
                <w:szCs w:val="21"/>
                <w:highlight w:val="none"/>
                <w:lang w:val="en-US" w:eastAsia="zh-CN"/>
              </w:rPr>
              <w:t>没有内容的本项不得分。</w:t>
            </w:r>
          </w:p>
        </w:tc>
        <w:tc>
          <w:tcPr>
            <w:tcW w:w="383" w:type="pct"/>
            <w:vAlign w:val="center"/>
          </w:tcPr>
          <w:p>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rPr>
                <w:rFonts w:hint="eastAsia" w:ascii="仿宋" w:hAnsi="仿宋" w:eastAsia="仿宋" w:cs="仿宋"/>
                <w:sz w:val="21"/>
                <w:szCs w:val="21"/>
                <w:highlight w:val="none"/>
              </w:rPr>
            </w:pPr>
          </w:p>
        </w:tc>
        <w:tc>
          <w:tcPr>
            <w:tcW w:w="588" w:type="pc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eastAsia="zh-CN"/>
                <w14:textFill>
                  <w14:solidFill>
                    <w14:schemeClr w14:val="tx1"/>
                  </w14:solidFill>
                </w14:textFill>
              </w:rPr>
              <w:t>培训</w:t>
            </w:r>
            <w:r>
              <w:rPr>
                <w:rFonts w:hint="eastAsia" w:ascii="仿宋" w:hAnsi="仿宋" w:eastAsia="仿宋" w:cs="仿宋"/>
                <w:b/>
                <w:color w:val="000000" w:themeColor="text1"/>
                <w:sz w:val="21"/>
                <w:szCs w:val="21"/>
                <w:highlight w:val="none"/>
                <w14:textFill>
                  <w14:solidFill>
                    <w14:schemeClr w14:val="tx1"/>
                  </w14:solidFill>
                </w14:textFill>
              </w:rPr>
              <w:t>方案</w:t>
            </w:r>
          </w:p>
        </w:tc>
        <w:tc>
          <w:tcPr>
            <w:tcW w:w="3804" w:type="pct"/>
            <w:vAlign w:val="center"/>
          </w:tcPr>
          <w:p>
            <w:pPr>
              <w:keepNext w:val="0"/>
              <w:keepLines w:val="0"/>
              <w:widowControl/>
              <w:suppressLineNumbers w:val="0"/>
              <w:tabs>
                <w:tab w:val="left" w:pos="180"/>
              </w:tabs>
              <w:spacing w:before="0" w:beforeAutospacing="0" w:after="0" w:afterAutospacing="0" w:line="340" w:lineRule="exact"/>
              <w:ind w:left="-16" w:leftChars="0" w:right="0"/>
              <w:jc w:val="left"/>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根据投标人提供的软件使用培训方案进行打分。</w:t>
            </w:r>
          </w:p>
          <w:p>
            <w:pPr>
              <w:keepNext w:val="0"/>
              <w:keepLines w:val="0"/>
              <w:widowControl/>
              <w:suppressLineNumbers w:val="0"/>
              <w:tabs>
                <w:tab w:val="left" w:pos="180"/>
              </w:tabs>
              <w:spacing w:before="0" w:beforeAutospacing="0" w:after="0" w:afterAutospacing="0" w:line="340" w:lineRule="exact"/>
              <w:ind w:left="-16" w:leftChars="0" w:right="0"/>
              <w:jc w:val="left"/>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软件使用培训方案全面、培训人员以及时间安排合理科学的得2.1-4.0分；</w:t>
            </w:r>
          </w:p>
          <w:p>
            <w:pPr>
              <w:keepNext w:val="0"/>
              <w:keepLines w:val="0"/>
              <w:widowControl/>
              <w:suppressLineNumbers w:val="0"/>
              <w:tabs>
                <w:tab w:val="left" w:pos="180"/>
              </w:tabs>
              <w:spacing w:before="0" w:beforeAutospacing="0" w:after="0" w:afterAutospacing="0" w:line="340" w:lineRule="exact"/>
              <w:ind w:left="-16" w:leftChars="0" w:right="0"/>
              <w:jc w:val="left"/>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软件使用培训方案阐述较详尽，培训人员安排有欠缺的得0.1-2分，未提及此项不得分。</w:t>
            </w:r>
          </w:p>
        </w:tc>
        <w:tc>
          <w:tcPr>
            <w:tcW w:w="383"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pPr>
              <w:keepNext w:val="0"/>
              <w:keepLines w:val="0"/>
              <w:widowControl/>
              <w:numPr>
                <w:ilvl w:val="0"/>
                <w:numId w:val="13"/>
              </w:numPr>
              <w:suppressLineNumbers w:val="0"/>
              <w:spacing w:before="0" w:beforeAutospacing="0" w:after="0" w:afterAutospacing="0"/>
              <w:ind w:right="0"/>
              <w:jc w:val="center"/>
              <w:outlineLvl w:val="0"/>
              <w:rPr>
                <w:rFonts w:hint="eastAsia" w:ascii="仿宋" w:hAnsi="仿宋" w:eastAsia="仿宋" w:cs="仿宋"/>
                <w:sz w:val="21"/>
                <w:szCs w:val="21"/>
                <w:highlight w:val="none"/>
              </w:rPr>
            </w:pPr>
          </w:p>
        </w:tc>
        <w:tc>
          <w:tcPr>
            <w:tcW w:w="4392" w:type="pct"/>
            <w:gridSpan w:val="2"/>
          </w:tcPr>
          <w:p>
            <w:pPr>
              <w:keepNext w:val="0"/>
              <w:keepLines w:val="0"/>
              <w:widowControl/>
              <w:suppressLineNumbers w:val="0"/>
              <w:spacing w:before="0" w:beforeAutospacing="0" w:after="0" w:afterAutospacing="0"/>
              <w:ind w:left="0" w:right="0"/>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t>有效投标报价的最低价作为评标基准价，其最低报价为满分；按［投标报价得分=（评标基准价/投标报价）*</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］的计算公式计算。</w:t>
            </w:r>
          </w:p>
          <w:p>
            <w:pPr>
              <w:keepNext w:val="0"/>
              <w:keepLines w:val="0"/>
              <w:widowControl/>
              <w:suppressLineNumbers w:val="0"/>
              <w:spacing w:before="0" w:beforeAutospacing="0" w:after="0" w:afterAutospacing="0"/>
              <w:ind w:left="0" w:right="0"/>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t>评标过程中，不得去掉报价中的最高报价和最低报价。</w:t>
            </w:r>
          </w:p>
          <w:p>
            <w:pPr>
              <w:keepNext w:val="0"/>
              <w:keepLines w:val="0"/>
              <w:widowControl/>
              <w:suppressLineNumbers w:val="0"/>
              <w:spacing w:before="0" w:beforeAutospacing="0" w:after="0" w:afterAutospacing="0"/>
              <w:ind w:left="0" w:right="0"/>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t>因落实政府采购政策需要进行价格调整的，以调整后的价格计算评标基准价和投标报价。</w:t>
            </w:r>
          </w:p>
        </w:tc>
        <w:tc>
          <w:tcPr>
            <w:tcW w:w="383" w:type="pct"/>
            <w:vAlign w:val="center"/>
          </w:tcPr>
          <w:p>
            <w:pPr>
              <w:keepNext w:val="0"/>
              <w:keepLines w:val="0"/>
              <w:widowControl/>
              <w:suppressLineNumbers w:val="0"/>
              <w:spacing w:before="0" w:beforeAutospacing="0" w:after="0" w:afterAutospacing="0"/>
              <w:ind w:left="0" w:right="0"/>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分</w:t>
            </w:r>
          </w:p>
        </w:tc>
      </w:tr>
    </w:tbl>
    <w:p>
      <w:pPr>
        <w:autoSpaceDE w:val="0"/>
        <w:autoSpaceDN w:val="0"/>
        <w:spacing w:line="360" w:lineRule="auto"/>
        <w:ind w:firstLine="480" w:firstLineChars="200"/>
        <w:outlineLvl w:val="1"/>
        <w:rPr>
          <w:rFonts w:hint="eastAsia" w:ascii="仿宋" w:hAnsi="仿宋" w:eastAsia="仿宋" w:cs="仿宋"/>
          <w:sz w:val="24"/>
          <w:szCs w:val="24"/>
        </w:rPr>
      </w:pPr>
    </w:p>
    <w:p>
      <w:pPr>
        <w:autoSpaceDE w:val="0"/>
        <w:autoSpaceDN w:val="0"/>
        <w:spacing w:line="360" w:lineRule="auto"/>
        <w:ind w:firstLine="482" w:firstLineChars="200"/>
        <w:outlineLvl w:val="1"/>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六）最后报价</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114"/>
        <w:spacing w:line="360" w:lineRule="auto"/>
        <w:ind w:firstLine="480" w:firstLineChars="200"/>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1"/>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lang w:val="en-US" w:eastAsia="zh-CN"/>
          <w14:textFill>
            <w14:solidFill>
              <w14:schemeClr w14:val="tx1"/>
            </w14:solidFill>
          </w14:textFill>
        </w:rPr>
        <w:t>七</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评审要求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(1)磋商小组应当按照磋商文件中规定的评审方法和标准，对符合性审查合格的响应文件的商务部分和技术部分进行综合比较与评价，其中</w:t>
      </w:r>
      <w:r>
        <w:rPr>
          <w:rFonts w:hint="eastAsia" w:ascii="仿宋" w:hAnsi="仿宋" w:eastAsia="仿宋" w:cs="仿宋"/>
          <w:bCs/>
          <w:color w:val="000000" w:themeColor="text1"/>
          <w:sz w:val="24"/>
          <w:szCs w:val="24"/>
          <w:lang w:val="zh-CN"/>
          <w14:textFill>
            <w14:solidFill>
              <w14:schemeClr w14:val="tx1"/>
            </w14:solidFill>
          </w14:textFill>
        </w:rPr>
        <w:t>客观</w:t>
      </w:r>
      <w:r>
        <w:rPr>
          <w:rFonts w:hint="eastAsia" w:ascii="仿宋" w:hAnsi="仿宋" w:eastAsia="仿宋" w:cs="仿宋"/>
          <w:bCs/>
          <w:color w:val="000000" w:themeColor="text1"/>
          <w:sz w:val="24"/>
          <w:szCs w:val="24"/>
          <w14:textFill>
            <w14:solidFill>
              <w14:schemeClr w14:val="tx1"/>
            </w14:solidFill>
          </w14:textFill>
        </w:rPr>
        <w:t>评分</w:t>
      </w:r>
      <w:r>
        <w:rPr>
          <w:rFonts w:hint="eastAsia" w:ascii="仿宋" w:hAnsi="仿宋" w:eastAsia="仿宋" w:cs="仿宋"/>
          <w:bCs/>
          <w:sz w:val="24"/>
          <w:szCs w:val="24"/>
        </w:rPr>
        <w:t>项的分值</w:t>
      </w:r>
      <w:r>
        <w:rPr>
          <w:rFonts w:hint="eastAsia" w:ascii="仿宋" w:hAnsi="仿宋" w:eastAsia="仿宋" w:cs="仿宋"/>
          <w:bCs/>
          <w:sz w:val="24"/>
          <w:szCs w:val="24"/>
          <w:lang w:val="zh-CN"/>
        </w:rPr>
        <w:t>应当一致。</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（2）对于磋商响应文件中</w:t>
      </w:r>
      <w:r>
        <w:rPr>
          <w:rFonts w:hint="eastAsia" w:ascii="仿宋" w:hAnsi="仿宋" w:eastAsia="仿宋" w:cs="仿宋"/>
          <w:color w:val="000000" w:themeColor="text1"/>
          <w:sz w:val="24"/>
          <w:szCs w:val="24"/>
          <w14:textFill>
            <w14:solidFill>
              <w14:schemeClr w14:val="tx1"/>
            </w14:solidFill>
          </w14:textFill>
        </w:rPr>
        <w:t>含义不明确、同类问题表述不一致或者有明显文字和计算错误的内容，磋商小组应当要求供应商作出必要的澄清、说明或者补正。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（3）供应商的澄清（说明或者补正）采用书</w:t>
      </w:r>
      <w:r>
        <w:rPr>
          <w:rFonts w:hint="eastAsia" w:ascii="仿宋" w:hAnsi="仿宋" w:eastAsia="仿宋" w:cs="仿宋"/>
          <w:sz w:val="24"/>
          <w:szCs w:val="24"/>
        </w:rPr>
        <w:t>面形式，并加盖公章或者由法定代表人或授权代表签字，且不得超出磋商响应文件的范围或者改变磋商响应文件的实质性内容。</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）结果汇总及排序</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比较与评价。根据综合评分情况，按评审得分由高到低顺序推荐3名成交候选供应商，</w:t>
      </w:r>
      <w:r>
        <w:rPr>
          <w:rFonts w:hint="eastAsia" w:ascii="仿宋" w:hAnsi="仿宋" w:eastAsia="仿宋" w:cs="仿宋"/>
          <w:color w:val="000000" w:themeColor="text1"/>
          <w:sz w:val="24"/>
          <w:szCs w:val="24"/>
          <w:lang w:val="zh-CN"/>
          <w14:textFill>
            <w14:solidFill>
              <w14:schemeClr w14:val="tx1"/>
            </w14:solidFill>
          </w14:textFill>
        </w:rPr>
        <w:t>以评审总得分最高的供应商为第一成交候选供应商，总得分次高的为第二成交候选供应商，总得分第三高的为第三成交候选供应商</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如出现总得分相同的，按以下优先顺序确定中标候选人推荐次序：</w:t>
      </w:r>
    </w:p>
    <w:p>
      <w:pPr>
        <w:spacing w:line="360" w:lineRule="auto"/>
        <w:ind w:firstLine="480" w:firstLineChars="2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（1）资信技术标得分高者；</w:t>
      </w:r>
    </w:p>
    <w:p>
      <w:pPr>
        <w:spacing w:line="360" w:lineRule="auto"/>
        <w:ind w:firstLine="480" w:firstLineChars="2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（2）投标报价低者；</w:t>
      </w:r>
    </w:p>
    <w:p>
      <w:pPr>
        <w:spacing w:line="360" w:lineRule="auto"/>
        <w:ind w:firstLine="480" w:firstLineChars="2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（3）抽签确定。</w:t>
      </w: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eastAsia="zh-CN"/>
          <w14:textFill>
            <w14:solidFill>
              <w14:schemeClr w14:val="tx1"/>
            </w14:solidFill>
          </w14:textFill>
        </w:rPr>
        <w:t>提供相同品牌产品的，</w:t>
      </w:r>
      <w:r>
        <w:rPr>
          <w:rFonts w:hint="eastAsia" w:ascii="仿宋" w:hAnsi="仿宋" w:eastAsia="仿宋" w:cs="仿宋"/>
          <w:color w:val="000000" w:themeColor="text1"/>
          <w:sz w:val="24"/>
          <w:szCs w:val="24"/>
          <w:lang w:val="en-US" w:eastAsia="zh-CN"/>
          <w14:textFill>
            <w14:solidFill>
              <w14:schemeClr w14:val="tx1"/>
            </w14:solidFill>
          </w14:textFill>
        </w:rPr>
        <w:t>参照《政府采购货物和服务招标投标管理办法》（第87号令）第三十一条有关规定执行</w:t>
      </w:r>
      <w:r>
        <w:rPr>
          <w:rFonts w:hint="eastAsia" w:ascii="仿宋" w:hAnsi="仿宋" w:eastAsia="仿宋" w:cs="仿宋"/>
          <w:color w:val="000000" w:themeColor="text1"/>
          <w:sz w:val="24"/>
          <w:szCs w:val="24"/>
          <w:lang w:val="zh-CN" w:eastAsia="zh-CN"/>
          <w14:textFill>
            <w14:solidFill>
              <w14:schemeClr w14:val="tx1"/>
            </w14:solidFill>
          </w14:textFill>
        </w:rPr>
        <w:t>。</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）编写评审报告</w:t>
      </w:r>
    </w:p>
    <w:p>
      <w:pPr>
        <w:pStyle w:val="18"/>
        <w:spacing w:after="0" w:line="288" w:lineRule="auto"/>
        <w:rPr>
          <w:rFonts w:hint="eastAsia" w:ascii="仿宋" w:hAnsi="仿宋" w:eastAsia="仿宋" w:cs="仿宋"/>
        </w:rPr>
      </w:pPr>
      <w:r>
        <w:rPr>
          <w:rFonts w:hint="eastAsia" w:ascii="仿宋" w:hAnsi="仿宋" w:eastAsia="仿宋" w:cs="仿宋"/>
          <w:sz w:val="24"/>
          <w:szCs w:val="24"/>
        </w:rPr>
        <w:t>磋商小组根据全体评审人员签字的原始记录和得分情况编写评审报告。</w:t>
      </w:r>
    </w:p>
    <w:p>
      <w:pPr>
        <w:rPr>
          <w:rFonts w:hint="eastAsia" w:ascii="仿宋" w:hAnsi="仿宋" w:eastAsia="仿宋" w:cs="仿宋"/>
        </w:rPr>
      </w:pPr>
      <w:bookmarkStart w:id="57" w:name="_Toc417381414"/>
      <w:r>
        <w:rPr>
          <w:rFonts w:hint="eastAsia" w:ascii="仿宋" w:hAnsi="仿宋" w:eastAsia="仿宋" w:cs="仿宋"/>
        </w:rPr>
        <w:br w:type="page"/>
      </w:r>
    </w:p>
    <w:p>
      <w:pPr>
        <w:pStyle w:val="2"/>
        <w:spacing w:line="360" w:lineRule="auto"/>
        <w:jc w:val="center"/>
        <w:rPr>
          <w:rFonts w:hint="eastAsia" w:ascii="仿宋" w:hAnsi="仿宋" w:eastAsia="仿宋" w:cs="仿宋"/>
        </w:rPr>
      </w:pPr>
      <w:bookmarkStart w:id="58" w:name="_Toc20886"/>
      <w:r>
        <w:rPr>
          <w:rFonts w:hint="eastAsia" w:ascii="仿宋" w:hAnsi="仿宋" w:eastAsia="仿宋" w:cs="仿宋"/>
        </w:rPr>
        <w:t>第五部分  项目需求</w:t>
      </w:r>
      <w:bookmarkEnd w:id="57"/>
      <w:bookmarkEnd w:id="58"/>
      <w:bookmarkStart w:id="59" w:name="_Toc25095865"/>
      <w:bookmarkStart w:id="60" w:name="_Toc137966665"/>
      <w:bookmarkStart w:id="61" w:name="_Toc279610155"/>
      <w:bookmarkStart w:id="62" w:name="_Toc209413107"/>
      <w:bookmarkStart w:id="63" w:name="_Toc201595614"/>
      <w:bookmarkStart w:id="64" w:name="_Toc417381415"/>
      <w:bookmarkStart w:id="65" w:name="_Toc137966678"/>
    </w:p>
    <w:bookmarkEnd w:id="59"/>
    <w:bookmarkEnd w:id="60"/>
    <w:bookmarkEnd w:id="61"/>
    <w:bookmarkEnd w:id="62"/>
    <w:bookmarkEnd w:id="63"/>
    <w:bookmarkEnd w:id="64"/>
    <w:bookmarkEnd w:id="65"/>
    <w:p>
      <w:pPr>
        <w:spacing w:line="360" w:lineRule="auto"/>
        <w:rPr>
          <w:rFonts w:hint="eastAsia" w:ascii="仿宋" w:hAnsi="仿宋" w:eastAsia="仿宋" w:cs="仿宋"/>
          <w:b/>
          <w:bCs/>
          <w:sz w:val="24"/>
          <w:szCs w:val="24"/>
        </w:rPr>
      </w:pPr>
      <w:r>
        <w:rPr>
          <w:rFonts w:hint="eastAsia" w:ascii="仿宋" w:hAnsi="仿宋" w:eastAsia="仿宋" w:cs="仿宋"/>
          <w:b/>
          <w:sz w:val="24"/>
          <w:szCs w:val="24"/>
        </w:rPr>
        <w:t>一、</w:t>
      </w:r>
      <w:r>
        <w:rPr>
          <w:rFonts w:hint="eastAsia" w:ascii="仿宋" w:hAnsi="仿宋" w:eastAsia="仿宋" w:cs="仿宋"/>
          <w:b/>
          <w:bCs/>
          <w:sz w:val="24"/>
          <w:szCs w:val="24"/>
        </w:rPr>
        <w:t>项目概况：</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1756"/>
        <w:gridCol w:w="1107"/>
        <w:gridCol w:w="110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9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简要技术要求</w:t>
            </w: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9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预算</w:t>
            </w:r>
          </w:p>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台州市教育技术与信息中心超融合平台软硬件系统项目</w:t>
            </w:r>
          </w:p>
        </w:tc>
        <w:tc>
          <w:tcPr>
            <w:tcW w:w="9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详见项目需求</w:t>
            </w: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w:t>
            </w:r>
          </w:p>
        </w:tc>
        <w:tc>
          <w:tcPr>
            <w:tcW w:w="9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w:t>
            </w:r>
          </w:p>
        </w:tc>
      </w:tr>
    </w:tbl>
    <w:p>
      <w:pPr>
        <w:spacing w:line="360" w:lineRule="auto"/>
        <w:rPr>
          <w:rFonts w:hint="eastAsia" w:ascii="仿宋" w:hAnsi="仿宋" w:eastAsia="仿宋" w:cs="仿宋"/>
          <w:b/>
          <w:sz w:val="24"/>
          <w:szCs w:val="24"/>
        </w:rPr>
      </w:pPr>
    </w:p>
    <w:p>
      <w:pPr>
        <w:tabs>
          <w:tab w:val="left" w:pos="8280"/>
        </w:tabs>
        <w:ind w:right="25"/>
        <w:outlineLvl w:val="1"/>
        <w:rPr>
          <w:rFonts w:hint="eastAsia" w:ascii="仿宋" w:hAnsi="仿宋" w:eastAsia="仿宋" w:cs="仿宋"/>
          <w:b/>
          <w:bCs/>
          <w:sz w:val="28"/>
          <w:szCs w:val="28"/>
          <w:lang w:eastAsia="zh-CN"/>
        </w:rPr>
      </w:pPr>
      <w:r>
        <w:rPr>
          <w:rFonts w:hint="eastAsia" w:ascii="仿宋" w:hAnsi="仿宋" w:eastAsia="仿宋" w:cs="仿宋"/>
          <w:b/>
          <w:sz w:val="24"/>
          <w:szCs w:val="24"/>
        </w:rPr>
        <w:t>二</w:t>
      </w:r>
      <w:r>
        <w:rPr>
          <w:rFonts w:hint="eastAsia" w:ascii="仿宋" w:hAnsi="仿宋" w:eastAsia="仿宋" w:cs="仿宋"/>
          <w:b/>
          <w:bCs/>
          <w:sz w:val="28"/>
          <w:szCs w:val="28"/>
        </w:rPr>
        <w:t>二、</w:t>
      </w:r>
      <w:r>
        <w:rPr>
          <w:rFonts w:hint="eastAsia" w:ascii="仿宋" w:hAnsi="仿宋" w:eastAsia="仿宋" w:cs="仿宋"/>
          <w:b/>
          <w:bCs/>
          <w:sz w:val="28"/>
          <w:szCs w:val="28"/>
          <w:lang w:eastAsia="zh-CN"/>
        </w:rPr>
        <w:t>采购清单</w:t>
      </w:r>
    </w:p>
    <w:tbl>
      <w:tblPr>
        <w:tblStyle w:val="39"/>
        <w:tblW w:w="8638" w:type="dxa"/>
        <w:tblInd w:w="106" w:type="dxa"/>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89"/>
        <w:gridCol w:w="3695"/>
        <w:gridCol w:w="1179"/>
        <w:gridCol w:w="1144"/>
        <w:gridCol w:w="1631"/>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7" w:hRule="atLeast"/>
        </w:trPr>
        <w:tc>
          <w:tcPr>
            <w:tcW w:w="989" w:type="dxa"/>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szCs w:val="20"/>
              </w:rPr>
            </w:pPr>
            <w:r>
              <w:rPr>
                <w:rFonts w:hint="eastAsia" w:ascii="仿宋" w:hAnsi="仿宋" w:eastAsia="仿宋" w:cs="仿宋"/>
                <w:b/>
                <w:bCs/>
                <w:color w:val="auto"/>
                <w:kern w:val="0"/>
                <w:sz w:val="22"/>
                <w:szCs w:val="20"/>
              </w:rPr>
              <w:t>序号</w:t>
            </w:r>
          </w:p>
        </w:tc>
        <w:tc>
          <w:tcPr>
            <w:tcW w:w="3695"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szCs w:val="20"/>
              </w:rPr>
            </w:pPr>
            <w:r>
              <w:rPr>
                <w:rFonts w:hint="eastAsia" w:ascii="仿宋" w:hAnsi="仿宋" w:eastAsia="仿宋" w:cs="仿宋"/>
                <w:b/>
                <w:bCs/>
                <w:color w:val="auto"/>
                <w:kern w:val="0"/>
                <w:sz w:val="22"/>
                <w:szCs w:val="20"/>
              </w:rPr>
              <w:t>名称</w:t>
            </w:r>
          </w:p>
        </w:tc>
        <w:tc>
          <w:tcPr>
            <w:tcW w:w="1179"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szCs w:val="20"/>
              </w:rPr>
            </w:pPr>
            <w:r>
              <w:rPr>
                <w:rFonts w:hint="eastAsia" w:ascii="仿宋" w:hAnsi="仿宋" w:eastAsia="仿宋" w:cs="仿宋"/>
                <w:b/>
                <w:bCs/>
                <w:color w:val="auto"/>
                <w:kern w:val="0"/>
                <w:sz w:val="22"/>
                <w:szCs w:val="20"/>
              </w:rPr>
              <w:t>单位</w:t>
            </w:r>
          </w:p>
        </w:tc>
        <w:tc>
          <w:tcPr>
            <w:tcW w:w="1144"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szCs w:val="20"/>
              </w:rPr>
            </w:pPr>
            <w:r>
              <w:rPr>
                <w:rFonts w:hint="eastAsia" w:ascii="仿宋" w:hAnsi="仿宋" w:eastAsia="仿宋" w:cs="仿宋"/>
                <w:b/>
                <w:bCs/>
                <w:color w:val="auto"/>
                <w:kern w:val="0"/>
                <w:sz w:val="22"/>
                <w:szCs w:val="20"/>
              </w:rPr>
              <w:t>数量</w:t>
            </w:r>
          </w:p>
        </w:tc>
        <w:tc>
          <w:tcPr>
            <w:tcW w:w="1631" w:type="dxa"/>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szCs w:val="20"/>
                <w:lang w:val="en-US" w:eastAsia="zh-CN"/>
              </w:rPr>
            </w:pPr>
            <w:r>
              <w:rPr>
                <w:rFonts w:hint="eastAsia" w:ascii="仿宋" w:hAnsi="仿宋" w:eastAsia="仿宋" w:cs="仿宋"/>
                <w:b/>
                <w:bCs/>
                <w:color w:val="auto"/>
                <w:kern w:val="0"/>
                <w:sz w:val="22"/>
                <w:szCs w:val="20"/>
                <w:lang w:val="en-US" w:eastAsia="zh-CN"/>
              </w:rPr>
              <w:t>备注</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7" w:hRule="atLeast"/>
        </w:trPr>
        <w:tc>
          <w:tcPr>
            <w:tcW w:w="98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1</w:t>
            </w:r>
          </w:p>
        </w:tc>
        <w:tc>
          <w:tcPr>
            <w:tcW w:w="369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rPr>
              <w:t>超融合服务器</w:t>
            </w:r>
          </w:p>
        </w:tc>
        <w:tc>
          <w:tcPr>
            <w:tcW w:w="11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lang w:eastAsia="zh-CN"/>
              </w:rPr>
              <w:t>台</w:t>
            </w:r>
          </w:p>
        </w:tc>
        <w:tc>
          <w:tcPr>
            <w:tcW w:w="11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lang w:val="en-US" w:eastAsia="zh-CN"/>
              </w:rPr>
              <w:t>3</w:t>
            </w:r>
          </w:p>
        </w:tc>
        <w:tc>
          <w:tcPr>
            <w:tcW w:w="16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详见招标参数及要求</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7" w:hRule="atLeast"/>
        </w:trPr>
        <w:tc>
          <w:tcPr>
            <w:tcW w:w="989" w:type="dxa"/>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w:t>
            </w:r>
          </w:p>
        </w:tc>
        <w:tc>
          <w:tcPr>
            <w:tcW w:w="3695" w:type="dxa"/>
            <w:tcBorders>
              <w:top w:val="nil"/>
              <w:left w:val="nil"/>
              <w:bottom w:val="single" w:color="000000" w:sz="4" w:space="0"/>
              <w:right w:val="single" w:color="auto" w:sz="4" w:space="0"/>
            </w:tcBorders>
            <w:shd w:val="clear" w:color="000000" w:fill="FFFFFF"/>
            <w:vAlign w:val="center"/>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rPr>
              <w:t>超融合软件</w:t>
            </w:r>
          </w:p>
        </w:tc>
        <w:tc>
          <w:tcPr>
            <w:tcW w:w="1179" w:type="dxa"/>
            <w:tcBorders>
              <w:top w:val="nil"/>
              <w:left w:val="nil"/>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rPr>
              <w:t>套</w:t>
            </w:r>
          </w:p>
        </w:tc>
        <w:tc>
          <w:tcPr>
            <w:tcW w:w="1144" w:type="dxa"/>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lang w:val="en-US" w:eastAsia="zh-CN"/>
              </w:rPr>
              <w:t>1</w:t>
            </w:r>
          </w:p>
        </w:tc>
        <w:tc>
          <w:tcPr>
            <w:tcW w:w="163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0"/>
                <w:lang w:eastAsia="zh-CN"/>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48" w:hRule="atLeast"/>
        </w:trPr>
        <w:tc>
          <w:tcPr>
            <w:tcW w:w="9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3</w:t>
            </w:r>
          </w:p>
        </w:tc>
        <w:tc>
          <w:tcPr>
            <w:tcW w:w="369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rPr>
              <w:t>服务器</w:t>
            </w:r>
            <w:r>
              <w:rPr>
                <w:rFonts w:hint="eastAsia" w:ascii="仿宋" w:hAnsi="仿宋" w:eastAsia="仿宋" w:cs="仿宋"/>
                <w:color w:val="auto"/>
                <w:sz w:val="24"/>
                <w:szCs w:val="20"/>
                <w:lang w:eastAsia="zh-CN"/>
              </w:rPr>
              <w:t>操作系统</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rPr>
              <w:t>套</w:t>
            </w:r>
          </w:p>
        </w:tc>
        <w:tc>
          <w:tcPr>
            <w:tcW w:w="114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0"/>
                <w:lang w:val="en-US" w:eastAsia="zh-CN"/>
              </w:rPr>
              <w:t>3</w:t>
            </w:r>
          </w:p>
        </w:tc>
        <w:tc>
          <w:tcPr>
            <w:tcW w:w="1631" w:type="dxa"/>
            <w:vMerge w:val="continue"/>
            <w:tcBorders>
              <w:top w:val="single" w:color="auto" w:sz="4" w:space="0"/>
              <w:left w:val="single" w:color="000000"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0"/>
                <w:lang w:eastAsia="zh-CN"/>
              </w:rPr>
            </w:pPr>
          </w:p>
        </w:tc>
      </w:tr>
    </w:tbl>
    <w:p>
      <w:pPr>
        <w:numPr>
          <w:ilvl w:val="0"/>
          <w:numId w:val="15"/>
        </w:numPr>
        <w:tabs>
          <w:tab w:val="left" w:pos="8280"/>
        </w:tabs>
        <w:ind w:right="25"/>
        <w:outlineLvl w:val="1"/>
        <w:rPr>
          <w:rFonts w:hint="eastAsia" w:ascii="仿宋" w:hAnsi="仿宋" w:eastAsia="仿宋" w:cs="仿宋"/>
          <w:b/>
          <w:bCs/>
          <w:sz w:val="28"/>
          <w:szCs w:val="28"/>
        </w:rPr>
      </w:pPr>
      <w:r>
        <w:rPr>
          <w:rFonts w:hint="eastAsia" w:ascii="仿宋" w:hAnsi="仿宋" w:eastAsia="仿宋" w:cs="仿宋"/>
          <w:b/>
          <w:bCs/>
          <w:sz w:val="28"/>
          <w:szCs w:val="28"/>
        </w:rPr>
        <w:t>设备参数要求</w:t>
      </w:r>
    </w:p>
    <w:tbl>
      <w:tblPr>
        <w:tblStyle w:val="39"/>
        <w:tblW w:w="890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6"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指标项</w:t>
            </w:r>
          </w:p>
        </w:tc>
        <w:tc>
          <w:tcPr>
            <w:tcW w:w="7492"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kern w:val="0"/>
                <w:sz w:val="24"/>
                <w:szCs w:val="24"/>
              </w:rPr>
              <w:t>参数指标要求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416"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b/>
                <w:kern w:val="0"/>
                <w:sz w:val="24"/>
                <w:szCs w:val="24"/>
              </w:rPr>
              <w:t>超融合一体机</w:t>
            </w:r>
          </w:p>
        </w:tc>
        <w:tc>
          <w:tcPr>
            <w:tcW w:w="7492" w:type="dxa"/>
            <w:shd w:val="clear" w:color="000000" w:fill="FFFFFF"/>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▲1.配置</w:t>
            </w:r>
            <w:r>
              <w:rPr>
                <w:rFonts w:hint="eastAsia" w:ascii="仿宋" w:hAnsi="仿宋" w:eastAsia="仿宋" w:cs="仿宋"/>
                <w:color w:val="000000"/>
                <w:kern w:val="0"/>
                <w:sz w:val="24"/>
                <w:szCs w:val="24"/>
                <w:lang w:val="en-US" w:eastAsia="zh-CN"/>
              </w:rPr>
              <w:t>:X86架构,</w:t>
            </w:r>
            <w:r>
              <w:rPr>
                <w:rFonts w:hint="eastAsia" w:ascii="仿宋" w:hAnsi="仿宋" w:eastAsia="仿宋" w:cs="仿宋"/>
                <w:color w:val="000000"/>
                <w:kern w:val="0"/>
                <w:sz w:val="24"/>
                <w:szCs w:val="24"/>
              </w:rPr>
              <w:t>≥2颗</w:t>
            </w:r>
            <w:r>
              <w:rPr>
                <w:rFonts w:hint="eastAsia" w:ascii="仿宋" w:hAnsi="仿宋" w:eastAsia="仿宋" w:cs="仿宋"/>
                <w:color w:val="000000"/>
                <w:kern w:val="0"/>
                <w:sz w:val="24"/>
                <w:szCs w:val="24"/>
                <w:lang w:val="en-US" w:eastAsia="zh-CN"/>
              </w:rPr>
              <w:t>CPU,</w:t>
            </w:r>
            <w:r>
              <w:rPr>
                <w:rFonts w:hint="eastAsia" w:ascii="仿宋" w:hAnsi="仿宋" w:eastAsia="仿宋" w:cs="仿宋"/>
                <w:color w:val="000000"/>
                <w:kern w:val="0"/>
                <w:sz w:val="24"/>
                <w:szCs w:val="24"/>
              </w:rPr>
              <w:t>；≥512GB DDR4 3200 内存，支持≥32个内存槽位；≥2块480G SSD硬盘，≥2块3.84TB NVME SSD硬盘， ≥10块8TB 数据盘，配置独立2G raid卡；支持≥8个PCIE 4.0插槽，配置≥4个万兆光口，配置≥4个万兆光模块；配置≥4个千兆电口；配置≥2个电源；含超融合平台配套虚拟化组件授权（计算虚拟化、存储虚拟化、管理平台）</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2.为简化服务器的运维管理，服务器支持不依赖OS，可带外升级BIOS、BMC版本，可通过BMC界面带外一次升级多个部件的固件（如网卡部件、存储卡部件等），无需多次升级</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▲3.硬件提供原厂5年质保服务，软件提供</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eastAsia="zh-CN"/>
              </w:rPr>
              <w:t>及以上</w:t>
            </w:r>
            <w:r>
              <w:rPr>
                <w:rFonts w:hint="eastAsia" w:ascii="仿宋" w:hAnsi="仿宋" w:eastAsia="仿宋" w:cs="仿宋"/>
                <w:color w:val="000000"/>
                <w:kern w:val="0"/>
                <w:sz w:val="24"/>
                <w:szCs w:val="24"/>
              </w:rPr>
              <w:t>升级</w:t>
            </w:r>
            <w:r>
              <w:rPr>
                <w:rFonts w:hint="eastAsia" w:ascii="仿宋" w:hAnsi="仿宋" w:eastAsia="仿宋" w:cs="仿宋"/>
                <w:color w:val="000000"/>
                <w:kern w:val="0"/>
                <w:sz w:val="24"/>
                <w:szCs w:val="24"/>
                <w:lang w:eastAsia="zh-CN"/>
              </w:rPr>
              <w:t>及维护</w:t>
            </w:r>
            <w:r>
              <w:rPr>
                <w:rFonts w:hint="eastAsia" w:ascii="仿宋" w:hAnsi="仿宋" w:eastAsia="仿宋" w:cs="仿宋"/>
                <w:color w:val="000000"/>
                <w:kern w:val="0"/>
                <w:sz w:val="24"/>
                <w:szCs w:val="24"/>
              </w:rPr>
              <w:t>服务，中标后签订合同前提供原厂商质保承诺服务函</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验收时须提供符合信创要求的报告。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6" w:hRule="atLeast"/>
        </w:trPr>
        <w:tc>
          <w:tcPr>
            <w:tcW w:w="1416"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超融合软件</w:t>
            </w:r>
          </w:p>
        </w:tc>
        <w:tc>
          <w:tcPr>
            <w:tcW w:w="7492" w:type="dxa"/>
            <w:shd w:val="clear" w:color="000000" w:fill="FFFFFF"/>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★1．支持在线双向跨云迁移功能，在管理界面内将源站点的虚拟机不中断的迁移到目标站点平台内，跨云迁移的站点包括但不限于vSphere、投标品牌虚拟化平台等，</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highlight w:val="yellow"/>
              </w:rPr>
            </w:pPr>
            <w:r>
              <w:rPr>
                <w:rFonts w:hint="eastAsia" w:ascii="仿宋" w:hAnsi="仿宋" w:eastAsia="仿宋" w:cs="仿宋"/>
                <w:b/>
                <w:bCs/>
                <w:color w:val="000000"/>
                <w:kern w:val="0"/>
                <w:sz w:val="24"/>
                <w:szCs w:val="24"/>
                <w:highlight w:val="yellow"/>
              </w:rPr>
              <w:t>提供CNAS或CMA的第三方测试机构的证明材料</w:t>
            </w:r>
            <w:r>
              <w:rPr>
                <w:rFonts w:hint="eastAsia" w:ascii="仿宋" w:hAnsi="仿宋" w:eastAsia="仿宋" w:cs="仿宋"/>
                <w:color w:val="000000"/>
                <w:kern w:val="0"/>
                <w:sz w:val="24"/>
                <w:szCs w:val="24"/>
                <w:highlight w:val="yellow"/>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2．支持主机、硬盘、网卡定位功能以快速寻找机房部件，提升运维效率，通过服务器主机的UID指示灯状态可以快速定位识别到目标主机位置</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支持云网融合一体化图形管理界面，超融合管理平台支持纳管、配置和监控物理交换机设备，超融合管理平台界面支持设置物理交换机环路检测、端口速率、端口聚合等；支持在超融合管理界面查看物理交换机各个端口信号灯状态</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支持系统环境一键巡检，包括不限于资源使用、物理设备、存储空间、网络使用与IP冲突等状况，支持按照每日、每周、每月设置巡检周期，支持设置巡检报告最大保留份数记录，支持自动发送检测报告到指定邮箱</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★5．支持一云多芯，支持一套管理平台纳管不同CPU架构（至少3种）的主机集群</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★6．支持纳管、配置和监控物理交换机设备，超融合管理平台界面支持设置物理交换机环路检测、端口速率、LLDP功能开关、端口聚合等；支持在超融合管理界面查看物理交换机各个端口信号灯状态、VLAN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w:t>
            </w:r>
            <w:r>
              <w:rPr>
                <w:rFonts w:hint="eastAsia" w:ascii="仿宋" w:hAnsi="仿宋" w:eastAsia="仿宋" w:cs="仿宋"/>
                <w:b/>
                <w:bCs/>
                <w:color w:val="000000"/>
                <w:kern w:val="0"/>
                <w:sz w:val="24"/>
                <w:szCs w:val="24"/>
                <w:highlight w:val="yellow"/>
              </w:rPr>
              <w:t>提供功能</w:t>
            </w:r>
            <w:r>
              <w:rPr>
                <w:rFonts w:hint="eastAsia" w:ascii="仿宋" w:hAnsi="仿宋" w:eastAsia="仿宋" w:cs="仿宋"/>
                <w:b/>
                <w:bCs/>
                <w:color w:val="000000"/>
                <w:kern w:val="0"/>
                <w:sz w:val="24"/>
                <w:szCs w:val="24"/>
                <w:highlight w:val="yellow"/>
                <w:lang w:eastAsia="zh-CN"/>
              </w:rPr>
              <w:t>证明</w:t>
            </w:r>
            <w:r>
              <w:rPr>
                <w:rFonts w:hint="eastAsia" w:ascii="仿宋" w:hAnsi="仿宋" w:eastAsia="仿宋" w:cs="仿宋"/>
                <w:b/>
                <w:bCs/>
                <w:color w:val="000000"/>
                <w:kern w:val="0"/>
                <w:sz w:val="24"/>
                <w:szCs w:val="24"/>
                <w:highlight w:val="yellow"/>
              </w:rPr>
              <w:t>材料</w:t>
            </w:r>
            <w:r>
              <w:rPr>
                <w:rFonts w:hint="eastAsia" w:ascii="仿宋" w:hAnsi="仿宋" w:eastAsia="仿宋" w:cs="仿宋"/>
                <w:b/>
                <w:bCs/>
                <w:color w:val="000000"/>
                <w:kern w:val="0"/>
                <w:sz w:val="24"/>
                <w:szCs w:val="24"/>
                <w:highlight w:val="yellow"/>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7．支持多租户管理，根据需要对用户进行不同授权。提供B/S和C/S两种虚拟机控制台使用方式，C/S客户端无任何授权限制。</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8．支持DPM动态电源调度，支持虚拟机故障HA功能，可配置HA接入控制策略，HA最大尝试次数，且支持HA故障切换主机设置，达到故障隔离的效果，并支持配置虚拟机自启动策略和启动优先级；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9．支持大内存页和DPDK加速功能，虚拟化界面可配置内存页大小和页数，支持虚拟机NUMA感知功能，保证虚拟机OS的NUMA与主机的NUMA拓扑保持一致，并显示大内存页的使用量和可用内存；</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10．可指定专用独享迁移网络，隔离迁移网络流量与管理网流量，保障用户业务正常运行；</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★11．为满足日益增长的容器资源需求，要求同一个超融合节点支持同时运行虚拟机和容器计算资源，非虚拟机内嵌套部署容器方式；容器与虚拟机使用相同的SDN网络、数据存储，</w:t>
            </w:r>
            <w:r>
              <w:rPr>
                <w:rFonts w:hint="eastAsia" w:ascii="仿宋" w:hAnsi="仿宋" w:eastAsia="仿宋" w:cs="仿宋"/>
                <w:b/>
                <w:bCs/>
                <w:color w:val="000000"/>
                <w:kern w:val="0"/>
                <w:sz w:val="24"/>
                <w:szCs w:val="24"/>
                <w:highlight w:val="yellow"/>
              </w:rPr>
              <w:t>提供CNAS或CMA的第三方测试机构的证明材料或技术白皮书详细说明；</w:t>
            </w:r>
            <w:r>
              <w:rPr>
                <w:rFonts w:hint="eastAsia" w:ascii="仿宋" w:hAnsi="仿宋" w:eastAsia="仿宋" w:cs="仿宋"/>
                <w:color w:val="000000"/>
                <w:kern w:val="0"/>
                <w:sz w:val="24"/>
                <w:szCs w:val="24"/>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元数据采用分布式保护机制，分布在不同节点，在节点意外掉电、断网、宕机情况下，系统数据不会丢失，不会影响业务系统正常运行，并且不需要额外硬件对内存中元数据提供保护，产品交付时可接受磁盘（SSD、HDD）、网络、节点故障场景测试；</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13．超融合支持同时对接本地分布式存储池和外挂阵列存储资源池，支持通过ISCSI、iSER、NVMe over RoCE协议对接超融合本地分布式存储池，支持通过ISCSI、iSER、NVMe over RoCE、FC、FC-NVMe协议对接外挂阵列存储资源池</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14．支持显示SSD物理磁盘磨损度寿命，运维用户可根据提示及时更换硬盘，避免导致系统故障，界面支持点亮/熄灭硬盘指示灯，便于运维人员对指定磁盘进行维护更换；</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15．数据本地化，本地节点上的虚拟机数据访问在本地节点，随着虚拟机的迁移（手动迁移、故障HA迁移等），数据也随VM自动迁移至其他节点。VM虚拟磁盘有一个完整的副本保存在本地节点，从而实现数据本地化访问提高虚拟机性能，所有数据I/O优先访问本地节点并降低虚拟机跨节点数据读写带来的网络负载</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★16． 支持磁盘漫游功能，同一超融合节点内支持任意个存储磁盘交换位置，以防止主机维护时的运维人员误操作, </w:t>
            </w:r>
            <w:r>
              <w:rPr>
                <w:rFonts w:hint="eastAsia" w:ascii="仿宋" w:hAnsi="仿宋" w:eastAsia="仿宋" w:cs="仿宋"/>
                <w:b/>
                <w:bCs/>
                <w:color w:val="000000"/>
                <w:kern w:val="0"/>
                <w:sz w:val="24"/>
                <w:szCs w:val="24"/>
                <w:highlight w:val="yellow"/>
              </w:rPr>
              <w:t>提供CNAS或CMA的第三方测试机构的证明材料或技术白皮书详细说明</w:t>
            </w:r>
            <w:r>
              <w:rPr>
                <w:rFonts w:hint="eastAsia" w:ascii="仿宋" w:hAnsi="仿宋" w:eastAsia="仿宋" w:cs="仿宋"/>
                <w:color w:val="000000"/>
                <w:kern w:val="0"/>
                <w:sz w:val="24"/>
                <w:szCs w:val="24"/>
                <w:highlight w:val="yellow"/>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17．支持磁盘坏块扫描功能，发现坏块后主动修复坏块区域数据并告警，屏蔽坏快区域，及时维护分布式存储数据冗余性；当坏快数量过多，系统自动进行坏盘隔离，将用户数据自动迁移到健康的硬盘上；</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18．支持裸LUN池化管理，无需登陆集中式SAN存储阵列或分布式存储界面即可划分存储空间，方便运维；</w:t>
            </w:r>
          </w:p>
          <w:p>
            <w:pPr>
              <w:keepNext w:val="0"/>
              <w:keepLines w:val="0"/>
              <w:widowControl/>
              <w:suppressLineNumbers w:val="0"/>
              <w:spacing w:before="0" w:beforeAutospacing="0" w:after="0" w:afterAutospacing="0"/>
              <w:ind w:left="0" w:right="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19．提供无授权限制的全局分布式SDN功能，以避免SDN控制节点故障，提供分布式SDN硬件加速能力，可提供更高转发性能，SDN支持</w:t>
            </w:r>
            <w:r>
              <w:rPr>
                <w:rFonts w:hint="eastAsia" w:ascii="仿宋" w:hAnsi="仿宋" w:eastAsia="仿宋" w:cs="仿宋"/>
                <w:color w:val="000000"/>
                <w:kern w:val="0"/>
                <w:sz w:val="24"/>
                <w:szCs w:val="24"/>
                <w:lang w:val="en-US" w:eastAsia="zh-CN"/>
              </w:rPr>
              <w:t>VLAN/VXLAN模式。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416"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zh-TW" w:eastAsia="zh-TW"/>
              </w:rPr>
            </w:pPr>
            <w:r>
              <w:rPr>
                <w:rFonts w:hint="eastAsia" w:ascii="仿宋" w:hAnsi="仿宋" w:eastAsia="仿宋" w:cs="仿宋"/>
                <w:kern w:val="0"/>
                <w:sz w:val="24"/>
                <w:szCs w:val="24"/>
                <w:lang w:val="zh-TW" w:eastAsia="zh-TW"/>
              </w:rPr>
              <w:t>VLAN/VXLAN模式</w:t>
            </w:r>
          </w:p>
        </w:tc>
        <w:tc>
          <w:tcPr>
            <w:tcW w:w="7492" w:type="dxa"/>
            <w:shd w:val="clear" w:color="000000" w:fill="FFFFFF"/>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．支持全局分布式SDN智能加速，卸载分布式SDN网络的数据平面到硬件网卡，通过对东西向Overlay网络流量和南北向流量卸载，大幅提高网络转发性能并节省主机资源；</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同时支持网络sFlow和netFlow功能，配合第三方流量分析工具进行流量监控，支持组播转发、广播抑制、DHCP防护等功能，支持本地端口镜像、本地业务网络镜像、远程端口镜像等多种端口镜像模式，支持分布式DNS服务功能；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．为方便运维操作，支持网络图形化编排，编辑网络拓扑及拖拽网元即可完成网络拓扑的创建、变更、属性编辑</w:t>
            </w:r>
            <w:r>
              <w:rPr>
                <w:rFonts w:hint="eastAsia" w:ascii="仿宋" w:hAnsi="仿宋" w:eastAsia="仿宋" w:cs="仿宋"/>
                <w:color w:val="000000"/>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．提供无授权限制的备份功能，支持虚拟机全量备份、增量备份，周期性备份，备份策略可细化到分钟级；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．支持利用磁盘阵列进行容灾，不依赖分布式存储多副本技术，超融合支持异构不同品牌存储容灾功能，可利旧存储设备与超融合建立容灾或双活存储池，当分布式存储全局损坏时，不影响业务连续性；</w:t>
            </w:r>
            <w:r>
              <w:rPr>
                <w:rFonts w:hint="eastAsia" w:ascii="仿宋" w:hAnsi="仿宋" w:eastAsia="仿宋" w:cs="仿宋"/>
                <w:b/>
                <w:bCs/>
                <w:color w:val="000000"/>
                <w:kern w:val="0"/>
                <w:sz w:val="24"/>
                <w:szCs w:val="24"/>
                <w:highlight w:val="yellow"/>
              </w:rPr>
              <w:t>提供CNAS或CMA的第三方测试机构的证明材料或技术白皮书详细说明</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．提供不少于50个虚拟机数量的的CDP功能授权，通过点击对应时间戳，虚拟机可恢复到任意I/O，交付时提供验证；</w:t>
            </w:r>
          </w:p>
          <w:p>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24"/>
                <w:szCs w:val="24"/>
                <w:highlight w:val="yellow"/>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支持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w:t>
            </w:r>
            <w:r>
              <w:rPr>
                <w:rFonts w:hint="eastAsia" w:ascii="仿宋" w:hAnsi="仿宋" w:eastAsia="仿宋" w:cs="仿宋"/>
                <w:b/>
                <w:bCs/>
                <w:color w:val="000000"/>
                <w:kern w:val="0"/>
                <w:sz w:val="24"/>
                <w:szCs w:val="24"/>
                <w:highlight w:val="yellow"/>
              </w:rPr>
              <w:t>提供产品功能截图。</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highlight w:val="yellow"/>
              </w:rPr>
              <w:t>超融合内虚拟化产品具备国家信息安全测评中心EAL3+《信息技术产品安全测评证书》并提供相关证明材料。</w:t>
            </w:r>
          </w:p>
        </w:tc>
      </w:tr>
    </w:tbl>
    <w:p>
      <w:pPr>
        <w:pStyle w:val="38"/>
        <w:numPr>
          <w:ilvl w:val="0"/>
          <w:numId w:val="0"/>
        </w:numPr>
        <w:spacing w:line="480" w:lineRule="auto"/>
        <w:ind w:leftChars="0"/>
        <w:jc w:val="both"/>
        <w:rPr>
          <w:rFonts w:hint="eastAsia" w:ascii="仿宋" w:hAnsi="仿宋" w:eastAsia="仿宋" w:cs="仿宋"/>
          <w:b/>
          <w:bCs/>
          <w:sz w:val="28"/>
          <w:szCs w:val="28"/>
          <w:vertAlign w:val="baseline"/>
          <w:lang w:val="en-US" w:eastAsia="zh-Hans"/>
        </w:rPr>
      </w:pPr>
      <w:r>
        <w:rPr>
          <w:rFonts w:hint="eastAsia" w:ascii="仿宋" w:hAnsi="仿宋" w:eastAsia="仿宋" w:cs="仿宋"/>
          <w:b/>
          <w:bCs/>
          <w:sz w:val="28"/>
          <w:szCs w:val="28"/>
          <w:vertAlign w:val="baseline"/>
          <w:lang w:val="en-US" w:eastAsia="zh-CN"/>
        </w:rPr>
        <w:t>四、其他</w:t>
      </w:r>
      <w:r>
        <w:rPr>
          <w:rFonts w:hint="eastAsia" w:ascii="仿宋" w:hAnsi="仿宋" w:eastAsia="仿宋" w:cs="仿宋"/>
          <w:b/>
          <w:bCs/>
          <w:sz w:val="28"/>
          <w:szCs w:val="28"/>
          <w:vertAlign w:val="baseline"/>
          <w:lang w:val="en-US" w:eastAsia="zh-Hans"/>
        </w:rPr>
        <w:t>要求</w:t>
      </w:r>
    </w:p>
    <w:p>
      <w:pPr>
        <w:autoSpaceDE w:val="0"/>
        <w:autoSpaceDN w:val="0"/>
        <w:adjustRightInd w:val="0"/>
        <w:snapToGrid w:val="0"/>
        <w:spacing w:line="360" w:lineRule="auto"/>
        <w:rPr>
          <w:rFonts w:hint="eastAsia" w:ascii="宋体" w:hAnsi="宋体" w:eastAsia="宋体" w:cs="Arial"/>
          <w:b/>
          <w:bCs w:val="0"/>
          <w:sz w:val="20"/>
          <w:szCs w:val="20"/>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宋体" w:hAnsi="宋体" w:eastAsia="宋体" w:cs="Arial"/>
          <w:b/>
          <w:bCs w:val="0"/>
          <w:kern w:val="0"/>
          <w:sz w:val="20"/>
          <w:szCs w:val="20"/>
          <w:highlight w:val="none"/>
          <w:lang w:val="en-US" w:eastAsia="zh-CN" w:bidi="ar"/>
        </w:rPr>
        <w:t xml:space="preserve"> </w:t>
      </w:r>
      <w:r>
        <w:rPr>
          <w:rFonts w:hint="eastAsia" w:ascii="仿宋" w:hAnsi="仿宋" w:eastAsia="仿宋" w:cs="仿宋"/>
          <w:b/>
          <w:bCs/>
          <w:color w:val="auto"/>
          <w:sz w:val="24"/>
          <w:szCs w:val="24"/>
          <w:highlight w:val="none"/>
          <w:lang w:val="en-US" w:eastAsia="zh-CN"/>
        </w:rPr>
        <w:t>交付使用要求</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highlight w:val="none"/>
          <w:lang w:val="en-US" w:eastAsia="zh-CN" w:bidi="ar-SA"/>
        </w:rPr>
      </w:pPr>
      <w:r>
        <w:rPr>
          <w:rFonts w:hint="eastAsia" w:ascii="仿宋" w:hAnsi="仿宋" w:eastAsia="仿宋" w:cs="仿宋"/>
          <w:sz w:val="24"/>
          <w:szCs w:val="20"/>
          <w:highlight w:val="none"/>
          <w:lang w:val="en-US" w:eastAsia="zh-CN" w:bidi="ar-SA"/>
        </w:rPr>
        <w:t>（1）交付使用期：合同签订后30天内完成开发、调试及培训。</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highlight w:val="none"/>
          <w:lang w:val="en-US" w:eastAsia="zh-CN" w:bidi="ar-SA"/>
        </w:rPr>
      </w:pPr>
      <w:r>
        <w:rPr>
          <w:rFonts w:hint="eastAsia" w:ascii="仿宋" w:hAnsi="仿宋" w:eastAsia="仿宋" w:cs="仿宋"/>
          <w:sz w:val="24"/>
          <w:szCs w:val="20"/>
          <w:highlight w:val="none"/>
          <w:lang w:val="en-US" w:eastAsia="zh-CN" w:bidi="ar-SA"/>
        </w:rPr>
        <w:t>（2）交货地点：采购人指定地点。</w:t>
      </w:r>
    </w:p>
    <w:p>
      <w:pPr>
        <w:pStyle w:val="34"/>
        <w:keepNext w:val="0"/>
        <w:keepLines w:val="0"/>
        <w:widowControl/>
        <w:suppressLineNumbers w:val="0"/>
        <w:autoSpaceDE w:val="0"/>
        <w:autoSpaceDN w:val="0"/>
        <w:spacing w:before="0" w:beforeAutospacing="0" w:after="0" w:afterAutospacing="0" w:line="360" w:lineRule="auto"/>
        <w:ind w:left="0" w:leftChars="0" w:right="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（二）售后服务要求</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highlight w:val="none"/>
          <w:lang w:val="en-US" w:eastAsia="zh-CN" w:bidi="ar-SA"/>
        </w:rPr>
      </w:pPr>
      <w:r>
        <w:rPr>
          <w:rFonts w:hint="eastAsia" w:ascii="仿宋" w:hAnsi="仿宋" w:eastAsia="仿宋" w:cs="仿宋"/>
          <w:sz w:val="24"/>
          <w:szCs w:val="20"/>
          <w:highlight w:val="none"/>
          <w:lang w:val="en-US" w:eastAsia="zh-CN" w:bidi="ar-SA"/>
        </w:rPr>
        <w:t>（1）硬件服务期软5年，软件服务件提供3年及以上免费升级及维护服务。</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lang w:val="en-US" w:eastAsia="zh-CN" w:bidi="ar-SA"/>
        </w:rPr>
      </w:pPr>
      <w:r>
        <w:rPr>
          <w:rFonts w:hint="eastAsia" w:ascii="仿宋" w:hAnsi="仿宋" w:eastAsia="仿宋" w:cs="仿宋"/>
          <w:sz w:val="24"/>
          <w:szCs w:val="20"/>
          <w:lang w:val="en-US" w:eastAsia="zh-CN" w:bidi="ar-SA"/>
        </w:rPr>
        <w:t>（2）保修期内，所有软件系统维护均为免费。</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lang w:val="en-US" w:eastAsia="zh-CN" w:bidi="ar-SA"/>
        </w:rPr>
      </w:pPr>
      <w:r>
        <w:rPr>
          <w:rFonts w:hint="eastAsia" w:ascii="仿宋" w:hAnsi="仿宋" w:eastAsia="仿宋" w:cs="仿宋"/>
          <w:sz w:val="24"/>
          <w:szCs w:val="20"/>
          <w:lang w:val="en-US" w:eastAsia="zh-CN" w:bidi="ar-SA"/>
        </w:rPr>
        <w:t>（3）故障报修的响应时间：质保期内需提供7x24小时的电话和远程支持。若电话中无法解决，4小时内到达现场进行维护。</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lang w:val="en-US" w:eastAsia="zh-CN" w:bidi="ar-SA"/>
        </w:rPr>
      </w:pPr>
      <w:r>
        <w:rPr>
          <w:rFonts w:hint="eastAsia" w:ascii="仿宋" w:hAnsi="仿宋" w:eastAsia="仿宋" w:cs="仿宋"/>
          <w:sz w:val="24"/>
          <w:szCs w:val="20"/>
          <w:lang w:val="en-US" w:eastAsia="zh-CN" w:bidi="ar-SA"/>
        </w:rPr>
        <w:t>（4）保修期内，所有设备维修服务均为上门服务，由此产生的费用均不再收取。</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lang w:val="en-US" w:eastAsia="zh-CN" w:bidi="ar-SA"/>
        </w:rPr>
      </w:pPr>
      <w:r>
        <w:rPr>
          <w:rFonts w:hint="eastAsia" w:ascii="仿宋" w:hAnsi="仿宋" w:eastAsia="仿宋" w:cs="仿宋"/>
          <w:sz w:val="24"/>
          <w:szCs w:val="20"/>
          <w:lang w:val="en-US" w:eastAsia="zh-CN" w:bidi="ar-SA"/>
        </w:rPr>
        <w:t>（5）需提供系统扩充、升级方面的技术支持服务。</w:t>
      </w:r>
    </w:p>
    <w:p>
      <w:pPr>
        <w:pStyle w:val="34"/>
        <w:keepNext w:val="0"/>
        <w:keepLines w:val="0"/>
        <w:widowControl/>
        <w:suppressLineNumbers w:val="0"/>
        <w:autoSpaceDE w:val="0"/>
        <w:autoSpaceDN w:val="0"/>
        <w:spacing w:before="0" w:beforeAutospacing="0" w:after="0" w:afterAutospacing="0" w:line="360" w:lineRule="auto"/>
        <w:ind w:left="0" w:leftChars="0" w:right="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（四）培训</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0"/>
          <w:lang w:val="en-US" w:eastAsia="zh-CN" w:bidi="ar-SA"/>
        </w:rPr>
      </w:pPr>
      <w:r>
        <w:rPr>
          <w:rFonts w:hint="eastAsia" w:ascii="仿宋" w:hAnsi="仿宋" w:eastAsia="仿宋" w:cs="仿宋"/>
          <w:sz w:val="24"/>
          <w:szCs w:val="20"/>
          <w:lang w:val="en-US" w:eastAsia="zh-CN" w:bidi="ar-SA"/>
        </w:rPr>
        <w:t>为了保证培训与实际应用的结合，要求中标人负责派出专业技术工程师在系统实施现场对采购人进行</w:t>
      </w:r>
      <w:r>
        <w:rPr>
          <w:rFonts w:hint="eastAsia" w:ascii="仿宋" w:hAnsi="仿宋" w:eastAsia="仿宋" w:cs="仿宋"/>
          <w:sz w:val="24"/>
          <w:szCs w:val="20"/>
          <w:u w:val="none"/>
          <w:lang w:val="en-US" w:eastAsia="zh-CN" w:bidi="ar-SA"/>
        </w:rPr>
        <w:t>3</w:t>
      </w:r>
      <w:r>
        <w:rPr>
          <w:rFonts w:hint="eastAsia" w:ascii="仿宋" w:hAnsi="仿宋" w:eastAsia="仿宋" w:cs="仿宋"/>
          <w:sz w:val="24"/>
          <w:szCs w:val="20"/>
          <w:lang w:val="en-US" w:eastAsia="zh-CN" w:bidi="ar-SA"/>
        </w:rPr>
        <w:t>次免费现场培训，培训内容包括：</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lang w:val="en-US" w:eastAsia="zh-CN" w:bidi="ar-SA"/>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（1）</w:t>
      </w:r>
      <w:r>
        <w:rPr>
          <w:rFonts w:hint="eastAsia" w:ascii="仿宋" w:hAnsi="仿宋" w:eastAsia="仿宋" w:cs="仿宋"/>
          <w:sz w:val="24"/>
          <w:szCs w:val="20"/>
          <w:lang w:val="en-US" w:eastAsia="zh-CN" w:bidi="ar-SA"/>
        </w:rPr>
        <w:t>培训业务人员，使他们熟练操作软件的各项功能,掌握设备业务的操作技能；</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4"/>
          <w:szCs w:val="20"/>
          <w:lang w:val="en-US" w:eastAsia="zh-CN" w:bidi="ar-SA"/>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（2）</w:t>
      </w:r>
      <w:r>
        <w:rPr>
          <w:rFonts w:hint="eastAsia" w:ascii="仿宋" w:hAnsi="仿宋" w:eastAsia="仿宋" w:cs="仿宋"/>
          <w:sz w:val="24"/>
          <w:szCs w:val="20"/>
          <w:lang w:val="en-US" w:eastAsia="zh-CN" w:bidi="ar-SA"/>
        </w:rPr>
        <w:t>培训技术人员，为用户培训相应的维护人员，便于维护日常系统，包括系统网络、系统软件、系统维护及相关技术。</w:t>
      </w:r>
    </w:p>
    <w:p>
      <w:pPr>
        <w:pStyle w:val="34"/>
        <w:keepNext w:val="0"/>
        <w:keepLines w:val="0"/>
        <w:widowControl/>
        <w:suppressLineNumbers w:val="0"/>
        <w:autoSpaceDE w:val="0"/>
        <w:autoSpaceDN w:val="0"/>
        <w:spacing w:before="0" w:beforeAutospacing="0" w:after="0" w:afterAutospacing="0" w:line="360" w:lineRule="auto"/>
        <w:ind w:left="0" w:leftChars="0" w:right="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（五）验收要求：</w:t>
      </w:r>
    </w:p>
    <w:p>
      <w:pPr>
        <w:widowControl/>
        <w:autoSpaceDE/>
        <w:autoSpaceDN/>
        <w:adjustRightInd/>
        <w:spacing w:line="360" w:lineRule="auto"/>
        <w:ind w:left="0" w:leftChars="0" w:firstLine="0" w:firstLineChars="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（1）标准：货物及服务应符合招标文件的技术规格所述的标准。</w:t>
      </w:r>
    </w:p>
    <w:p>
      <w:pPr>
        <w:widowControl/>
        <w:autoSpaceDE/>
        <w:autoSpaceDN/>
        <w:adjustRightInd/>
        <w:spacing w:line="360" w:lineRule="auto"/>
        <w:ind w:left="0" w:leftChars="0" w:firstLine="0" w:firstLineChars="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（2）国内产品或合资厂的产品必须具备出厂合格证。</w:t>
      </w:r>
    </w:p>
    <w:p>
      <w:pPr>
        <w:widowControl/>
        <w:autoSpaceDE/>
        <w:autoSpaceDN/>
        <w:adjustRightInd/>
        <w:spacing w:line="360" w:lineRule="auto"/>
        <w:ind w:left="0" w:leftChars="0" w:firstLine="0" w:firstLineChars="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（3）中标供应商应将所供物品的用户手册、保修手册、有关资料及配件、随机工具、符合信创要求的报告等交付给采购人。</w:t>
      </w:r>
    </w:p>
    <w:p>
      <w:pPr>
        <w:widowControl/>
        <w:autoSpaceDE/>
        <w:autoSpaceDN/>
        <w:adjustRightInd/>
        <w:spacing w:line="360" w:lineRule="auto"/>
        <w:ind w:left="0" w:leftChars="0" w:firstLine="0" w:firstLineChars="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（4）根据故障诊断报告、系统维护和故障恢复的实施计划、维护工作阶段报告和系统维护工作报告，和用户共同制定测试计划，并依此为据进行测试，提交测试报告和验收报告。</w:t>
      </w:r>
    </w:p>
    <w:p>
      <w:pPr>
        <w:widowControl/>
        <w:autoSpaceDE/>
        <w:autoSpaceDN/>
        <w:adjustRightInd/>
        <w:spacing w:line="360" w:lineRule="auto"/>
        <w:ind w:left="0" w:leftChars="0" w:firstLine="0" w:firstLineChars="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（5）验收应在双方共同参加下进行，依据招标文件及合同的有关规定制定的方案进行验收，并按国家有关规定、规范进行。</w:t>
      </w:r>
    </w:p>
    <w:p>
      <w:pPr>
        <w:widowControl/>
        <w:autoSpaceDE/>
        <w:autoSpaceDN/>
        <w:adjustRightInd/>
        <w:spacing w:line="360" w:lineRule="auto"/>
        <w:ind w:left="0" w:leftChars="0" w:firstLine="0" w:firstLineChars="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（6）采购人组织项目验收小组按国家有关规定、规范进行验收，必要时邀请相关专业人员或机构参与验收。</w:t>
      </w:r>
    </w:p>
    <w:p>
      <w:pPr>
        <w:keepNext w:val="0"/>
        <w:keepLines w:val="0"/>
        <w:widowControl w:val="0"/>
        <w:suppressLineNumbers w:val="0"/>
        <w:autoSpaceDE w:val="0"/>
        <w:autoSpaceDN w:val="0"/>
        <w:spacing w:before="0" w:beforeAutospacing="0" w:after="0" w:afterAutospacing="0" w:line="360" w:lineRule="auto"/>
        <w:ind w:right="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（7）对验收不合格的部分，中标供应商应在采购人规定时间内及时整改完善直至合格。</w:t>
      </w:r>
    </w:p>
    <w:p>
      <w:pPr>
        <w:pStyle w:val="34"/>
        <w:keepNext w:val="0"/>
        <w:keepLines w:val="0"/>
        <w:widowControl/>
        <w:suppressLineNumbers w:val="0"/>
        <w:autoSpaceDE w:val="0"/>
        <w:autoSpaceDN w:val="0"/>
        <w:spacing w:before="0" w:beforeAutospacing="0" w:after="0" w:afterAutospacing="0" w:line="360" w:lineRule="auto"/>
        <w:ind w:left="0" w:leftChars="0" w:right="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（六）信息安全及保密要求</w:t>
      </w:r>
    </w:p>
    <w:p>
      <w:pPr>
        <w:widowControl/>
        <w:autoSpaceDE/>
        <w:autoSpaceDN/>
        <w:adjustRightInd/>
        <w:spacing w:line="360" w:lineRule="auto"/>
        <w:ind w:left="0" w:leftChars="0" w:firstLine="398" w:firstLineChars="166"/>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1）中标人应严格遵守信息安全方面的规定，自觉保守信息资源秘密。项目成果以及采购人为方便项目实施所提供给中标人的相关资料文档，实施过程中所产生的资料、文档、数据、相关附属品均属于信息资源，中标人应保证这些信息在项目期间及项目完成后规定时间内的安全。中标人应建立并实际运行项目进展期间的信息安全管理规范，以确保项目启动、实施及完成后的信息安全。</w:t>
      </w:r>
    </w:p>
    <w:p>
      <w:pPr>
        <w:widowControl/>
        <w:autoSpaceDE/>
        <w:autoSpaceDN/>
        <w:adjustRightInd/>
        <w:spacing w:line="360" w:lineRule="auto"/>
        <w:ind w:left="0" w:leftChars="0" w:firstLine="398" w:firstLineChars="166"/>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（2）非经采购人书面许可，中标人不得以任何形式泄漏以上材料。因中标人原因导致上述资料、文档、数据安全受到威胁的，采购人有权要求中标人采取措施消除影响，并赔偿相应损失。</w:t>
      </w:r>
    </w:p>
    <w:p>
      <w:pPr>
        <w:widowControl/>
        <w:autoSpaceDE/>
        <w:autoSpaceDN/>
        <w:adjustRightInd/>
        <w:spacing w:line="360" w:lineRule="auto"/>
        <w:ind w:firstLine="480" w:firstLineChars="200"/>
        <w:jc w:val="left"/>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（3）中标人要承担合同履行时所要尽的一切保密义务。中标人对项目实施过程中的资料、数据进行保密，未经采购人书面同意不得泄露，且保密责任不因合同的中止或解除而失效。</w:t>
      </w:r>
    </w:p>
    <w:p>
      <w:pPr>
        <w:pStyle w:val="38"/>
        <w:numPr>
          <w:ilvl w:val="0"/>
          <w:numId w:val="0"/>
        </w:numPr>
        <w:spacing w:line="360" w:lineRule="auto"/>
        <w:ind w:leftChars="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四、商务要求</w:t>
      </w:r>
    </w:p>
    <w:p>
      <w:pPr>
        <w:pStyle w:val="38"/>
        <w:numPr>
          <w:ilvl w:val="0"/>
          <w:numId w:val="0"/>
        </w:numPr>
        <w:spacing w:line="360" w:lineRule="auto"/>
        <w:ind w:leftChars="0" w:firstLine="482" w:firstLineChars="200"/>
        <w:jc w:val="both"/>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rPr>
        <w:t>付款方式：</w:t>
      </w:r>
      <w:r>
        <w:rPr>
          <w:rFonts w:hint="eastAsia" w:ascii="仿宋" w:hAnsi="仿宋" w:eastAsia="仿宋" w:cs="仿宋"/>
          <w:sz w:val="24"/>
        </w:rPr>
        <w:t>合同生效以及具备实施条件后7个工作日内支付合同总额的</w:t>
      </w:r>
      <w:r>
        <w:rPr>
          <w:rFonts w:hint="eastAsia" w:ascii="仿宋" w:hAnsi="仿宋" w:eastAsia="仿宋" w:cs="仿宋"/>
          <w:sz w:val="24"/>
          <w:lang w:val="en-US" w:eastAsia="zh-CN"/>
        </w:rPr>
        <w:t>60</w:t>
      </w:r>
      <w:r>
        <w:rPr>
          <w:rFonts w:hint="eastAsia" w:ascii="仿宋" w:hAnsi="仿宋" w:eastAsia="仿宋" w:cs="仿宋"/>
          <w:sz w:val="24"/>
        </w:rPr>
        <w:t>%作为预付款，完成供货、安装、调试，项目验收合格且收到中标供应商开具的正规发票后15天内支付至合同金额的100%</w:t>
      </w:r>
      <w:r>
        <w:rPr>
          <w:rFonts w:hint="eastAsia" w:ascii="仿宋" w:hAnsi="仿宋" w:eastAsia="仿宋" w:cs="仿宋"/>
          <w:sz w:val="24"/>
          <w:lang w:eastAsia="zh-CN"/>
        </w:rPr>
        <w:t>。</w:t>
      </w:r>
    </w:p>
    <w:p>
      <w:pPr>
        <w:rPr>
          <w:rFonts w:hint="eastAsia" w:ascii="仿宋" w:hAnsi="仿宋" w:eastAsia="仿宋" w:cs="仿宋"/>
          <w:sz w:val="24"/>
          <w:szCs w:val="24"/>
        </w:rPr>
      </w:pPr>
    </w:p>
    <w:p>
      <w:pPr>
        <w:rPr>
          <w:rFonts w:hint="eastAsia" w:ascii="仿宋" w:hAnsi="仿宋" w:eastAsia="仿宋" w:cs="仿宋"/>
        </w:rPr>
      </w:pPr>
      <w:bookmarkStart w:id="66" w:name="_Toc32309"/>
      <w:r>
        <w:rPr>
          <w:rFonts w:hint="eastAsia" w:ascii="仿宋" w:hAnsi="仿宋" w:eastAsia="仿宋" w:cs="仿宋"/>
        </w:rPr>
        <w:br w:type="page"/>
      </w:r>
    </w:p>
    <w:p>
      <w:pPr>
        <w:pStyle w:val="2"/>
        <w:spacing w:line="360" w:lineRule="auto"/>
        <w:jc w:val="center"/>
        <w:rPr>
          <w:rFonts w:hint="eastAsia" w:ascii="仿宋" w:hAnsi="仿宋" w:eastAsia="仿宋" w:cs="仿宋"/>
        </w:rPr>
      </w:pPr>
      <w:r>
        <w:rPr>
          <w:rFonts w:hint="eastAsia" w:ascii="仿宋" w:hAnsi="仿宋" w:eastAsia="仿宋" w:cs="仿宋"/>
        </w:rPr>
        <w:t>第六部分  政府采购合同主要条款指引</w:t>
      </w:r>
      <w:bookmarkEnd w:id="66"/>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napToGrid w:val="0"/>
        <w:spacing w:line="360" w:lineRule="auto"/>
        <w:rPr>
          <w:rFonts w:hint="eastAsia" w:ascii="仿宋" w:hAnsi="仿宋" w:eastAsia="仿宋" w:cs="仿宋"/>
          <w:sz w:val="24"/>
          <w:lang w:val="zh-CN"/>
        </w:rPr>
      </w:pPr>
      <w:bookmarkStart w:id="67" w:name="_Toc108432323"/>
      <w:bookmarkStart w:id="68" w:name="_Toc505659180"/>
      <w:r>
        <w:rPr>
          <w:rFonts w:hint="eastAsia" w:ascii="仿宋" w:hAnsi="仿宋" w:eastAsia="仿宋" w:cs="仿宋"/>
          <w:sz w:val="24"/>
        </w:rPr>
        <w:t>项目名称：</w:t>
      </w:r>
      <w:r>
        <w:rPr>
          <w:rFonts w:hint="eastAsia" w:ascii="仿宋" w:hAnsi="仿宋" w:eastAsia="仿宋" w:cs="仿宋"/>
          <w:sz w:val="24"/>
          <w:lang w:val="zh-CN"/>
        </w:rPr>
        <w:t xml:space="preserve"> 台州市教育技术与信息中心超融合平台软硬件系统项目</w:t>
      </w:r>
    </w:p>
    <w:p>
      <w:pPr>
        <w:snapToGrid w:val="0"/>
        <w:spacing w:line="360" w:lineRule="auto"/>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b/>
          <w:sz w:val="24"/>
        </w:rPr>
        <w:t>TZFD(2024)-</w:t>
      </w:r>
      <w:r>
        <w:rPr>
          <w:rFonts w:hint="eastAsia" w:ascii="仿宋" w:hAnsi="仿宋" w:eastAsia="仿宋" w:cs="仿宋"/>
          <w:b/>
          <w:sz w:val="24"/>
          <w:lang w:eastAsia="zh-CN"/>
        </w:rPr>
        <w:t>1078号</w:t>
      </w:r>
    </w:p>
    <w:p>
      <w:pPr>
        <w:pStyle w:val="21"/>
        <w:snapToGrid w:val="0"/>
        <w:spacing w:before="120" w:after="120" w:line="360" w:lineRule="auto"/>
        <w:rPr>
          <w:rFonts w:hint="eastAsia" w:ascii="仿宋" w:hAnsi="仿宋" w:eastAsia="仿宋" w:cs="仿宋"/>
          <w:sz w:val="24"/>
        </w:rPr>
      </w:pPr>
      <w:r>
        <w:rPr>
          <w:rFonts w:hint="eastAsia" w:ascii="仿宋" w:hAnsi="仿宋" w:eastAsia="仿宋" w:cs="仿宋"/>
          <w:sz w:val="24"/>
        </w:rPr>
        <w:t xml:space="preserve">甲方：（采购人）                            所在地：                              </w:t>
      </w:r>
    </w:p>
    <w:p>
      <w:pPr>
        <w:pStyle w:val="21"/>
        <w:snapToGrid w:val="0"/>
        <w:spacing w:before="120" w:after="120" w:line="360" w:lineRule="auto"/>
        <w:rPr>
          <w:rFonts w:hint="eastAsia" w:ascii="仿宋" w:hAnsi="仿宋" w:eastAsia="仿宋" w:cs="仿宋"/>
          <w:sz w:val="24"/>
        </w:rPr>
      </w:pPr>
      <w:r>
        <w:rPr>
          <w:rFonts w:hint="eastAsia" w:ascii="仿宋" w:hAnsi="仿宋" w:eastAsia="仿宋" w:cs="仿宋"/>
          <w:sz w:val="24"/>
        </w:rPr>
        <w:t>乙方：（中标人）                            所在地：</w:t>
      </w:r>
    </w:p>
    <w:bookmarkEnd w:id="67"/>
    <w:bookmarkEnd w:id="68"/>
    <w:p>
      <w:pPr>
        <w:pStyle w:val="21"/>
        <w:snapToGrid w:val="0"/>
        <w:spacing w:before="120" w:after="120" w:line="360" w:lineRule="auto"/>
        <w:ind w:firstLine="480" w:firstLineChars="200"/>
        <w:rPr>
          <w:rFonts w:hint="eastAsia" w:ascii="仿宋" w:hAnsi="仿宋" w:eastAsia="仿宋" w:cs="仿宋"/>
          <w:b/>
          <w:sz w:val="24"/>
        </w:rPr>
      </w:pPr>
      <w:r>
        <w:rPr>
          <w:rFonts w:hint="eastAsia" w:ascii="仿宋" w:hAnsi="仿宋" w:eastAsia="仿宋" w:cs="仿宋"/>
          <w:sz w:val="24"/>
        </w:rPr>
        <w:t>甲、乙双方根据××（采购组织机构名称）关于××单位××项目</w:t>
      </w:r>
      <w:r>
        <w:rPr>
          <w:rFonts w:hint="eastAsia" w:ascii="仿宋" w:hAnsi="仿宋" w:eastAsia="仿宋" w:cs="仿宋"/>
          <w:sz w:val="24"/>
          <w:lang w:val="en-US" w:eastAsia="zh-CN"/>
        </w:rPr>
        <w:t>竞争性磋商</w:t>
      </w:r>
      <w:r>
        <w:rPr>
          <w:rFonts w:hint="eastAsia" w:ascii="仿宋" w:hAnsi="仿宋" w:eastAsia="仿宋" w:cs="仿宋"/>
          <w:sz w:val="24"/>
        </w:rPr>
        <w:t>的结果，签署本合同。</w:t>
      </w:r>
    </w:p>
    <w:p>
      <w:pPr>
        <w:spacing w:line="360" w:lineRule="auto"/>
        <w:outlineLvl w:val="2"/>
        <w:rPr>
          <w:rFonts w:hint="eastAsia" w:ascii="仿宋" w:hAnsi="仿宋" w:eastAsia="仿宋" w:cs="仿宋"/>
          <w:b/>
          <w:bCs/>
          <w:sz w:val="24"/>
          <w:lang w:val="zh-CN"/>
        </w:rPr>
      </w:pPr>
      <w:r>
        <w:rPr>
          <w:rFonts w:hint="eastAsia" w:ascii="仿宋" w:hAnsi="仿宋" w:eastAsia="仿宋" w:cs="仿宋"/>
          <w:b/>
          <w:bCs/>
          <w:sz w:val="24"/>
          <w:lang w:val="zh-CN"/>
        </w:rPr>
        <w:t xml:space="preserve">一、合同文件： </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1.合同条款。</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2.成交通知书。</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3.更正补充文件。</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4.磋商采购文件。</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5.成交供应商磋商响应文件。</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6.其他。</w:t>
      </w:r>
    </w:p>
    <w:p>
      <w:pPr>
        <w:pStyle w:val="21"/>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shd w:val="clear" w:color="auto" w:fill="FFFFFF"/>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二、合同内容及服务标准</w:t>
      </w:r>
    </w:p>
    <w:p>
      <w:pPr>
        <w:shd w:val="clear" w:color="auto" w:fill="FFFFFF"/>
        <w:spacing w:line="360" w:lineRule="auto"/>
        <w:ind w:firstLine="480" w:firstLineChars="200"/>
        <w:rPr>
          <w:rFonts w:hint="eastAsia" w:ascii="仿宋" w:hAnsi="仿宋" w:eastAsia="仿宋" w:cs="仿宋"/>
          <w:sz w:val="24"/>
        </w:rPr>
      </w:pPr>
      <w:r>
        <w:rPr>
          <w:rFonts w:hint="eastAsia" w:ascii="仿宋" w:hAnsi="仿宋" w:eastAsia="仿宋" w:cs="仿宋"/>
          <w:sz w:val="24"/>
        </w:rPr>
        <w:t>（具体见项目需求）</w:t>
      </w:r>
    </w:p>
    <w:p>
      <w:pPr>
        <w:pStyle w:val="21"/>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三、合同金额</w:t>
      </w:r>
    </w:p>
    <w:p>
      <w:pPr>
        <w:pStyle w:val="21"/>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本合同金额为（大写）：___________________元（￥________元）人民币。</w:t>
      </w:r>
    </w:p>
    <w:p>
      <w:pPr>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有关本项目实施所涉及的一切费用均计入报价，包括所有人员的人工费、交通费、住宿费、伙食费、办公设施费、管理费、利润、税金</w:t>
      </w:r>
      <w:r>
        <w:rPr>
          <w:rFonts w:hint="eastAsia" w:ascii="仿宋" w:hAnsi="仿宋" w:eastAsia="仿宋" w:cs="仿宋"/>
          <w:sz w:val="24"/>
          <w:szCs w:val="24"/>
          <w:highlight w:val="none"/>
          <w:lang w:val="en-US" w:eastAsia="zh-CN"/>
        </w:rPr>
        <w:t>及等保、密评、软测费用</w:t>
      </w:r>
      <w:r>
        <w:rPr>
          <w:rFonts w:hint="eastAsia" w:ascii="仿宋" w:hAnsi="仿宋" w:eastAsia="仿宋" w:cs="仿宋"/>
          <w:sz w:val="24"/>
          <w:szCs w:val="24"/>
          <w:highlight w:val="none"/>
          <w:lang w:val="zh-CN"/>
        </w:rPr>
        <w:t>等一切费用。</w:t>
      </w:r>
    </w:p>
    <w:p>
      <w:pPr>
        <w:pStyle w:val="22"/>
        <w:rPr>
          <w:rFonts w:hint="eastAsia" w:ascii="仿宋" w:hAnsi="仿宋" w:eastAsia="仿宋" w:cs="仿宋"/>
        </w:rPr>
      </w:pPr>
    </w:p>
    <w:p>
      <w:pPr>
        <w:pStyle w:val="21"/>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四、技术资料</w:t>
      </w:r>
    </w:p>
    <w:p>
      <w:pPr>
        <w:pStyle w:val="21"/>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1、乙方应按招标文件规定的时间向甲方提供有关技术资料。</w:t>
      </w:r>
    </w:p>
    <w:p>
      <w:pPr>
        <w:pStyle w:val="21"/>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eastAsia="zh-CN"/>
        </w:rPr>
        <w:t>五</w:t>
      </w:r>
      <w:r>
        <w:rPr>
          <w:rFonts w:hint="eastAsia" w:ascii="仿宋" w:hAnsi="仿宋" w:eastAsia="仿宋" w:cs="仿宋"/>
          <w:b/>
          <w:bCs/>
          <w:sz w:val="24"/>
          <w:lang w:val="zh-CN"/>
        </w:rPr>
        <w:t>、知识产权</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乙方应保证提供服务过程中不会侵犯任何第三方的知识产权。</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六、履约保证金</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rPr>
        <w:t>无</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七、转包或分包</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1.本合同范围的服务，应由乙方直接供应，不得转让他人供应；</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2.除非得到甲方的书面同意，乙方不得将本合同范围的服务全部或部分分包给他人供应；</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3.如有转让和未经甲方同意的分包行为，甲方有权解除合同，并追究乙方的违约责任。</w:t>
      </w:r>
    </w:p>
    <w:p>
      <w:pPr>
        <w:spacing w:line="360" w:lineRule="auto"/>
        <w:outlineLvl w:val="2"/>
        <w:rPr>
          <w:rFonts w:hint="eastAsia" w:ascii="仿宋" w:hAnsi="仿宋" w:eastAsia="仿宋" w:cs="仿宋"/>
          <w:b/>
          <w:bCs/>
          <w:sz w:val="24"/>
          <w:lang w:val="zh-CN" w:eastAsia="zh-CN"/>
        </w:rPr>
      </w:pPr>
      <w:r>
        <w:rPr>
          <w:rFonts w:hint="eastAsia" w:ascii="仿宋" w:hAnsi="仿宋" w:eastAsia="仿宋" w:cs="仿宋"/>
          <w:b/>
          <w:bCs/>
          <w:sz w:val="24"/>
          <w:lang w:val="zh-CN"/>
        </w:rPr>
        <w:t>八、</w:t>
      </w:r>
      <w:r>
        <w:rPr>
          <w:rFonts w:hint="eastAsia" w:ascii="仿宋" w:hAnsi="仿宋" w:eastAsia="仿宋" w:cs="仿宋"/>
          <w:b/>
          <w:bCs/>
          <w:sz w:val="24"/>
          <w:lang w:eastAsia="zh-CN"/>
        </w:rPr>
        <w:t>质量保证期</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1.</w:t>
      </w:r>
      <w:r>
        <w:rPr>
          <w:rFonts w:hint="eastAsia" w:ascii="仿宋" w:hAnsi="仿宋" w:eastAsia="仿宋" w:cs="仿宋"/>
          <w:color w:val="000000"/>
          <w:sz w:val="24"/>
          <w:lang w:eastAsia="zh-CN" w:bidi="ar"/>
        </w:rPr>
        <w:t>质保</w:t>
      </w:r>
      <w:r>
        <w:rPr>
          <w:rFonts w:hint="eastAsia" w:ascii="仿宋" w:hAnsi="仿宋" w:eastAsia="仿宋" w:cs="仿宋"/>
          <w:color w:val="000000"/>
          <w:sz w:val="24"/>
          <w:lang w:bidi="ar"/>
        </w:rPr>
        <w:t>期</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年。</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九、合同履行时间、履行方式及履行地点</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1.履行时间：</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2.履行方式：</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3.履行地点：</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十、款项支付</w:t>
      </w:r>
    </w:p>
    <w:p>
      <w:pPr>
        <w:pStyle w:val="4"/>
        <w:pageBreakBefore w:val="0"/>
        <w:widowControl/>
        <w:tabs>
          <w:tab w:val="left" w:pos="720"/>
        </w:tabs>
        <w:kinsoku/>
        <w:wordWrap/>
        <w:overflowPunct/>
        <w:topLinePunct w:val="0"/>
        <w:autoSpaceDE/>
        <w:autoSpaceDN/>
        <w:bidi w:val="0"/>
        <w:adjustRightInd/>
        <w:snapToGrid/>
        <w:spacing w:before="0" w:after="0"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color w:val="000000"/>
          <w:sz w:val="24"/>
          <w:lang w:bidi="ar"/>
        </w:rPr>
        <w:t>1、合同生效以及具备实施条件后7个工作日内支付合同总额的</w:t>
      </w:r>
      <w:r>
        <w:rPr>
          <w:rFonts w:hint="eastAsia" w:ascii="仿宋" w:hAnsi="仿宋" w:eastAsia="仿宋" w:cs="仿宋"/>
          <w:b w:val="0"/>
          <w:bCs w:val="0"/>
          <w:color w:val="000000"/>
          <w:sz w:val="24"/>
          <w:lang w:val="en-US" w:eastAsia="zh-CN" w:bidi="ar"/>
        </w:rPr>
        <w:t>60</w:t>
      </w:r>
      <w:r>
        <w:rPr>
          <w:rFonts w:hint="eastAsia" w:ascii="仿宋" w:hAnsi="仿宋" w:eastAsia="仿宋" w:cs="仿宋"/>
          <w:b w:val="0"/>
          <w:bCs w:val="0"/>
          <w:color w:val="000000"/>
          <w:sz w:val="24"/>
          <w:lang w:bidi="ar"/>
        </w:rPr>
        <w:t>%作为预付款，完成供货、安装、调试，项目验收合格且收到中标供应商开具的正规发票后15天内支付至合同金额的100%</w:t>
      </w:r>
      <w:r>
        <w:rPr>
          <w:rFonts w:hint="eastAsia" w:ascii="仿宋" w:hAnsi="仿宋" w:eastAsia="仿宋" w:cs="仿宋"/>
          <w:b w:val="0"/>
          <w:bCs w:val="0"/>
          <w:color w:val="000000"/>
          <w:sz w:val="24"/>
          <w:lang w:eastAsia="zh-CN" w:bidi="ar"/>
        </w:rPr>
        <w:t>。</w:t>
      </w:r>
    </w:p>
    <w:p>
      <w:pPr>
        <w:pageBreakBefore w:val="0"/>
        <w:widowControl/>
        <w:kinsoku/>
        <w:wordWrap/>
        <w:overflowPunct/>
        <w:topLinePunct w:val="0"/>
        <w:autoSpaceDE/>
        <w:autoSpaceDN/>
        <w:bidi w:val="0"/>
        <w:adjustRightInd/>
        <w:snapToGrid/>
        <w:spacing w:line="360" w:lineRule="auto"/>
        <w:ind w:right="60" w:firstLine="480" w:firstLineChars="200"/>
        <w:textAlignment w:val="auto"/>
        <w:rPr>
          <w:rFonts w:ascii="仿宋" w:hAnsi="仿宋" w:eastAsia="仿宋" w:cs="仿宋"/>
          <w:color w:val="000000"/>
          <w:sz w:val="24"/>
        </w:rPr>
      </w:pPr>
      <w:r>
        <w:rPr>
          <w:rFonts w:hint="eastAsia" w:ascii="仿宋" w:hAnsi="仿宋" w:eastAsia="仿宋" w:cs="仿宋"/>
          <w:color w:val="000000"/>
          <w:sz w:val="24"/>
        </w:rPr>
        <w:t>2、所有支付的费用不能超过本合同的总金额。</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十一、税费</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本合同执行中相关的一切税费均由乙方负担。</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十二、质量保证及后续服务</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1．乙方应按磋商采购文件规定向甲方提供服务。</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2．乙方提供的服务成果在服务质量保证期内发生故障，乙方应负责免费提供后续服务。对达不到要求者，根据实际情况，经双方协商，可按以下办法处理：</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⑴重做：由乙方承担所发生的全部费用。</w:t>
      </w:r>
    </w:p>
    <w:p>
      <w:pPr>
        <w:snapToGrid w:val="0"/>
        <w:spacing w:line="312" w:lineRule="auto"/>
        <w:ind w:firstLine="480" w:firstLineChars="200"/>
        <w:rPr>
          <w:rFonts w:ascii="仿宋" w:hAnsi="仿宋" w:eastAsia="仿宋" w:cs="仿宋"/>
          <w:color w:val="000000"/>
          <w:sz w:val="24"/>
        </w:rPr>
      </w:pPr>
      <w:r>
        <w:rPr>
          <w:rFonts w:hint="eastAsia" w:ascii="仿宋" w:hAnsi="仿宋" w:eastAsia="仿宋" w:cs="仿宋"/>
          <w:color w:val="000000"/>
          <w:sz w:val="24"/>
          <w:lang w:bidi="ar"/>
        </w:rPr>
        <w:t>⑵贬值处理：由甲乙双方合议定价。</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⑶解除合同。</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3．如在使用过程中发生问题，乙方在接到甲方通知后在</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小时内到达甲方现场。</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4．在服务质量保证期内，乙方应对出现的质量及安全问题负责处理解决并承担一切费用。</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十三、违约责任</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1．甲方无正当理由拒收接受服务的，甲方向乙方偿付合同款项百分之五作为违约金。</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2．甲方无故逾期验收和办理款项支付手续的,甲方应按逾期付款总额每日万分之五向乙方支付违约金。</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十四、不可抗力事件处理</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1．在合同有效期内，任何一方因不可抗力事件导致不能履行合同，则合同履行期可延长，其延长期与不可抗力影响期相同。</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2.不可抗力事件发生后，应立即通知对方，并寄送有关权威机构出具的证明。</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3．不可抗力事件延续120天以上，双方应通过友好协商，确定是否继续履行合同。</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十五、解决争议的方法</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1.如双方在履行合同时发生纠纷，应协商解决；协商不成时，可提请政府采购管理部门调解；调解不成的通过以下方式解决： 提交台州仲裁委员会仲裁。</w:t>
      </w:r>
    </w:p>
    <w:p>
      <w:pPr>
        <w:spacing w:line="360" w:lineRule="auto"/>
        <w:outlineLvl w:val="2"/>
        <w:rPr>
          <w:rFonts w:ascii="仿宋" w:hAnsi="仿宋" w:eastAsia="仿宋" w:cs="仿宋"/>
          <w:b/>
          <w:bCs/>
          <w:sz w:val="24"/>
          <w:lang w:val="zh-CN"/>
        </w:rPr>
      </w:pPr>
      <w:r>
        <w:rPr>
          <w:rFonts w:hint="eastAsia" w:ascii="仿宋" w:hAnsi="仿宋" w:eastAsia="仿宋" w:cs="仿宋"/>
          <w:b/>
          <w:bCs/>
          <w:sz w:val="24"/>
          <w:lang w:val="zh-CN"/>
        </w:rPr>
        <w:t>十六、合同生效及其它</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1.合同经双方法定代表人或授权代表签字并加盖单位公章后生效。</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2.本合同未尽事宜，遵照《中华人民共和国民法典》有关条文执行。</w:t>
      </w:r>
    </w:p>
    <w:p>
      <w:pPr>
        <w:widowControl w:val="0"/>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lang w:bidi="ar"/>
        </w:rPr>
        <w:t>3.本合同一式伍份。甲、乙双方各执贰份，采购组织机构执一份。本项目未尽事宜以磋商采购文件、磋商响应文件及澄清文件等为准。</w:t>
      </w:r>
    </w:p>
    <w:p>
      <w:pPr>
        <w:rPr>
          <w:rFonts w:hint="eastAsia" w:ascii="仿宋" w:hAnsi="仿宋" w:eastAsia="仿宋" w:cs="仿宋"/>
          <w:b/>
          <w:snapToGrid w:val="0"/>
          <w:sz w:val="24"/>
        </w:rPr>
      </w:pPr>
    </w:p>
    <w:tbl>
      <w:tblPr>
        <w:tblStyle w:val="39"/>
        <w:tblW w:w="9683" w:type="dxa"/>
        <w:jc w:val="center"/>
        <w:tblLayout w:type="fixed"/>
        <w:tblCellMar>
          <w:top w:w="0" w:type="dxa"/>
          <w:left w:w="108" w:type="dxa"/>
          <w:bottom w:w="0" w:type="dxa"/>
          <w:right w:w="108" w:type="dxa"/>
        </w:tblCellMar>
      </w:tblPr>
      <w:tblGrid>
        <w:gridCol w:w="4982"/>
        <w:gridCol w:w="4701"/>
      </w:tblGrid>
      <w:tr>
        <w:tblPrEx>
          <w:tblCellMar>
            <w:top w:w="0" w:type="dxa"/>
            <w:left w:w="108" w:type="dxa"/>
            <w:bottom w:w="0" w:type="dxa"/>
            <w:right w:w="108" w:type="dxa"/>
          </w:tblCellMar>
        </w:tblPrEx>
        <w:trPr>
          <w:trHeight w:val="8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甲方（公章）：台州市教育技术与信息中心</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乙方（公章）：</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或委托代理人（签字或盖章）：</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或委托代理人（签字或盖章）：</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联系电话： </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联系电话：</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开户银行： </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开户银行：</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账号： </w:t>
            </w:r>
          </w:p>
        </w:tc>
        <w:tc>
          <w:tcPr>
            <w:tcW w:w="4701" w:type="dxa"/>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账号：</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地址： </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地址：</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邮编：</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邮编：</w:t>
            </w:r>
          </w:p>
        </w:tc>
      </w:tr>
      <w:tr>
        <w:tblPrEx>
          <w:tblCellMar>
            <w:top w:w="0" w:type="dxa"/>
            <w:left w:w="108" w:type="dxa"/>
            <w:bottom w:w="0" w:type="dxa"/>
            <w:right w:w="108" w:type="dxa"/>
          </w:tblCellMar>
        </w:tblPrEx>
        <w:trPr>
          <w:trHeight w:val="567" w:hRule="atLeast"/>
          <w:jc w:val="center"/>
        </w:trPr>
        <w:tc>
          <w:tcPr>
            <w:tcW w:w="4982"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签订地点：浙江省台州市椒江区 </w:t>
            </w:r>
          </w:p>
        </w:tc>
        <w:tc>
          <w:tcPr>
            <w:tcW w:w="4701" w:type="dxa"/>
          </w:tcPr>
          <w:p>
            <w:pPr>
              <w:pStyle w:val="106"/>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签订时间：202</w:t>
            </w:r>
            <w:r>
              <w:rPr>
                <w:rFonts w:hint="eastAsia" w:ascii="仿宋" w:hAnsi="仿宋" w:eastAsia="仿宋" w:cs="仿宋"/>
                <w:sz w:val="24"/>
                <w:szCs w:val="24"/>
                <w:lang w:val="en-US" w:eastAsia="zh-CN"/>
              </w:rPr>
              <w:t>4</w:t>
            </w:r>
            <w:r>
              <w:rPr>
                <w:rFonts w:hint="eastAsia" w:ascii="仿宋" w:hAnsi="仿宋" w:eastAsia="仿宋" w:cs="仿宋"/>
                <w:sz w:val="24"/>
                <w:szCs w:val="24"/>
              </w:rPr>
              <w:t>年    月    日</w:t>
            </w:r>
          </w:p>
        </w:tc>
      </w:tr>
    </w:tbl>
    <w:p>
      <w:pPr>
        <w:rPr>
          <w:rFonts w:hint="eastAsia" w:ascii="仿宋" w:hAnsi="仿宋" w:eastAsia="仿宋" w:cs="仿宋"/>
          <w:sz w:val="24"/>
        </w:rPr>
      </w:pPr>
    </w:p>
    <w:p>
      <w:pPr>
        <w:rPr>
          <w:rFonts w:hint="eastAsia" w:ascii="仿宋" w:hAnsi="仿宋" w:eastAsia="仿宋" w:cs="仿宋"/>
        </w:rPr>
      </w:pPr>
      <w:bookmarkStart w:id="69" w:name="_Toc9011"/>
      <w:r>
        <w:rPr>
          <w:rFonts w:hint="eastAsia" w:ascii="仿宋" w:hAnsi="仿宋" w:eastAsia="仿宋" w:cs="仿宋"/>
        </w:rPr>
        <w:br w:type="page"/>
      </w:r>
    </w:p>
    <w:p>
      <w:pPr>
        <w:pStyle w:val="2"/>
        <w:spacing w:line="360" w:lineRule="auto"/>
        <w:ind w:left="441"/>
        <w:jc w:val="center"/>
        <w:rPr>
          <w:rFonts w:hint="eastAsia" w:ascii="仿宋" w:hAnsi="仿宋" w:eastAsia="仿宋" w:cs="仿宋"/>
        </w:rPr>
      </w:pPr>
      <w:r>
        <w:rPr>
          <w:rFonts w:hint="eastAsia" w:ascii="仿宋" w:hAnsi="仿宋" w:eastAsia="仿宋" w:cs="仿宋"/>
        </w:rPr>
        <w:t>第七部分：响应文件格式附件</w:t>
      </w:r>
      <w:bookmarkEnd w:id="69"/>
    </w:p>
    <w:p>
      <w:pPr>
        <w:pStyle w:val="88"/>
        <w:ind w:left="420" w:firstLine="0" w:firstLineChars="0"/>
        <w:jc w:val="center"/>
        <w:rPr>
          <w:rFonts w:hint="eastAsia" w:ascii="仿宋" w:hAnsi="仿宋" w:eastAsia="仿宋" w:cs="仿宋"/>
          <w:sz w:val="22"/>
        </w:rPr>
      </w:pPr>
      <w:r>
        <w:rPr>
          <w:rFonts w:hint="eastAsia" w:ascii="仿宋" w:hAnsi="仿宋" w:eastAsia="仿宋" w:cs="仿宋"/>
          <w:b/>
          <w:bCs/>
          <w:sz w:val="22"/>
          <w:szCs w:val="21"/>
        </w:rPr>
        <w:t>说明：</w:t>
      </w:r>
      <w:r>
        <w:rPr>
          <w:rFonts w:hint="eastAsia" w:ascii="仿宋" w:hAnsi="仿宋" w:eastAsia="仿宋" w:cs="仿宋"/>
          <w:b/>
          <w:bCs/>
          <w:sz w:val="22"/>
          <w:szCs w:val="21"/>
          <w:u w:val="single"/>
        </w:rPr>
        <w:t>对本章所有的投标书格式 ，投标方可根据自身情况进行补充和修改，但补充和修改不得造成与本格式内容有实质性的违背。</w:t>
      </w:r>
    </w:p>
    <w:p>
      <w:pPr>
        <w:tabs>
          <w:tab w:val="left" w:pos="8280"/>
        </w:tabs>
        <w:autoSpaceDE w:val="0"/>
        <w:autoSpaceDN w:val="0"/>
        <w:adjustRightInd w:val="0"/>
        <w:spacing w:line="240" w:lineRule="atLeast"/>
        <w:ind w:right="25"/>
        <w:rPr>
          <w:rFonts w:hint="eastAsia" w:ascii="仿宋" w:hAnsi="仿宋" w:eastAsia="仿宋" w:cs="仿宋"/>
          <w:sz w:val="24"/>
        </w:rPr>
      </w:pPr>
    </w:p>
    <w:p>
      <w:pPr>
        <w:outlineLvl w:val="1"/>
        <w:rPr>
          <w:rFonts w:hint="eastAsia" w:ascii="仿宋" w:hAnsi="仿宋" w:eastAsia="仿宋" w:cs="仿宋"/>
          <w:b/>
          <w:sz w:val="28"/>
          <w:szCs w:val="28"/>
        </w:rPr>
      </w:pPr>
      <w:r>
        <w:rPr>
          <w:rFonts w:hint="eastAsia" w:ascii="仿宋" w:hAnsi="仿宋" w:eastAsia="仿宋" w:cs="仿宋"/>
          <w:b/>
          <w:sz w:val="28"/>
          <w:szCs w:val="28"/>
        </w:rPr>
        <w:t>附件1</w:t>
      </w:r>
      <w:r>
        <w:rPr>
          <w:rFonts w:hint="eastAsia" w:ascii="仿宋" w:hAnsi="仿宋" w:eastAsia="仿宋" w:cs="仿宋"/>
          <w:sz w:val="30"/>
          <w:szCs w:val="30"/>
        </w:rPr>
        <w:t xml:space="preserve"> 　　</w:t>
      </w:r>
    </w:p>
    <w:p>
      <w:pPr>
        <w:spacing w:line="360" w:lineRule="auto"/>
        <w:ind w:right="-110"/>
        <w:jc w:val="center"/>
        <w:rPr>
          <w:rFonts w:hint="eastAsia" w:ascii="仿宋" w:hAnsi="仿宋" w:eastAsia="仿宋" w:cs="仿宋"/>
          <w:spacing w:val="40"/>
          <w:sz w:val="52"/>
          <w:szCs w:val="52"/>
        </w:rPr>
      </w:pPr>
      <w:r>
        <w:rPr>
          <w:rFonts w:hint="eastAsia" w:ascii="仿宋" w:hAnsi="仿宋" w:eastAsia="仿宋" w:cs="仿宋"/>
          <w:spacing w:val="40"/>
          <w:sz w:val="52"/>
          <w:szCs w:val="52"/>
        </w:rPr>
        <w:t>项目名称</w:t>
      </w:r>
    </w:p>
    <w:p>
      <w:pPr>
        <w:spacing w:before="312" w:beforeLines="100" w:line="360" w:lineRule="auto"/>
        <w:ind w:right="-108" w:firstLine="1800" w:firstLineChars="500"/>
        <w:jc w:val="both"/>
        <w:rPr>
          <w:rFonts w:hint="eastAsia" w:ascii="仿宋" w:hAnsi="仿宋" w:eastAsia="仿宋" w:cs="仿宋"/>
          <w:sz w:val="36"/>
          <w:szCs w:val="36"/>
        </w:rPr>
      </w:pPr>
      <w:r>
        <w:rPr>
          <w:rFonts w:hint="eastAsia" w:ascii="仿宋" w:hAnsi="仿宋" w:eastAsia="仿宋" w:cs="仿宋"/>
          <w:sz w:val="36"/>
          <w:szCs w:val="36"/>
        </w:rPr>
        <w:t>项目编号：</w:t>
      </w:r>
    </w:p>
    <w:p>
      <w:pPr>
        <w:spacing w:after="100" w:afterAutospacing="1" w:line="800" w:lineRule="exact"/>
        <w:ind w:right="-108"/>
        <w:jc w:val="center"/>
        <w:rPr>
          <w:rFonts w:hint="eastAsia" w:ascii="仿宋" w:hAnsi="仿宋" w:eastAsia="仿宋" w:cs="仿宋"/>
          <w:b/>
          <w:spacing w:val="40"/>
          <w:sz w:val="72"/>
          <w:szCs w:val="72"/>
        </w:rPr>
      </w:pPr>
      <w:r>
        <w:rPr>
          <w:rFonts w:hint="eastAsia" w:ascii="仿宋" w:hAnsi="仿宋" w:eastAsia="仿宋" w:cs="仿宋"/>
          <w:b/>
          <w:spacing w:val="40"/>
          <w:sz w:val="72"/>
          <w:szCs w:val="72"/>
        </w:rPr>
        <w:t>磋</w:t>
      </w:r>
    </w:p>
    <w:p>
      <w:pPr>
        <w:spacing w:after="100" w:afterAutospacing="1" w:line="800" w:lineRule="exact"/>
        <w:ind w:right="-108"/>
        <w:jc w:val="center"/>
        <w:rPr>
          <w:rFonts w:hint="eastAsia" w:ascii="仿宋" w:hAnsi="仿宋" w:eastAsia="仿宋" w:cs="仿宋"/>
          <w:b/>
          <w:spacing w:val="40"/>
          <w:sz w:val="72"/>
          <w:szCs w:val="72"/>
        </w:rPr>
      </w:pPr>
      <w:r>
        <w:rPr>
          <w:rFonts w:hint="eastAsia" w:ascii="仿宋" w:hAnsi="仿宋" w:eastAsia="仿宋" w:cs="仿宋"/>
          <w:b/>
          <w:spacing w:val="40"/>
          <w:sz w:val="72"/>
          <w:szCs w:val="72"/>
        </w:rPr>
        <w:t>商</w:t>
      </w:r>
    </w:p>
    <w:p>
      <w:pPr>
        <w:spacing w:after="100" w:afterAutospacing="1" w:line="800" w:lineRule="exact"/>
        <w:ind w:right="-108"/>
        <w:jc w:val="center"/>
        <w:rPr>
          <w:rFonts w:hint="eastAsia" w:ascii="仿宋" w:hAnsi="仿宋" w:eastAsia="仿宋" w:cs="仿宋"/>
          <w:b/>
          <w:spacing w:val="40"/>
          <w:sz w:val="72"/>
          <w:szCs w:val="72"/>
        </w:rPr>
      </w:pPr>
      <w:r>
        <w:rPr>
          <w:rFonts w:hint="eastAsia" w:ascii="仿宋" w:hAnsi="仿宋" w:eastAsia="仿宋" w:cs="仿宋"/>
          <w:b/>
          <w:spacing w:val="40"/>
          <w:sz w:val="72"/>
          <w:szCs w:val="72"/>
        </w:rPr>
        <w:t>响</w:t>
      </w:r>
    </w:p>
    <w:p>
      <w:pPr>
        <w:spacing w:after="100" w:afterAutospacing="1" w:line="800" w:lineRule="exact"/>
        <w:ind w:right="-108"/>
        <w:jc w:val="center"/>
        <w:rPr>
          <w:rFonts w:hint="eastAsia" w:ascii="仿宋" w:hAnsi="仿宋" w:eastAsia="仿宋" w:cs="仿宋"/>
          <w:b/>
          <w:spacing w:val="40"/>
          <w:sz w:val="72"/>
          <w:szCs w:val="72"/>
        </w:rPr>
      </w:pPr>
      <w:r>
        <w:rPr>
          <w:rFonts w:hint="eastAsia" w:ascii="仿宋" w:hAnsi="仿宋" w:eastAsia="仿宋" w:cs="仿宋"/>
          <w:b/>
          <w:spacing w:val="40"/>
          <w:sz w:val="72"/>
          <w:szCs w:val="72"/>
        </w:rPr>
        <w:t>应</w:t>
      </w:r>
    </w:p>
    <w:p>
      <w:pPr>
        <w:spacing w:after="100" w:afterAutospacing="1" w:line="800" w:lineRule="exact"/>
        <w:ind w:right="-108"/>
        <w:jc w:val="center"/>
        <w:rPr>
          <w:rFonts w:hint="eastAsia" w:ascii="仿宋" w:hAnsi="仿宋" w:eastAsia="仿宋" w:cs="仿宋"/>
          <w:b/>
          <w:spacing w:val="40"/>
          <w:sz w:val="72"/>
          <w:szCs w:val="72"/>
        </w:rPr>
      </w:pPr>
      <w:r>
        <w:rPr>
          <w:rFonts w:hint="eastAsia" w:ascii="仿宋" w:hAnsi="仿宋" w:eastAsia="仿宋" w:cs="仿宋"/>
          <w:b/>
          <w:spacing w:val="40"/>
          <w:sz w:val="72"/>
          <w:szCs w:val="72"/>
        </w:rPr>
        <w:t>文</w:t>
      </w:r>
    </w:p>
    <w:p>
      <w:pPr>
        <w:spacing w:after="100" w:afterAutospacing="1" w:line="800" w:lineRule="exact"/>
        <w:ind w:right="-108"/>
        <w:jc w:val="center"/>
        <w:rPr>
          <w:rFonts w:hint="eastAsia" w:ascii="仿宋" w:hAnsi="仿宋" w:eastAsia="仿宋" w:cs="仿宋"/>
          <w:sz w:val="36"/>
          <w:szCs w:val="36"/>
        </w:rPr>
      </w:pPr>
      <w:r>
        <w:rPr>
          <w:rFonts w:hint="eastAsia" w:ascii="仿宋" w:hAnsi="仿宋" w:eastAsia="仿宋" w:cs="仿宋"/>
          <w:b/>
          <w:spacing w:val="40"/>
          <w:sz w:val="72"/>
          <w:szCs w:val="72"/>
        </w:rPr>
        <w:t>件</w:t>
      </w:r>
    </w:p>
    <w:p>
      <w:pPr>
        <w:spacing w:line="500" w:lineRule="exact"/>
        <w:ind w:right="532" w:firstLine="720" w:firstLineChars="200"/>
        <w:rPr>
          <w:rFonts w:hint="eastAsia" w:ascii="仿宋" w:hAnsi="仿宋" w:eastAsia="仿宋" w:cs="仿宋"/>
          <w:sz w:val="36"/>
          <w:szCs w:val="36"/>
        </w:rPr>
      </w:pPr>
      <w:r>
        <w:rPr>
          <w:rFonts w:hint="eastAsia" w:ascii="仿宋" w:hAnsi="仿宋" w:eastAsia="仿宋" w:cs="仿宋"/>
          <w:sz w:val="36"/>
          <w:szCs w:val="36"/>
        </w:rPr>
        <w:t>供应商全称（</w:t>
      </w:r>
      <w:r>
        <w:rPr>
          <w:rFonts w:hint="eastAsia" w:ascii="仿宋" w:hAnsi="仿宋" w:eastAsia="仿宋" w:cs="仿宋"/>
          <w:sz w:val="36"/>
          <w:szCs w:val="36"/>
          <w:lang w:val="en-US" w:eastAsia="zh-CN"/>
        </w:rPr>
        <w:t>印</w:t>
      </w:r>
      <w:r>
        <w:rPr>
          <w:rFonts w:hint="eastAsia" w:ascii="仿宋" w:hAnsi="仿宋" w:eastAsia="仿宋" w:cs="仿宋"/>
          <w:sz w:val="36"/>
          <w:szCs w:val="36"/>
        </w:rPr>
        <w:t>章</w:t>
      </w:r>
      <w:r>
        <w:rPr>
          <w:rFonts w:hint="eastAsia" w:ascii="仿宋" w:hAnsi="仿宋" w:eastAsia="仿宋" w:cs="仿宋"/>
          <w:sz w:val="36"/>
          <w:szCs w:val="36"/>
          <w:lang w:val="zh-CN"/>
        </w:rPr>
        <w:t>或电子章</w:t>
      </w:r>
      <w:r>
        <w:rPr>
          <w:rFonts w:hint="eastAsia" w:ascii="仿宋" w:hAnsi="仿宋" w:eastAsia="仿宋" w:cs="仿宋"/>
          <w:sz w:val="36"/>
          <w:szCs w:val="36"/>
        </w:rPr>
        <w:t>）：</w:t>
      </w:r>
    </w:p>
    <w:p>
      <w:pPr>
        <w:wordWrap w:val="0"/>
        <w:spacing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rPr>
        <w:t>地    址：</w:t>
      </w:r>
    </w:p>
    <w:p>
      <w:pPr>
        <w:wordWrap w:val="0"/>
        <w:spacing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rPr>
        <w:t>时    间：</w:t>
      </w:r>
    </w:p>
    <w:p>
      <w:pPr>
        <w:pStyle w:val="13"/>
        <w:rPr>
          <w:rFonts w:hint="eastAsia" w:ascii="仿宋" w:hAnsi="仿宋" w:eastAsia="仿宋" w:cs="仿宋"/>
          <w:b/>
        </w:rPr>
      </w:pPr>
    </w:p>
    <w:p>
      <w:pPr>
        <w:rPr>
          <w:rFonts w:hint="eastAsia" w:ascii="仿宋" w:hAnsi="仿宋" w:eastAsia="仿宋" w:cs="仿宋"/>
          <w:b/>
          <w:sz w:val="28"/>
        </w:rPr>
      </w:pPr>
    </w:p>
    <w:p>
      <w:pPr>
        <w:spacing w:line="360" w:lineRule="auto"/>
        <w:outlineLvl w:val="1"/>
        <w:rPr>
          <w:rStyle w:val="44"/>
          <w:rFonts w:hint="eastAsia" w:ascii="仿宋" w:hAnsi="仿宋" w:eastAsia="仿宋" w:cs="仿宋"/>
          <w:b/>
          <w:color w:val="auto"/>
          <w:sz w:val="32"/>
          <w:szCs w:val="32"/>
          <w:u w:val="none"/>
        </w:rPr>
      </w:pPr>
      <w:r>
        <w:rPr>
          <w:rFonts w:hint="eastAsia" w:ascii="仿宋" w:hAnsi="仿宋" w:eastAsia="仿宋" w:cs="仿宋"/>
          <w:b/>
          <w:sz w:val="28"/>
        </w:rPr>
        <w:t xml:space="preserve">附件2                 </w:t>
      </w:r>
      <w:r>
        <w:rPr>
          <w:rStyle w:val="44"/>
          <w:rFonts w:hint="eastAsia" w:ascii="仿宋" w:hAnsi="仿宋" w:eastAsia="仿宋" w:cs="仿宋"/>
          <w:b/>
          <w:color w:val="auto"/>
          <w:sz w:val="32"/>
          <w:szCs w:val="32"/>
          <w:u w:val="none"/>
        </w:rPr>
        <w:t>磋商声明书</w:t>
      </w:r>
    </w:p>
    <w:p>
      <w:pPr>
        <w:spacing w:line="360" w:lineRule="auto"/>
        <w:rPr>
          <w:rFonts w:hint="eastAsia" w:ascii="仿宋" w:hAnsi="仿宋" w:eastAsia="仿宋" w:cs="仿宋"/>
          <w:sz w:val="24"/>
          <w:szCs w:val="32"/>
          <w:u w:val="single"/>
        </w:rPr>
      </w:pPr>
      <w:r>
        <w:rPr>
          <w:rFonts w:hint="eastAsia" w:ascii="仿宋" w:hAnsi="仿宋" w:eastAsia="仿宋" w:cs="仿宋"/>
          <w:sz w:val="24"/>
          <w:u w:val="single"/>
        </w:rPr>
        <w:t>台州市教育技术与信息中心</w:t>
      </w:r>
      <w:r>
        <w:rPr>
          <w:rFonts w:hint="eastAsia" w:ascii="仿宋" w:hAnsi="仿宋" w:eastAsia="仿宋" w:cs="仿宋"/>
          <w:sz w:val="24"/>
          <w:szCs w:val="32"/>
          <w:u w:val="single"/>
        </w:rPr>
        <w:t>、台州锋鼎工程项目管理有限公司：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）的法定代表人（单位负责人），我公司自愿参加贵方组织的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台州市教育技术与信息中心超融合平台软硬件系统项目</w:t>
      </w:r>
      <w:r>
        <w:rPr>
          <w:rFonts w:hint="eastAsia" w:ascii="仿宋" w:hAnsi="仿宋" w:eastAsia="仿宋" w:cs="仿宋"/>
          <w:sz w:val="24"/>
          <w:szCs w:val="32"/>
        </w:rPr>
        <w:t>（编号为</w:t>
      </w:r>
      <w:r>
        <w:rPr>
          <w:rFonts w:hint="eastAsia" w:ascii="仿宋" w:hAnsi="仿宋" w:eastAsia="仿宋" w:cs="仿宋"/>
          <w:sz w:val="24"/>
          <w:szCs w:val="32"/>
          <w:u w:val="single"/>
        </w:rPr>
        <w:t>TZFD(2024)-</w:t>
      </w:r>
      <w:r>
        <w:rPr>
          <w:rFonts w:hint="eastAsia" w:ascii="仿宋" w:hAnsi="仿宋" w:eastAsia="仿宋" w:cs="仿宋"/>
          <w:sz w:val="24"/>
          <w:szCs w:val="32"/>
          <w:u w:val="single"/>
          <w:lang w:eastAsia="zh-CN"/>
        </w:rPr>
        <w:t>1078号</w:t>
      </w:r>
      <w:r>
        <w:rPr>
          <w:rFonts w:hint="eastAsia" w:ascii="仿宋" w:hAnsi="仿宋" w:eastAsia="仿宋" w:cs="仿宋"/>
          <w:sz w:val="24"/>
          <w:szCs w:val="32"/>
        </w:rPr>
        <w:t>）</w:t>
      </w:r>
      <w:r>
        <w:rPr>
          <w:rFonts w:hint="eastAsia" w:ascii="仿宋" w:hAnsi="仿宋" w:eastAsia="仿宋" w:cs="仿宋"/>
          <w:sz w:val="24"/>
        </w:rPr>
        <w:t>的磋商，为此，我公司就本次磋商有关事项郑重声明如下：</w:t>
      </w:r>
    </w:p>
    <w:p>
      <w:pPr>
        <w:widowControl w:val="0"/>
        <w:numPr>
          <w:ilvl w:val="0"/>
          <w:numId w:val="16"/>
        </w:num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widowControl w:val="0"/>
        <w:numPr>
          <w:ilvl w:val="0"/>
          <w:numId w:val="16"/>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w:t>
      </w:r>
      <w:r>
        <w:rPr>
          <w:rFonts w:hint="eastAsia" w:ascii="仿宋" w:hAnsi="仿宋" w:eastAsia="仿宋" w:cs="仿宋"/>
          <w:sz w:val="24"/>
          <w:lang w:val="zh-CN"/>
        </w:rPr>
        <w:t>公司</w:t>
      </w:r>
      <w:r>
        <w:rPr>
          <w:rFonts w:hint="eastAsia" w:ascii="仿宋" w:hAnsi="仿宋" w:eastAsia="仿宋" w:cs="仿宋"/>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仿宋" w:hAnsi="仿宋" w:eastAsia="仿宋" w:cs="仿宋"/>
          <w:sz w:val="24"/>
          <w:lang w:val="af-ZA"/>
        </w:rPr>
      </w:pPr>
      <w:r>
        <w:rPr>
          <w:rFonts w:hint="eastAsia" w:ascii="仿宋" w:hAnsi="仿宋" w:eastAsia="仿宋" w:cs="仿宋"/>
          <w:sz w:val="24"/>
        </w:rPr>
        <w:t>4、我</w:t>
      </w:r>
      <w:r>
        <w:rPr>
          <w:rFonts w:hint="eastAsia" w:ascii="仿宋" w:hAnsi="仿宋" w:eastAsia="仿宋" w:cs="仿宋"/>
          <w:sz w:val="24"/>
          <w:lang w:val="zh-CN"/>
        </w:rPr>
        <w:t>公司</w:t>
      </w:r>
      <w:r>
        <w:rPr>
          <w:rFonts w:hint="eastAsia" w:ascii="仿宋" w:hAnsi="仿宋" w:eastAsia="仿宋" w:cs="仿宋"/>
          <w:sz w:val="24"/>
        </w:rPr>
        <w:t>保证，</w:t>
      </w:r>
      <w:r>
        <w:rPr>
          <w:rFonts w:hint="eastAsia" w:ascii="仿宋" w:hAnsi="仿宋" w:eastAsia="仿宋" w:cs="仿宋"/>
          <w:sz w:val="24"/>
          <w:lang w:val="af-ZA"/>
        </w:rPr>
        <w:t>采购人在中华人民共和国境内使用</w:t>
      </w:r>
      <w:r>
        <w:rPr>
          <w:rFonts w:hint="eastAsia" w:ascii="仿宋" w:hAnsi="仿宋" w:eastAsia="仿宋" w:cs="仿宋"/>
          <w:sz w:val="24"/>
        </w:rPr>
        <w:t>我</w:t>
      </w:r>
      <w:r>
        <w:rPr>
          <w:rFonts w:hint="eastAsia" w:ascii="仿宋" w:hAnsi="仿宋" w:eastAsia="仿宋" w:cs="仿宋"/>
          <w:sz w:val="24"/>
          <w:lang w:val="zh-CN"/>
        </w:rPr>
        <w:t>公司</w:t>
      </w:r>
      <w:r>
        <w:rPr>
          <w:rFonts w:hint="eastAsia" w:ascii="仿宋" w:hAnsi="仿宋" w:eastAsia="仿宋" w:cs="仿宋"/>
          <w:sz w:val="24"/>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af-ZA"/>
        </w:rPr>
        <w:t>5、我</w:t>
      </w:r>
      <w:r>
        <w:rPr>
          <w:rFonts w:hint="eastAsia" w:ascii="仿宋" w:hAnsi="仿宋" w:eastAsia="仿宋" w:cs="仿宋"/>
          <w:sz w:val="24"/>
          <w:lang w:val="zh-CN"/>
        </w:rPr>
        <w:t>公司</w:t>
      </w:r>
      <w:r>
        <w:rPr>
          <w:rFonts w:hint="eastAsia" w:ascii="仿宋" w:hAnsi="仿宋" w:eastAsia="仿宋" w:cs="仿宋"/>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6、以上事项如有虚假或隐瞒，我</w:t>
      </w:r>
      <w:r>
        <w:rPr>
          <w:rFonts w:hint="eastAsia" w:ascii="仿宋" w:hAnsi="仿宋" w:eastAsia="仿宋" w:cs="仿宋"/>
          <w:sz w:val="24"/>
          <w:lang w:val="zh-CN"/>
        </w:rPr>
        <w:t>公司</w:t>
      </w:r>
      <w:r>
        <w:rPr>
          <w:rFonts w:hint="eastAsia" w:ascii="仿宋" w:hAnsi="仿宋" w:eastAsia="仿宋" w:cs="仿宋"/>
          <w:sz w:val="24"/>
        </w:rPr>
        <w:t>愿意承担一切后果，并不再寻求任何旨在减轻或免除法律责任的辩解。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本单位若违反以上承诺，将无条件接受项目主管部门和有关监督管理部门的调查，并愿意承担取消中标资格及限制在本地区参与投标等一切法律责任。</w:t>
      </w:r>
    </w:p>
    <w:p>
      <w:pPr>
        <w:adjustRightInd w:val="0"/>
        <w:snapToGrid w:val="0"/>
        <w:spacing w:line="360" w:lineRule="auto"/>
        <w:ind w:left="0" w:leftChars="0" w:firstLine="1800" w:firstLineChars="750"/>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ind w:left="0" w:leftChars="0" w:firstLine="1800" w:firstLineChars="750"/>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ind w:left="0" w:leftChars="0" w:firstLine="1800" w:firstLineChars="750"/>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adjustRightInd w:val="0"/>
        <w:snapToGrid w:val="0"/>
        <w:spacing w:line="360" w:lineRule="auto"/>
        <w:jc w:val="right"/>
        <w:rPr>
          <w:rFonts w:hint="eastAsia" w:ascii="仿宋" w:hAnsi="仿宋" w:eastAsia="仿宋" w:cs="仿宋"/>
          <w:b/>
          <w:sz w:val="28"/>
        </w:rPr>
      </w:pPr>
      <w:r>
        <w:rPr>
          <w:rFonts w:hint="eastAsia" w:ascii="仿宋" w:hAnsi="仿宋" w:eastAsia="仿宋" w:cs="仿宋"/>
          <w:b/>
          <w:sz w:val="28"/>
        </w:rPr>
        <w:br w:type="page"/>
      </w:r>
    </w:p>
    <w:p>
      <w:pPr>
        <w:pStyle w:val="3"/>
        <w:snapToGrid w:val="0"/>
        <w:spacing w:before="0" w:after="0"/>
        <w:rPr>
          <w:rFonts w:hint="eastAsia" w:ascii="仿宋" w:hAnsi="仿宋" w:eastAsia="仿宋" w:cs="仿宋"/>
        </w:rPr>
      </w:pPr>
      <w:r>
        <w:rPr>
          <w:rFonts w:hint="eastAsia" w:ascii="仿宋" w:hAnsi="仿宋" w:eastAsia="仿宋" w:cs="仿宋"/>
        </w:rPr>
        <w:t>附件3</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法人诚信投标承诺书</w:t>
      </w:r>
    </w:p>
    <w:p>
      <w:pPr>
        <w:adjustRightInd w:val="0"/>
        <w:snapToGrid w:val="0"/>
        <w:spacing w:line="586" w:lineRule="exact"/>
        <w:rPr>
          <w:rFonts w:hint="eastAsia" w:ascii="仿宋" w:hAnsi="仿宋" w:eastAsia="仿宋" w:cs="仿宋"/>
          <w:sz w:val="24"/>
          <w:szCs w:val="24"/>
        </w:rPr>
      </w:pPr>
      <w:r>
        <w:rPr>
          <w:rFonts w:hint="eastAsia" w:ascii="仿宋" w:hAnsi="仿宋" w:eastAsia="仿宋" w:cs="仿宋"/>
          <w:sz w:val="24"/>
          <w:szCs w:val="24"/>
        </w:rPr>
        <w:t>本人以企业法定代表人的身份郑重承诺：</w:t>
      </w:r>
    </w:p>
    <w:p>
      <w:pPr>
        <w:adjustRightInd w:val="0"/>
        <w:snapToGrid w:val="0"/>
        <w:spacing w:line="586" w:lineRule="exact"/>
        <w:ind w:left="428" w:leftChars="214"/>
        <w:rPr>
          <w:rFonts w:hint="eastAsia" w:ascii="仿宋" w:hAnsi="仿宋" w:eastAsia="仿宋" w:cs="仿宋"/>
          <w:sz w:val="24"/>
          <w:szCs w:val="24"/>
        </w:rPr>
      </w:pPr>
      <w:r>
        <w:rPr>
          <w:rFonts w:hint="eastAsia" w:ascii="仿宋" w:hAnsi="仿宋" w:eastAsia="仿宋" w:cs="仿宋"/>
          <w:sz w:val="24"/>
          <w:szCs w:val="24"/>
        </w:rPr>
        <w:t>一、将遵循公开、公平、公正和诚实信用的原则参加</w:t>
      </w:r>
      <w:r>
        <w:rPr>
          <w:rFonts w:hint="eastAsia" w:ascii="仿宋" w:hAnsi="仿宋" w:eastAsia="仿宋" w:cs="仿宋"/>
          <w:snapToGrid w:val="0"/>
          <w:sz w:val="24"/>
          <w:szCs w:val="24"/>
          <w:u w:val="single"/>
        </w:rPr>
        <w:t xml:space="preserve">              </w:t>
      </w:r>
      <w:r>
        <w:rPr>
          <w:rFonts w:hint="eastAsia" w:ascii="仿宋" w:hAnsi="仿宋" w:eastAsia="仿宋" w:cs="仿宋"/>
          <w:sz w:val="24"/>
          <w:szCs w:val="24"/>
        </w:rPr>
        <w:t>（项目名称）的投标；</w:t>
      </w:r>
    </w:p>
    <w:p>
      <w:pPr>
        <w:adjustRightInd w:val="0"/>
        <w:snapToGrid w:val="0"/>
        <w:spacing w:line="586" w:lineRule="exact"/>
        <w:ind w:firstLine="523" w:firstLineChars="218"/>
        <w:rPr>
          <w:rFonts w:hint="eastAsia" w:ascii="仿宋" w:hAnsi="仿宋" w:eastAsia="仿宋" w:cs="仿宋"/>
          <w:sz w:val="24"/>
          <w:szCs w:val="24"/>
        </w:rPr>
      </w:pPr>
      <w:r>
        <w:rPr>
          <w:rFonts w:hint="eastAsia" w:ascii="仿宋" w:hAnsi="仿宋" w:eastAsia="仿宋" w:cs="仿宋"/>
          <w:sz w:val="24"/>
          <w:szCs w:val="24"/>
        </w:rPr>
        <w:t>二、所提供的一切材料都是真实、有效、合法的；</w:t>
      </w:r>
    </w:p>
    <w:p>
      <w:pPr>
        <w:adjustRightInd w:val="0"/>
        <w:snapToGrid w:val="0"/>
        <w:spacing w:line="586" w:lineRule="exact"/>
        <w:ind w:firstLine="535" w:firstLineChars="223"/>
        <w:rPr>
          <w:rFonts w:hint="eastAsia" w:ascii="仿宋" w:hAnsi="仿宋" w:eastAsia="仿宋" w:cs="仿宋"/>
          <w:sz w:val="24"/>
          <w:szCs w:val="24"/>
        </w:rPr>
      </w:pPr>
      <w:r>
        <w:rPr>
          <w:rFonts w:hint="eastAsia" w:ascii="仿宋" w:hAnsi="仿宋" w:eastAsia="仿宋" w:cs="仿宋"/>
          <w:sz w:val="24"/>
          <w:szCs w:val="24"/>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hint="eastAsia" w:ascii="仿宋" w:hAnsi="仿宋" w:eastAsia="仿宋" w:cs="仿宋"/>
          <w:sz w:val="24"/>
          <w:szCs w:val="24"/>
        </w:rPr>
      </w:pPr>
      <w:r>
        <w:rPr>
          <w:rFonts w:hint="eastAsia" w:ascii="仿宋" w:hAnsi="仿宋" w:eastAsia="仿宋" w:cs="仿宋"/>
          <w:sz w:val="24"/>
          <w:szCs w:val="24"/>
        </w:rPr>
        <w:t>四、不与采购人或招标代理机构串通投标，损害国家利益、社会公共利益或者他人的合法权益；</w:t>
      </w:r>
    </w:p>
    <w:p>
      <w:pPr>
        <w:adjustRightInd w:val="0"/>
        <w:snapToGrid w:val="0"/>
        <w:spacing w:line="586" w:lineRule="exact"/>
        <w:ind w:firstLine="554" w:firstLineChars="231"/>
        <w:rPr>
          <w:rFonts w:hint="eastAsia" w:ascii="仿宋" w:hAnsi="仿宋" w:eastAsia="仿宋" w:cs="仿宋"/>
          <w:sz w:val="24"/>
          <w:szCs w:val="24"/>
        </w:rPr>
      </w:pPr>
      <w:r>
        <w:rPr>
          <w:rFonts w:hint="eastAsia" w:ascii="仿宋" w:hAnsi="仿宋" w:eastAsia="仿宋" w:cs="仿宋"/>
          <w:sz w:val="24"/>
          <w:szCs w:val="24"/>
        </w:rPr>
        <w:t>五、不向采购人或者评标委员会成员行贿以牟取中标；</w:t>
      </w:r>
    </w:p>
    <w:p>
      <w:pPr>
        <w:adjustRightInd w:val="0"/>
        <w:snapToGrid w:val="0"/>
        <w:spacing w:line="586" w:lineRule="exact"/>
        <w:ind w:firstLine="576" w:firstLineChars="240"/>
        <w:rPr>
          <w:rFonts w:hint="eastAsia" w:ascii="仿宋" w:hAnsi="仿宋" w:eastAsia="仿宋" w:cs="仿宋"/>
          <w:sz w:val="24"/>
          <w:szCs w:val="24"/>
        </w:rPr>
      </w:pPr>
      <w:r>
        <w:rPr>
          <w:rFonts w:hint="eastAsia" w:ascii="仿宋" w:hAnsi="仿宋" w:eastAsia="仿宋" w:cs="仿宋"/>
          <w:sz w:val="24"/>
          <w:szCs w:val="24"/>
        </w:rPr>
        <w:t>六、不以他人名义投标或者以其他方式弄虚作假，骗取中标。</w:t>
      </w:r>
    </w:p>
    <w:p>
      <w:pPr>
        <w:adjustRightInd w:val="0"/>
        <w:snapToGrid w:val="0"/>
        <w:spacing w:line="586" w:lineRule="exact"/>
        <w:ind w:firstLine="576" w:firstLineChars="240"/>
        <w:rPr>
          <w:rFonts w:hint="eastAsia" w:ascii="仿宋" w:hAnsi="仿宋" w:eastAsia="仿宋" w:cs="仿宋"/>
          <w:sz w:val="24"/>
          <w:szCs w:val="24"/>
        </w:rPr>
      </w:pPr>
      <w:r>
        <w:rPr>
          <w:rFonts w:hint="eastAsia" w:ascii="仿宋" w:hAnsi="仿宋" w:eastAsia="仿宋" w:cs="仿宋"/>
          <w:sz w:val="24"/>
          <w:szCs w:val="24"/>
        </w:rPr>
        <w:t>七、本公司（如联合体投标，为联合体双方）和项目负责人的投标资格均符合磋商文件规定，确实无误。</w:t>
      </w:r>
    </w:p>
    <w:p>
      <w:pPr>
        <w:adjustRightInd w:val="0"/>
        <w:snapToGrid w:val="0"/>
        <w:spacing w:line="586" w:lineRule="exact"/>
        <w:ind w:firstLine="619" w:firstLineChars="258"/>
        <w:rPr>
          <w:rFonts w:hint="eastAsia" w:ascii="仿宋" w:hAnsi="仿宋" w:eastAsia="仿宋" w:cs="仿宋"/>
          <w:sz w:val="24"/>
          <w:szCs w:val="24"/>
        </w:rPr>
      </w:pPr>
      <w:r>
        <w:rPr>
          <w:rFonts w:hint="eastAsia" w:ascii="仿宋" w:hAnsi="仿宋" w:eastAsia="仿宋" w:cs="仿宋"/>
          <w:sz w:val="24"/>
          <w:szCs w:val="24"/>
        </w:rPr>
        <w:t>本公司若有违反本承诺内容的行为，愿意承担法律责任，并愿意接受招投标行政监督部门的任何处理。如已中标的，自动放弃中标资格；给采购人造成损失的，依法承担赔偿责任。</w:t>
      </w:r>
    </w:p>
    <w:p>
      <w:pPr>
        <w:adjustRightInd w:val="0"/>
        <w:snapToGrid w:val="0"/>
        <w:spacing w:line="586" w:lineRule="exact"/>
        <w:ind w:firstLine="619" w:firstLineChars="258"/>
        <w:rPr>
          <w:rFonts w:hint="eastAsia" w:ascii="仿宋" w:hAnsi="仿宋" w:eastAsia="仿宋" w:cs="仿宋"/>
          <w:sz w:val="24"/>
          <w:szCs w:val="24"/>
        </w:rPr>
      </w:pPr>
    </w:p>
    <w:p>
      <w:pPr>
        <w:adjustRightInd w:val="0"/>
        <w:snapToGrid w:val="0"/>
        <w:spacing w:line="360" w:lineRule="auto"/>
        <w:ind w:left="0" w:leftChars="0" w:firstLine="2198" w:firstLineChars="916"/>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ind w:left="0" w:leftChars="0" w:firstLine="2198" w:firstLineChars="916"/>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ind w:left="0" w:leftChars="0" w:firstLine="2198" w:firstLineChars="916"/>
        <w:jc w:val="both"/>
        <w:rPr>
          <w:rFonts w:hint="eastAsia" w:ascii="仿宋" w:hAnsi="仿宋" w:eastAsia="仿宋" w:cs="仿宋"/>
          <w:b/>
          <w:sz w:val="28"/>
        </w:rPr>
      </w:pPr>
      <w:r>
        <w:rPr>
          <w:rFonts w:hint="eastAsia" w:ascii="仿宋" w:hAnsi="仿宋" w:eastAsia="仿宋" w:cs="仿宋"/>
          <w:sz w:val="24"/>
          <w:highlight w:val="none"/>
          <w:lang w:val="zh-CN"/>
        </w:rPr>
        <w:t>日期：</w:t>
      </w:r>
    </w:p>
    <w:p>
      <w:pPr>
        <w:adjustRightInd w:val="0"/>
        <w:snapToGrid w:val="0"/>
        <w:spacing w:line="360" w:lineRule="auto"/>
        <w:ind w:right="480"/>
        <w:rPr>
          <w:rFonts w:hint="eastAsia" w:ascii="仿宋" w:hAnsi="仿宋" w:eastAsia="仿宋" w:cs="仿宋"/>
          <w:b/>
          <w:sz w:val="28"/>
        </w:rPr>
      </w:pPr>
    </w:p>
    <w:p>
      <w:pPr>
        <w:rPr>
          <w:rFonts w:hint="eastAsia" w:ascii="仿宋" w:hAnsi="仿宋" w:eastAsia="仿宋" w:cs="仿宋"/>
          <w:b/>
          <w:sz w:val="28"/>
        </w:rPr>
      </w:pPr>
      <w:r>
        <w:rPr>
          <w:rFonts w:hint="eastAsia" w:ascii="仿宋" w:hAnsi="仿宋" w:eastAsia="仿宋" w:cs="仿宋"/>
          <w:b/>
          <w:sz w:val="28"/>
        </w:rPr>
        <w:br w:type="page"/>
      </w:r>
    </w:p>
    <w:p>
      <w:pPr>
        <w:adjustRightInd w:val="0"/>
        <w:snapToGrid w:val="0"/>
        <w:spacing w:line="360" w:lineRule="auto"/>
        <w:ind w:right="480"/>
        <w:outlineLvl w:val="1"/>
        <w:rPr>
          <w:rFonts w:hint="eastAsia" w:ascii="仿宋" w:hAnsi="仿宋" w:eastAsia="仿宋" w:cs="仿宋"/>
          <w:b/>
          <w:sz w:val="30"/>
          <w:szCs w:val="30"/>
        </w:rPr>
      </w:pPr>
      <w:r>
        <w:rPr>
          <w:rFonts w:hint="eastAsia" w:ascii="仿宋" w:hAnsi="仿宋" w:eastAsia="仿宋" w:cs="仿宋"/>
          <w:b/>
          <w:sz w:val="28"/>
        </w:rPr>
        <w:t>附件4</w:t>
      </w:r>
    </w:p>
    <w:p>
      <w:pPr>
        <w:spacing w:line="360" w:lineRule="auto"/>
        <w:ind w:firstLine="321" w:firstLineChars="100"/>
        <w:jc w:val="center"/>
        <w:rPr>
          <w:rFonts w:hint="eastAsia" w:ascii="仿宋" w:hAnsi="仿宋" w:eastAsia="仿宋" w:cs="仿宋"/>
          <w:b/>
          <w:sz w:val="32"/>
          <w:szCs w:val="32"/>
          <w:u w:val="single"/>
        </w:rPr>
      </w:pPr>
      <w:r>
        <w:rPr>
          <w:rFonts w:hint="eastAsia" w:ascii="仿宋" w:hAnsi="仿宋" w:eastAsia="仿宋" w:cs="仿宋"/>
          <w:b/>
          <w:sz w:val="32"/>
          <w:szCs w:val="32"/>
        </w:rPr>
        <w:t>授权委托书</w:t>
      </w:r>
    </w:p>
    <w:p>
      <w:pPr>
        <w:pStyle w:val="21"/>
        <w:spacing w:line="500" w:lineRule="exact"/>
        <w:ind w:firstLine="240" w:firstLineChars="100"/>
        <w:rPr>
          <w:rFonts w:hint="eastAsia" w:ascii="仿宋" w:hAnsi="仿宋" w:eastAsia="仿宋" w:cs="仿宋"/>
          <w:kern w:val="0"/>
          <w:sz w:val="24"/>
        </w:rPr>
      </w:pPr>
      <w:r>
        <w:rPr>
          <w:rFonts w:hint="eastAsia" w:ascii="仿宋" w:hAnsi="仿宋" w:eastAsia="仿宋" w:cs="仿宋"/>
          <w:sz w:val="24"/>
          <w:u w:val="single"/>
        </w:rPr>
        <w:t>台州市教育技术与信息中心、台州锋鼎工程项目管理有限公司</w:t>
      </w:r>
      <w:r>
        <w:rPr>
          <w:rFonts w:hint="eastAsia" w:ascii="仿宋" w:hAnsi="仿宋" w:eastAsia="仿宋" w:cs="仿宋"/>
          <w:kern w:val="0"/>
          <w:sz w:val="24"/>
        </w:rPr>
        <w:t>：</w:t>
      </w:r>
    </w:p>
    <w:p>
      <w:pPr>
        <w:pStyle w:val="21"/>
        <w:spacing w:line="500" w:lineRule="exact"/>
        <w:ind w:left="240" w:hanging="240" w:hangingChars="100"/>
        <w:rPr>
          <w:rFonts w:hint="eastAsia"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法定代表人（或营业执照中单位负责人）</w:t>
      </w:r>
      <w:r>
        <w:rPr>
          <w:rFonts w:hint="eastAsia" w:ascii="仿宋" w:hAnsi="仿宋" w:eastAsia="仿宋" w:cs="仿宋"/>
          <w:sz w:val="24"/>
          <w:u w:val="single"/>
        </w:rPr>
        <w:tab/>
      </w:r>
      <w:r>
        <w:rPr>
          <w:rFonts w:hint="eastAsia" w:ascii="仿宋" w:hAnsi="仿宋" w:eastAsia="仿宋" w:cs="仿宋"/>
          <w:sz w:val="24"/>
          <w:u w:val="single"/>
        </w:rPr>
        <w:t xml:space="preserve">（法定代表人或营业执照中单位负责人姓名） </w:t>
      </w:r>
      <w:r>
        <w:rPr>
          <w:rFonts w:hint="eastAsia" w:ascii="仿宋" w:hAnsi="仿宋" w:eastAsia="仿宋" w:cs="仿宋"/>
          <w:sz w:val="24"/>
        </w:rPr>
        <w:t>授权</w:t>
      </w:r>
      <w:r>
        <w:rPr>
          <w:rFonts w:hint="eastAsia" w:ascii="仿宋" w:hAnsi="仿宋" w:eastAsia="仿宋" w:cs="仿宋"/>
          <w:sz w:val="24"/>
          <w:u w:val="single"/>
        </w:rPr>
        <w:t xml:space="preserve">   （授权委托代理人姓名） </w:t>
      </w:r>
      <w:r>
        <w:rPr>
          <w:rFonts w:hint="eastAsia" w:ascii="仿宋" w:hAnsi="仿宋" w:eastAsia="仿宋" w:cs="仿宋"/>
          <w:sz w:val="24"/>
        </w:rPr>
        <w:t>为授权委托代理人，参加贵单位组织的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台州市教育技术与信息中心超融合平台软硬件系统项目</w:t>
      </w:r>
      <w:r>
        <w:rPr>
          <w:rFonts w:hint="eastAsia" w:ascii="仿宋" w:hAnsi="仿宋" w:eastAsia="仿宋" w:cs="仿宋"/>
          <w:sz w:val="24"/>
        </w:rPr>
        <w:t>的采购活动，并代表我方全权办理针对上述项目的磋商、签约等具体事务和签署相关文件。我方对授权委托代理人的签字事项负全部责任。</w:t>
      </w:r>
    </w:p>
    <w:p>
      <w:pPr>
        <w:pStyle w:val="21"/>
        <w:spacing w:line="500" w:lineRule="exact"/>
        <w:ind w:left="132" w:leftChars="66" w:firstLine="480" w:firstLineChars="200"/>
        <w:rPr>
          <w:rFonts w:hint="eastAsia" w:ascii="仿宋" w:hAnsi="仿宋" w:eastAsia="仿宋" w:cs="仿宋"/>
          <w:sz w:val="24"/>
        </w:rPr>
      </w:pPr>
      <w:r>
        <w:rPr>
          <w:rFonts w:hint="eastAsia" w:ascii="仿宋" w:hAnsi="仿宋" w:eastAsia="仿宋" w:cs="仿宋"/>
          <w:sz w:val="24"/>
        </w:rPr>
        <w:t>在撤销授权的书面通知以前，本授权书一直有效。授权委托代理人在授权委托书有效期内签署的所有文件不因授权的撤销而失效。</w:t>
      </w:r>
    </w:p>
    <w:p>
      <w:pPr>
        <w:pStyle w:val="21"/>
        <w:spacing w:line="500" w:lineRule="exact"/>
        <w:ind w:left="132" w:leftChars="66" w:firstLine="480" w:firstLineChars="200"/>
        <w:rPr>
          <w:rFonts w:hint="eastAsia" w:ascii="仿宋" w:hAnsi="仿宋" w:eastAsia="仿宋" w:cs="仿宋"/>
          <w:sz w:val="24"/>
        </w:rPr>
      </w:pPr>
      <w:r>
        <w:rPr>
          <w:rFonts w:hint="eastAsia" w:ascii="仿宋" w:hAnsi="仿宋" w:eastAsia="仿宋" w:cs="仿宋"/>
          <w:sz w:val="24"/>
        </w:rPr>
        <w:t>授权委托代理人无转委托权，特此委托。</w:t>
      </w:r>
    </w:p>
    <w:p>
      <w:pPr>
        <w:adjustRightInd w:val="0"/>
        <w:snapToGrid w:val="0"/>
        <w:spacing w:line="360" w:lineRule="auto"/>
        <w:ind w:firstLine="2400" w:firstLineChars="1000"/>
        <w:jc w:val="both"/>
        <w:rPr>
          <w:rFonts w:hint="eastAsia" w:ascii="仿宋" w:hAnsi="仿宋" w:eastAsia="仿宋" w:cs="仿宋"/>
          <w:sz w:val="24"/>
          <w:lang w:val="zh-CN"/>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sz w:val="24"/>
        </w:rPr>
      </w:pPr>
      <w:r>
        <w:rPr>
          <w:rFonts w:hint="eastAsia" w:ascii="仿宋" w:hAnsi="仿宋" w:eastAsia="仿宋" w:cs="仿宋"/>
          <w:b/>
          <w:sz w:val="24"/>
        </w:rPr>
        <w:t>附：</w:t>
      </w:r>
    </w:p>
    <w:tbl>
      <w:tblPr>
        <w:tblStyle w:val="3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widowControl/>
              <w:suppressLineNumbers w:val="0"/>
              <w:spacing w:before="0" w:beforeAutospacing="0" w:after="0" w:afterAutospacing="0" w:line="360" w:lineRule="auto"/>
              <w:ind w:left="0" w:right="0"/>
              <w:rPr>
                <w:rFonts w:hint="eastAsia" w:ascii="仿宋" w:hAnsi="仿宋" w:eastAsia="仿宋" w:cs="仿宋"/>
                <w:b/>
                <w:sz w:val="24"/>
                <w:szCs w:val="20"/>
              </w:rPr>
            </w:pPr>
          </w:p>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法定代表人（单位负责人）身份证复印件粘贴处</w:t>
            </w:r>
          </w:p>
        </w:tc>
      </w:tr>
    </w:tbl>
    <w:p>
      <w:pPr>
        <w:spacing w:line="360" w:lineRule="auto"/>
        <w:rPr>
          <w:rFonts w:hint="eastAsia" w:ascii="仿宋" w:hAnsi="仿宋" w:eastAsia="仿宋" w:cs="仿宋"/>
          <w:sz w:val="24"/>
        </w:rPr>
      </w:pPr>
      <w:r>
        <w:rPr>
          <w:rFonts w:hint="eastAsia" w:ascii="仿宋" w:hAnsi="仿宋" w:eastAsia="仿宋" w:cs="仿宋"/>
          <w:sz w:val="24"/>
        </w:rPr>
        <w:t xml:space="preserve">法定代表人（单位负责人）姓名：                                 </w:t>
      </w:r>
    </w:p>
    <w:p>
      <w:pPr>
        <w:spacing w:line="360" w:lineRule="auto"/>
        <w:rPr>
          <w:rFonts w:hint="eastAsia" w:ascii="仿宋" w:hAnsi="仿宋" w:eastAsia="仿宋" w:cs="仿宋"/>
          <w:sz w:val="24"/>
        </w:rPr>
      </w:pPr>
      <w:r>
        <w:rPr>
          <w:rFonts w:hint="eastAsia" w:ascii="仿宋" w:hAnsi="仿宋" w:eastAsia="仿宋" w:cs="仿宋"/>
          <w:sz w:val="24"/>
        </w:rPr>
        <w:t>传真：</w:t>
      </w:r>
    </w:p>
    <w:p>
      <w:pPr>
        <w:spacing w:line="360" w:lineRule="auto"/>
        <w:rPr>
          <w:rFonts w:hint="eastAsia" w:ascii="仿宋" w:hAnsi="仿宋" w:eastAsia="仿宋" w:cs="仿宋"/>
          <w:sz w:val="24"/>
        </w:rPr>
      </w:pPr>
      <w:r>
        <w:rPr>
          <w:rFonts w:hint="eastAsia" w:ascii="仿宋" w:hAnsi="仿宋" w:eastAsia="仿宋" w:cs="仿宋"/>
          <w:sz w:val="24"/>
        </w:rPr>
        <w:t>电话：</w:t>
      </w:r>
    </w:p>
    <w:p>
      <w:pPr>
        <w:spacing w:line="360" w:lineRule="auto"/>
        <w:rPr>
          <w:rFonts w:hint="eastAsia" w:ascii="仿宋" w:hAnsi="仿宋" w:eastAsia="仿宋" w:cs="仿宋"/>
          <w:sz w:val="24"/>
        </w:rPr>
      </w:pPr>
      <w:r>
        <w:rPr>
          <w:rFonts w:hint="eastAsia" w:ascii="仿宋" w:hAnsi="仿宋" w:eastAsia="仿宋" w:cs="仿宋"/>
          <w:sz w:val="24"/>
        </w:rPr>
        <w:t>详细通讯地址：</w:t>
      </w:r>
    </w:p>
    <w:p>
      <w:pPr>
        <w:spacing w:line="360" w:lineRule="auto"/>
        <w:rPr>
          <w:rFonts w:hint="eastAsia" w:ascii="仿宋" w:hAnsi="仿宋" w:eastAsia="仿宋" w:cs="仿宋"/>
          <w:sz w:val="24"/>
        </w:rPr>
      </w:pPr>
      <w:r>
        <w:rPr>
          <w:rFonts w:hint="eastAsia" w:ascii="仿宋" w:hAnsi="仿宋" w:eastAsia="仿宋" w:cs="仿宋"/>
          <w:sz w:val="24"/>
        </w:rPr>
        <w:t>邮政编码：</w:t>
      </w:r>
    </w:p>
    <w:p>
      <w:pPr>
        <w:spacing w:line="360" w:lineRule="auto"/>
        <w:rPr>
          <w:rFonts w:hint="eastAsia" w:ascii="仿宋" w:hAnsi="仿宋" w:eastAsia="仿宋" w:cs="仿宋"/>
          <w:b/>
          <w:sz w:val="24"/>
        </w:rPr>
      </w:pPr>
    </w:p>
    <w:tbl>
      <w:tblPr>
        <w:tblStyle w:val="3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widowControl/>
              <w:suppressLineNumbers w:val="0"/>
              <w:spacing w:before="0" w:beforeAutospacing="0" w:after="0" w:afterAutospacing="0" w:line="360" w:lineRule="auto"/>
              <w:ind w:left="0" w:right="0"/>
              <w:rPr>
                <w:rFonts w:hint="eastAsia" w:ascii="仿宋" w:hAnsi="仿宋" w:eastAsia="仿宋" w:cs="仿宋"/>
                <w:b/>
                <w:sz w:val="24"/>
                <w:szCs w:val="20"/>
              </w:rPr>
            </w:pPr>
          </w:p>
          <w:p>
            <w:pPr>
              <w:keepNext w:val="0"/>
              <w:keepLines w:val="0"/>
              <w:widowControl/>
              <w:suppressLineNumbers w:val="0"/>
              <w:spacing w:before="0" w:beforeAutospacing="0" w:after="0" w:afterAutospacing="0" w:line="360" w:lineRule="auto"/>
              <w:ind w:left="0" w:right="0"/>
              <w:rPr>
                <w:rFonts w:hint="eastAsia" w:ascii="仿宋" w:hAnsi="仿宋" w:eastAsia="仿宋" w:cs="仿宋"/>
                <w:b/>
                <w:sz w:val="24"/>
                <w:szCs w:val="20"/>
              </w:rPr>
            </w:pPr>
          </w:p>
          <w:p>
            <w:pPr>
              <w:keepNext w:val="0"/>
              <w:keepLines w:val="0"/>
              <w:widowControl/>
              <w:suppressLineNumbers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授权委托代理人身份证复印件粘贴处</w:t>
            </w:r>
          </w:p>
        </w:tc>
      </w:tr>
    </w:tbl>
    <w:p>
      <w:pPr>
        <w:spacing w:line="360" w:lineRule="auto"/>
        <w:rPr>
          <w:rFonts w:hint="eastAsia" w:ascii="仿宋" w:hAnsi="仿宋" w:eastAsia="仿宋" w:cs="仿宋"/>
          <w:sz w:val="24"/>
        </w:rPr>
      </w:pPr>
      <w:r>
        <w:rPr>
          <w:rFonts w:hint="eastAsia" w:ascii="仿宋" w:hAnsi="仿宋" w:eastAsia="仿宋" w:cs="仿宋"/>
          <w:sz w:val="24"/>
        </w:rPr>
        <w:t xml:space="preserve">授权委托代理人姓名：       </w:t>
      </w:r>
    </w:p>
    <w:p>
      <w:pPr>
        <w:spacing w:line="360" w:lineRule="auto"/>
        <w:rPr>
          <w:rFonts w:hint="eastAsia" w:ascii="仿宋" w:hAnsi="仿宋" w:eastAsia="仿宋" w:cs="仿宋"/>
          <w:sz w:val="24"/>
        </w:rPr>
      </w:pPr>
      <w:r>
        <w:rPr>
          <w:rFonts w:hint="eastAsia" w:ascii="仿宋" w:hAnsi="仿宋" w:eastAsia="仿宋" w:cs="仿宋"/>
          <w:sz w:val="24"/>
        </w:rPr>
        <w:t xml:space="preserve">职务：                           </w:t>
      </w:r>
    </w:p>
    <w:p>
      <w:pPr>
        <w:spacing w:line="360" w:lineRule="auto"/>
        <w:rPr>
          <w:rFonts w:hint="eastAsia" w:ascii="仿宋" w:hAnsi="仿宋" w:eastAsia="仿宋" w:cs="仿宋"/>
          <w:sz w:val="24"/>
        </w:rPr>
      </w:pPr>
      <w:r>
        <w:rPr>
          <w:rFonts w:hint="eastAsia" w:ascii="仿宋" w:hAnsi="仿宋" w:eastAsia="仿宋" w:cs="仿宋"/>
          <w:sz w:val="24"/>
        </w:rPr>
        <w:t>传真：</w:t>
      </w:r>
    </w:p>
    <w:p>
      <w:pPr>
        <w:spacing w:line="360" w:lineRule="auto"/>
        <w:rPr>
          <w:rFonts w:hint="eastAsia" w:ascii="仿宋" w:hAnsi="仿宋" w:eastAsia="仿宋" w:cs="仿宋"/>
          <w:sz w:val="24"/>
        </w:rPr>
      </w:pPr>
      <w:r>
        <w:rPr>
          <w:rFonts w:hint="eastAsia" w:ascii="仿宋" w:hAnsi="仿宋" w:eastAsia="仿宋" w:cs="仿宋"/>
          <w:sz w:val="24"/>
        </w:rPr>
        <w:t>电话：</w:t>
      </w:r>
    </w:p>
    <w:p>
      <w:pPr>
        <w:spacing w:line="360" w:lineRule="auto"/>
        <w:rPr>
          <w:rFonts w:hint="eastAsia" w:ascii="仿宋" w:hAnsi="仿宋" w:eastAsia="仿宋" w:cs="仿宋"/>
          <w:sz w:val="24"/>
        </w:rPr>
      </w:pPr>
      <w:r>
        <w:rPr>
          <w:rFonts w:hint="eastAsia" w:ascii="仿宋" w:hAnsi="仿宋" w:eastAsia="仿宋" w:cs="仿宋"/>
          <w:sz w:val="24"/>
        </w:rPr>
        <w:t>详细通讯地址：</w:t>
      </w:r>
    </w:p>
    <w:p>
      <w:pPr>
        <w:spacing w:line="360" w:lineRule="auto"/>
        <w:rPr>
          <w:rFonts w:hint="eastAsia" w:ascii="仿宋" w:hAnsi="仿宋" w:eastAsia="仿宋" w:cs="仿宋"/>
          <w:sz w:val="24"/>
        </w:rPr>
      </w:pPr>
      <w:r>
        <w:rPr>
          <w:rFonts w:hint="eastAsia" w:ascii="仿宋" w:hAnsi="仿宋" w:eastAsia="仿宋" w:cs="仿宋"/>
          <w:sz w:val="24"/>
        </w:rPr>
        <w:t>邮政编码：</w:t>
      </w:r>
    </w:p>
    <w:p>
      <w:pPr>
        <w:pStyle w:val="79"/>
        <w:spacing w:before="0" w:beforeAutospacing="0" w:after="0" w:afterAutospacing="0" w:line="360" w:lineRule="auto"/>
        <w:outlineLvl w:val="1"/>
        <w:rPr>
          <w:rFonts w:hint="eastAsia" w:ascii="仿宋" w:hAnsi="仿宋" w:eastAsia="仿宋" w:cs="仿宋"/>
          <w:b/>
          <w:sz w:val="28"/>
        </w:rPr>
      </w:pPr>
      <w:r>
        <w:rPr>
          <w:rFonts w:hint="eastAsia" w:ascii="仿宋" w:hAnsi="仿宋" w:eastAsia="仿宋" w:cs="仿宋"/>
          <w:b/>
          <w:sz w:val="28"/>
          <w:szCs w:val="22"/>
        </w:rPr>
        <w:t xml:space="preserve">附件5 </w:t>
      </w:r>
      <w:r>
        <w:rPr>
          <w:rFonts w:hint="eastAsia" w:ascii="仿宋" w:hAnsi="仿宋" w:eastAsia="仿宋" w:cs="仿宋"/>
          <w:b/>
          <w:sz w:val="28"/>
        </w:rPr>
        <w:t xml:space="preserve">     </w:t>
      </w:r>
    </w:p>
    <w:p>
      <w:pPr>
        <w:pStyle w:val="79"/>
        <w:spacing w:before="0" w:beforeAutospacing="0" w:after="0" w:afterAutospacing="0" w:line="360" w:lineRule="auto"/>
        <w:jc w:val="center"/>
        <w:rPr>
          <w:rFonts w:hint="eastAsia" w:ascii="仿宋" w:hAnsi="仿宋" w:eastAsia="仿宋" w:cs="仿宋"/>
          <w:b/>
          <w:bCs/>
          <w:spacing w:val="21"/>
          <w:sz w:val="32"/>
          <w:szCs w:val="32"/>
        </w:rPr>
      </w:pPr>
      <w:r>
        <w:rPr>
          <w:rFonts w:hint="eastAsia" w:ascii="仿宋" w:hAnsi="仿宋" w:eastAsia="仿宋" w:cs="仿宋"/>
          <w:b/>
          <w:sz w:val="32"/>
          <w:szCs w:val="32"/>
        </w:rPr>
        <w:t xml:space="preserve">  供应商</w:t>
      </w:r>
      <w:r>
        <w:rPr>
          <w:rFonts w:hint="eastAsia" w:ascii="仿宋" w:hAnsi="仿宋" w:eastAsia="仿宋" w:cs="仿宋"/>
          <w:b/>
          <w:bCs/>
          <w:spacing w:val="21"/>
          <w:sz w:val="32"/>
          <w:szCs w:val="32"/>
        </w:rPr>
        <w:t>基本情况表</w:t>
      </w:r>
    </w:p>
    <w:tbl>
      <w:tblPr>
        <w:tblStyle w:val="39"/>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企业名称</w:t>
            </w:r>
          </w:p>
        </w:tc>
        <w:tc>
          <w:tcPr>
            <w:tcW w:w="4818" w:type="dxa"/>
            <w:gridSpan w:val="6"/>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037"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法人代表</w:t>
            </w:r>
          </w:p>
        </w:tc>
        <w:tc>
          <w:tcPr>
            <w:tcW w:w="2439"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地址</w:t>
            </w:r>
          </w:p>
        </w:tc>
        <w:tc>
          <w:tcPr>
            <w:tcW w:w="4818" w:type="dxa"/>
            <w:gridSpan w:val="6"/>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037"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企业性质</w:t>
            </w:r>
          </w:p>
        </w:tc>
        <w:tc>
          <w:tcPr>
            <w:tcW w:w="2439"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股东姓名</w:t>
            </w:r>
          </w:p>
        </w:tc>
        <w:tc>
          <w:tcPr>
            <w:tcW w:w="77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443"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股权结构（%）</w:t>
            </w:r>
          </w:p>
        </w:tc>
        <w:tc>
          <w:tcPr>
            <w:tcW w:w="2601"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037"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股东关系</w:t>
            </w:r>
          </w:p>
        </w:tc>
        <w:tc>
          <w:tcPr>
            <w:tcW w:w="2439"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联系人姓名</w:t>
            </w:r>
          </w:p>
        </w:tc>
        <w:tc>
          <w:tcPr>
            <w:tcW w:w="774" w:type="dxa"/>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443"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固定电话</w:t>
            </w:r>
          </w:p>
        </w:tc>
        <w:tc>
          <w:tcPr>
            <w:tcW w:w="2601"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037" w:type="dxa"/>
            <w:gridSpan w:val="2"/>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传真</w:t>
            </w:r>
          </w:p>
        </w:tc>
        <w:tc>
          <w:tcPr>
            <w:tcW w:w="2439" w:type="dxa"/>
            <w:gridSpan w:val="4"/>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77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443"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手机</w:t>
            </w:r>
          </w:p>
        </w:tc>
        <w:tc>
          <w:tcPr>
            <w:tcW w:w="2601"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037" w:type="dxa"/>
            <w:gridSpan w:val="2"/>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439" w:type="dxa"/>
            <w:gridSpan w:val="4"/>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 xml:space="preserve">1. </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企</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业</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概</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况</w:t>
            </w:r>
          </w:p>
        </w:tc>
        <w:tc>
          <w:tcPr>
            <w:tcW w:w="77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职工</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人数</w:t>
            </w:r>
          </w:p>
        </w:tc>
        <w:tc>
          <w:tcPr>
            <w:tcW w:w="1443"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299"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具备大专以上学历人数</w:t>
            </w:r>
          </w:p>
        </w:tc>
        <w:tc>
          <w:tcPr>
            <w:tcW w:w="1302"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037"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国家授予技术职称人数</w:t>
            </w:r>
          </w:p>
        </w:tc>
        <w:tc>
          <w:tcPr>
            <w:tcW w:w="2439"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77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占地</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面积</w:t>
            </w:r>
          </w:p>
        </w:tc>
        <w:tc>
          <w:tcPr>
            <w:tcW w:w="1443"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299"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建筑面积</w:t>
            </w:r>
          </w:p>
        </w:tc>
        <w:tc>
          <w:tcPr>
            <w:tcW w:w="1302"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平方米□自有□租赁</w:t>
            </w:r>
          </w:p>
        </w:tc>
        <w:tc>
          <w:tcPr>
            <w:tcW w:w="2037"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生产经营场所及场所的设施与设备</w:t>
            </w:r>
          </w:p>
        </w:tc>
        <w:tc>
          <w:tcPr>
            <w:tcW w:w="2439"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77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注册</w:t>
            </w:r>
          </w:p>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资金</w:t>
            </w:r>
          </w:p>
        </w:tc>
        <w:tc>
          <w:tcPr>
            <w:tcW w:w="1443"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299"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注册发证机关</w:t>
            </w:r>
          </w:p>
        </w:tc>
        <w:tc>
          <w:tcPr>
            <w:tcW w:w="3339" w:type="dxa"/>
            <w:gridSpan w:val="4"/>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850"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公司成立时间</w:t>
            </w:r>
          </w:p>
        </w:tc>
        <w:tc>
          <w:tcPr>
            <w:tcW w:w="1589"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774"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核准经营范围</w:t>
            </w:r>
          </w:p>
        </w:tc>
        <w:tc>
          <w:tcPr>
            <w:tcW w:w="8520" w:type="dxa"/>
            <w:gridSpan w:val="11"/>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9294" w:type="dxa"/>
            <w:gridSpan w:val="12"/>
            <w:vAlign w:val="center"/>
          </w:tcPr>
          <w:p>
            <w:pPr>
              <w:keepNext w:val="0"/>
              <w:keepLines w:val="0"/>
              <w:widowControl/>
              <w:suppressLineNumbers w:val="0"/>
              <w:spacing w:before="0" w:beforeAutospacing="0" w:after="0" w:afterAutospacing="0" w:line="420" w:lineRule="exact"/>
              <w:ind w:left="0" w:right="0"/>
              <w:rPr>
                <w:rFonts w:hint="eastAsia" w:ascii="仿宋" w:hAnsi="仿宋" w:eastAsia="仿宋" w:cs="仿宋"/>
                <w:color w:val="000000"/>
                <w:sz w:val="20"/>
                <w:szCs w:val="20"/>
              </w:rPr>
            </w:pPr>
            <w:r>
              <w:rPr>
                <w:rFonts w:hint="eastAsia" w:ascii="仿宋" w:hAnsi="仿宋" w:eastAsia="仿宋" w:cs="仿宋"/>
                <w:color w:val="000000"/>
                <w:sz w:val="20"/>
                <w:szCs w:val="20"/>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2.企业有关资质获证情况</w:t>
            </w:r>
          </w:p>
        </w:tc>
        <w:tc>
          <w:tcPr>
            <w:tcW w:w="2690" w:type="dxa"/>
            <w:gridSpan w:val="3"/>
            <w:vMerge w:val="restart"/>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产品生产许可证情况（对需获得生产许可证的产品要填写此栏）</w:t>
            </w:r>
          </w:p>
        </w:tc>
        <w:tc>
          <w:tcPr>
            <w:tcW w:w="1694"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产品名称</w:t>
            </w:r>
          </w:p>
        </w:tc>
        <w:tc>
          <w:tcPr>
            <w:tcW w:w="1443"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发证机关</w:t>
            </w:r>
          </w:p>
        </w:tc>
        <w:tc>
          <w:tcPr>
            <w:tcW w:w="1202"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编号</w:t>
            </w:r>
          </w:p>
        </w:tc>
        <w:tc>
          <w:tcPr>
            <w:tcW w:w="819"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发证时间</w:t>
            </w:r>
          </w:p>
        </w:tc>
        <w:tc>
          <w:tcPr>
            <w:tcW w:w="1446" w:type="dxa"/>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690" w:type="dxa"/>
            <w:gridSpan w:val="3"/>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694"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443"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1202" w:type="dxa"/>
            <w:gridSpan w:val="2"/>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265" w:type="dxa"/>
            <w:gridSpan w:val="3"/>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690" w:type="dxa"/>
            <w:gridSpan w:val="3"/>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企业通过质量体系、环保体系、计量等认证情况</w:t>
            </w:r>
          </w:p>
        </w:tc>
        <w:tc>
          <w:tcPr>
            <w:tcW w:w="6604" w:type="dxa"/>
            <w:gridSpan w:val="9"/>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c>
          <w:tcPr>
            <w:tcW w:w="2690" w:type="dxa"/>
            <w:gridSpan w:val="3"/>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企业获得专利情况</w:t>
            </w:r>
          </w:p>
        </w:tc>
        <w:tc>
          <w:tcPr>
            <w:tcW w:w="6604" w:type="dxa"/>
            <w:gridSpan w:val="9"/>
            <w:vAlign w:val="center"/>
          </w:tcPr>
          <w:p>
            <w:pPr>
              <w:keepNext w:val="0"/>
              <w:keepLines w:val="0"/>
              <w:widowControl/>
              <w:suppressLineNumbers w:val="0"/>
              <w:spacing w:before="0" w:beforeAutospacing="0" w:after="0" w:afterAutospacing="0" w:line="420" w:lineRule="exact"/>
              <w:ind w:left="0" w:right="0"/>
              <w:jc w:val="center"/>
              <w:rPr>
                <w:rFonts w:hint="eastAsia" w:ascii="仿宋" w:hAnsi="仿宋" w:eastAsia="仿宋" w:cs="仿宋"/>
                <w:color w:val="000000"/>
                <w:sz w:val="20"/>
                <w:szCs w:val="20"/>
              </w:rPr>
            </w:pPr>
          </w:p>
        </w:tc>
      </w:tr>
    </w:tbl>
    <w:p>
      <w:pPr>
        <w:pStyle w:val="79"/>
        <w:spacing w:before="0" w:beforeAutospacing="0" w:after="0" w:afterAutospacing="0" w:line="360" w:lineRule="auto"/>
        <w:rPr>
          <w:rFonts w:hint="eastAsia" w:ascii="仿宋" w:hAnsi="仿宋" w:eastAsia="仿宋" w:cs="仿宋"/>
          <w:b/>
        </w:rPr>
      </w:pPr>
      <w:r>
        <w:rPr>
          <w:rFonts w:hint="eastAsia" w:ascii="仿宋" w:hAnsi="仿宋" w:eastAsia="仿宋" w:cs="仿宋"/>
          <w:b/>
        </w:rPr>
        <w:t>要求：</w:t>
      </w:r>
    </w:p>
    <w:p>
      <w:pPr>
        <w:pStyle w:val="79"/>
        <w:spacing w:before="0" w:beforeAutospacing="0" w:after="0" w:afterAutospacing="0" w:line="360" w:lineRule="auto"/>
        <w:ind w:firstLine="484" w:firstLineChars="202"/>
        <w:rPr>
          <w:rFonts w:hint="eastAsia" w:ascii="仿宋" w:hAnsi="仿宋" w:eastAsia="仿宋" w:cs="仿宋"/>
        </w:rPr>
      </w:pPr>
      <w:r>
        <w:rPr>
          <w:rFonts w:hint="eastAsia" w:ascii="仿宋" w:hAnsi="仿宋" w:eastAsia="仿宋" w:cs="仿宋"/>
        </w:rPr>
        <w:t>1.姓名栏必须将所有股东都统计在内，若非股份公司此行（第三行）无需填写；</w:t>
      </w:r>
    </w:p>
    <w:p>
      <w:pPr>
        <w:rPr>
          <w:rFonts w:hint="eastAsia" w:ascii="仿宋" w:hAnsi="仿宋" w:eastAsia="仿宋" w:cs="仿宋"/>
          <w:sz w:val="24"/>
          <w:szCs w:val="24"/>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rPr>
          <w:rFonts w:hint="eastAsia" w:ascii="仿宋" w:hAnsi="仿宋" w:eastAsia="仿宋" w:cs="仿宋"/>
          <w:b/>
          <w:sz w:val="28"/>
        </w:rPr>
      </w:pPr>
      <w:r>
        <w:rPr>
          <w:rFonts w:hint="eastAsia" w:ascii="仿宋" w:hAnsi="仿宋" w:eastAsia="仿宋" w:cs="仿宋"/>
          <w:b/>
          <w:sz w:val="28"/>
        </w:rPr>
        <w:br w:type="page"/>
      </w:r>
    </w:p>
    <w:p>
      <w:pPr>
        <w:adjustRightInd w:val="0"/>
        <w:snapToGrid w:val="0"/>
        <w:spacing w:line="360" w:lineRule="auto"/>
        <w:ind w:right="480"/>
        <w:outlineLvl w:val="1"/>
        <w:rPr>
          <w:rFonts w:hint="eastAsia" w:ascii="仿宋" w:hAnsi="仿宋" w:eastAsia="仿宋" w:cs="仿宋"/>
          <w:b/>
          <w:sz w:val="28"/>
          <w:szCs w:val="22"/>
        </w:rPr>
      </w:pPr>
      <w:r>
        <w:rPr>
          <w:rFonts w:hint="eastAsia" w:ascii="仿宋" w:hAnsi="仿宋" w:eastAsia="仿宋" w:cs="仿宋"/>
          <w:b/>
          <w:sz w:val="28"/>
          <w:szCs w:val="22"/>
        </w:rPr>
        <w:t>附件6</w:t>
      </w:r>
    </w:p>
    <w:p>
      <w:pPr>
        <w:snapToGrid w:val="0"/>
        <w:spacing w:line="360" w:lineRule="auto"/>
        <w:ind w:right="480"/>
        <w:jc w:val="center"/>
        <w:outlineLvl w:val="2"/>
        <w:rPr>
          <w:rFonts w:hint="eastAsia" w:ascii="仿宋" w:hAnsi="仿宋" w:eastAsia="仿宋" w:cs="仿宋"/>
          <w:b/>
          <w:sz w:val="32"/>
          <w:szCs w:val="32"/>
        </w:rPr>
      </w:pPr>
      <w:r>
        <w:rPr>
          <w:rFonts w:hint="eastAsia" w:ascii="仿宋" w:hAnsi="仿宋" w:eastAsia="仿宋" w:cs="仿宋"/>
          <w:b/>
          <w:sz w:val="32"/>
          <w:szCs w:val="32"/>
        </w:rPr>
        <w:t>投标人证书一览表</w:t>
      </w:r>
      <w:r>
        <w:rPr>
          <w:rFonts w:hint="eastAsia" w:ascii="仿宋" w:hAnsi="仿宋" w:eastAsia="仿宋" w:cs="仿宋"/>
          <w:color w:val="000000"/>
          <w:sz w:val="28"/>
          <w:szCs w:val="28"/>
        </w:rPr>
        <w:t>（参考样张）</w:t>
      </w:r>
    </w:p>
    <w:p>
      <w:pPr>
        <w:spacing w:line="360" w:lineRule="auto"/>
        <w:jc w:val="center"/>
        <w:rPr>
          <w:rFonts w:hint="eastAsia" w:ascii="仿宋" w:hAnsi="仿宋" w:eastAsia="仿宋" w:cs="仿宋"/>
          <w:b/>
          <w:bCs/>
          <w:color w:val="000000"/>
          <w:sz w:val="32"/>
          <w:szCs w:val="32"/>
        </w:rPr>
      </w:pPr>
    </w:p>
    <w:tbl>
      <w:tblPr>
        <w:tblStyle w:val="39"/>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sz w:val="24"/>
                <w:szCs w:val="20"/>
              </w:rPr>
            </w:pPr>
            <w:r>
              <w:rPr>
                <w:rFonts w:hint="eastAsia" w:ascii="仿宋" w:hAnsi="仿宋" w:eastAsia="仿宋" w:cs="仿宋"/>
                <w:b/>
                <w:bCs/>
                <w:color w:val="000000"/>
                <w:sz w:val="24"/>
                <w:szCs w:val="20"/>
              </w:rPr>
              <w:t>证书名称</w:t>
            </w: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sz w:val="24"/>
                <w:szCs w:val="20"/>
              </w:rPr>
            </w:pPr>
            <w:r>
              <w:rPr>
                <w:rFonts w:hint="eastAsia" w:ascii="仿宋" w:hAnsi="仿宋" w:eastAsia="仿宋" w:cs="仿宋"/>
                <w:b/>
                <w:bCs/>
                <w:color w:val="000000"/>
                <w:sz w:val="24"/>
                <w:szCs w:val="20"/>
              </w:rPr>
              <w:t>发证单位</w:t>
            </w: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sz w:val="24"/>
                <w:szCs w:val="20"/>
              </w:rPr>
            </w:pPr>
            <w:r>
              <w:rPr>
                <w:rFonts w:hint="eastAsia" w:ascii="仿宋" w:hAnsi="仿宋" w:eastAsia="仿宋" w:cs="仿宋"/>
                <w:b/>
                <w:bCs/>
                <w:color w:val="000000"/>
                <w:sz w:val="24"/>
                <w:szCs w:val="20"/>
              </w:rPr>
              <w:t>证书等级</w:t>
            </w: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sz w:val="24"/>
                <w:szCs w:val="20"/>
              </w:rPr>
            </w:pPr>
            <w:r>
              <w:rPr>
                <w:rFonts w:hint="eastAsia" w:ascii="仿宋" w:hAnsi="仿宋" w:eastAsia="仿宋" w:cs="仿宋"/>
                <w:b/>
                <w:bCs/>
                <w:color w:val="000000"/>
                <w:sz w:val="24"/>
                <w:szCs w:val="20"/>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31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c>
          <w:tcPr>
            <w:tcW w:w="20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0"/>
                <w:szCs w:val="21"/>
              </w:rPr>
            </w:pPr>
          </w:p>
        </w:tc>
      </w:tr>
    </w:tbl>
    <w:p>
      <w:pPr>
        <w:tabs>
          <w:tab w:val="left" w:pos="1050"/>
        </w:tabs>
        <w:spacing w:line="360" w:lineRule="auto"/>
        <w:rPr>
          <w:rFonts w:hint="eastAsia" w:ascii="仿宋" w:hAnsi="仿宋" w:eastAsia="仿宋" w:cs="仿宋"/>
          <w:color w:val="000000"/>
          <w:sz w:val="24"/>
        </w:rPr>
      </w:pPr>
    </w:p>
    <w:p>
      <w:pPr>
        <w:tabs>
          <w:tab w:val="left" w:pos="1050"/>
        </w:tabs>
        <w:spacing w:line="360" w:lineRule="auto"/>
        <w:rPr>
          <w:rFonts w:hint="eastAsia" w:ascii="仿宋" w:hAnsi="仿宋" w:eastAsia="仿宋" w:cs="仿宋"/>
          <w:color w:val="000000"/>
          <w:szCs w:val="21"/>
        </w:rPr>
      </w:pPr>
      <w:r>
        <w:rPr>
          <w:rFonts w:hint="eastAsia" w:ascii="仿宋" w:hAnsi="仿宋" w:eastAsia="仿宋" w:cs="仿宋"/>
          <w:b/>
          <w:color w:val="000000"/>
          <w:szCs w:val="21"/>
        </w:rPr>
        <w:t>要求：</w:t>
      </w:r>
    </w:p>
    <w:p>
      <w:pPr>
        <w:tabs>
          <w:tab w:val="left" w:pos="1050"/>
        </w:tabs>
        <w:spacing w:line="360" w:lineRule="auto"/>
        <w:ind w:firstLine="404" w:firstLineChars="202"/>
        <w:rPr>
          <w:rFonts w:hint="eastAsia" w:ascii="仿宋" w:hAnsi="仿宋" w:eastAsia="仿宋" w:cs="仿宋"/>
          <w:color w:val="000000"/>
          <w:szCs w:val="21"/>
        </w:rPr>
      </w:pPr>
      <w:r>
        <w:rPr>
          <w:rFonts w:hint="eastAsia" w:ascii="仿宋" w:hAnsi="仿宋" w:eastAsia="仿宋" w:cs="仿宋"/>
          <w:color w:val="000000"/>
          <w:szCs w:val="21"/>
        </w:rPr>
        <w:t>1.填写投标人获得资质、认证或企业信誉证书。</w:t>
      </w:r>
    </w:p>
    <w:p>
      <w:pPr>
        <w:tabs>
          <w:tab w:val="left" w:pos="1050"/>
        </w:tabs>
        <w:spacing w:line="360" w:lineRule="auto"/>
        <w:ind w:firstLine="404" w:firstLineChars="202"/>
        <w:rPr>
          <w:rFonts w:hint="eastAsia" w:ascii="仿宋" w:hAnsi="仿宋" w:eastAsia="仿宋" w:cs="仿宋"/>
          <w:color w:val="000000"/>
          <w:szCs w:val="21"/>
        </w:rPr>
      </w:pPr>
      <w:r>
        <w:rPr>
          <w:rFonts w:hint="eastAsia" w:ascii="仿宋" w:hAnsi="仿宋" w:eastAsia="仿宋" w:cs="仿宋"/>
          <w:color w:val="000000"/>
          <w:szCs w:val="21"/>
        </w:rPr>
        <w:t>2.请提供本表所列的证书资料。</w:t>
      </w:r>
    </w:p>
    <w:p>
      <w:pPr>
        <w:tabs>
          <w:tab w:val="left" w:pos="1050"/>
        </w:tabs>
        <w:spacing w:line="360" w:lineRule="auto"/>
        <w:ind w:firstLine="720" w:firstLineChars="300"/>
        <w:rPr>
          <w:rFonts w:hint="eastAsia" w:ascii="仿宋" w:hAnsi="仿宋" w:eastAsia="仿宋" w:cs="仿宋"/>
          <w:color w:val="000000"/>
          <w:sz w:val="24"/>
        </w:rPr>
      </w:pPr>
    </w:p>
    <w:p>
      <w:pPr>
        <w:tabs>
          <w:tab w:val="left" w:pos="1050"/>
        </w:tabs>
        <w:spacing w:line="360" w:lineRule="auto"/>
        <w:ind w:firstLine="720" w:firstLineChars="300"/>
        <w:rPr>
          <w:rFonts w:hint="eastAsia" w:ascii="仿宋" w:hAnsi="仿宋" w:eastAsia="仿宋" w:cs="仿宋"/>
          <w:color w:val="000000"/>
          <w:sz w:val="24"/>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440" w:lineRule="exact"/>
        <w:ind w:right="480"/>
        <w:jc w:val="right"/>
        <w:rPr>
          <w:rFonts w:hint="eastAsia" w:ascii="仿宋" w:hAnsi="仿宋" w:eastAsia="仿宋" w:cs="仿宋"/>
          <w:sz w:val="24"/>
        </w:rPr>
      </w:pPr>
    </w:p>
    <w:p>
      <w:pPr>
        <w:rPr>
          <w:rFonts w:hint="eastAsia" w:ascii="仿宋" w:hAnsi="仿宋" w:eastAsia="仿宋" w:cs="仿宋"/>
          <w:szCs w:val="28"/>
        </w:rPr>
      </w:pPr>
      <w:bookmarkStart w:id="70" w:name="_Toc394573967"/>
      <w:r>
        <w:rPr>
          <w:rFonts w:hint="eastAsia" w:ascii="仿宋" w:hAnsi="仿宋" w:eastAsia="仿宋" w:cs="仿宋"/>
          <w:szCs w:val="28"/>
        </w:rPr>
        <w:br w:type="page"/>
      </w:r>
    </w:p>
    <w:p>
      <w:pPr>
        <w:pStyle w:val="126"/>
        <w:tabs>
          <w:tab w:val="left" w:pos="0"/>
        </w:tabs>
        <w:rPr>
          <w:rFonts w:hint="eastAsia" w:ascii="仿宋" w:hAnsi="仿宋" w:eastAsia="仿宋" w:cs="仿宋"/>
          <w:szCs w:val="28"/>
        </w:rPr>
      </w:pPr>
      <w:r>
        <w:rPr>
          <w:rFonts w:hint="eastAsia" w:ascii="仿宋" w:hAnsi="仿宋" w:eastAsia="仿宋" w:cs="仿宋"/>
          <w:b/>
        </w:rPr>
        <w:t>附件</w:t>
      </w:r>
      <w:bookmarkEnd w:id="70"/>
      <w:r>
        <w:rPr>
          <w:rFonts w:hint="eastAsia" w:ascii="仿宋" w:hAnsi="仿宋" w:eastAsia="仿宋" w:cs="仿宋"/>
          <w:szCs w:val="28"/>
        </w:rPr>
        <w:t>7</w:t>
      </w:r>
    </w:p>
    <w:p>
      <w:pPr>
        <w:spacing w:line="440" w:lineRule="exact"/>
        <w:jc w:val="center"/>
        <w:rPr>
          <w:rFonts w:hint="eastAsia" w:ascii="仿宋" w:hAnsi="仿宋" w:eastAsia="仿宋" w:cs="仿宋"/>
        </w:rPr>
      </w:pPr>
    </w:p>
    <w:p>
      <w:pPr>
        <w:snapToGrid w:val="0"/>
        <w:spacing w:line="360" w:lineRule="auto"/>
        <w:ind w:right="480"/>
        <w:jc w:val="center"/>
        <w:outlineLvl w:val="2"/>
        <w:rPr>
          <w:rFonts w:hint="eastAsia" w:ascii="仿宋" w:hAnsi="仿宋" w:eastAsia="仿宋" w:cs="仿宋"/>
          <w:b/>
          <w:sz w:val="32"/>
          <w:szCs w:val="32"/>
        </w:rPr>
      </w:pPr>
      <w:r>
        <w:rPr>
          <w:rFonts w:hint="eastAsia" w:ascii="仿宋" w:hAnsi="仿宋" w:eastAsia="仿宋" w:cs="仿宋"/>
          <w:b/>
          <w:sz w:val="32"/>
          <w:szCs w:val="32"/>
        </w:rPr>
        <w:t>相关项目实施业绩一览表</w:t>
      </w:r>
      <w:r>
        <w:rPr>
          <w:rFonts w:hint="eastAsia" w:ascii="仿宋" w:hAnsi="仿宋" w:eastAsia="仿宋" w:cs="仿宋"/>
          <w:color w:val="000000"/>
          <w:sz w:val="28"/>
          <w:szCs w:val="28"/>
        </w:rPr>
        <w:t>（参考样张）</w:t>
      </w:r>
    </w:p>
    <w:p>
      <w:pPr>
        <w:jc w:val="center"/>
        <w:rPr>
          <w:rFonts w:hint="eastAsia" w:ascii="仿宋" w:hAnsi="仿宋" w:eastAsia="仿宋" w:cs="仿宋"/>
          <w:b/>
          <w:color w:val="000000"/>
        </w:rPr>
      </w:pPr>
    </w:p>
    <w:tbl>
      <w:tblPr>
        <w:tblStyle w:val="39"/>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3037"/>
        <w:gridCol w:w="1275"/>
        <w:gridCol w:w="101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序号</w:t>
            </w: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项目名称</w:t>
            </w: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项目简要描述</w:t>
            </w: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项目金额</w:t>
            </w:r>
          </w:p>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（元）</w:t>
            </w: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实施时间</w:t>
            </w: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采购单位</w:t>
            </w:r>
          </w:p>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1</w:t>
            </w: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2</w:t>
            </w: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3</w:t>
            </w: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w:t>
            </w: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78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3037"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01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64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bl>
    <w:p>
      <w:pPr>
        <w:spacing w:before="77"/>
        <w:ind w:right="6"/>
        <w:rPr>
          <w:rFonts w:hint="eastAsia" w:ascii="仿宋" w:hAnsi="仿宋" w:eastAsia="仿宋" w:cs="仿宋"/>
          <w:b/>
        </w:rPr>
      </w:pPr>
      <w:r>
        <w:rPr>
          <w:rFonts w:hint="eastAsia" w:ascii="仿宋" w:hAnsi="仿宋" w:eastAsia="仿宋" w:cs="仿宋"/>
          <w:b/>
        </w:rPr>
        <w:t>注：按评分标准提供相关证明材料扫描件。</w:t>
      </w:r>
    </w:p>
    <w:p>
      <w:pPr>
        <w:ind w:firstLine="3700" w:firstLineChars="1850"/>
        <w:rPr>
          <w:rFonts w:hint="eastAsia" w:ascii="仿宋" w:hAnsi="仿宋" w:eastAsia="仿宋" w:cs="仿宋"/>
          <w:color w:val="000000"/>
        </w:rPr>
      </w:pPr>
    </w:p>
    <w:p>
      <w:pPr>
        <w:adjustRightInd w:val="0"/>
        <w:snapToGrid w:val="0"/>
        <w:spacing w:line="360" w:lineRule="auto"/>
        <w:jc w:val="both"/>
        <w:rPr>
          <w:rFonts w:hint="eastAsia" w:ascii="仿宋" w:hAnsi="仿宋" w:eastAsia="仿宋" w:cs="仿宋"/>
          <w:sz w:val="24"/>
          <w:lang w:val="zh-CN"/>
        </w:rPr>
      </w:pPr>
    </w:p>
    <w:p>
      <w:pPr>
        <w:adjustRightInd w:val="0"/>
        <w:snapToGrid w:val="0"/>
        <w:spacing w:line="360" w:lineRule="auto"/>
        <w:jc w:val="both"/>
        <w:rPr>
          <w:rFonts w:hint="eastAsia" w:ascii="仿宋" w:hAnsi="仿宋" w:eastAsia="仿宋" w:cs="仿宋"/>
          <w:sz w:val="24"/>
          <w:highlight w:val="none"/>
          <w:lang w:val="zh-CN"/>
        </w:rPr>
      </w:pPr>
      <w:bookmarkStart w:id="71" w:name="_Toc394573968"/>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rPr>
          <w:rFonts w:hint="eastAsia" w:ascii="仿宋" w:hAnsi="仿宋" w:eastAsia="仿宋" w:cs="仿宋"/>
          <w:szCs w:val="28"/>
        </w:rPr>
      </w:pPr>
      <w:r>
        <w:rPr>
          <w:rFonts w:hint="eastAsia" w:ascii="仿宋" w:hAnsi="仿宋" w:eastAsia="仿宋" w:cs="仿宋"/>
          <w:szCs w:val="28"/>
        </w:rPr>
        <w:br w:type="page"/>
      </w:r>
    </w:p>
    <w:p>
      <w:pPr>
        <w:snapToGrid w:val="0"/>
        <w:spacing w:line="360" w:lineRule="auto"/>
        <w:ind w:right="480"/>
        <w:jc w:val="both"/>
        <w:outlineLvl w:val="2"/>
        <w:rPr>
          <w:rFonts w:hint="eastAsia" w:ascii="仿宋" w:hAnsi="仿宋" w:eastAsia="仿宋" w:cs="仿宋"/>
          <w:b/>
          <w:sz w:val="32"/>
          <w:szCs w:val="32"/>
        </w:rPr>
      </w:pPr>
      <w:r>
        <w:rPr>
          <w:rFonts w:hint="eastAsia" w:ascii="仿宋" w:hAnsi="仿宋" w:eastAsia="仿宋" w:cs="仿宋"/>
          <w:b/>
          <w:sz w:val="28"/>
        </w:rPr>
        <w:t>附件</w:t>
      </w:r>
      <w:bookmarkEnd w:id="71"/>
      <w:r>
        <w:rPr>
          <w:rFonts w:hint="eastAsia" w:ascii="仿宋" w:hAnsi="仿宋" w:eastAsia="仿宋" w:cs="仿宋"/>
          <w:b/>
          <w:sz w:val="28"/>
        </w:rPr>
        <w:t xml:space="preserve">8  </w:t>
      </w:r>
    </w:p>
    <w:p>
      <w:pPr>
        <w:snapToGrid w:val="0"/>
        <w:spacing w:line="360" w:lineRule="auto"/>
        <w:ind w:right="480"/>
        <w:jc w:val="center"/>
        <w:outlineLvl w:val="2"/>
        <w:rPr>
          <w:rFonts w:hint="eastAsia" w:ascii="仿宋" w:hAnsi="仿宋" w:eastAsia="仿宋" w:cs="仿宋"/>
          <w:b/>
          <w:sz w:val="32"/>
          <w:szCs w:val="32"/>
        </w:rPr>
      </w:pPr>
      <w:r>
        <w:rPr>
          <w:rFonts w:hint="eastAsia" w:ascii="仿宋" w:hAnsi="仿宋" w:eastAsia="仿宋" w:cs="仿宋"/>
          <w:b/>
          <w:sz w:val="32"/>
          <w:szCs w:val="32"/>
        </w:rPr>
        <w:t>本项目的项目负责人、服务人员情况表</w:t>
      </w:r>
    </w:p>
    <w:p>
      <w:pPr>
        <w:snapToGrid w:val="0"/>
        <w:spacing w:line="360" w:lineRule="auto"/>
        <w:ind w:right="480"/>
        <w:jc w:val="center"/>
        <w:outlineLvl w:val="2"/>
        <w:rPr>
          <w:rFonts w:hint="eastAsia" w:ascii="仿宋" w:hAnsi="仿宋" w:eastAsia="仿宋" w:cs="仿宋"/>
          <w:b/>
          <w:sz w:val="32"/>
          <w:szCs w:val="32"/>
        </w:rPr>
      </w:pPr>
      <w:r>
        <w:rPr>
          <w:rFonts w:hint="eastAsia" w:ascii="仿宋" w:hAnsi="仿宋" w:eastAsia="仿宋" w:cs="仿宋"/>
          <w:b/>
          <w:sz w:val="32"/>
          <w:szCs w:val="32"/>
        </w:rPr>
        <w:t>项目负责人简历表（参考样张）</w:t>
      </w:r>
    </w:p>
    <w:p>
      <w:pPr>
        <w:spacing w:line="360" w:lineRule="auto"/>
        <w:rPr>
          <w:rFonts w:hint="eastAsia" w:ascii="仿宋" w:hAnsi="仿宋" w:eastAsia="仿宋" w:cs="仿宋"/>
          <w:color w:val="000000"/>
          <w:sz w:val="24"/>
        </w:rPr>
      </w:pPr>
      <w:r>
        <w:rPr>
          <w:rFonts w:hint="eastAsia" w:ascii="仿宋" w:hAnsi="仿宋" w:eastAsia="仿宋" w:cs="仿宋"/>
          <w:bCs/>
          <w:color w:val="000000"/>
          <w:sz w:val="24"/>
        </w:rPr>
        <w:t>项目名称：</w:t>
      </w:r>
    </w:p>
    <w:p>
      <w:pPr>
        <w:spacing w:before="120" w:beforeLines="50" w:after="50" w:line="360" w:lineRule="auto"/>
        <w:rPr>
          <w:rFonts w:hint="eastAsia" w:ascii="仿宋" w:hAnsi="仿宋" w:eastAsia="仿宋" w:cs="仿宋"/>
          <w:bCs/>
          <w:color w:val="000000"/>
          <w:sz w:val="24"/>
        </w:rPr>
      </w:pPr>
      <w:r>
        <w:rPr>
          <w:rFonts w:hint="eastAsia" w:ascii="仿宋" w:hAnsi="仿宋" w:eastAsia="仿宋" w:cs="仿宋"/>
          <w:bCs/>
          <w:color w:val="000000"/>
          <w:sz w:val="24"/>
        </w:rPr>
        <w:t>项目编号：</w:t>
      </w:r>
    </w:p>
    <w:tbl>
      <w:tblPr>
        <w:tblStyle w:val="39"/>
        <w:tblpPr w:leftFromText="180" w:rightFromText="180" w:vertAnchor="text" w:tblpY="219"/>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089"/>
        <w:gridCol w:w="2745"/>
        <w:gridCol w:w="196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972" w:type="dxa"/>
            <w:gridSpan w:val="2"/>
            <w:tcBorders>
              <w:top w:val="single" w:color="000000" w:sz="8" w:space="0"/>
              <w:left w:val="single" w:color="000000"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rPr>
              <w:t>姓名</w:t>
            </w:r>
          </w:p>
        </w:tc>
        <w:tc>
          <w:tcPr>
            <w:tcW w:w="2745" w:type="dxa"/>
            <w:tcBorders>
              <w:top w:val="single" w:color="000000" w:sz="8"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c>
          <w:tcPr>
            <w:tcW w:w="1960" w:type="dxa"/>
            <w:tcBorders>
              <w:top w:val="single" w:color="000000" w:sz="8"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rPr>
              <w:t>性别</w:t>
            </w:r>
          </w:p>
        </w:tc>
        <w:tc>
          <w:tcPr>
            <w:tcW w:w="2110" w:type="dxa"/>
            <w:tcBorders>
              <w:top w:val="single" w:color="000000" w:sz="8" w:space="0"/>
              <w:left w:val="single" w:color="auto" w:sz="4" w:space="0"/>
              <w:bottom w:val="single" w:color="000000" w:sz="4"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972" w:type="dxa"/>
            <w:gridSpan w:val="2"/>
            <w:tcBorders>
              <w:top w:val="single" w:color="000000" w:sz="8" w:space="0"/>
              <w:left w:val="single" w:color="000000"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rPr>
            </w:pPr>
            <w:r>
              <w:rPr>
                <w:rFonts w:hint="eastAsia" w:ascii="仿宋" w:hAnsi="仿宋" w:eastAsia="仿宋" w:cs="仿宋"/>
                <w:color w:val="000000"/>
                <w:sz w:val="24"/>
                <w:szCs w:val="20"/>
              </w:rPr>
              <w:t>年龄</w:t>
            </w:r>
          </w:p>
        </w:tc>
        <w:tc>
          <w:tcPr>
            <w:tcW w:w="2745" w:type="dxa"/>
            <w:tcBorders>
              <w:top w:val="single" w:color="000000" w:sz="8"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c>
          <w:tcPr>
            <w:tcW w:w="1960" w:type="dxa"/>
            <w:tcBorders>
              <w:top w:val="single" w:color="000000" w:sz="8"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rPr>
            </w:pPr>
            <w:r>
              <w:rPr>
                <w:rFonts w:hint="eastAsia" w:ascii="仿宋" w:hAnsi="仿宋" w:eastAsia="仿宋" w:cs="仿宋"/>
                <w:color w:val="000000"/>
                <w:sz w:val="24"/>
                <w:szCs w:val="20"/>
              </w:rPr>
              <w:t>身份证号</w:t>
            </w:r>
          </w:p>
        </w:tc>
        <w:tc>
          <w:tcPr>
            <w:tcW w:w="2110" w:type="dxa"/>
            <w:tcBorders>
              <w:top w:val="single" w:color="000000" w:sz="8" w:space="0"/>
              <w:left w:val="single" w:color="auto" w:sz="4" w:space="0"/>
              <w:bottom w:val="single" w:color="000000" w:sz="4"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972" w:type="dxa"/>
            <w:gridSpan w:val="2"/>
            <w:tcBorders>
              <w:top w:val="single" w:color="auto" w:sz="4" w:space="0"/>
              <w:left w:val="single" w:color="000000"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rPr>
              <w:t>资格</w:t>
            </w:r>
          </w:p>
        </w:tc>
        <w:tc>
          <w:tcPr>
            <w:tcW w:w="2745"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rPr>
              <w:t>资格证书号</w:t>
            </w:r>
          </w:p>
        </w:tc>
        <w:tc>
          <w:tcPr>
            <w:tcW w:w="2110" w:type="dxa"/>
            <w:tcBorders>
              <w:top w:val="single" w:color="auto" w:sz="4" w:space="0"/>
              <w:left w:val="single" w:color="auto" w:sz="4"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1972" w:type="dxa"/>
            <w:gridSpan w:val="2"/>
            <w:tcBorders>
              <w:top w:val="single" w:color="auto" w:sz="4" w:space="0"/>
              <w:left w:val="single" w:color="000000"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77" w:firstLineChars="199"/>
              <w:rPr>
                <w:rFonts w:hint="eastAsia" w:ascii="仿宋" w:hAnsi="仿宋" w:eastAsia="仿宋" w:cs="仿宋"/>
                <w:color w:val="000000"/>
                <w:sz w:val="24"/>
                <w:szCs w:val="20"/>
                <w:u w:color="000000"/>
              </w:rPr>
            </w:pPr>
            <w:r>
              <w:rPr>
                <w:rFonts w:hint="eastAsia" w:ascii="仿宋" w:hAnsi="仿宋" w:eastAsia="仿宋" w:cs="仿宋"/>
                <w:color w:val="000000"/>
                <w:sz w:val="24"/>
                <w:szCs w:val="20"/>
              </w:rPr>
              <w:t>职称</w:t>
            </w:r>
          </w:p>
        </w:tc>
        <w:tc>
          <w:tcPr>
            <w:tcW w:w="2745"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419"/>
              <w:jc w:val="center"/>
              <w:rPr>
                <w:rFonts w:hint="eastAsia" w:ascii="仿宋" w:hAnsi="仿宋" w:eastAsia="仿宋" w:cs="仿宋"/>
                <w:color w:val="000000"/>
                <w:sz w:val="24"/>
                <w:szCs w:val="20"/>
                <w:u w:color="000000"/>
              </w:rPr>
            </w:pPr>
          </w:p>
        </w:tc>
        <w:tc>
          <w:tcPr>
            <w:tcW w:w="196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75" w:firstLineChars="198"/>
              <w:rPr>
                <w:rFonts w:hint="eastAsia" w:ascii="仿宋" w:hAnsi="仿宋" w:eastAsia="仿宋" w:cs="仿宋"/>
                <w:color w:val="000000"/>
                <w:sz w:val="24"/>
                <w:szCs w:val="20"/>
                <w:u w:color="000000"/>
              </w:rPr>
            </w:pPr>
            <w:r>
              <w:rPr>
                <w:rFonts w:hint="eastAsia" w:ascii="仿宋" w:hAnsi="仿宋" w:eastAsia="仿宋" w:cs="仿宋"/>
                <w:color w:val="000000"/>
                <w:sz w:val="24"/>
                <w:szCs w:val="20"/>
              </w:rPr>
              <w:t>学历</w:t>
            </w:r>
          </w:p>
        </w:tc>
        <w:tc>
          <w:tcPr>
            <w:tcW w:w="2110" w:type="dxa"/>
            <w:tcBorders>
              <w:top w:val="single" w:color="auto" w:sz="4" w:space="0"/>
              <w:left w:val="single" w:color="auto" w:sz="4" w:space="0"/>
              <w:bottom w:val="single" w:color="000000" w:sz="4"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972" w:type="dxa"/>
            <w:gridSpan w:val="2"/>
            <w:tcBorders>
              <w:top w:val="single" w:color="auto" w:sz="4" w:space="0"/>
              <w:left w:val="single" w:color="000000" w:sz="8"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u w:color="000000"/>
              </w:rPr>
              <w:t>手机号</w:t>
            </w:r>
          </w:p>
        </w:tc>
        <w:tc>
          <w:tcPr>
            <w:tcW w:w="2745"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c>
          <w:tcPr>
            <w:tcW w:w="196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u w:color="000000"/>
              </w:rPr>
              <w:t>联系电话</w:t>
            </w:r>
          </w:p>
        </w:tc>
        <w:tc>
          <w:tcPr>
            <w:tcW w:w="2110" w:type="dxa"/>
            <w:tcBorders>
              <w:top w:val="single" w:color="auto" w:sz="4" w:space="0"/>
              <w:left w:val="single" w:color="auto" w:sz="4" w:space="0"/>
              <w:bottom w:val="single" w:color="000000" w:sz="4"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0" w:hRule="atLeast"/>
        </w:trPr>
        <w:tc>
          <w:tcPr>
            <w:tcW w:w="883" w:type="dxa"/>
            <w:tcBorders>
              <w:top w:val="single" w:color="auto" w:sz="4" w:space="0"/>
              <w:left w:val="single" w:color="000000" w:sz="8" w:space="0"/>
              <w:bottom w:val="single" w:color="000000" w:sz="8"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rPr>
              <w:t>简</w:t>
            </w:r>
          </w:p>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rPr>
            </w:pPr>
          </w:p>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rPr>
            </w:pPr>
          </w:p>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r>
              <w:rPr>
                <w:rFonts w:hint="eastAsia" w:ascii="仿宋" w:hAnsi="仿宋" w:eastAsia="仿宋" w:cs="仿宋"/>
                <w:color w:val="000000"/>
                <w:sz w:val="24"/>
                <w:szCs w:val="20"/>
              </w:rPr>
              <w:t>历</w:t>
            </w:r>
          </w:p>
        </w:tc>
        <w:tc>
          <w:tcPr>
            <w:tcW w:w="7904" w:type="dxa"/>
            <w:gridSpan w:val="4"/>
            <w:tcBorders>
              <w:top w:val="single" w:color="auto" w:sz="4" w:space="0"/>
              <w:left w:val="single" w:color="auto" w:sz="4"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0"/>
                <w:u w:color="000000"/>
              </w:rPr>
            </w:pPr>
          </w:p>
        </w:tc>
      </w:tr>
    </w:tbl>
    <w:p>
      <w:pPr>
        <w:spacing w:line="360" w:lineRule="auto"/>
        <w:rPr>
          <w:rFonts w:hint="eastAsia" w:ascii="仿宋" w:hAnsi="仿宋" w:eastAsia="仿宋" w:cs="仿宋"/>
          <w:bCs/>
          <w:color w:val="000000"/>
          <w:szCs w:val="21"/>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rPr>
      </w:pPr>
      <w:r>
        <w:rPr>
          <w:rFonts w:hint="eastAsia" w:ascii="仿宋" w:hAnsi="仿宋" w:eastAsia="仿宋" w:cs="仿宋"/>
          <w:sz w:val="24"/>
          <w:highlight w:val="none"/>
          <w:lang w:val="zh-CN"/>
        </w:rPr>
        <w:t>日期：</w:t>
      </w:r>
    </w:p>
    <w:p>
      <w:pPr>
        <w:spacing w:before="50" w:after="120" w:afterLines="50" w:line="360" w:lineRule="auto"/>
        <w:rPr>
          <w:rFonts w:hint="eastAsia" w:ascii="仿宋" w:hAnsi="仿宋" w:eastAsia="仿宋" w:cs="仿宋"/>
          <w:sz w:val="24"/>
          <w:lang w:val="zh-CN"/>
        </w:rPr>
      </w:pPr>
      <w:r>
        <w:rPr>
          <w:rFonts w:hint="eastAsia" w:ascii="仿宋" w:hAnsi="仿宋" w:eastAsia="仿宋" w:cs="仿宋"/>
          <w:sz w:val="24"/>
          <w:lang w:val="zh-CN"/>
        </w:rPr>
        <w:t xml:space="preserve">  </w:t>
      </w:r>
    </w:p>
    <w:p>
      <w:pPr>
        <w:rPr>
          <w:rFonts w:hint="eastAsia" w:ascii="仿宋" w:hAnsi="仿宋" w:eastAsia="仿宋" w:cs="仿宋"/>
          <w:color w:val="000000"/>
        </w:rPr>
      </w:pPr>
      <w:r>
        <w:rPr>
          <w:rFonts w:hint="eastAsia" w:ascii="仿宋" w:hAnsi="仿宋" w:eastAsia="仿宋" w:cs="仿宋"/>
          <w:color w:val="000000"/>
        </w:rPr>
        <w:br w:type="page"/>
      </w:r>
    </w:p>
    <w:p>
      <w:pPr>
        <w:snapToGrid w:val="0"/>
        <w:spacing w:line="360" w:lineRule="auto"/>
        <w:ind w:right="480"/>
        <w:jc w:val="center"/>
        <w:outlineLvl w:val="2"/>
        <w:rPr>
          <w:rFonts w:hint="eastAsia" w:ascii="仿宋" w:hAnsi="仿宋" w:eastAsia="仿宋" w:cs="仿宋"/>
          <w:b/>
          <w:sz w:val="32"/>
          <w:szCs w:val="32"/>
        </w:rPr>
      </w:pPr>
      <w:r>
        <w:rPr>
          <w:rFonts w:hint="eastAsia" w:ascii="仿宋" w:hAnsi="仿宋" w:eastAsia="仿宋" w:cs="仿宋"/>
          <w:b/>
          <w:sz w:val="32"/>
          <w:szCs w:val="32"/>
        </w:rPr>
        <w:t>项目组成员、售后人员一览表</w:t>
      </w:r>
      <w:r>
        <w:rPr>
          <w:rFonts w:hint="eastAsia" w:ascii="仿宋" w:hAnsi="仿宋" w:eastAsia="仿宋" w:cs="仿宋"/>
          <w:color w:val="000000"/>
          <w:sz w:val="28"/>
          <w:szCs w:val="28"/>
        </w:rPr>
        <w:t>（参考样张）</w:t>
      </w: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（主要从业人员及其技术资格）</w:t>
      </w:r>
    </w:p>
    <w:tbl>
      <w:tblPr>
        <w:tblStyle w:val="39"/>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姓名</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性别</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年龄</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学历</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4" w:space="0"/>
              <w:left w:val="single" w:color="auto" w:sz="6"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4" w:space="0"/>
              <w:left w:val="single" w:color="auto" w:sz="4"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4" w:space="0"/>
              <w:left w:val="single" w:color="auto" w:sz="6" w:space="0"/>
              <w:bottom w:val="single" w:color="auto" w:sz="4"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303"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709"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992"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51"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1275"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c>
          <w:tcPr>
            <w:tcW w:w="809"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p>
        </w:tc>
      </w:tr>
    </w:tbl>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要求：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1.在填写时，如本表格不适合投标单位的实际情况，可根据本表格式自行划表填写。</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.根据招标文件规定提供</w:t>
      </w:r>
      <w:r>
        <w:rPr>
          <w:rFonts w:hint="eastAsia" w:ascii="仿宋" w:hAnsi="仿宋" w:eastAsia="仿宋" w:cs="仿宋"/>
          <w:b/>
          <w:bCs/>
          <w:sz w:val="24"/>
        </w:rPr>
        <w:t>人员学历证书、专业证书、职称证书、投标人为其缴纳的社保证明等相关证明材料扫描</w:t>
      </w:r>
      <w:r>
        <w:rPr>
          <w:rFonts w:hint="eastAsia" w:ascii="仿宋" w:hAnsi="仿宋" w:eastAsia="仿宋" w:cs="仿宋"/>
          <w:b/>
          <w:sz w:val="24"/>
        </w:rPr>
        <w:t>件。</w:t>
      </w:r>
    </w:p>
    <w:p>
      <w:pPr>
        <w:spacing w:line="360" w:lineRule="auto"/>
        <w:rPr>
          <w:rFonts w:hint="eastAsia" w:ascii="仿宋" w:hAnsi="仿宋" w:eastAsia="仿宋" w:cs="仿宋"/>
          <w:color w:val="000000"/>
          <w:sz w:val="24"/>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before="50" w:after="120" w:afterLines="50" w:line="360" w:lineRule="auto"/>
        <w:rPr>
          <w:rFonts w:hint="eastAsia" w:ascii="仿宋" w:hAnsi="仿宋" w:eastAsia="仿宋" w:cs="仿宋"/>
          <w:color w:val="000000"/>
        </w:rPr>
      </w:pPr>
    </w:p>
    <w:p>
      <w:pPr>
        <w:spacing w:line="360" w:lineRule="auto"/>
        <w:rPr>
          <w:rFonts w:hint="eastAsia" w:ascii="仿宋" w:hAnsi="仿宋" w:eastAsia="仿宋" w:cs="仿宋"/>
          <w:color w:val="000000"/>
        </w:rPr>
      </w:pPr>
      <w:r>
        <w:rPr>
          <w:rFonts w:hint="eastAsia" w:ascii="仿宋" w:hAnsi="仿宋" w:eastAsia="仿宋" w:cs="仿宋"/>
          <w:color w:val="000000"/>
        </w:rPr>
        <w:br w:type="page"/>
      </w:r>
    </w:p>
    <w:p>
      <w:pPr>
        <w:rPr>
          <w:rFonts w:hint="eastAsia" w:ascii="仿宋" w:hAnsi="仿宋" w:eastAsia="仿宋" w:cs="仿宋"/>
          <w:b/>
          <w:sz w:val="28"/>
        </w:rPr>
      </w:pPr>
      <w:r>
        <w:rPr>
          <w:rFonts w:hint="eastAsia" w:ascii="仿宋" w:hAnsi="仿宋" w:eastAsia="仿宋" w:cs="仿宋"/>
          <w:b/>
          <w:sz w:val="28"/>
        </w:rPr>
        <w:t>附件9</w:t>
      </w:r>
    </w:p>
    <w:p>
      <w:pPr>
        <w:jc w:val="center"/>
        <w:rPr>
          <w:rFonts w:hint="eastAsia" w:ascii="仿宋" w:hAnsi="仿宋" w:eastAsia="仿宋" w:cs="仿宋"/>
          <w:b/>
          <w:sz w:val="32"/>
          <w:szCs w:val="32"/>
        </w:rPr>
      </w:pPr>
      <w:r>
        <w:rPr>
          <w:rFonts w:hint="eastAsia" w:ascii="仿宋" w:hAnsi="仿宋" w:eastAsia="仿宋" w:cs="仿宋"/>
          <w:b/>
          <w:sz w:val="32"/>
          <w:szCs w:val="32"/>
        </w:rPr>
        <w:t>技术偏离表</w:t>
      </w: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招标文件章节及具体内容</w:t>
            </w: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投标文件章节及具体内容</w:t>
            </w: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2"/>
                <w:szCs w:val="32"/>
              </w:rPr>
            </w:pPr>
          </w:p>
        </w:tc>
      </w:tr>
    </w:tbl>
    <w:p>
      <w:pPr>
        <w:rPr>
          <w:rFonts w:hint="eastAsia" w:ascii="仿宋" w:hAnsi="仿宋" w:eastAsia="仿宋" w:cs="仿宋"/>
          <w:sz w:val="24"/>
        </w:rPr>
      </w:pPr>
      <w:r>
        <w:rPr>
          <w:rFonts w:hint="eastAsia" w:ascii="仿宋" w:hAnsi="仿宋" w:eastAsia="仿宋" w:cs="仿宋"/>
          <w:sz w:val="24"/>
        </w:rPr>
        <w:t>投标人保证：除商务技术偏离表列出的偏离外，投标人响应招标文件的全部要求；</w:t>
      </w:r>
    </w:p>
    <w:p>
      <w:pPr>
        <w:rPr>
          <w:rFonts w:hint="eastAsia" w:ascii="仿宋" w:hAnsi="仿宋" w:eastAsia="仿宋" w:cs="仿宋"/>
          <w:sz w:val="24"/>
        </w:rPr>
      </w:pPr>
      <w:r>
        <w:rPr>
          <w:rFonts w:hint="eastAsia" w:ascii="仿宋" w:hAnsi="仿宋" w:eastAsia="仿宋" w:cs="仿宋"/>
          <w:sz w:val="24"/>
        </w:rPr>
        <w:t>如投标供应商不填写内容，视为完全响应本次招标文件要求。</w:t>
      </w:r>
    </w:p>
    <w:p>
      <w:pPr>
        <w:adjustRightInd w:val="0"/>
        <w:snapToGrid w:val="0"/>
        <w:spacing w:line="240" w:lineRule="auto"/>
        <w:jc w:val="both"/>
        <w:rPr>
          <w:rFonts w:hint="eastAsia" w:ascii="仿宋" w:hAnsi="仿宋" w:eastAsia="仿宋" w:cs="仿宋"/>
          <w:sz w:val="24"/>
          <w:highlight w:val="none"/>
          <w:lang w:val="zh-CN"/>
        </w:rPr>
      </w:pPr>
    </w:p>
    <w:p>
      <w:pPr>
        <w:adjustRightInd w:val="0"/>
        <w:snapToGrid w:val="0"/>
        <w:spacing w:line="24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24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240" w:lineRule="auto"/>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360" w:lineRule="auto"/>
        <w:rPr>
          <w:rFonts w:hint="eastAsia" w:ascii="仿宋" w:hAnsi="仿宋" w:eastAsia="仿宋" w:cs="仿宋"/>
          <w:b/>
          <w:sz w:val="28"/>
        </w:rPr>
      </w:pPr>
    </w:p>
    <w:p>
      <w:pPr>
        <w:spacing w:line="360" w:lineRule="auto"/>
        <w:ind w:left="488" w:hanging="481" w:hangingChars="171"/>
        <w:jc w:val="both"/>
        <w:rPr>
          <w:rFonts w:hint="eastAsia" w:ascii="仿宋" w:hAnsi="仿宋" w:eastAsia="仿宋" w:cs="仿宋"/>
          <w:b/>
          <w:sz w:val="28"/>
        </w:rPr>
      </w:pPr>
      <w:r>
        <w:rPr>
          <w:rFonts w:hint="eastAsia" w:ascii="仿宋" w:hAnsi="仿宋" w:eastAsia="仿宋" w:cs="仿宋"/>
          <w:b/>
          <w:sz w:val="28"/>
        </w:rPr>
        <w:t>附件10</w:t>
      </w:r>
    </w:p>
    <w:p>
      <w:pPr>
        <w:spacing w:line="360" w:lineRule="auto"/>
        <w:ind w:left="558" w:hanging="549" w:hangingChars="171"/>
        <w:jc w:val="center"/>
        <w:rPr>
          <w:rFonts w:hint="eastAsia" w:ascii="仿宋" w:hAnsi="仿宋" w:eastAsia="仿宋" w:cs="仿宋"/>
          <w:b/>
          <w:sz w:val="18"/>
          <w:szCs w:val="18"/>
        </w:rPr>
      </w:pPr>
      <w:r>
        <w:rPr>
          <w:rFonts w:hint="eastAsia" w:ascii="仿宋" w:hAnsi="仿宋" w:eastAsia="仿宋" w:cs="仿宋"/>
          <w:b/>
          <w:sz w:val="32"/>
          <w:szCs w:val="32"/>
        </w:rPr>
        <w:t>商务响应表</w:t>
      </w:r>
    </w:p>
    <w:tbl>
      <w:tblPr>
        <w:tblStyle w:val="39"/>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b/>
                <w:sz w:val="20"/>
                <w:szCs w:val="21"/>
              </w:rPr>
            </w:pPr>
            <w:r>
              <w:rPr>
                <w:rFonts w:hint="eastAsia" w:ascii="仿宋" w:hAnsi="仿宋" w:eastAsia="仿宋" w:cs="仿宋"/>
                <w:b/>
                <w:sz w:val="20"/>
                <w:szCs w:val="21"/>
              </w:rPr>
              <w:t>序号</w:t>
            </w:r>
          </w:p>
        </w:tc>
        <w:tc>
          <w:tcPr>
            <w:tcW w:w="2534"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b/>
                <w:sz w:val="20"/>
                <w:szCs w:val="21"/>
              </w:rPr>
            </w:pPr>
            <w:r>
              <w:rPr>
                <w:rFonts w:hint="eastAsia" w:ascii="仿宋" w:hAnsi="仿宋" w:eastAsia="仿宋" w:cs="仿宋"/>
                <w:b/>
                <w:sz w:val="20"/>
                <w:szCs w:val="21"/>
              </w:rPr>
              <w:t xml:space="preserve">   内容</w:t>
            </w:r>
          </w:p>
        </w:tc>
        <w:tc>
          <w:tcPr>
            <w:tcW w:w="178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50" w:leftChars="25" w:right="0" w:firstLine="201" w:firstLineChars="100"/>
              <w:rPr>
                <w:rFonts w:hint="eastAsia" w:ascii="仿宋" w:hAnsi="仿宋" w:eastAsia="仿宋" w:cs="仿宋"/>
                <w:b/>
                <w:sz w:val="20"/>
                <w:szCs w:val="21"/>
              </w:rPr>
            </w:pPr>
            <w:r>
              <w:rPr>
                <w:rFonts w:hint="eastAsia" w:ascii="仿宋" w:hAnsi="仿宋" w:eastAsia="仿宋" w:cs="仿宋"/>
                <w:b/>
                <w:sz w:val="20"/>
                <w:szCs w:val="21"/>
              </w:rPr>
              <w:t>招标需求</w:t>
            </w: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152" w:right="0"/>
              <w:rPr>
                <w:rFonts w:hint="eastAsia" w:ascii="仿宋" w:hAnsi="仿宋" w:eastAsia="仿宋" w:cs="仿宋"/>
                <w:b/>
                <w:sz w:val="20"/>
                <w:szCs w:val="21"/>
              </w:rPr>
            </w:pPr>
            <w:r>
              <w:rPr>
                <w:rFonts w:hint="eastAsia" w:ascii="仿宋" w:hAnsi="仿宋" w:eastAsia="仿宋" w:cs="仿宋"/>
                <w:b/>
                <w:sz w:val="20"/>
                <w:szCs w:val="21"/>
              </w:rPr>
              <w:t>是否响应</w:t>
            </w: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sz w:val="20"/>
                <w:szCs w:val="21"/>
              </w:rPr>
            </w:pPr>
            <w:r>
              <w:rPr>
                <w:rFonts w:hint="eastAsia" w:ascii="仿宋" w:hAnsi="仿宋" w:eastAsia="仿宋" w:cs="仿宋"/>
                <w:b/>
                <w:sz w:val="20"/>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534"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r>
              <w:rPr>
                <w:rFonts w:hint="eastAsia" w:ascii="仿宋" w:hAnsi="仿宋" w:eastAsia="仿宋" w:cs="仿宋"/>
                <w:bCs/>
                <w:spacing w:val="41"/>
                <w:sz w:val="21"/>
                <w:szCs w:val="21"/>
              </w:rPr>
              <w:t>服务期</w:t>
            </w:r>
          </w:p>
        </w:tc>
        <w:tc>
          <w:tcPr>
            <w:tcW w:w="178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534"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r>
              <w:rPr>
                <w:rFonts w:hint="eastAsia" w:ascii="仿宋" w:hAnsi="仿宋" w:eastAsia="仿宋" w:cs="仿宋"/>
                <w:bCs/>
                <w:spacing w:val="41"/>
                <w:sz w:val="21"/>
                <w:szCs w:val="21"/>
              </w:rPr>
              <w:t>服务时间及地点</w:t>
            </w:r>
          </w:p>
        </w:tc>
        <w:tc>
          <w:tcPr>
            <w:tcW w:w="178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534"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r>
              <w:rPr>
                <w:rFonts w:hint="eastAsia" w:ascii="仿宋" w:hAnsi="仿宋" w:eastAsia="仿宋" w:cs="仿宋"/>
                <w:bCs/>
                <w:spacing w:val="41"/>
                <w:sz w:val="21"/>
                <w:szCs w:val="21"/>
              </w:rPr>
              <w:t>付款条件</w:t>
            </w:r>
          </w:p>
        </w:tc>
        <w:tc>
          <w:tcPr>
            <w:tcW w:w="178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534"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r>
              <w:rPr>
                <w:rFonts w:hint="eastAsia" w:ascii="仿宋" w:hAnsi="仿宋" w:eastAsia="仿宋" w:cs="仿宋"/>
                <w:sz w:val="20"/>
                <w:szCs w:val="21"/>
                <w:lang w:eastAsia="zh-CN"/>
              </w:rPr>
              <w:t>……</w:t>
            </w:r>
          </w:p>
        </w:tc>
        <w:tc>
          <w:tcPr>
            <w:tcW w:w="1785"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534"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p>
        </w:tc>
        <w:tc>
          <w:tcPr>
            <w:tcW w:w="178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534" w:type="dxa"/>
            <w:tcMar>
              <w:top w:w="57" w:type="dxa"/>
              <w:left w:w="108" w:type="dxa"/>
              <w:bottom w:w="0" w:type="dxa"/>
              <w:right w:w="108" w:type="dxa"/>
            </w:tcMar>
          </w:tcPr>
          <w:p>
            <w:pPr>
              <w:keepNext w:val="0"/>
              <w:keepLines w:val="0"/>
              <w:widowControl/>
              <w:suppressLineNumbers w:val="0"/>
              <w:snapToGrid w:val="0"/>
              <w:spacing w:before="0" w:beforeAutospacing="0" w:after="0" w:afterAutospacing="0"/>
              <w:ind w:left="0" w:right="0"/>
              <w:rPr>
                <w:rFonts w:hint="eastAsia" w:ascii="仿宋" w:hAnsi="仿宋" w:eastAsia="仿宋" w:cs="仿宋"/>
                <w:sz w:val="20"/>
                <w:szCs w:val="21"/>
              </w:rPr>
            </w:pPr>
          </w:p>
        </w:tc>
        <w:tc>
          <w:tcPr>
            <w:tcW w:w="178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136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c>
          <w:tcPr>
            <w:tcW w:w="2625" w:type="dxa"/>
            <w:tcMar>
              <w:top w:w="57"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0"/>
                <w:szCs w:val="21"/>
              </w:rPr>
            </w:pPr>
          </w:p>
        </w:tc>
      </w:tr>
    </w:tbl>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rPr>
          <w:rFonts w:hint="eastAsia" w:ascii="仿宋" w:hAnsi="仿宋" w:eastAsia="仿宋" w:cs="仿宋"/>
          <w:b/>
          <w:sz w:val="28"/>
        </w:rPr>
      </w:pPr>
      <w:r>
        <w:rPr>
          <w:rFonts w:hint="eastAsia" w:ascii="仿宋" w:hAnsi="仿宋" w:eastAsia="仿宋" w:cs="仿宋"/>
          <w:b/>
          <w:sz w:val="28"/>
        </w:rPr>
        <w:br w:type="page"/>
      </w:r>
    </w:p>
    <w:p>
      <w:pPr>
        <w:pStyle w:val="126"/>
        <w:tabs>
          <w:tab w:val="left" w:pos="0"/>
        </w:tabs>
        <w:rPr>
          <w:rFonts w:hint="eastAsia" w:ascii="仿宋" w:hAnsi="仿宋" w:eastAsia="仿宋" w:cs="仿宋"/>
          <w:b/>
        </w:rPr>
      </w:pPr>
      <w:r>
        <w:rPr>
          <w:rFonts w:hint="eastAsia" w:ascii="仿宋" w:hAnsi="仿宋" w:eastAsia="仿宋" w:cs="仿宋"/>
          <w:b/>
        </w:rPr>
        <w:t>附件11</w:t>
      </w:r>
    </w:p>
    <w:p>
      <w:pPr>
        <w:snapToGrid w:val="0"/>
        <w:spacing w:line="360" w:lineRule="auto"/>
        <w:ind w:right="480"/>
        <w:jc w:val="center"/>
        <w:outlineLvl w:val="0"/>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531"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设备名称</w:t>
            </w:r>
          </w:p>
        </w:tc>
        <w:tc>
          <w:tcPr>
            <w:tcW w:w="216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响应品牌及型号</w:t>
            </w:r>
          </w:p>
        </w:tc>
        <w:tc>
          <w:tcPr>
            <w:tcW w:w="234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规格配置详细说明</w:t>
            </w:r>
          </w:p>
        </w:tc>
        <w:tc>
          <w:tcPr>
            <w:tcW w:w="108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数量</w:t>
            </w:r>
          </w:p>
        </w:tc>
        <w:tc>
          <w:tcPr>
            <w:tcW w:w="1332"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531"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160"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34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08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332"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531"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160"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34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08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332"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1531"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160"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34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08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332"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4</w:t>
            </w:r>
          </w:p>
        </w:tc>
        <w:tc>
          <w:tcPr>
            <w:tcW w:w="1531"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160"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34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08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332"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5</w:t>
            </w:r>
          </w:p>
        </w:tc>
        <w:tc>
          <w:tcPr>
            <w:tcW w:w="1531"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160" w:type="dxa"/>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34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080"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c>
          <w:tcPr>
            <w:tcW w:w="1332" w:type="dxa"/>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0"/>
              </w:rPr>
            </w:pPr>
          </w:p>
        </w:tc>
      </w:tr>
    </w:tbl>
    <w:p>
      <w:pPr>
        <w:spacing w:line="360" w:lineRule="auto"/>
        <w:rPr>
          <w:rFonts w:hint="eastAsia" w:ascii="仿宋" w:hAnsi="仿宋" w:eastAsia="仿宋" w:cs="仿宋"/>
          <w:sz w:val="24"/>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jc w:val="center"/>
        <w:rPr>
          <w:rFonts w:hint="eastAsia" w:ascii="仿宋" w:hAnsi="仿宋" w:eastAsia="仿宋" w:cs="仿宋"/>
          <w:snapToGrid w:val="0"/>
          <w:sz w:val="24"/>
        </w:rPr>
      </w:pPr>
    </w:p>
    <w:p>
      <w:pPr>
        <w:pStyle w:val="18"/>
        <w:rPr>
          <w:rFonts w:hint="eastAsia" w:ascii="仿宋" w:hAnsi="仿宋" w:eastAsia="仿宋" w:cs="仿宋"/>
          <w:b/>
          <w:sz w:val="28"/>
        </w:rPr>
      </w:pPr>
      <w:bookmarkStart w:id="72" w:name="_Toc5822"/>
    </w:p>
    <w:p>
      <w:pPr>
        <w:pStyle w:val="18"/>
        <w:rPr>
          <w:rFonts w:hint="eastAsia" w:ascii="仿宋" w:hAnsi="仿宋" w:eastAsia="仿宋" w:cs="仿宋"/>
          <w:b/>
          <w:sz w:val="28"/>
        </w:rPr>
      </w:pPr>
    </w:p>
    <w:p>
      <w:pPr>
        <w:pStyle w:val="18"/>
        <w:rPr>
          <w:rFonts w:hint="eastAsia" w:ascii="仿宋" w:hAnsi="仿宋" w:eastAsia="仿宋" w:cs="仿宋"/>
          <w:b/>
          <w:sz w:val="28"/>
        </w:rPr>
      </w:pPr>
    </w:p>
    <w:p>
      <w:pPr>
        <w:pStyle w:val="18"/>
        <w:rPr>
          <w:rFonts w:hint="eastAsia" w:ascii="仿宋" w:hAnsi="仿宋" w:eastAsia="仿宋" w:cs="仿宋"/>
          <w:b/>
          <w:sz w:val="28"/>
          <w:lang w:eastAsia="zh-CN"/>
        </w:rPr>
      </w:pPr>
      <w:r>
        <w:rPr>
          <w:rFonts w:hint="eastAsia" w:ascii="仿宋" w:hAnsi="仿宋" w:eastAsia="仿宋" w:cs="仿宋"/>
          <w:b/>
          <w:sz w:val="28"/>
        </w:rPr>
        <w:t>附件1</w:t>
      </w:r>
      <w:r>
        <w:rPr>
          <w:rFonts w:hint="eastAsia" w:ascii="仿宋" w:hAnsi="仿宋" w:eastAsia="仿宋" w:cs="仿宋"/>
          <w:b/>
          <w:sz w:val="28"/>
          <w:lang w:val="en-US" w:eastAsia="zh-CN"/>
        </w:rPr>
        <w:t>2</w:t>
      </w:r>
    </w:p>
    <w:p>
      <w:pPr>
        <w:snapToGrid w:val="0"/>
        <w:spacing w:line="360" w:lineRule="auto"/>
        <w:ind w:right="480"/>
        <w:jc w:val="center"/>
        <w:outlineLvl w:val="0"/>
        <w:rPr>
          <w:rFonts w:hint="eastAsia" w:ascii="仿宋" w:hAnsi="仿宋" w:eastAsia="仿宋" w:cs="仿宋"/>
          <w:b/>
          <w:sz w:val="32"/>
          <w:szCs w:val="32"/>
        </w:rPr>
      </w:pPr>
      <w:r>
        <w:rPr>
          <w:rFonts w:hint="eastAsia" w:ascii="仿宋" w:hAnsi="仿宋" w:eastAsia="仿宋" w:cs="仿宋"/>
          <w:b/>
          <w:sz w:val="32"/>
          <w:szCs w:val="32"/>
        </w:rPr>
        <w:t>评标标准相应的商务技术资料</w:t>
      </w:r>
    </w:p>
    <w:p>
      <w:pPr>
        <w:snapToGrid w:val="0"/>
        <w:spacing w:line="360" w:lineRule="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rPr>
          <w:rFonts w:hint="eastAsia" w:ascii="仿宋" w:hAnsi="仿宋" w:eastAsia="仿宋" w:cs="仿宋"/>
          <w:b/>
          <w:sz w:val="28"/>
        </w:rPr>
      </w:pPr>
      <w:r>
        <w:rPr>
          <w:rFonts w:hint="eastAsia" w:ascii="仿宋" w:hAnsi="仿宋" w:eastAsia="仿宋" w:cs="仿宋"/>
          <w:b/>
          <w:sz w:val="28"/>
        </w:rPr>
        <w:br w:type="page"/>
      </w:r>
    </w:p>
    <w:p>
      <w:pPr>
        <w:pStyle w:val="18"/>
        <w:rPr>
          <w:rFonts w:hint="eastAsia" w:ascii="仿宋" w:hAnsi="仿宋" w:eastAsia="仿宋" w:cs="仿宋"/>
          <w:b/>
          <w:sz w:val="28"/>
          <w:lang w:eastAsia="zh-CN"/>
        </w:rPr>
      </w:pPr>
      <w:r>
        <w:rPr>
          <w:rFonts w:hint="eastAsia" w:ascii="仿宋" w:hAnsi="仿宋" w:eastAsia="仿宋" w:cs="仿宋"/>
          <w:b/>
          <w:sz w:val="28"/>
        </w:rPr>
        <w:t>附件1</w:t>
      </w:r>
      <w:bookmarkEnd w:id="72"/>
      <w:r>
        <w:rPr>
          <w:rFonts w:hint="eastAsia" w:ascii="仿宋" w:hAnsi="仿宋" w:eastAsia="仿宋" w:cs="仿宋"/>
          <w:b/>
          <w:sz w:val="28"/>
          <w:lang w:val="en-US" w:eastAsia="zh-CN"/>
        </w:rPr>
        <w:t>3</w:t>
      </w:r>
    </w:p>
    <w:p>
      <w:pPr>
        <w:pStyle w:val="18"/>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58"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58"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360" w:lineRule="auto"/>
        <w:jc w:val="center"/>
        <w:rPr>
          <w:rFonts w:hint="eastAsia" w:ascii="仿宋" w:hAnsi="仿宋" w:eastAsia="仿宋" w:cs="仿宋"/>
          <w:b/>
          <w:bCs/>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rPr>
          <w:rFonts w:hint="eastAsia" w:ascii="仿宋" w:hAnsi="仿宋" w:eastAsia="仿宋" w:cs="仿宋"/>
          <w:b/>
          <w:sz w:val="28"/>
        </w:rPr>
      </w:pPr>
    </w:p>
    <w:p>
      <w:pPr>
        <w:pStyle w:val="18"/>
        <w:rPr>
          <w:rFonts w:hint="eastAsia" w:ascii="仿宋" w:hAnsi="仿宋" w:eastAsia="仿宋" w:cs="仿宋"/>
          <w:b/>
          <w:sz w:val="28"/>
        </w:rPr>
      </w:pPr>
    </w:p>
    <w:p>
      <w:pPr>
        <w:pStyle w:val="126"/>
        <w:tabs>
          <w:tab w:val="left" w:pos="0"/>
        </w:tabs>
        <w:outlineLvl w:val="0"/>
        <w:rPr>
          <w:rFonts w:hint="eastAsia" w:ascii="仿宋" w:hAnsi="仿宋" w:eastAsia="仿宋" w:cs="仿宋"/>
          <w:b/>
          <w:lang w:eastAsia="zh-CN"/>
        </w:rPr>
      </w:pPr>
      <w:r>
        <w:rPr>
          <w:rFonts w:hint="eastAsia" w:ascii="仿宋" w:hAnsi="仿宋" w:eastAsia="仿宋" w:cs="仿宋"/>
          <w:b/>
          <w:spacing w:val="-6"/>
          <w:sz w:val="32"/>
          <w:szCs w:val="32"/>
        </w:rPr>
        <w:t xml:space="preserve">   </w:t>
      </w:r>
      <w:bookmarkStart w:id="73" w:name="_Toc26763"/>
      <w:bookmarkStart w:id="74" w:name="_Toc8045"/>
      <w:bookmarkStart w:id="75" w:name="_Toc22516"/>
      <w:r>
        <w:rPr>
          <w:rFonts w:hint="eastAsia" w:ascii="仿宋" w:hAnsi="仿宋" w:eastAsia="仿宋" w:cs="仿宋"/>
          <w:b/>
        </w:rPr>
        <w:t>附件1</w:t>
      </w:r>
      <w:bookmarkEnd w:id="73"/>
      <w:bookmarkEnd w:id="74"/>
      <w:bookmarkEnd w:id="75"/>
      <w:r>
        <w:rPr>
          <w:rFonts w:hint="eastAsia" w:ascii="仿宋" w:hAnsi="仿宋" w:eastAsia="仿宋" w:cs="仿宋"/>
          <w:b/>
          <w:lang w:val="en-US" w:eastAsia="zh-CN"/>
        </w:rPr>
        <w:t>4</w:t>
      </w:r>
    </w:p>
    <w:p>
      <w:pPr>
        <w:snapToGrid w:val="0"/>
        <w:spacing w:line="460" w:lineRule="exact"/>
        <w:jc w:val="center"/>
        <w:outlineLvl w:val="0"/>
        <w:rPr>
          <w:rFonts w:hint="eastAsia" w:ascii="仿宋" w:hAnsi="仿宋" w:eastAsia="仿宋" w:cs="仿宋"/>
          <w:b/>
          <w:bCs/>
          <w:sz w:val="32"/>
          <w:szCs w:val="32"/>
        </w:rPr>
      </w:pPr>
      <w:bookmarkStart w:id="76" w:name="_Toc23490"/>
      <w:bookmarkStart w:id="77" w:name="_Toc7493"/>
      <w:bookmarkStart w:id="78" w:name="_Toc4204"/>
      <w:r>
        <w:rPr>
          <w:rFonts w:hint="eastAsia" w:ascii="仿宋" w:hAnsi="仿宋" w:eastAsia="仿宋" w:cs="仿宋"/>
          <w:b/>
          <w:bCs/>
          <w:sz w:val="32"/>
          <w:szCs w:val="32"/>
        </w:rPr>
        <w:t>磋商报价一览表（首次）</w:t>
      </w:r>
      <w:bookmarkEnd w:id="76"/>
      <w:bookmarkEnd w:id="77"/>
      <w:bookmarkEnd w:id="78"/>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r>
        <w:rPr>
          <w:rFonts w:hint="eastAsia" w:ascii="仿宋" w:hAnsi="仿宋" w:eastAsia="仿宋" w:cs="仿宋"/>
          <w:sz w:val="24"/>
          <w:lang w:val="zh-CN"/>
        </w:rPr>
        <w:t>：</w:t>
      </w:r>
    </w:p>
    <w:p>
      <w:pPr>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台州市教育技术与信息中心超融合平台软硬件系统项目</w:t>
      </w:r>
      <w:r>
        <w:rPr>
          <w:rFonts w:hint="eastAsia" w:ascii="仿宋" w:hAnsi="仿宋" w:eastAsia="仿宋" w:cs="仿宋"/>
          <w:sz w:val="24"/>
          <w:lang w:val="zh-CN"/>
        </w:rPr>
        <w:t>【招标编号：</w:t>
      </w:r>
      <w:r>
        <w:rPr>
          <w:rFonts w:hint="eastAsia" w:ascii="仿宋" w:hAnsi="仿宋" w:eastAsia="仿宋" w:cs="仿宋"/>
          <w:sz w:val="24"/>
        </w:rPr>
        <w:t>TZFD(2024)-</w:t>
      </w:r>
      <w:r>
        <w:rPr>
          <w:rFonts w:hint="eastAsia" w:ascii="仿宋" w:hAnsi="仿宋" w:eastAsia="仿宋" w:cs="仿宋"/>
          <w:sz w:val="24"/>
          <w:lang w:eastAsia="zh-CN"/>
        </w:rPr>
        <w:t>1078号</w:t>
      </w:r>
      <w:r>
        <w:rPr>
          <w:rFonts w:hint="eastAsia" w:ascii="仿宋" w:hAnsi="仿宋" w:eastAsia="仿宋" w:cs="仿宋"/>
          <w:sz w:val="24"/>
        </w:rPr>
        <w:t>】的实施</w:t>
      </w:r>
      <w:r>
        <w:rPr>
          <w:rFonts w:hint="eastAsia" w:ascii="仿宋" w:hAnsi="仿宋" w:eastAsia="仿宋" w:cs="仿宋"/>
          <w:sz w:val="24"/>
          <w:lang w:val="zh-CN"/>
        </w:rPr>
        <w:t>。</w:t>
      </w:r>
    </w:p>
    <w:p>
      <w:pPr>
        <w:snapToGrid w:val="0"/>
        <w:spacing w:line="360" w:lineRule="auto"/>
        <w:ind w:left="-596" w:leftChars="-300" w:hanging="4"/>
        <w:jc w:val="center"/>
        <w:rPr>
          <w:rFonts w:hint="eastAsia" w:ascii="仿宋" w:hAnsi="仿宋" w:eastAsia="仿宋" w:cs="仿宋"/>
          <w:b/>
          <w:sz w:val="24"/>
          <w:lang w:val="zh-CN"/>
        </w:rPr>
      </w:pPr>
      <w:r>
        <w:rPr>
          <w:rFonts w:hint="eastAsia" w:ascii="仿宋" w:hAnsi="仿宋" w:eastAsia="仿宋" w:cs="仿宋"/>
          <w:b/>
          <w:sz w:val="24"/>
          <w:lang w:val="zh-CN"/>
        </w:rPr>
        <w:t>开标一览表（报价表）(标项：</w:t>
      </w:r>
      <w:r>
        <w:rPr>
          <w:rFonts w:hint="eastAsia" w:ascii="仿宋" w:hAnsi="仿宋" w:eastAsia="仿宋" w:cs="仿宋"/>
          <w:b/>
          <w:sz w:val="24"/>
        </w:rPr>
        <w:t xml:space="preserve">    </w:t>
      </w:r>
      <w:r>
        <w:rPr>
          <w:rFonts w:hint="eastAsia" w:ascii="仿宋" w:hAnsi="仿宋" w:eastAsia="仿宋" w:cs="仿宋"/>
          <w:b/>
          <w:sz w:val="24"/>
          <w:lang w:val="zh-CN"/>
        </w:rPr>
        <w:t>)</w:t>
      </w:r>
    </w:p>
    <w:tbl>
      <w:tblPr>
        <w:tblStyle w:val="39"/>
        <w:tblpPr w:leftFromText="180" w:rightFromText="180" w:vertAnchor="text" w:horzAnchor="page" w:tblpX="1541" w:tblpY="162"/>
        <w:tblOverlap w:val="never"/>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8"/>
        <w:gridCol w:w="1847"/>
        <w:gridCol w:w="1290"/>
        <w:gridCol w:w="1080"/>
        <w:gridCol w:w="1155"/>
        <w:gridCol w:w="1140"/>
        <w:gridCol w:w="108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9"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序号</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名称</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p>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品牌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规格</w:t>
            </w:r>
          </w:p>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型号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数量</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单价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合计</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p>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备注</w:t>
            </w:r>
          </w:p>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XX</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XX</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7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最后报价（小写）</w:t>
            </w:r>
          </w:p>
        </w:tc>
        <w:tc>
          <w:tcPr>
            <w:tcW w:w="434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7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最后报价（大写）</w:t>
            </w:r>
          </w:p>
        </w:tc>
        <w:tc>
          <w:tcPr>
            <w:tcW w:w="434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rPr>
            </w:pPr>
          </w:p>
        </w:tc>
      </w:tr>
    </w:tbl>
    <w:p>
      <w:pPr>
        <w:snapToGrid w:val="0"/>
        <w:spacing w:line="360" w:lineRule="auto"/>
        <w:ind w:left="-596" w:leftChars="-300" w:hanging="4"/>
        <w:rPr>
          <w:rFonts w:hint="eastAsia" w:ascii="仿宋" w:hAnsi="仿宋" w:eastAsia="仿宋" w:cs="仿宋"/>
          <w:b/>
          <w:sz w:val="24"/>
          <w:lang w:val="zh-CN"/>
        </w:rPr>
      </w:pPr>
      <w:r>
        <w:rPr>
          <w:rFonts w:hint="eastAsia" w:ascii="仿宋" w:hAnsi="仿宋" w:eastAsia="仿宋" w:cs="仿宋"/>
          <w:b/>
          <w:sz w:val="24"/>
          <w:lang w:val="zh-CN"/>
        </w:rPr>
        <w:t>注：</w:t>
      </w:r>
    </w:p>
    <w:p>
      <w:pPr>
        <w:spacing w:line="360" w:lineRule="auto"/>
        <w:ind w:left="-596" w:leftChars="-300" w:hanging="4"/>
        <w:rPr>
          <w:rFonts w:hint="eastAsia" w:ascii="仿宋" w:hAnsi="仿宋" w:eastAsia="仿宋" w:cs="仿宋"/>
          <w:sz w:val="24"/>
          <w:lang w:val="zh-CN"/>
        </w:rPr>
      </w:pPr>
      <w:r>
        <w:rPr>
          <w:rFonts w:hint="eastAsia" w:ascii="仿宋" w:hAnsi="仿宋" w:eastAsia="仿宋" w:cs="仿宋"/>
          <w:sz w:val="24"/>
          <w:lang w:val="zh-CN"/>
        </w:rPr>
        <w:t>1、投标人需按本表格式填写</w:t>
      </w:r>
      <w:r>
        <w:rPr>
          <w:rFonts w:hint="eastAsia" w:ascii="仿宋" w:hAnsi="仿宋" w:eastAsia="仿宋" w:cs="仿宋"/>
          <w:b/>
          <w:sz w:val="24"/>
          <w:lang w:val="zh-CN"/>
        </w:rPr>
        <w:t>，</w:t>
      </w:r>
      <w:r>
        <w:rPr>
          <w:rFonts w:hint="eastAsia" w:ascii="仿宋" w:hAnsi="仿宋" w:eastAsia="仿宋" w:cs="仿宋"/>
          <w:b/>
          <w:sz w:val="24"/>
        </w:rPr>
        <w:t>否则视为投标文件含有采购人不能接受的附加条件，投标无效</w:t>
      </w:r>
      <w:r>
        <w:rPr>
          <w:rFonts w:hint="eastAsia" w:ascii="仿宋" w:hAnsi="仿宋" w:eastAsia="仿宋" w:cs="仿宋"/>
          <w:sz w:val="24"/>
          <w:lang w:val="zh-CN"/>
        </w:rPr>
        <w:t>。</w:t>
      </w:r>
    </w:p>
    <w:p>
      <w:pPr>
        <w:spacing w:line="360" w:lineRule="auto"/>
        <w:ind w:left="-596" w:leftChars="-300" w:hanging="4"/>
        <w:rPr>
          <w:rFonts w:hint="eastAsia" w:ascii="仿宋" w:hAnsi="仿宋" w:eastAsia="仿宋" w:cs="仿宋"/>
          <w:sz w:val="24"/>
        </w:rPr>
      </w:pPr>
      <w:r>
        <w:rPr>
          <w:rFonts w:hint="eastAsia" w:ascii="仿宋" w:hAnsi="仿宋" w:eastAsia="仿宋" w:cs="仿宋"/>
          <w:sz w:val="24"/>
          <w:lang w:val="zh-CN"/>
        </w:rPr>
        <w:t>2、有关本项目实施所涉及的一切费用均计入报价。</w:t>
      </w:r>
    </w:p>
    <w:p>
      <w:pPr>
        <w:snapToGrid w:val="0"/>
        <w:spacing w:line="360" w:lineRule="auto"/>
        <w:ind w:left="-596" w:leftChars="-300" w:hanging="4"/>
        <w:rPr>
          <w:rFonts w:hint="eastAsia" w:ascii="仿宋" w:hAnsi="仿宋" w:eastAsia="仿宋" w:cs="仿宋"/>
          <w:sz w:val="24"/>
          <w:lang w:val="zh-CN"/>
        </w:rPr>
      </w:pPr>
      <w:r>
        <w:rPr>
          <w:rFonts w:hint="eastAsia" w:ascii="仿宋" w:hAnsi="仿宋" w:eastAsia="仿宋" w:cs="仿宋"/>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left="-596" w:leftChars="-300" w:hanging="4"/>
        <w:rPr>
          <w:rFonts w:hint="eastAsia" w:ascii="仿宋" w:hAnsi="仿宋" w:eastAsia="仿宋" w:cs="仿宋"/>
          <w:sz w:val="24"/>
          <w:szCs w:val="24"/>
        </w:rPr>
      </w:pPr>
      <w:r>
        <w:rPr>
          <w:rFonts w:hint="eastAsia" w:ascii="仿宋" w:hAnsi="仿宋" w:eastAsia="仿宋" w:cs="仿宋"/>
          <w:sz w:val="24"/>
          <w:szCs w:val="22"/>
          <w:lang w:val="zh-CN"/>
        </w:rPr>
        <w:t>4、</w:t>
      </w:r>
      <w:r>
        <w:rPr>
          <w:rFonts w:hint="eastAsia" w:ascii="仿宋" w:hAnsi="仿宋" w:eastAsia="仿宋" w:cs="仿宋"/>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djustRightInd w:val="0"/>
        <w:snapToGrid w:val="0"/>
        <w:spacing w:line="360" w:lineRule="auto"/>
        <w:jc w:val="both"/>
        <w:rPr>
          <w:rFonts w:hint="eastAsia" w:ascii="仿宋" w:hAnsi="仿宋" w:eastAsia="仿宋" w:cs="仿宋"/>
          <w:sz w:val="24"/>
          <w:lang w:val="zh-CN"/>
        </w:rPr>
      </w:pP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126"/>
        <w:tabs>
          <w:tab w:val="left" w:pos="0"/>
        </w:tabs>
        <w:outlineLvl w:val="0"/>
        <w:rPr>
          <w:rFonts w:hint="eastAsia" w:ascii="仿宋" w:hAnsi="仿宋" w:eastAsia="仿宋" w:cs="仿宋"/>
          <w:b/>
          <w:lang w:eastAsia="zh-CN"/>
        </w:rPr>
      </w:pPr>
      <w:bookmarkStart w:id="79" w:name="_Toc29567"/>
      <w:bookmarkStart w:id="80" w:name="_Toc24499"/>
      <w:bookmarkStart w:id="81" w:name="_Toc16003"/>
      <w:r>
        <w:rPr>
          <w:rFonts w:hint="eastAsia" w:ascii="仿宋" w:hAnsi="仿宋" w:eastAsia="仿宋" w:cs="仿宋"/>
          <w:b/>
        </w:rPr>
        <w:t>附件1</w:t>
      </w:r>
      <w:bookmarkEnd w:id="79"/>
      <w:bookmarkEnd w:id="80"/>
      <w:bookmarkEnd w:id="81"/>
      <w:r>
        <w:rPr>
          <w:rFonts w:hint="eastAsia" w:ascii="仿宋" w:hAnsi="仿宋" w:eastAsia="仿宋" w:cs="仿宋"/>
          <w:b/>
          <w:lang w:val="en-US" w:eastAsia="zh-CN"/>
        </w:rPr>
        <w:t>5</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napToGrid w:val="0"/>
        <w:spacing w:line="360" w:lineRule="auto"/>
        <w:ind w:left="0" w:leftChars="0" w:firstLine="1800" w:firstLineChars="750"/>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ind w:left="0" w:leftChars="0" w:firstLine="1800" w:firstLineChars="750"/>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ind w:left="0" w:leftChars="0" w:firstLine="1800" w:firstLineChars="750"/>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360" w:lineRule="auto"/>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中小企业声明函（服务\工程）</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 （标的名称），属于 （采购文件中明确的所属行业） ；承建（承接）企业为</w:t>
      </w:r>
      <w:r>
        <w:rPr>
          <w:rFonts w:hint="eastAsia" w:ascii="仿宋" w:hAnsi="仿宋" w:eastAsia="仿宋" w:cs="仿宋"/>
          <w:sz w:val="24"/>
          <w:u w:val="single"/>
        </w:rPr>
        <w:t xml:space="preserve">   （企业名称</w:t>
      </w:r>
      <w:r>
        <w:rPr>
          <w:rFonts w:hint="eastAsia" w:ascii="仿宋" w:hAnsi="仿宋" w:eastAsia="仿宋" w:cs="仿宋"/>
          <w:sz w:val="24"/>
        </w:rPr>
        <w:t>）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 ；</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 （标的名称），属于 （采购文件中明确的所属行业） ；承建（承接）企业为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 ；</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napToGrid w:val="0"/>
        <w:spacing w:line="360" w:lineRule="auto"/>
        <w:ind w:left="0" w:leftChars="0" w:firstLine="1999" w:firstLineChars="833"/>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ind w:left="0" w:leftChars="0" w:firstLine="1999" w:firstLineChars="833"/>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ind w:left="0" w:leftChars="0" w:firstLine="1999" w:firstLineChars="833"/>
        <w:jc w:val="both"/>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
          <w:sz w:val="32"/>
          <w:szCs w:val="32"/>
          <w:lang w:val="en-GB"/>
        </w:rPr>
      </w:pPr>
      <w:r>
        <w:rPr>
          <w:rFonts w:hint="eastAsia" w:ascii="仿宋" w:hAnsi="仿宋" w:eastAsia="仿宋" w:cs="仿宋"/>
          <w:b/>
          <w:sz w:val="32"/>
          <w:szCs w:val="32"/>
          <w:lang w:val="en-GB"/>
        </w:rPr>
        <w:br w:type="page"/>
      </w:r>
    </w:p>
    <w:p>
      <w:pPr>
        <w:rPr>
          <w:rFonts w:hint="eastAsia" w:ascii="仿宋" w:hAnsi="仿宋" w:eastAsia="仿宋" w:cs="仿宋"/>
          <w:b/>
          <w:sz w:val="32"/>
          <w:szCs w:val="32"/>
          <w:lang w:val="en-GB"/>
        </w:rPr>
        <w:sectPr>
          <w:headerReference r:id="rId7" w:type="default"/>
          <w:footerReference r:id="rId8" w:type="default"/>
          <w:type w:val="continuous"/>
          <w:pgSz w:w="11906" w:h="16838"/>
          <w:pgMar w:top="1440" w:right="1440" w:bottom="1440" w:left="1797" w:header="851" w:footer="850" w:gutter="0"/>
          <w:pgNumType w:fmt="numberInDash" w:start="1"/>
          <w:cols w:space="720" w:num="1"/>
          <w:docGrid w:type="lines" w:linePitch="312" w:charSpace="0"/>
        </w:sectPr>
      </w:pPr>
      <w:bookmarkStart w:id="82" w:name="_Toc16258"/>
      <w:bookmarkStart w:id="83" w:name="_Toc17422"/>
      <w:bookmarkStart w:id="84" w:name="_Toc16810"/>
    </w:p>
    <w:tbl>
      <w:tblPr>
        <w:tblStyle w:val="39"/>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0"/>
                <w:szCs w:val="20"/>
              </w:rPr>
            </w:pPr>
            <w:r>
              <w:rPr>
                <w:rFonts w:hint="eastAsia" w:ascii="仿宋" w:hAnsi="仿宋" w:eastAsia="仿宋" w:cs="仿宋"/>
                <w:b/>
                <w:bCs/>
                <w:sz w:val="20"/>
                <w:szCs w:val="20"/>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0"/>
                <w:szCs w:val="20"/>
              </w:rPr>
            </w:pPr>
            <w:r>
              <w:rPr>
                <w:rFonts w:hint="eastAsia" w:ascii="仿宋" w:hAnsi="仿宋" w:eastAsia="仿宋" w:cs="仿宋"/>
                <w:b/>
                <w:bCs/>
                <w:sz w:val="20"/>
                <w:szCs w:val="20"/>
              </w:rPr>
              <w:t>行业</w:t>
            </w:r>
          </w:p>
        </w:tc>
        <w:tc>
          <w:tcPr>
            <w:tcW w:w="4921" w:type="dxa"/>
            <w:gridSpan w:val="3"/>
            <w:tcBorders>
              <w:top w:val="single" w:color="auto" w:sz="8" w:space="0"/>
              <w:left w:val="nil"/>
              <w:bottom w:val="single" w:color="auto" w:sz="4" w:space="0"/>
              <w:right w:val="single" w:color="000000" w:sz="8"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0"/>
                <w:szCs w:val="20"/>
              </w:rPr>
            </w:pPr>
            <w:r>
              <w:rPr>
                <w:rFonts w:hint="eastAsia" w:ascii="仿宋" w:hAnsi="仿宋" w:eastAsia="仿宋" w:cs="仿宋"/>
                <w:b/>
                <w:bCs/>
                <w:sz w:val="20"/>
                <w:szCs w:val="20"/>
              </w:rPr>
              <w:t>中型企业（且）</w:t>
            </w:r>
          </w:p>
        </w:tc>
        <w:tc>
          <w:tcPr>
            <w:tcW w:w="4614" w:type="dxa"/>
            <w:gridSpan w:val="3"/>
            <w:tcBorders>
              <w:top w:val="single" w:color="auto" w:sz="8" w:space="0"/>
              <w:left w:val="nil"/>
              <w:bottom w:val="single" w:color="auto" w:sz="4" w:space="0"/>
              <w:right w:val="single" w:color="000000" w:sz="8"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0"/>
                <w:szCs w:val="20"/>
              </w:rPr>
            </w:pPr>
            <w:r>
              <w:rPr>
                <w:rFonts w:hint="eastAsia" w:ascii="仿宋" w:hAnsi="仿宋" w:eastAsia="仿宋" w:cs="仿宋"/>
                <w:b/>
                <w:bCs/>
                <w:sz w:val="20"/>
                <w:szCs w:val="20"/>
              </w:rPr>
              <w:t>小型企业（且）</w:t>
            </w:r>
          </w:p>
        </w:tc>
        <w:tc>
          <w:tcPr>
            <w:tcW w:w="3781" w:type="dxa"/>
            <w:gridSpan w:val="3"/>
            <w:tcBorders>
              <w:top w:val="single" w:color="auto" w:sz="8" w:space="0"/>
              <w:left w:val="nil"/>
              <w:bottom w:val="single" w:color="auto" w:sz="4" w:space="0"/>
              <w:right w:val="single" w:color="000000" w:sz="8"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b/>
                <w:bCs/>
                <w:sz w:val="20"/>
                <w:szCs w:val="20"/>
              </w:rPr>
            </w:pPr>
            <w:r>
              <w:rPr>
                <w:rFonts w:hint="eastAsia" w:ascii="仿宋" w:hAnsi="仿宋" w:eastAsia="仿宋" w:cs="仿宋"/>
                <w:b/>
                <w:bCs/>
                <w:sz w:val="20"/>
                <w:szCs w:val="20"/>
              </w:rPr>
              <w:t>微型企业（或）</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b/>
                <w:bCs/>
                <w:sz w:val="20"/>
                <w:szCs w:val="20"/>
              </w:rPr>
            </w:pP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从业人员X（人）</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营业收入Y</w:t>
            </w:r>
          </w:p>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（万元）</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资产总额Z</w:t>
            </w:r>
          </w:p>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（万元）</w:t>
            </w: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从业人员X（人）</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营业收入Y</w:t>
            </w:r>
          </w:p>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（万元）</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资产总额Z</w:t>
            </w:r>
          </w:p>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（万元）</w:t>
            </w: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从业人员X（人）</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营业收入Y（万元）</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0"/>
                <w:szCs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1、农林牧渔业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500≤Y＜20000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50≤Y＜500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Y＜50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2、工业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300≤X＜1000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2000≤Y＜40000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20≤X＜300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300≤Y＜2000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X＜20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Y＜300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3、建筑业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6000≤Y＜80000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5000≤Z＜80000</w:t>
            </w: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300≤Y＜6000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300≤Z＜5000</w:t>
            </w: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Y＜300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4、批发业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20≤X＜200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5000≤Y＜40000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5≤X＜20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1000≤Y＜5000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X＜5</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5、零售业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50≤X＜300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500≤Y＜20000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10≤X＜50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100≤Y＜500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6、交通运输业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300≤X＜1000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3000≤Y＜30000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20≤X＜300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200≤Y＜3000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X＜20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V＜200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7、仓储业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100≤X＜200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1000≤Y＜30000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20≤X＜100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100≤Y＜1000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X＜20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8、邮政业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300≤X＜1000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2000≤Y＜30000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20≤X＜300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100≤Y＜2000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X＜20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9、住宿业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100≤X＜300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2000≤Y＜10000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10≤X＜100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100≤Y＜2000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10、餐饮业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100≤X＜300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2000≤Y＜10000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10≤X＜100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100≤Y＜2000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V＜100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11、信息传输业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100≤X＜2000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1000≤Y＜100000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10≤X＜100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100≤Y＜1000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12、软件和信息技术服务业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100≤X＜300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1000≤Y＜10000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10≤X＜100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50≤Y＜1000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Y＜50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13、房地产开发经营</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1000≤Y＜200000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5000≤Z＜10000</w:t>
            </w: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100≤Y＜1000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2000≤Z＜5000</w:t>
            </w: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Y＜100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14、物业管理</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300≤X＜1000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1000≤Y＜5000</w:t>
            </w: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100≤X＜300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500≤Y＜1000</w:t>
            </w: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Y＜500</w:t>
            </w: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15、租赁和商务服务业</w:t>
            </w:r>
          </w:p>
        </w:tc>
        <w:tc>
          <w:tcPr>
            <w:tcW w:w="149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100≤X＜300</w:t>
            </w:r>
          </w:p>
        </w:tc>
        <w:tc>
          <w:tcPr>
            <w:tcW w:w="1763"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66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8000≤Z＜120000</w:t>
            </w:r>
          </w:p>
        </w:tc>
        <w:tc>
          <w:tcPr>
            <w:tcW w:w="1458"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10≤X＜100</w:t>
            </w:r>
          </w:p>
        </w:tc>
        <w:tc>
          <w:tcPr>
            <w:tcW w:w="1636"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520"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100≤Z＜8000</w:t>
            </w:r>
          </w:p>
        </w:tc>
        <w:tc>
          <w:tcPr>
            <w:tcW w:w="128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21" w:type="dxa"/>
            <w:tcBorders>
              <w:top w:val="nil"/>
              <w:left w:val="nil"/>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16、其他未列明行业</w:t>
            </w:r>
          </w:p>
        </w:tc>
        <w:tc>
          <w:tcPr>
            <w:tcW w:w="1498" w:type="dxa"/>
            <w:tcBorders>
              <w:top w:val="nil"/>
              <w:left w:val="nil"/>
              <w:bottom w:val="single" w:color="auto" w:sz="8"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100≤X＜300</w:t>
            </w:r>
          </w:p>
        </w:tc>
        <w:tc>
          <w:tcPr>
            <w:tcW w:w="1763" w:type="dxa"/>
            <w:tcBorders>
              <w:top w:val="nil"/>
              <w:left w:val="nil"/>
              <w:bottom w:val="single" w:color="auto" w:sz="8"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660" w:type="dxa"/>
            <w:tcBorders>
              <w:top w:val="nil"/>
              <w:left w:val="nil"/>
              <w:bottom w:val="single" w:color="auto" w:sz="8"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458" w:type="dxa"/>
            <w:tcBorders>
              <w:top w:val="nil"/>
              <w:left w:val="nil"/>
              <w:bottom w:val="single" w:color="auto" w:sz="8"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10≤X＜100</w:t>
            </w:r>
          </w:p>
        </w:tc>
        <w:tc>
          <w:tcPr>
            <w:tcW w:w="1636" w:type="dxa"/>
            <w:tcBorders>
              <w:top w:val="nil"/>
              <w:left w:val="nil"/>
              <w:bottom w:val="single" w:color="auto" w:sz="8"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520" w:type="dxa"/>
            <w:tcBorders>
              <w:top w:val="nil"/>
              <w:left w:val="nil"/>
              <w:bottom w:val="single" w:color="auto" w:sz="8"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85" w:type="dxa"/>
            <w:tcBorders>
              <w:top w:val="nil"/>
              <w:left w:val="nil"/>
              <w:bottom w:val="single" w:color="auto" w:sz="8"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r>
              <w:rPr>
                <w:rFonts w:hint="eastAsia" w:ascii="仿宋" w:hAnsi="仿宋" w:eastAsia="仿宋" w:cs="仿宋"/>
                <w:sz w:val="20"/>
                <w:szCs w:val="20"/>
              </w:rPr>
              <w:t>X＜10</w:t>
            </w:r>
          </w:p>
        </w:tc>
        <w:tc>
          <w:tcPr>
            <w:tcW w:w="1275" w:type="dxa"/>
            <w:tcBorders>
              <w:top w:val="nil"/>
              <w:left w:val="nil"/>
              <w:bottom w:val="single" w:color="auto" w:sz="8" w:space="0"/>
              <w:right w:val="single" w:color="auto" w:sz="4"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c>
          <w:tcPr>
            <w:tcW w:w="1221" w:type="dxa"/>
            <w:tcBorders>
              <w:top w:val="nil"/>
              <w:left w:val="nil"/>
              <w:bottom w:val="single" w:color="auto" w:sz="8" w:space="0"/>
              <w:right w:val="single" w:color="auto" w:sz="8" w:space="0"/>
            </w:tcBorders>
            <w:vAlign w:val="bottom"/>
          </w:tcPr>
          <w:p>
            <w:pPr>
              <w:keepNext w:val="0"/>
              <w:keepLines w:val="0"/>
              <w:widowControl/>
              <w:suppressLineNumbers w:val="0"/>
              <w:spacing w:before="0" w:beforeAutospacing="0" w:after="0" w:afterAutospacing="0"/>
              <w:ind w:left="0" w:right="0"/>
              <w:rPr>
                <w:rFonts w:hint="eastAsia" w:ascii="仿宋" w:hAnsi="仿宋" w:eastAsia="仿宋" w:cs="仿宋"/>
                <w:sz w:val="20"/>
                <w:szCs w:val="20"/>
              </w:rPr>
            </w:pPr>
          </w:p>
        </w:tc>
      </w:tr>
    </w:tbl>
    <w:p>
      <w:pPr>
        <w:rPr>
          <w:rFonts w:hint="eastAsia" w:ascii="仿宋" w:hAnsi="仿宋" w:eastAsia="仿宋" w:cs="仿宋"/>
        </w:rPr>
      </w:pPr>
      <w:r>
        <w:rPr>
          <w:rFonts w:hint="eastAsia" w:ascii="仿宋" w:hAnsi="仿宋" w:eastAsia="仿宋" w:cs="仿宋"/>
        </w:rPr>
        <w:t>说明：1、企业类型的划分以统计部门的统计数据为依据。2、个体工商户和本规定以外的行业，参照本规定进行划型。</w:t>
      </w:r>
    </w:p>
    <w:p>
      <w:pPr>
        <w:ind w:firstLine="600" w:firstLineChars="300"/>
        <w:rPr>
          <w:rFonts w:hint="eastAsia" w:ascii="仿宋" w:hAnsi="仿宋" w:eastAsia="仿宋" w:cs="仿宋"/>
        </w:rPr>
      </w:pPr>
      <w:r>
        <w:rPr>
          <w:rFonts w:hint="eastAsia" w:ascii="仿宋" w:hAnsi="仿宋" w:eastAsia="仿宋" w:cs="仿宋"/>
        </w:rPr>
        <w:t>3、本规定的中型企业标准上限即为大型企业标准的下限。</w:t>
      </w:r>
    </w:p>
    <w:p>
      <w:pPr>
        <w:rPr>
          <w:rFonts w:hint="eastAsia" w:ascii="仿宋" w:hAnsi="仿宋" w:eastAsia="仿宋" w:cs="仿宋"/>
          <w:b/>
          <w:sz w:val="32"/>
          <w:szCs w:val="32"/>
          <w:lang w:val="en-GB"/>
        </w:rPr>
        <w:sectPr>
          <w:pgSz w:w="16838" w:h="11906" w:orient="landscape"/>
          <w:pgMar w:top="1797" w:right="1440" w:bottom="1440" w:left="1440" w:header="851" w:footer="850" w:gutter="0"/>
          <w:pgNumType w:fmt="numberInDash"/>
          <w:cols w:space="720" w:num="1"/>
          <w:docGrid w:type="lines" w:linePitch="312" w:charSpace="0"/>
        </w:sectPr>
      </w:pPr>
    </w:p>
    <w:p>
      <w:pPr>
        <w:rPr>
          <w:rFonts w:hint="eastAsia" w:ascii="仿宋" w:hAnsi="仿宋" w:eastAsia="仿宋" w:cs="仿宋"/>
          <w:b/>
          <w:sz w:val="32"/>
          <w:szCs w:val="32"/>
          <w:lang w:val="en-GB"/>
        </w:rPr>
      </w:pPr>
    </w:p>
    <w:p>
      <w:pPr>
        <w:spacing w:line="360" w:lineRule="auto"/>
        <w:jc w:val="center"/>
        <w:outlineLvl w:val="0"/>
        <w:rPr>
          <w:rFonts w:hint="eastAsia" w:ascii="仿宋" w:hAnsi="仿宋" w:eastAsia="仿宋" w:cs="仿宋"/>
          <w:b/>
          <w:sz w:val="32"/>
          <w:szCs w:val="32"/>
          <w:lang w:val="en-GB"/>
        </w:rPr>
      </w:pPr>
      <w:r>
        <w:rPr>
          <w:rFonts w:hint="eastAsia" w:ascii="仿宋" w:hAnsi="仿宋" w:eastAsia="仿宋" w:cs="仿宋"/>
          <w:b/>
          <w:sz w:val="32"/>
          <w:szCs w:val="32"/>
          <w:lang w:val="en-GB"/>
        </w:rPr>
        <w:t>残疾人福利性单位声明函</w:t>
      </w:r>
      <w:bookmarkEnd w:id="82"/>
      <w:bookmarkEnd w:id="83"/>
      <w:bookmarkEnd w:id="84"/>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w:t>
      </w:r>
      <w:r>
        <w:rPr>
          <w:rFonts w:hint="eastAsia" w:ascii="仿宋" w:hAnsi="仿宋" w:eastAsia="仿宋" w:cs="仿宋"/>
          <w:bCs/>
          <w:sz w:val="24"/>
          <w:szCs w:val="24"/>
        </w:rPr>
        <w:t>【</w:t>
      </w:r>
      <w:r>
        <w:rPr>
          <w:rFonts w:hint="eastAsia" w:ascii="仿宋" w:hAnsi="仿宋" w:eastAsia="仿宋" w:cs="仿宋"/>
          <w:bCs/>
          <w:spacing w:val="6"/>
          <w:sz w:val="24"/>
        </w:rPr>
        <w:t>财库〔2017〕141号</w:t>
      </w:r>
      <w:r>
        <w:rPr>
          <w:rFonts w:hint="eastAsia" w:ascii="仿宋" w:hAnsi="仿宋" w:eastAsia="仿宋" w:cs="仿宋"/>
          <w:bCs/>
          <w:sz w:val="24"/>
          <w:szCs w:val="24"/>
        </w:rPr>
        <w:t>】</w:t>
      </w:r>
      <w:r>
        <w:rPr>
          <w:rFonts w:hint="eastAsia" w:ascii="仿宋" w:hAnsi="仿宋" w:eastAsia="仿宋" w:cs="仿宋"/>
          <w:spacing w:val="6"/>
          <w:sz w:val="24"/>
        </w:rPr>
        <w:t>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tabs>
          <w:tab w:val="left" w:pos="4860"/>
        </w:tabs>
        <w:spacing w:line="360" w:lineRule="auto"/>
        <w:ind w:right="1560" w:firstLine="504" w:firstLineChars="200"/>
        <w:jc w:val="center"/>
        <w:rPr>
          <w:rFonts w:hint="eastAsia" w:ascii="仿宋" w:hAnsi="仿宋" w:eastAsia="仿宋" w:cs="仿宋"/>
          <w:spacing w:val="6"/>
          <w:sz w:val="24"/>
        </w:rPr>
      </w:pPr>
    </w:p>
    <w:p>
      <w:pPr>
        <w:adjustRightInd w:val="0"/>
        <w:snapToGrid w:val="0"/>
        <w:spacing w:line="360" w:lineRule="auto"/>
        <w:ind w:left="0" w:leftChars="0" w:firstLine="2198" w:firstLineChars="916"/>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法定代表人（负责人）或其授权委托人（签名或印章或电子章）：</w:t>
      </w:r>
    </w:p>
    <w:p>
      <w:pPr>
        <w:adjustRightInd w:val="0"/>
        <w:snapToGrid w:val="0"/>
        <w:spacing w:line="360" w:lineRule="auto"/>
        <w:ind w:left="0" w:leftChars="0" w:firstLine="2198" w:firstLineChars="916"/>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投标人（盖章或电子章）：</w:t>
      </w:r>
    </w:p>
    <w:p>
      <w:pPr>
        <w:spacing w:line="440" w:lineRule="exact"/>
        <w:ind w:left="0" w:leftChars="0" w:firstLine="2198" w:firstLineChars="916"/>
        <w:jc w:val="left"/>
        <w:rPr>
          <w:rFonts w:hint="eastAsia" w:ascii="仿宋" w:hAnsi="仿宋" w:eastAsia="仿宋" w:cs="仿宋"/>
          <w:sz w:val="24"/>
          <w:highlight w:val="none"/>
        </w:rPr>
      </w:pPr>
      <w:r>
        <w:rPr>
          <w:rFonts w:hint="eastAsia" w:ascii="仿宋" w:hAnsi="仿宋" w:eastAsia="仿宋" w:cs="仿宋"/>
          <w:sz w:val="24"/>
          <w:highlight w:val="none"/>
          <w:lang w:val="zh-CN"/>
        </w:rPr>
        <w:t>日期：</w:t>
      </w:r>
    </w:p>
    <w:p>
      <w:pPr>
        <w:spacing w:line="360" w:lineRule="auto"/>
        <w:rPr>
          <w:rFonts w:hint="eastAsia" w:ascii="仿宋" w:hAnsi="仿宋" w:eastAsia="仿宋" w:cs="仿宋"/>
        </w:rPr>
      </w:pPr>
    </w:p>
    <w:sectPr>
      <w:pgSz w:w="11906" w:h="16838"/>
      <w:pgMar w:top="1440" w:right="1440" w:bottom="1440" w:left="179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T Extra">
    <w:panose1 w:val="05050102010205020202"/>
    <w:charset w:val="00"/>
    <w:family w:val="decorative"/>
    <w:pitch w:val="default"/>
    <w:sig w:usb0="8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crosoftYaHei">
    <w:altName w:val="宋体"/>
    <w:panose1 w:val="020B0604020202020204"/>
    <w:charset w:val="86"/>
    <w:family w:val="auto"/>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1587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QjufdQAAAACAQAADwAAAAAAAAABACAAAAAi&#10;AAAAZHJzL2Rvd25yZXYueG1sUEsBAhQAFAAAAAgAh07iQLfXVKTVAQAApAMAAA4AAAAAAAAAAQAg&#10;AAAAIwEAAGRycy9lMm9Eb2MueG1sUEsFBgAAAAAGAAYAWQEAAGoFAAAAAA==&#10;">
              <v:fill on="f" focussize="0,0"/>
              <v:stroke on="f" weight="1.2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pPr>
    <w:r>
      <w:drawing>
        <wp:anchor distT="0" distB="0" distL="114300" distR="114300" simplePos="0" relativeHeight="251662336" behindDoc="0" locked="0" layoutInCell="1" allowOverlap="1">
          <wp:simplePos x="0" y="0"/>
          <wp:positionH relativeFrom="column">
            <wp:posOffset>-3810</wp:posOffset>
          </wp:positionH>
          <wp:positionV relativeFrom="paragraph">
            <wp:posOffset>-323850</wp:posOffset>
          </wp:positionV>
          <wp:extent cx="571500" cy="50482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eastAsia="黑体"/>
      </w:rPr>
      <w:t xml:space="preserve">          </w:t>
    </w:r>
    <w:r>
      <w:rPr>
        <w:rFonts w:hint="eastAsia" w:ascii="宋体" w:hAnsi="宋体" w:eastAsia="黑体" w:cs="宋体"/>
        <w:sz w:val="18"/>
        <w:szCs w:val="18"/>
        <w:lang w:val="en-US" w:eastAsia="zh-CN"/>
      </w:rPr>
      <w:t xml:space="preserve"> </w:t>
    </w:r>
  </w:p>
  <w:p>
    <w:pPr>
      <w:pStyle w:val="26"/>
      <w:pBdr>
        <w:bottom w:val="none" w:color="auto" w:sz="0" w:space="0"/>
      </w:pBdr>
      <w:tabs>
        <w:tab w:val="right" w:pos="8800"/>
        <w:tab w:val="clear"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仿宋" w:hAnsi="仿宋" w:eastAsia="仿宋" w:cs="仿宋"/>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-415925</wp:posOffset>
          </wp:positionV>
          <wp:extent cx="571500" cy="50482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eastAsia="宋体"/>
        <w:lang w:eastAsia="zh-CN"/>
      </w:rPr>
    </w:pPr>
    <w:r>
      <w:drawing>
        <wp:anchor distT="0" distB="0" distL="114300" distR="114300" simplePos="0" relativeHeight="251664384" behindDoc="0" locked="0" layoutInCell="1" allowOverlap="1">
          <wp:simplePos x="0" y="0"/>
          <wp:positionH relativeFrom="column">
            <wp:posOffset>-66675</wp:posOffset>
          </wp:positionH>
          <wp:positionV relativeFrom="paragraph">
            <wp:posOffset>-415925</wp:posOffset>
          </wp:positionV>
          <wp:extent cx="571500" cy="50482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lang w:eastAsia="zh-CN"/>
      </w:rPr>
      <w:t>台州市教育技术与信息中心超融合平台软硬件系统项目</w:t>
    </w:r>
  </w:p>
  <w:p>
    <w:pPr>
      <w:pStyle w:val="2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F166E"/>
    <w:multiLevelType w:val="singleLevel"/>
    <w:tmpl w:val="BAAF166E"/>
    <w:lvl w:ilvl="0" w:tentative="0">
      <w:start w:val="1"/>
      <w:numFmt w:val="decimal"/>
      <w:lvlText w:val="%1."/>
      <w:lvlJc w:val="left"/>
      <w:pPr>
        <w:ind w:left="625" w:hanging="425"/>
      </w:pPr>
      <w:rPr>
        <w:rFonts w:hint="default"/>
      </w:rPr>
    </w:lvl>
  </w:abstractNum>
  <w:abstractNum w:abstractNumId="1">
    <w:nsid w:val="ED2A5738"/>
    <w:multiLevelType w:val="singleLevel"/>
    <w:tmpl w:val="ED2A5738"/>
    <w:lvl w:ilvl="0" w:tentative="0">
      <w:start w:val="1"/>
      <w:numFmt w:val="decimal"/>
      <w:lvlText w:val="%1."/>
      <w:lvlJc w:val="left"/>
      <w:pPr>
        <w:ind w:left="425" w:hanging="425"/>
      </w:pPr>
      <w:rPr>
        <w:rFonts w:hint="default"/>
      </w:rPr>
    </w:lvl>
  </w:abstractNum>
  <w:abstractNum w:abstractNumId="2">
    <w:nsid w:val="EE6C281E"/>
    <w:multiLevelType w:val="singleLevel"/>
    <w:tmpl w:val="EE6C281E"/>
    <w:lvl w:ilvl="0" w:tentative="0">
      <w:start w:val="1"/>
      <w:numFmt w:val="decimal"/>
      <w:lvlText w:val="%1."/>
      <w:lvlJc w:val="left"/>
      <w:pPr>
        <w:ind w:left="6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6"/>
    <w:multiLevelType w:val="singleLevel"/>
    <w:tmpl w:val="00000006"/>
    <w:lvl w:ilvl="0" w:tentative="0">
      <w:start w:val="2"/>
      <w:numFmt w:val="chineseCounting"/>
      <w:suff w:val="space"/>
      <w:lvlText w:val="第%1部分"/>
      <w:lvlJc w:val="left"/>
      <w:rPr>
        <w:rFonts w:hint="eastAsia"/>
      </w:rPr>
    </w:lvl>
  </w:abstractNum>
  <w:abstractNum w:abstractNumId="5">
    <w:nsid w:val="00000007"/>
    <w:multiLevelType w:val="multilevel"/>
    <w:tmpl w:val="00000007"/>
    <w:lvl w:ilvl="0" w:tentative="0">
      <w:start w:val="1"/>
      <w:numFmt w:val="decimal"/>
      <w:pStyle w:val="8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B"/>
    <w:multiLevelType w:val="multilevel"/>
    <w:tmpl w:val="0000000B"/>
    <w:lvl w:ilvl="0" w:tentative="0">
      <w:start w:val="1"/>
      <w:numFmt w:val="decimal"/>
      <w:pStyle w:val="14"/>
      <w:suff w:val="space"/>
      <w:lvlText w:val="图%1."/>
      <w:lvlJc w:val="left"/>
      <w:pPr>
        <w:ind w:left="3681" w:hanging="420"/>
      </w:pPr>
      <w:rPr>
        <w:b w:val="0"/>
        <w:bCs w:val="0"/>
        <w:i w:val="0"/>
        <w:iCs w:val="0"/>
        <w:caps w:val="0"/>
        <w:smallCaps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7">
    <w:nsid w:val="0E9F6332"/>
    <w:multiLevelType w:val="singleLevel"/>
    <w:tmpl w:val="0E9F6332"/>
    <w:lvl w:ilvl="0" w:tentative="0">
      <w:start w:val="1"/>
      <w:numFmt w:val="decimal"/>
      <w:suff w:val="nothing"/>
      <w:lvlText w:val="%1．"/>
      <w:lvlJc w:val="left"/>
      <w:pPr>
        <w:ind w:left="0" w:firstLine="400"/>
      </w:pPr>
      <w:rPr>
        <w:rFonts w:hint="default"/>
      </w:rPr>
    </w:lvl>
  </w:abstractNum>
  <w:abstractNum w:abstractNumId="8">
    <w:nsid w:val="1A1BE98A"/>
    <w:multiLevelType w:val="singleLevel"/>
    <w:tmpl w:val="1A1BE98A"/>
    <w:lvl w:ilvl="0" w:tentative="0">
      <w:start w:val="1"/>
      <w:numFmt w:val="decimal"/>
      <w:pStyle w:val="140"/>
      <w:lvlText w:val="%1."/>
      <w:lvlJc w:val="left"/>
      <w:pPr>
        <w:ind w:left="425" w:hanging="425"/>
      </w:pPr>
      <w:rPr>
        <w:rFonts w:hint="default"/>
      </w:rPr>
    </w:lvl>
  </w:abstractNum>
  <w:abstractNum w:abstractNumId="9">
    <w:nsid w:val="1E8416FF"/>
    <w:multiLevelType w:val="singleLevel"/>
    <w:tmpl w:val="1E8416FF"/>
    <w:lvl w:ilvl="0" w:tentative="0">
      <w:start w:val="2"/>
      <w:numFmt w:val="chineseCounting"/>
      <w:suff w:val="nothing"/>
      <w:lvlText w:val="%1、"/>
      <w:lvlJc w:val="left"/>
      <w:rPr>
        <w:rFonts w:hint="eastAsia"/>
      </w:rPr>
    </w:lvl>
  </w:abstractNum>
  <w:abstractNum w:abstractNumId="10">
    <w:nsid w:val="49F360AB"/>
    <w:multiLevelType w:val="singleLevel"/>
    <w:tmpl w:val="49F360AB"/>
    <w:lvl w:ilvl="0" w:tentative="0">
      <w:start w:val="1"/>
      <w:numFmt w:val="chineseCounting"/>
      <w:suff w:val="nothing"/>
      <w:lvlText w:val="（%1）"/>
      <w:lvlJc w:val="left"/>
      <w:pPr>
        <w:ind w:left="-20" w:firstLine="420"/>
      </w:pPr>
      <w:rPr>
        <w:rFonts w:hint="eastAsia"/>
      </w:rPr>
    </w:lvl>
  </w:abstractNum>
  <w:abstractNum w:abstractNumId="11">
    <w:nsid w:val="6146D281"/>
    <w:multiLevelType w:val="singleLevel"/>
    <w:tmpl w:val="6146D281"/>
    <w:lvl w:ilvl="0" w:tentative="0">
      <w:start w:val="1"/>
      <w:numFmt w:val="decimal"/>
      <w:suff w:val="nothing"/>
      <w:lvlText w:val="%1．"/>
      <w:lvlJc w:val="left"/>
      <w:pPr>
        <w:ind w:left="0" w:firstLine="400"/>
      </w:pPr>
      <w:rPr>
        <w:rFonts w:hint="default"/>
      </w:rPr>
    </w:lvl>
  </w:abstractNum>
  <w:abstractNum w:abstractNumId="12">
    <w:nsid w:val="6A232419"/>
    <w:multiLevelType w:val="singleLevel"/>
    <w:tmpl w:val="6A232419"/>
    <w:lvl w:ilvl="0" w:tentative="0">
      <w:start w:val="3"/>
      <w:numFmt w:val="chineseCounting"/>
      <w:suff w:val="nothing"/>
      <w:lvlText w:val="%1、"/>
      <w:lvlJc w:val="left"/>
      <w:rPr>
        <w:rFonts w:hint="eastAsia"/>
      </w:rPr>
    </w:lvl>
  </w:abstractNum>
  <w:abstractNum w:abstractNumId="13">
    <w:nsid w:val="6ABAFC75"/>
    <w:multiLevelType w:val="singleLevel"/>
    <w:tmpl w:val="6ABAFC75"/>
    <w:lvl w:ilvl="0" w:tentative="0">
      <w:start w:val="1"/>
      <w:numFmt w:val="decimal"/>
      <w:suff w:val="nothing"/>
      <w:lvlText w:val="%1、"/>
      <w:lvlJc w:val="left"/>
    </w:lvl>
  </w:abstractNum>
  <w:abstractNum w:abstractNumId="14">
    <w:nsid w:val="71474277"/>
    <w:multiLevelType w:val="singleLevel"/>
    <w:tmpl w:val="71474277"/>
    <w:lvl w:ilvl="0" w:tentative="0">
      <w:start w:val="1"/>
      <w:numFmt w:val="decimal"/>
      <w:suff w:val="nothing"/>
      <w:lvlText w:val="%1．"/>
      <w:lvlJc w:val="left"/>
      <w:pPr>
        <w:ind w:left="0" w:firstLine="400"/>
      </w:pPr>
      <w:rPr>
        <w:rFonts w:hint="default"/>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8"/>
  </w:num>
  <w:num w:numId="4">
    <w:abstractNumId w:val="9"/>
  </w:num>
  <w:num w:numId="5">
    <w:abstractNumId w:val="4"/>
  </w:num>
  <w:num w:numId="6">
    <w:abstractNumId w:val="15"/>
  </w:num>
  <w:num w:numId="7">
    <w:abstractNumId w:val="0"/>
  </w:num>
  <w:num w:numId="8">
    <w:abstractNumId w:val="2"/>
  </w:num>
  <w:num w:numId="9">
    <w:abstractNumId w:val="7"/>
  </w:num>
  <w:num w:numId="10">
    <w:abstractNumId w:val="11"/>
  </w:num>
  <w:num w:numId="11">
    <w:abstractNumId w:val="14"/>
  </w:num>
  <w:num w:numId="12">
    <w:abstractNumId w:val="10"/>
  </w:num>
  <w:num w:numId="13">
    <w:abstractNumId w:val="1"/>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ZjZjMzFlZWI1YWZlY2I2YTUyNGYwNjZkYjQ2YWMifQ=="/>
    <w:docVar w:name="KSO_WPS_MARK_KEY" w:val="7e66e550-6e2d-4801-9ba3-dd771d612b29"/>
  </w:docVars>
  <w:rsids>
    <w:rsidRoot w:val="00172A27"/>
    <w:rsid w:val="00005B7A"/>
    <w:rsid w:val="0001335F"/>
    <w:rsid w:val="000275AE"/>
    <w:rsid w:val="000431BD"/>
    <w:rsid w:val="00047235"/>
    <w:rsid w:val="00072463"/>
    <w:rsid w:val="00085773"/>
    <w:rsid w:val="000900DA"/>
    <w:rsid w:val="000932DA"/>
    <w:rsid w:val="000A1C7D"/>
    <w:rsid w:val="000A48DB"/>
    <w:rsid w:val="000E5920"/>
    <w:rsid w:val="000F71F2"/>
    <w:rsid w:val="00117D8C"/>
    <w:rsid w:val="00121B1A"/>
    <w:rsid w:val="00136EFA"/>
    <w:rsid w:val="00145EC8"/>
    <w:rsid w:val="00150095"/>
    <w:rsid w:val="00163FF0"/>
    <w:rsid w:val="001651C4"/>
    <w:rsid w:val="00172A27"/>
    <w:rsid w:val="0019641A"/>
    <w:rsid w:val="001B01C0"/>
    <w:rsid w:val="001C477D"/>
    <w:rsid w:val="001C6105"/>
    <w:rsid w:val="001E1311"/>
    <w:rsid w:val="001E5C2A"/>
    <w:rsid w:val="001F0ACD"/>
    <w:rsid w:val="001F2885"/>
    <w:rsid w:val="002033F9"/>
    <w:rsid w:val="0020605E"/>
    <w:rsid w:val="00227FCB"/>
    <w:rsid w:val="00231F19"/>
    <w:rsid w:val="00236D80"/>
    <w:rsid w:val="00247739"/>
    <w:rsid w:val="002773E4"/>
    <w:rsid w:val="00284789"/>
    <w:rsid w:val="00290DCD"/>
    <w:rsid w:val="00293977"/>
    <w:rsid w:val="00297E1D"/>
    <w:rsid w:val="002A7BB8"/>
    <w:rsid w:val="002B582C"/>
    <w:rsid w:val="002D4D9E"/>
    <w:rsid w:val="002E0C3F"/>
    <w:rsid w:val="002F0240"/>
    <w:rsid w:val="002F1206"/>
    <w:rsid w:val="003311CB"/>
    <w:rsid w:val="00340AAF"/>
    <w:rsid w:val="00342EA7"/>
    <w:rsid w:val="003465F5"/>
    <w:rsid w:val="0038519D"/>
    <w:rsid w:val="003861B7"/>
    <w:rsid w:val="00386737"/>
    <w:rsid w:val="0039141A"/>
    <w:rsid w:val="00391FFE"/>
    <w:rsid w:val="0039365A"/>
    <w:rsid w:val="003B1A0F"/>
    <w:rsid w:val="003B475E"/>
    <w:rsid w:val="003B4BAB"/>
    <w:rsid w:val="003E2BBC"/>
    <w:rsid w:val="0040526B"/>
    <w:rsid w:val="00406C77"/>
    <w:rsid w:val="00413599"/>
    <w:rsid w:val="00423658"/>
    <w:rsid w:val="00432764"/>
    <w:rsid w:val="00432903"/>
    <w:rsid w:val="004331C4"/>
    <w:rsid w:val="00436EAA"/>
    <w:rsid w:val="004508F4"/>
    <w:rsid w:val="004605A4"/>
    <w:rsid w:val="00460DD3"/>
    <w:rsid w:val="00481EFB"/>
    <w:rsid w:val="004851D2"/>
    <w:rsid w:val="00487C06"/>
    <w:rsid w:val="00495CA9"/>
    <w:rsid w:val="004C70BB"/>
    <w:rsid w:val="004D7214"/>
    <w:rsid w:val="004E18F8"/>
    <w:rsid w:val="00514EB5"/>
    <w:rsid w:val="00515F76"/>
    <w:rsid w:val="00531DDD"/>
    <w:rsid w:val="00542C19"/>
    <w:rsid w:val="00565B94"/>
    <w:rsid w:val="00592260"/>
    <w:rsid w:val="005B3EFA"/>
    <w:rsid w:val="005E755D"/>
    <w:rsid w:val="005F2290"/>
    <w:rsid w:val="005F42E3"/>
    <w:rsid w:val="005F6DAA"/>
    <w:rsid w:val="006079DC"/>
    <w:rsid w:val="00620389"/>
    <w:rsid w:val="00655D5C"/>
    <w:rsid w:val="0066454D"/>
    <w:rsid w:val="00687EDC"/>
    <w:rsid w:val="00690C04"/>
    <w:rsid w:val="0069314B"/>
    <w:rsid w:val="006937B7"/>
    <w:rsid w:val="00695A4D"/>
    <w:rsid w:val="006A1B95"/>
    <w:rsid w:val="006C2DB8"/>
    <w:rsid w:val="006D424C"/>
    <w:rsid w:val="00700590"/>
    <w:rsid w:val="00732EDB"/>
    <w:rsid w:val="00737BF2"/>
    <w:rsid w:val="007614AC"/>
    <w:rsid w:val="00771A49"/>
    <w:rsid w:val="007837DD"/>
    <w:rsid w:val="007866CB"/>
    <w:rsid w:val="00786700"/>
    <w:rsid w:val="007870FB"/>
    <w:rsid w:val="00790352"/>
    <w:rsid w:val="00794B22"/>
    <w:rsid w:val="007A2BE7"/>
    <w:rsid w:val="007B37B7"/>
    <w:rsid w:val="007C0333"/>
    <w:rsid w:val="007E3297"/>
    <w:rsid w:val="007E406D"/>
    <w:rsid w:val="007F31CE"/>
    <w:rsid w:val="008076EE"/>
    <w:rsid w:val="0081295E"/>
    <w:rsid w:val="008413DD"/>
    <w:rsid w:val="00846961"/>
    <w:rsid w:val="00857405"/>
    <w:rsid w:val="00861C1F"/>
    <w:rsid w:val="008664FF"/>
    <w:rsid w:val="00867DDB"/>
    <w:rsid w:val="008766EF"/>
    <w:rsid w:val="00877123"/>
    <w:rsid w:val="008772A1"/>
    <w:rsid w:val="00881A88"/>
    <w:rsid w:val="00887160"/>
    <w:rsid w:val="008C6D22"/>
    <w:rsid w:val="008C6D96"/>
    <w:rsid w:val="008D448F"/>
    <w:rsid w:val="009028A0"/>
    <w:rsid w:val="009048EC"/>
    <w:rsid w:val="00915104"/>
    <w:rsid w:val="009170C0"/>
    <w:rsid w:val="009212E2"/>
    <w:rsid w:val="00924C49"/>
    <w:rsid w:val="00954E27"/>
    <w:rsid w:val="00994783"/>
    <w:rsid w:val="00997614"/>
    <w:rsid w:val="009A3F6B"/>
    <w:rsid w:val="009B4660"/>
    <w:rsid w:val="009C291C"/>
    <w:rsid w:val="009D445E"/>
    <w:rsid w:val="009F00CA"/>
    <w:rsid w:val="00A04664"/>
    <w:rsid w:val="00A07C9F"/>
    <w:rsid w:val="00A175FE"/>
    <w:rsid w:val="00A30E27"/>
    <w:rsid w:val="00A40AF8"/>
    <w:rsid w:val="00A43294"/>
    <w:rsid w:val="00A479BF"/>
    <w:rsid w:val="00A5039F"/>
    <w:rsid w:val="00A55D3A"/>
    <w:rsid w:val="00AA6782"/>
    <w:rsid w:val="00AA7E0B"/>
    <w:rsid w:val="00AB475F"/>
    <w:rsid w:val="00AB5DAB"/>
    <w:rsid w:val="00AB6CA1"/>
    <w:rsid w:val="00AC653C"/>
    <w:rsid w:val="00AD09C0"/>
    <w:rsid w:val="00AD3CD8"/>
    <w:rsid w:val="00AD406B"/>
    <w:rsid w:val="00AE32B3"/>
    <w:rsid w:val="00AF4C07"/>
    <w:rsid w:val="00B006AF"/>
    <w:rsid w:val="00B13A01"/>
    <w:rsid w:val="00B15BE0"/>
    <w:rsid w:val="00B251D0"/>
    <w:rsid w:val="00B3561C"/>
    <w:rsid w:val="00B56529"/>
    <w:rsid w:val="00B574D5"/>
    <w:rsid w:val="00B6771D"/>
    <w:rsid w:val="00B67890"/>
    <w:rsid w:val="00B86DA5"/>
    <w:rsid w:val="00B8784E"/>
    <w:rsid w:val="00B93AD5"/>
    <w:rsid w:val="00BA3959"/>
    <w:rsid w:val="00BC03FE"/>
    <w:rsid w:val="00BD17FB"/>
    <w:rsid w:val="00BF43CF"/>
    <w:rsid w:val="00C04981"/>
    <w:rsid w:val="00C1248F"/>
    <w:rsid w:val="00C164F1"/>
    <w:rsid w:val="00C344F1"/>
    <w:rsid w:val="00C523F2"/>
    <w:rsid w:val="00C64B4F"/>
    <w:rsid w:val="00CA6879"/>
    <w:rsid w:val="00CB0540"/>
    <w:rsid w:val="00CB4FE1"/>
    <w:rsid w:val="00CC4C74"/>
    <w:rsid w:val="00CC6EDA"/>
    <w:rsid w:val="00CD5481"/>
    <w:rsid w:val="00CE03B5"/>
    <w:rsid w:val="00CF4105"/>
    <w:rsid w:val="00D16ECD"/>
    <w:rsid w:val="00D17242"/>
    <w:rsid w:val="00D3205D"/>
    <w:rsid w:val="00D36520"/>
    <w:rsid w:val="00D40734"/>
    <w:rsid w:val="00D42857"/>
    <w:rsid w:val="00D452F4"/>
    <w:rsid w:val="00D473F1"/>
    <w:rsid w:val="00D47ECF"/>
    <w:rsid w:val="00D55C53"/>
    <w:rsid w:val="00D56249"/>
    <w:rsid w:val="00D60158"/>
    <w:rsid w:val="00D64CAD"/>
    <w:rsid w:val="00D83EA7"/>
    <w:rsid w:val="00D9173A"/>
    <w:rsid w:val="00DC5D11"/>
    <w:rsid w:val="00DE60AA"/>
    <w:rsid w:val="00DF365E"/>
    <w:rsid w:val="00E04746"/>
    <w:rsid w:val="00E04E51"/>
    <w:rsid w:val="00E135BE"/>
    <w:rsid w:val="00E201A9"/>
    <w:rsid w:val="00E25DDF"/>
    <w:rsid w:val="00E31EB0"/>
    <w:rsid w:val="00E52031"/>
    <w:rsid w:val="00E571AF"/>
    <w:rsid w:val="00E60491"/>
    <w:rsid w:val="00E62F5E"/>
    <w:rsid w:val="00E6376A"/>
    <w:rsid w:val="00E67C0E"/>
    <w:rsid w:val="00E92397"/>
    <w:rsid w:val="00EA7E25"/>
    <w:rsid w:val="00EC4A47"/>
    <w:rsid w:val="00EF19B9"/>
    <w:rsid w:val="00EF45F1"/>
    <w:rsid w:val="00F03881"/>
    <w:rsid w:val="00F206EE"/>
    <w:rsid w:val="00F22AE0"/>
    <w:rsid w:val="00F23417"/>
    <w:rsid w:val="00F25930"/>
    <w:rsid w:val="00F271E9"/>
    <w:rsid w:val="00F31FE7"/>
    <w:rsid w:val="00F35C17"/>
    <w:rsid w:val="00F37F24"/>
    <w:rsid w:val="00F41CBD"/>
    <w:rsid w:val="00F440CC"/>
    <w:rsid w:val="00F45381"/>
    <w:rsid w:val="00F51E2B"/>
    <w:rsid w:val="00F63155"/>
    <w:rsid w:val="00F660FE"/>
    <w:rsid w:val="00F72E30"/>
    <w:rsid w:val="00FA6D98"/>
    <w:rsid w:val="00FB5A26"/>
    <w:rsid w:val="00FC2657"/>
    <w:rsid w:val="00FC3A12"/>
    <w:rsid w:val="00FD68BC"/>
    <w:rsid w:val="011623CA"/>
    <w:rsid w:val="013178A8"/>
    <w:rsid w:val="01504EBC"/>
    <w:rsid w:val="01546ADD"/>
    <w:rsid w:val="01562D53"/>
    <w:rsid w:val="01BC22FC"/>
    <w:rsid w:val="01DE4A51"/>
    <w:rsid w:val="01E60C52"/>
    <w:rsid w:val="01EF1827"/>
    <w:rsid w:val="020461DA"/>
    <w:rsid w:val="020F7067"/>
    <w:rsid w:val="02380502"/>
    <w:rsid w:val="0267406A"/>
    <w:rsid w:val="02825AA1"/>
    <w:rsid w:val="028468C6"/>
    <w:rsid w:val="02B374D5"/>
    <w:rsid w:val="02BC6249"/>
    <w:rsid w:val="02C622EC"/>
    <w:rsid w:val="037F3B2B"/>
    <w:rsid w:val="03887BE8"/>
    <w:rsid w:val="0395410D"/>
    <w:rsid w:val="039E2F0D"/>
    <w:rsid w:val="03B52E7E"/>
    <w:rsid w:val="03C61198"/>
    <w:rsid w:val="03D509D1"/>
    <w:rsid w:val="0425340D"/>
    <w:rsid w:val="04587485"/>
    <w:rsid w:val="049547D2"/>
    <w:rsid w:val="04A71717"/>
    <w:rsid w:val="04AC135F"/>
    <w:rsid w:val="04BD25AB"/>
    <w:rsid w:val="04F84D59"/>
    <w:rsid w:val="04FB74DF"/>
    <w:rsid w:val="051B5972"/>
    <w:rsid w:val="055E5005"/>
    <w:rsid w:val="057D7F33"/>
    <w:rsid w:val="05890730"/>
    <w:rsid w:val="058F52DC"/>
    <w:rsid w:val="059E50F2"/>
    <w:rsid w:val="059F0623"/>
    <w:rsid w:val="05BC5600"/>
    <w:rsid w:val="05C74BA4"/>
    <w:rsid w:val="05CC3F28"/>
    <w:rsid w:val="05D222F9"/>
    <w:rsid w:val="05F219EE"/>
    <w:rsid w:val="06286A7C"/>
    <w:rsid w:val="063819C7"/>
    <w:rsid w:val="064C52F5"/>
    <w:rsid w:val="069C3058"/>
    <w:rsid w:val="06C142F6"/>
    <w:rsid w:val="06CA6FF0"/>
    <w:rsid w:val="06D0541E"/>
    <w:rsid w:val="06F5185A"/>
    <w:rsid w:val="0717476F"/>
    <w:rsid w:val="0744655F"/>
    <w:rsid w:val="074D717F"/>
    <w:rsid w:val="07601B48"/>
    <w:rsid w:val="07C1479C"/>
    <w:rsid w:val="07E1130D"/>
    <w:rsid w:val="07E8207F"/>
    <w:rsid w:val="08005D51"/>
    <w:rsid w:val="0801680B"/>
    <w:rsid w:val="080C14BF"/>
    <w:rsid w:val="08555E36"/>
    <w:rsid w:val="08607940"/>
    <w:rsid w:val="087F46F8"/>
    <w:rsid w:val="08983B17"/>
    <w:rsid w:val="08D15B8E"/>
    <w:rsid w:val="08F1443B"/>
    <w:rsid w:val="092A7388"/>
    <w:rsid w:val="096E3ED7"/>
    <w:rsid w:val="09824CF4"/>
    <w:rsid w:val="09B279C5"/>
    <w:rsid w:val="09D34D68"/>
    <w:rsid w:val="09E87020"/>
    <w:rsid w:val="0A066921"/>
    <w:rsid w:val="0A36039E"/>
    <w:rsid w:val="0A5348F2"/>
    <w:rsid w:val="0A9F0AD7"/>
    <w:rsid w:val="0AD03DB8"/>
    <w:rsid w:val="0ADA246D"/>
    <w:rsid w:val="0AE12D20"/>
    <w:rsid w:val="0AF96BB4"/>
    <w:rsid w:val="0B1874AC"/>
    <w:rsid w:val="0B302645"/>
    <w:rsid w:val="0B305AE4"/>
    <w:rsid w:val="0B3B1D18"/>
    <w:rsid w:val="0B732D41"/>
    <w:rsid w:val="0B7C3420"/>
    <w:rsid w:val="0B856596"/>
    <w:rsid w:val="0BA8707A"/>
    <w:rsid w:val="0BAC2AF2"/>
    <w:rsid w:val="0BB7772B"/>
    <w:rsid w:val="0C5965C6"/>
    <w:rsid w:val="0C5B3A30"/>
    <w:rsid w:val="0C5C278F"/>
    <w:rsid w:val="0C7A25C7"/>
    <w:rsid w:val="0CC77134"/>
    <w:rsid w:val="0D0B4FD2"/>
    <w:rsid w:val="0D117F69"/>
    <w:rsid w:val="0D35694E"/>
    <w:rsid w:val="0D947D29"/>
    <w:rsid w:val="0D9B6B3E"/>
    <w:rsid w:val="0DA73D0A"/>
    <w:rsid w:val="0DA74182"/>
    <w:rsid w:val="0DF54B0C"/>
    <w:rsid w:val="0E352E1F"/>
    <w:rsid w:val="0E675287"/>
    <w:rsid w:val="0EA140AB"/>
    <w:rsid w:val="0F0C2436"/>
    <w:rsid w:val="0F240337"/>
    <w:rsid w:val="0F2E1E5B"/>
    <w:rsid w:val="0F434B6F"/>
    <w:rsid w:val="0F512B95"/>
    <w:rsid w:val="0F542F90"/>
    <w:rsid w:val="0F6B0425"/>
    <w:rsid w:val="0F6F4A9E"/>
    <w:rsid w:val="0F814FEB"/>
    <w:rsid w:val="0F8316E2"/>
    <w:rsid w:val="0FA925CB"/>
    <w:rsid w:val="0FB53CEF"/>
    <w:rsid w:val="0FCB06E7"/>
    <w:rsid w:val="0FCE58F9"/>
    <w:rsid w:val="107F236E"/>
    <w:rsid w:val="10A66EAE"/>
    <w:rsid w:val="10BA6FE3"/>
    <w:rsid w:val="10F7636E"/>
    <w:rsid w:val="11041C20"/>
    <w:rsid w:val="119F5A75"/>
    <w:rsid w:val="11FC760E"/>
    <w:rsid w:val="121C001C"/>
    <w:rsid w:val="123A47A4"/>
    <w:rsid w:val="1251230F"/>
    <w:rsid w:val="1252632C"/>
    <w:rsid w:val="125D602E"/>
    <w:rsid w:val="12747134"/>
    <w:rsid w:val="12AE5A00"/>
    <w:rsid w:val="12D65C08"/>
    <w:rsid w:val="12DB7F7B"/>
    <w:rsid w:val="12F06879"/>
    <w:rsid w:val="12F946A9"/>
    <w:rsid w:val="13415B28"/>
    <w:rsid w:val="1378065D"/>
    <w:rsid w:val="139F286A"/>
    <w:rsid w:val="13D34EB0"/>
    <w:rsid w:val="13EF58C4"/>
    <w:rsid w:val="141D16F0"/>
    <w:rsid w:val="142E04E9"/>
    <w:rsid w:val="144D4D34"/>
    <w:rsid w:val="14A760E5"/>
    <w:rsid w:val="14C0395E"/>
    <w:rsid w:val="14C36646"/>
    <w:rsid w:val="14E27B29"/>
    <w:rsid w:val="14F10937"/>
    <w:rsid w:val="15022275"/>
    <w:rsid w:val="154441CA"/>
    <w:rsid w:val="15485AB7"/>
    <w:rsid w:val="154F32E8"/>
    <w:rsid w:val="158427FA"/>
    <w:rsid w:val="15944BDD"/>
    <w:rsid w:val="15A458ED"/>
    <w:rsid w:val="15C43E75"/>
    <w:rsid w:val="15D44A2E"/>
    <w:rsid w:val="165D6883"/>
    <w:rsid w:val="167F42A3"/>
    <w:rsid w:val="16A75D23"/>
    <w:rsid w:val="16D80476"/>
    <w:rsid w:val="16F755F1"/>
    <w:rsid w:val="172638CA"/>
    <w:rsid w:val="172A383E"/>
    <w:rsid w:val="17316B01"/>
    <w:rsid w:val="17440211"/>
    <w:rsid w:val="17494E3A"/>
    <w:rsid w:val="176A5B2B"/>
    <w:rsid w:val="178D6125"/>
    <w:rsid w:val="17992826"/>
    <w:rsid w:val="17FF0A05"/>
    <w:rsid w:val="183E1C86"/>
    <w:rsid w:val="184738BC"/>
    <w:rsid w:val="189A583A"/>
    <w:rsid w:val="18BD2890"/>
    <w:rsid w:val="18F7519C"/>
    <w:rsid w:val="18F85161"/>
    <w:rsid w:val="190059CB"/>
    <w:rsid w:val="19110E86"/>
    <w:rsid w:val="193077C6"/>
    <w:rsid w:val="19706654"/>
    <w:rsid w:val="19BD2F57"/>
    <w:rsid w:val="1A21743C"/>
    <w:rsid w:val="1A2C0244"/>
    <w:rsid w:val="1A2C0611"/>
    <w:rsid w:val="1A446159"/>
    <w:rsid w:val="1A45113D"/>
    <w:rsid w:val="1A4F6B65"/>
    <w:rsid w:val="1A5569C0"/>
    <w:rsid w:val="1A562612"/>
    <w:rsid w:val="1A8C5009"/>
    <w:rsid w:val="1ACC3B93"/>
    <w:rsid w:val="1ACD753D"/>
    <w:rsid w:val="1B0D70EF"/>
    <w:rsid w:val="1B3024D6"/>
    <w:rsid w:val="1B4773D3"/>
    <w:rsid w:val="1B632E0C"/>
    <w:rsid w:val="1B7C35D8"/>
    <w:rsid w:val="1BB13C2B"/>
    <w:rsid w:val="1BE840AA"/>
    <w:rsid w:val="1C0336FA"/>
    <w:rsid w:val="1C0E60FA"/>
    <w:rsid w:val="1C8D4F6B"/>
    <w:rsid w:val="1C8F7492"/>
    <w:rsid w:val="1CBC0BD7"/>
    <w:rsid w:val="1CFB08BD"/>
    <w:rsid w:val="1D0C6093"/>
    <w:rsid w:val="1D28727D"/>
    <w:rsid w:val="1D5C3FFD"/>
    <w:rsid w:val="1DA06FBE"/>
    <w:rsid w:val="1E05246B"/>
    <w:rsid w:val="1E061646"/>
    <w:rsid w:val="1E0A05A5"/>
    <w:rsid w:val="1E41349F"/>
    <w:rsid w:val="1E48150C"/>
    <w:rsid w:val="1E4F0944"/>
    <w:rsid w:val="1E5C5AB4"/>
    <w:rsid w:val="1E6641A1"/>
    <w:rsid w:val="1E712063"/>
    <w:rsid w:val="1EA67676"/>
    <w:rsid w:val="1EAE622C"/>
    <w:rsid w:val="1EBF210A"/>
    <w:rsid w:val="1EE3264F"/>
    <w:rsid w:val="1F1C5452"/>
    <w:rsid w:val="1F2B3058"/>
    <w:rsid w:val="1F2E4FAD"/>
    <w:rsid w:val="1F8C4C8B"/>
    <w:rsid w:val="1F8D7AF2"/>
    <w:rsid w:val="1F900A03"/>
    <w:rsid w:val="1F9B3AAF"/>
    <w:rsid w:val="1FA46BC5"/>
    <w:rsid w:val="1FD53C7E"/>
    <w:rsid w:val="200D6413"/>
    <w:rsid w:val="20150F95"/>
    <w:rsid w:val="201D751C"/>
    <w:rsid w:val="203D6C79"/>
    <w:rsid w:val="20515934"/>
    <w:rsid w:val="20717ED9"/>
    <w:rsid w:val="209A6FBE"/>
    <w:rsid w:val="20EC770E"/>
    <w:rsid w:val="2101236D"/>
    <w:rsid w:val="21235C71"/>
    <w:rsid w:val="213E7CFF"/>
    <w:rsid w:val="217B7532"/>
    <w:rsid w:val="21A872F6"/>
    <w:rsid w:val="21AB371E"/>
    <w:rsid w:val="21BA10BC"/>
    <w:rsid w:val="21BC18E5"/>
    <w:rsid w:val="21BE0006"/>
    <w:rsid w:val="21CA1C53"/>
    <w:rsid w:val="21CA7C8D"/>
    <w:rsid w:val="21F601E7"/>
    <w:rsid w:val="220347D3"/>
    <w:rsid w:val="22053776"/>
    <w:rsid w:val="221F471A"/>
    <w:rsid w:val="226B5481"/>
    <w:rsid w:val="226F33F3"/>
    <w:rsid w:val="22C44480"/>
    <w:rsid w:val="22D86245"/>
    <w:rsid w:val="22F16EDF"/>
    <w:rsid w:val="22F51545"/>
    <w:rsid w:val="22FB2804"/>
    <w:rsid w:val="230C57D3"/>
    <w:rsid w:val="233771DF"/>
    <w:rsid w:val="2346506F"/>
    <w:rsid w:val="23753063"/>
    <w:rsid w:val="237B42DB"/>
    <w:rsid w:val="237C631E"/>
    <w:rsid w:val="23853855"/>
    <w:rsid w:val="238A6657"/>
    <w:rsid w:val="238B7FD3"/>
    <w:rsid w:val="23CD422A"/>
    <w:rsid w:val="23E36500"/>
    <w:rsid w:val="23F556D7"/>
    <w:rsid w:val="23FF6DC3"/>
    <w:rsid w:val="2418167F"/>
    <w:rsid w:val="244F0D2C"/>
    <w:rsid w:val="24D035F8"/>
    <w:rsid w:val="24EC7B7F"/>
    <w:rsid w:val="25210F03"/>
    <w:rsid w:val="2535609A"/>
    <w:rsid w:val="25492F2F"/>
    <w:rsid w:val="25684470"/>
    <w:rsid w:val="25844550"/>
    <w:rsid w:val="258933CA"/>
    <w:rsid w:val="259E7BFC"/>
    <w:rsid w:val="26455AD4"/>
    <w:rsid w:val="264C2CD4"/>
    <w:rsid w:val="265E0F86"/>
    <w:rsid w:val="26B31632"/>
    <w:rsid w:val="26D06721"/>
    <w:rsid w:val="26E912AC"/>
    <w:rsid w:val="276E24B8"/>
    <w:rsid w:val="277D0FEF"/>
    <w:rsid w:val="278E7FA5"/>
    <w:rsid w:val="27B63601"/>
    <w:rsid w:val="27DE0694"/>
    <w:rsid w:val="27E172F5"/>
    <w:rsid w:val="2817486C"/>
    <w:rsid w:val="284203A1"/>
    <w:rsid w:val="287235DE"/>
    <w:rsid w:val="287412B3"/>
    <w:rsid w:val="287E297F"/>
    <w:rsid w:val="289279B7"/>
    <w:rsid w:val="28C908C5"/>
    <w:rsid w:val="2902134A"/>
    <w:rsid w:val="292C68CE"/>
    <w:rsid w:val="296545EA"/>
    <w:rsid w:val="296B6A67"/>
    <w:rsid w:val="29B21AE2"/>
    <w:rsid w:val="29C446AF"/>
    <w:rsid w:val="29CA7657"/>
    <w:rsid w:val="29F976A0"/>
    <w:rsid w:val="2A790D7C"/>
    <w:rsid w:val="2A887A7C"/>
    <w:rsid w:val="2A8E3E14"/>
    <w:rsid w:val="2A985D5A"/>
    <w:rsid w:val="2AAA170B"/>
    <w:rsid w:val="2ACD0F1D"/>
    <w:rsid w:val="2ACE75FA"/>
    <w:rsid w:val="2ADC7E12"/>
    <w:rsid w:val="2AE9023B"/>
    <w:rsid w:val="2B042E3E"/>
    <w:rsid w:val="2B050A18"/>
    <w:rsid w:val="2B0B41C3"/>
    <w:rsid w:val="2B212891"/>
    <w:rsid w:val="2B77332F"/>
    <w:rsid w:val="2BA967CA"/>
    <w:rsid w:val="2BAD4EBE"/>
    <w:rsid w:val="2C004579"/>
    <w:rsid w:val="2C0C11E9"/>
    <w:rsid w:val="2C183B74"/>
    <w:rsid w:val="2C3845D6"/>
    <w:rsid w:val="2C5A2488"/>
    <w:rsid w:val="2C9214D2"/>
    <w:rsid w:val="2CC56951"/>
    <w:rsid w:val="2CF13BDF"/>
    <w:rsid w:val="2D0224AE"/>
    <w:rsid w:val="2D160C3A"/>
    <w:rsid w:val="2D2E4B77"/>
    <w:rsid w:val="2D571A13"/>
    <w:rsid w:val="2D8217A1"/>
    <w:rsid w:val="2D860C6C"/>
    <w:rsid w:val="2DA47E6C"/>
    <w:rsid w:val="2DBC7C61"/>
    <w:rsid w:val="2DC3741A"/>
    <w:rsid w:val="2DCB629B"/>
    <w:rsid w:val="2DF03088"/>
    <w:rsid w:val="2DF46387"/>
    <w:rsid w:val="2E63539A"/>
    <w:rsid w:val="2E973170"/>
    <w:rsid w:val="2E974061"/>
    <w:rsid w:val="2F1B260D"/>
    <w:rsid w:val="2F8E39B1"/>
    <w:rsid w:val="2FA729BA"/>
    <w:rsid w:val="2FB22DDF"/>
    <w:rsid w:val="2FB86700"/>
    <w:rsid w:val="2FB95C14"/>
    <w:rsid w:val="2FBE6857"/>
    <w:rsid w:val="2FD74676"/>
    <w:rsid w:val="3011375A"/>
    <w:rsid w:val="30414EF3"/>
    <w:rsid w:val="304837A9"/>
    <w:rsid w:val="304E3EB2"/>
    <w:rsid w:val="3057486D"/>
    <w:rsid w:val="3065285A"/>
    <w:rsid w:val="310F77D6"/>
    <w:rsid w:val="31463519"/>
    <w:rsid w:val="314C3D4A"/>
    <w:rsid w:val="315251E7"/>
    <w:rsid w:val="31717455"/>
    <w:rsid w:val="31845A8A"/>
    <w:rsid w:val="31E61BDA"/>
    <w:rsid w:val="32150E2A"/>
    <w:rsid w:val="325600C4"/>
    <w:rsid w:val="327804FF"/>
    <w:rsid w:val="32890079"/>
    <w:rsid w:val="329A5388"/>
    <w:rsid w:val="32A64899"/>
    <w:rsid w:val="32A72374"/>
    <w:rsid w:val="32AD6947"/>
    <w:rsid w:val="32C20726"/>
    <w:rsid w:val="33447451"/>
    <w:rsid w:val="33495026"/>
    <w:rsid w:val="335F50F1"/>
    <w:rsid w:val="3376678B"/>
    <w:rsid w:val="33982F77"/>
    <w:rsid w:val="33A50436"/>
    <w:rsid w:val="33CD651B"/>
    <w:rsid w:val="33FA681C"/>
    <w:rsid w:val="342D56DA"/>
    <w:rsid w:val="344172C6"/>
    <w:rsid w:val="34721C93"/>
    <w:rsid w:val="347436ED"/>
    <w:rsid w:val="34754E7E"/>
    <w:rsid w:val="34984336"/>
    <w:rsid w:val="34E04222"/>
    <w:rsid w:val="352163F3"/>
    <w:rsid w:val="35263FC6"/>
    <w:rsid w:val="353C386D"/>
    <w:rsid w:val="356C1F51"/>
    <w:rsid w:val="35742B28"/>
    <w:rsid w:val="357F4000"/>
    <w:rsid w:val="358A0411"/>
    <w:rsid w:val="35A93332"/>
    <w:rsid w:val="35B66FBC"/>
    <w:rsid w:val="35F066D2"/>
    <w:rsid w:val="36582737"/>
    <w:rsid w:val="36AA7FE6"/>
    <w:rsid w:val="36BC435A"/>
    <w:rsid w:val="36C956DC"/>
    <w:rsid w:val="36DE030B"/>
    <w:rsid w:val="370E24F0"/>
    <w:rsid w:val="373375B6"/>
    <w:rsid w:val="375C1AB2"/>
    <w:rsid w:val="375C71EC"/>
    <w:rsid w:val="37681293"/>
    <w:rsid w:val="37DF2FEF"/>
    <w:rsid w:val="37F069E6"/>
    <w:rsid w:val="37F97EDD"/>
    <w:rsid w:val="381A6C15"/>
    <w:rsid w:val="38352A4A"/>
    <w:rsid w:val="385066DF"/>
    <w:rsid w:val="38530BF0"/>
    <w:rsid w:val="39084EB5"/>
    <w:rsid w:val="399D66DA"/>
    <w:rsid w:val="39A10458"/>
    <w:rsid w:val="39A61629"/>
    <w:rsid w:val="39CC6C0F"/>
    <w:rsid w:val="39D52E80"/>
    <w:rsid w:val="39F82063"/>
    <w:rsid w:val="3A157F47"/>
    <w:rsid w:val="3A4E6937"/>
    <w:rsid w:val="3A6C5C4B"/>
    <w:rsid w:val="3A8B0314"/>
    <w:rsid w:val="3A90384C"/>
    <w:rsid w:val="3AA66E46"/>
    <w:rsid w:val="3ABF7ED1"/>
    <w:rsid w:val="3ADD337D"/>
    <w:rsid w:val="3B101652"/>
    <w:rsid w:val="3B6D4FCC"/>
    <w:rsid w:val="3B767A2F"/>
    <w:rsid w:val="3B854580"/>
    <w:rsid w:val="3B933D06"/>
    <w:rsid w:val="3BA04857"/>
    <w:rsid w:val="3BA81691"/>
    <w:rsid w:val="3BAB2C15"/>
    <w:rsid w:val="3C16604E"/>
    <w:rsid w:val="3C553D75"/>
    <w:rsid w:val="3C7C29E6"/>
    <w:rsid w:val="3CBD358A"/>
    <w:rsid w:val="3D2A5291"/>
    <w:rsid w:val="3D2F6588"/>
    <w:rsid w:val="3D471548"/>
    <w:rsid w:val="3D6174B9"/>
    <w:rsid w:val="3D8876FD"/>
    <w:rsid w:val="3D891244"/>
    <w:rsid w:val="3D9C02A9"/>
    <w:rsid w:val="3DCA4734"/>
    <w:rsid w:val="3E38180D"/>
    <w:rsid w:val="3E3C2FE5"/>
    <w:rsid w:val="3E83460E"/>
    <w:rsid w:val="3EBE5893"/>
    <w:rsid w:val="3F4C71F9"/>
    <w:rsid w:val="3F4D0742"/>
    <w:rsid w:val="3F617553"/>
    <w:rsid w:val="3FE27A11"/>
    <w:rsid w:val="3FFD5829"/>
    <w:rsid w:val="3FFF2337"/>
    <w:rsid w:val="40023A72"/>
    <w:rsid w:val="400C1760"/>
    <w:rsid w:val="40444CFF"/>
    <w:rsid w:val="408C0FC8"/>
    <w:rsid w:val="40982FC4"/>
    <w:rsid w:val="40DE393F"/>
    <w:rsid w:val="40E07C07"/>
    <w:rsid w:val="40FA6F4F"/>
    <w:rsid w:val="40FE4748"/>
    <w:rsid w:val="411553F0"/>
    <w:rsid w:val="41474664"/>
    <w:rsid w:val="41755279"/>
    <w:rsid w:val="418A0163"/>
    <w:rsid w:val="419B0645"/>
    <w:rsid w:val="41C15503"/>
    <w:rsid w:val="41C66061"/>
    <w:rsid w:val="41CC206D"/>
    <w:rsid w:val="41ED4C4B"/>
    <w:rsid w:val="41FA25B4"/>
    <w:rsid w:val="420670DA"/>
    <w:rsid w:val="4208548C"/>
    <w:rsid w:val="42305A4D"/>
    <w:rsid w:val="42376299"/>
    <w:rsid w:val="42685E7E"/>
    <w:rsid w:val="42A62C20"/>
    <w:rsid w:val="42B536FF"/>
    <w:rsid w:val="42B666CC"/>
    <w:rsid w:val="42F47B5A"/>
    <w:rsid w:val="42F71D7F"/>
    <w:rsid w:val="43036024"/>
    <w:rsid w:val="43060686"/>
    <w:rsid w:val="43A7420F"/>
    <w:rsid w:val="43CF6C2E"/>
    <w:rsid w:val="43D33501"/>
    <w:rsid w:val="43D80B83"/>
    <w:rsid w:val="43DD3053"/>
    <w:rsid w:val="43DD4566"/>
    <w:rsid w:val="43DF23EC"/>
    <w:rsid w:val="43E16AB3"/>
    <w:rsid w:val="43E614DC"/>
    <w:rsid w:val="440B0575"/>
    <w:rsid w:val="44257AB2"/>
    <w:rsid w:val="4497022A"/>
    <w:rsid w:val="449D7BD7"/>
    <w:rsid w:val="44AB1E08"/>
    <w:rsid w:val="44C77F6D"/>
    <w:rsid w:val="44E94E81"/>
    <w:rsid w:val="452A0C99"/>
    <w:rsid w:val="45466A85"/>
    <w:rsid w:val="45490035"/>
    <w:rsid w:val="456E649B"/>
    <w:rsid w:val="459D382D"/>
    <w:rsid w:val="459E7D6C"/>
    <w:rsid w:val="45B253A8"/>
    <w:rsid w:val="45B846FE"/>
    <w:rsid w:val="45C20774"/>
    <w:rsid w:val="45CF00E0"/>
    <w:rsid w:val="45E94756"/>
    <w:rsid w:val="45FF7CE2"/>
    <w:rsid w:val="46380A1F"/>
    <w:rsid w:val="46620FE9"/>
    <w:rsid w:val="468325E4"/>
    <w:rsid w:val="46913A5F"/>
    <w:rsid w:val="46BB44DD"/>
    <w:rsid w:val="46DF242F"/>
    <w:rsid w:val="46EA0505"/>
    <w:rsid w:val="47027367"/>
    <w:rsid w:val="47456240"/>
    <w:rsid w:val="47672E63"/>
    <w:rsid w:val="47B04E54"/>
    <w:rsid w:val="47B156E7"/>
    <w:rsid w:val="47B202C1"/>
    <w:rsid w:val="47D142E5"/>
    <w:rsid w:val="47D367C1"/>
    <w:rsid w:val="47F34D26"/>
    <w:rsid w:val="482A1FFD"/>
    <w:rsid w:val="482D6171"/>
    <w:rsid w:val="483A07C1"/>
    <w:rsid w:val="48AE427F"/>
    <w:rsid w:val="48BF2B50"/>
    <w:rsid w:val="49120A00"/>
    <w:rsid w:val="49290AAA"/>
    <w:rsid w:val="49582766"/>
    <w:rsid w:val="49705AA2"/>
    <w:rsid w:val="497D142A"/>
    <w:rsid w:val="498F1194"/>
    <w:rsid w:val="499B547E"/>
    <w:rsid w:val="49C11971"/>
    <w:rsid w:val="49C2133F"/>
    <w:rsid w:val="49C36851"/>
    <w:rsid w:val="49C41834"/>
    <w:rsid w:val="49C509F2"/>
    <w:rsid w:val="49F10C0E"/>
    <w:rsid w:val="4A125E6C"/>
    <w:rsid w:val="4A151E5A"/>
    <w:rsid w:val="4A2E00DB"/>
    <w:rsid w:val="4A3450DE"/>
    <w:rsid w:val="4A383EAC"/>
    <w:rsid w:val="4A57435E"/>
    <w:rsid w:val="4A81263B"/>
    <w:rsid w:val="4AB47F01"/>
    <w:rsid w:val="4B0A5F31"/>
    <w:rsid w:val="4B107047"/>
    <w:rsid w:val="4B4C358F"/>
    <w:rsid w:val="4BCE4FB4"/>
    <w:rsid w:val="4BE0598A"/>
    <w:rsid w:val="4BEE4EBC"/>
    <w:rsid w:val="4BF42A99"/>
    <w:rsid w:val="4BF75943"/>
    <w:rsid w:val="4C203A1A"/>
    <w:rsid w:val="4C6E764F"/>
    <w:rsid w:val="4C72256F"/>
    <w:rsid w:val="4C750D0C"/>
    <w:rsid w:val="4C7F706F"/>
    <w:rsid w:val="4CB46E07"/>
    <w:rsid w:val="4CBC1ECA"/>
    <w:rsid w:val="4CBE486D"/>
    <w:rsid w:val="4CCD145E"/>
    <w:rsid w:val="4CDD0AC9"/>
    <w:rsid w:val="4CE06CE6"/>
    <w:rsid w:val="4CE16DD9"/>
    <w:rsid w:val="4D49507F"/>
    <w:rsid w:val="4D636711"/>
    <w:rsid w:val="4D7A7B6F"/>
    <w:rsid w:val="4D87403A"/>
    <w:rsid w:val="4DA2454C"/>
    <w:rsid w:val="4DAB38C7"/>
    <w:rsid w:val="4E824F2D"/>
    <w:rsid w:val="4E99085F"/>
    <w:rsid w:val="4EA1444D"/>
    <w:rsid w:val="4EB24F94"/>
    <w:rsid w:val="4EC852A2"/>
    <w:rsid w:val="4EE50F65"/>
    <w:rsid w:val="4EEC071D"/>
    <w:rsid w:val="4EED7AC4"/>
    <w:rsid w:val="4F07520C"/>
    <w:rsid w:val="4F215A26"/>
    <w:rsid w:val="4F2F4C42"/>
    <w:rsid w:val="4F6A4CB4"/>
    <w:rsid w:val="4F6F0D7C"/>
    <w:rsid w:val="4F7C7564"/>
    <w:rsid w:val="4F8808C7"/>
    <w:rsid w:val="4FC0520B"/>
    <w:rsid w:val="4FD86E88"/>
    <w:rsid w:val="500A10D1"/>
    <w:rsid w:val="5018415C"/>
    <w:rsid w:val="50305507"/>
    <w:rsid w:val="503304E4"/>
    <w:rsid w:val="50383C8C"/>
    <w:rsid w:val="50B976EB"/>
    <w:rsid w:val="512069BD"/>
    <w:rsid w:val="51330F27"/>
    <w:rsid w:val="51913881"/>
    <w:rsid w:val="51C76A2D"/>
    <w:rsid w:val="51FE2163"/>
    <w:rsid w:val="52082DA5"/>
    <w:rsid w:val="520F7CF9"/>
    <w:rsid w:val="52656B4B"/>
    <w:rsid w:val="529358F1"/>
    <w:rsid w:val="52AB2E72"/>
    <w:rsid w:val="52D416C2"/>
    <w:rsid w:val="52D572A2"/>
    <w:rsid w:val="52DB7DA5"/>
    <w:rsid w:val="52DC5F09"/>
    <w:rsid w:val="52F2542A"/>
    <w:rsid w:val="531B71B8"/>
    <w:rsid w:val="53914148"/>
    <w:rsid w:val="539A0A87"/>
    <w:rsid w:val="53B132AD"/>
    <w:rsid w:val="53CF04C3"/>
    <w:rsid w:val="543B3F3C"/>
    <w:rsid w:val="546D4F9D"/>
    <w:rsid w:val="546F2A81"/>
    <w:rsid w:val="548152C2"/>
    <w:rsid w:val="548E5193"/>
    <w:rsid w:val="549B24AD"/>
    <w:rsid w:val="54DE5B8C"/>
    <w:rsid w:val="54F54129"/>
    <w:rsid w:val="54FE7DB6"/>
    <w:rsid w:val="55072BC3"/>
    <w:rsid w:val="554D16F5"/>
    <w:rsid w:val="558F0F43"/>
    <w:rsid w:val="55923C17"/>
    <w:rsid w:val="559C22A1"/>
    <w:rsid w:val="55BC2439"/>
    <w:rsid w:val="55C36668"/>
    <w:rsid w:val="55C5658F"/>
    <w:rsid w:val="55E73121"/>
    <w:rsid w:val="563706D9"/>
    <w:rsid w:val="563A72DF"/>
    <w:rsid w:val="5642011B"/>
    <w:rsid w:val="566B2572"/>
    <w:rsid w:val="56787958"/>
    <w:rsid w:val="56DA5E83"/>
    <w:rsid w:val="57C22E80"/>
    <w:rsid w:val="57DC1F4B"/>
    <w:rsid w:val="57E10E3C"/>
    <w:rsid w:val="57E930EB"/>
    <w:rsid w:val="57E95E4E"/>
    <w:rsid w:val="57FB0C7D"/>
    <w:rsid w:val="580469B3"/>
    <w:rsid w:val="584E2C65"/>
    <w:rsid w:val="58816D49"/>
    <w:rsid w:val="58AC1B00"/>
    <w:rsid w:val="58D26AB1"/>
    <w:rsid w:val="58E528D7"/>
    <w:rsid w:val="593202FD"/>
    <w:rsid w:val="59401C27"/>
    <w:rsid w:val="59441031"/>
    <w:rsid w:val="594B7B5B"/>
    <w:rsid w:val="595D7451"/>
    <w:rsid w:val="59756845"/>
    <w:rsid w:val="599363BA"/>
    <w:rsid w:val="59DA6E5E"/>
    <w:rsid w:val="59DC0EF8"/>
    <w:rsid w:val="59E45850"/>
    <w:rsid w:val="5A0116F4"/>
    <w:rsid w:val="5A08164D"/>
    <w:rsid w:val="5A2B1928"/>
    <w:rsid w:val="5A625591"/>
    <w:rsid w:val="5A7B72D4"/>
    <w:rsid w:val="5A984B46"/>
    <w:rsid w:val="5AD0302E"/>
    <w:rsid w:val="5AE563DE"/>
    <w:rsid w:val="5B4F4042"/>
    <w:rsid w:val="5B51753D"/>
    <w:rsid w:val="5B54298A"/>
    <w:rsid w:val="5B5C4C6A"/>
    <w:rsid w:val="5B684BA1"/>
    <w:rsid w:val="5B7F3E9A"/>
    <w:rsid w:val="5B941AAD"/>
    <w:rsid w:val="5B9C70E5"/>
    <w:rsid w:val="5BCC79DB"/>
    <w:rsid w:val="5C3254F8"/>
    <w:rsid w:val="5C4C58FD"/>
    <w:rsid w:val="5C655246"/>
    <w:rsid w:val="5CA05D53"/>
    <w:rsid w:val="5CCD10D1"/>
    <w:rsid w:val="5CE33DAC"/>
    <w:rsid w:val="5D0B2349"/>
    <w:rsid w:val="5D6344D7"/>
    <w:rsid w:val="5D6D5D0E"/>
    <w:rsid w:val="5D7022F4"/>
    <w:rsid w:val="5DAD7CEE"/>
    <w:rsid w:val="5DDB7210"/>
    <w:rsid w:val="5DFA2277"/>
    <w:rsid w:val="5E3B43E5"/>
    <w:rsid w:val="5E5B08BC"/>
    <w:rsid w:val="5E703DB3"/>
    <w:rsid w:val="5E9E1088"/>
    <w:rsid w:val="5EA7294A"/>
    <w:rsid w:val="5EB23249"/>
    <w:rsid w:val="5ED46152"/>
    <w:rsid w:val="5EDC7DD3"/>
    <w:rsid w:val="5F216422"/>
    <w:rsid w:val="5F283DA2"/>
    <w:rsid w:val="5F4D42B1"/>
    <w:rsid w:val="5F5811B0"/>
    <w:rsid w:val="5F6A469D"/>
    <w:rsid w:val="5F8B03AF"/>
    <w:rsid w:val="5FDBEA0A"/>
    <w:rsid w:val="5FF37AB2"/>
    <w:rsid w:val="5FFF32C7"/>
    <w:rsid w:val="608814DD"/>
    <w:rsid w:val="60C52C25"/>
    <w:rsid w:val="60EA3F0D"/>
    <w:rsid w:val="61074703"/>
    <w:rsid w:val="610E5548"/>
    <w:rsid w:val="612105D5"/>
    <w:rsid w:val="6143548D"/>
    <w:rsid w:val="61470CD0"/>
    <w:rsid w:val="615D09FB"/>
    <w:rsid w:val="61B83AC0"/>
    <w:rsid w:val="61C11FB9"/>
    <w:rsid w:val="61CF770A"/>
    <w:rsid w:val="61D05FE7"/>
    <w:rsid w:val="62261DCA"/>
    <w:rsid w:val="62370FC2"/>
    <w:rsid w:val="6299254C"/>
    <w:rsid w:val="62AE6FFD"/>
    <w:rsid w:val="62D215F5"/>
    <w:rsid w:val="62F73177"/>
    <w:rsid w:val="62FA3FB2"/>
    <w:rsid w:val="630212E8"/>
    <w:rsid w:val="631067BF"/>
    <w:rsid w:val="631C55B7"/>
    <w:rsid w:val="633914DA"/>
    <w:rsid w:val="634A620B"/>
    <w:rsid w:val="63823D16"/>
    <w:rsid w:val="638E0DB9"/>
    <w:rsid w:val="63930C2D"/>
    <w:rsid w:val="63A10D9E"/>
    <w:rsid w:val="63D509C7"/>
    <w:rsid w:val="63F16F7A"/>
    <w:rsid w:val="640518F4"/>
    <w:rsid w:val="647468D8"/>
    <w:rsid w:val="64A121F4"/>
    <w:rsid w:val="64A67267"/>
    <w:rsid w:val="64AB60AD"/>
    <w:rsid w:val="64AD2A8C"/>
    <w:rsid w:val="64C46FE3"/>
    <w:rsid w:val="64D63A51"/>
    <w:rsid w:val="64DF6FC0"/>
    <w:rsid w:val="64EF2E69"/>
    <w:rsid w:val="650B1617"/>
    <w:rsid w:val="650E159B"/>
    <w:rsid w:val="65181CEF"/>
    <w:rsid w:val="65333E0C"/>
    <w:rsid w:val="65472E47"/>
    <w:rsid w:val="65730B47"/>
    <w:rsid w:val="6574616D"/>
    <w:rsid w:val="657B1897"/>
    <w:rsid w:val="65801643"/>
    <w:rsid w:val="6589693A"/>
    <w:rsid w:val="658A53F5"/>
    <w:rsid w:val="65AE3E74"/>
    <w:rsid w:val="65CB4FB4"/>
    <w:rsid w:val="65DC2094"/>
    <w:rsid w:val="65F92154"/>
    <w:rsid w:val="660523D4"/>
    <w:rsid w:val="66244E55"/>
    <w:rsid w:val="665B503B"/>
    <w:rsid w:val="666D2ECC"/>
    <w:rsid w:val="66851775"/>
    <w:rsid w:val="669F0F69"/>
    <w:rsid w:val="66F145A6"/>
    <w:rsid w:val="66FE1D19"/>
    <w:rsid w:val="670B2D7F"/>
    <w:rsid w:val="67194360"/>
    <w:rsid w:val="6719577B"/>
    <w:rsid w:val="67246FC7"/>
    <w:rsid w:val="67A3521F"/>
    <w:rsid w:val="67EE0F29"/>
    <w:rsid w:val="68217910"/>
    <w:rsid w:val="68307E01"/>
    <w:rsid w:val="68430E2E"/>
    <w:rsid w:val="6848595A"/>
    <w:rsid w:val="68764D8A"/>
    <w:rsid w:val="688E17F8"/>
    <w:rsid w:val="68BB4D76"/>
    <w:rsid w:val="6933538B"/>
    <w:rsid w:val="69AF1E03"/>
    <w:rsid w:val="69B73D05"/>
    <w:rsid w:val="69CA7BB7"/>
    <w:rsid w:val="6A0E48E8"/>
    <w:rsid w:val="6A4148AA"/>
    <w:rsid w:val="6A5D1F52"/>
    <w:rsid w:val="6A8204D4"/>
    <w:rsid w:val="6A9D13DA"/>
    <w:rsid w:val="6AA53B23"/>
    <w:rsid w:val="6AD13244"/>
    <w:rsid w:val="6B195F8D"/>
    <w:rsid w:val="6B8365D5"/>
    <w:rsid w:val="6B8E23E9"/>
    <w:rsid w:val="6BA34403"/>
    <w:rsid w:val="6BE3384A"/>
    <w:rsid w:val="6C007CD5"/>
    <w:rsid w:val="6C076688"/>
    <w:rsid w:val="6C1E7BA5"/>
    <w:rsid w:val="6C79285C"/>
    <w:rsid w:val="6C7F05A7"/>
    <w:rsid w:val="6CD04422"/>
    <w:rsid w:val="6CE346E6"/>
    <w:rsid w:val="6CF04799"/>
    <w:rsid w:val="6CF90AC0"/>
    <w:rsid w:val="6D1A67D6"/>
    <w:rsid w:val="6D2A3A8A"/>
    <w:rsid w:val="6D327B91"/>
    <w:rsid w:val="6D724439"/>
    <w:rsid w:val="6D9A2C81"/>
    <w:rsid w:val="6DB93944"/>
    <w:rsid w:val="6DDF4A72"/>
    <w:rsid w:val="6E133F52"/>
    <w:rsid w:val="6E86293F"/>
    <w:rsid w:val="6E9B2AF0"/>
    <w:rsid w:val="6EE81FFB"/>
    <w:rsid w:val="6EF17919"/>
    <w:rsid w:val="6F1F3A07"/>
    <w:rsid w:val="6F3B6306"/>
    <w:rsid w:val="6F3E2E25"/>
    <w:rsid w:val="6F4A5C6D"/>
    <w:rsid w:val="6FBE6204"/>
    <w:rsid w:val="6FDF00E3"/>
    <w:rsid w:val="6FFF7F22"/>
    <w:rsid w:val="700F1184"/>
    <w:rsid w:val="70536EB3"/>
    <w:rsid w:val="705707D4"/>
    <w:rsid w:val="70583D57"/>
    <w:rsid w:val="70594704"/>
    <w:rsid w:val="706A710D"/>
    <w:rsid w:val="70FE1932"/>
    <w:rsid w:val="712A2163"/>
    <w:rsid w:val="713C142E"/>
    <w:rsid w:val="714654A9"/>
    <w:rsid w:val="71CB583F"/>
    <w:rsid w:val="71CE14F4"/>
    <w:rsid w:val="71F572F9"/>
    <w:rsid w:val="71FA3668"/>
    <w:rsid w:val="71FB26FC"/>
    <w:rsid w:val="72132A10"/>
    <w:rsid w:val="724B2374"/>
    <w:rsid w:val="727F3F14"/>
    <w:rsid w:val="72837DE7"/>
    <w:rsid w:val="72C65C3F"/>
    <w:rsid w:val="732C0B21"/>
    <w:rsid w:val="73371334"/>
    <w:rsid w:val="733E5017"/>
    <w:rsid w:val="734A3B35"/>
    <w:rsid w:val="734E134B"/>
    <w:rsid w:val="73580CE9"/>
    <w:rsid w:val="735B35DE"/>
    <w:rsid w:val="736177F9"/>
    <w:rsid w:val="738B09B9"/>
    <w:rsid w:val="739F16C0"/>
    <w:rsid w:val="73B66D7B"/>
    <w:rsid w:val="73C16AF9"/>
    <w:rsid w:val="73EB227B"/>
    <w:rsid w:val="745C4152"/>
    <w:rsid w:val="74725FB3"/>
    <w:rsid w:val="74794F77"/>
    <w:rsid w:val="74832FD6"/>
    <w:rsid w:val="74B54AC2"/>
    <w:rsid w:val="74C851F3"/>
    <w:rsid w:val="752011B9"/>
    <w:rsid w:val="753F5515"/>
    <w:rsid w:val="75534E6C"/>
    <w:rsid w:val="75F56B2B"/>
    <w:rsid w:val="75FE25FE"/>
    <w:rsid w:val="76085BA9"/>
    <w:rsid w:val="76135632"/>
    <w:rsid w:val="76442BA5"/>
    <w:rsid w:val="7678249A"/>
    <w:rsid w:val="76803107"/>
    <w:rsid w:val="76BF3331"/>
    <w:rsid w:val="76FF7600"/>
    <w:rsid w:val="77003123"/>
    <w:rsid w:val="779C0467"/>
    <w:rsid w:val="77AE0B8B"/>
    <w:rsid w:val="77B76448"/>
    <w:rsid w:val="77D7323B"/>
    <w:rsid w:val="780B3C61"/>
    <w:rsid w:val="780F2253"/>
    <w:rsid w:val="782B02C7"/>
    <w:rsid w:val="7834297D"/>
    <w:rsid w:val="785B4288"/>
    <w:rsid w:val="78697B28"/>
    <w:rsid w:val="787B2A91"/>
    <w:rsid w:val="78A47AC9"/>
    <w:rsid w:val="78C12DB1"/>
    <w:rsid w:val="78D12BA9"/>
    <w:rsid w:val="78FF391E"/>
    <w:rsid w:val="790B17EA"/>
    <w:rsid w:val="79233AA0"/>
    <w:rsid w:val="79295E21"/>
    <w:rsid w:val="79524725"/>
    <w:rsid w:val="79A1541B"/>
    <w:rsid w:val="79A67976"/>
    <w:rsid w:val="79FD6230"/>
    <w:rsid w:val="7A1D629E"/>
    <w:rsid w:val="7A2A109B"/>
    <w:rsid w:val="7A346BE6"/>
    <w:rsid w:val="7A402080"/>
    <w:rsid w:val="7A7B3C75"/>
    <w:rsid w:val="7A973BD1"/>
    <w:rsid w:val="7AD53F41"/>
    <w:rsid w:val="7AD6130B"/>
    <w:rsid w:val="7AF5766F"/>
    <w:rsid w:val="7B1B785E"/>
    <w:rsid w:val="7B39249B"/>
    <w:rsid w:val="7B4C50F9"/>
    <w:rsid w:val="7B591620"/>
    <w:rsid w:val="7B66271D"/>
    <w:rsid w:val="7B6A3CD6"/>
    <w:rsid w:val="7B964733"/>
    <w:rsid w:val="7BB1375E"/>
    <w:rsid w:val="7BE25214"/>
    <w:rsid w:val="7BE91898"/>
    <w:rsid w:val="7C1B76BF"/>
    <w:rsid w:val="7C216BBE"/>
    <w:rsid w:val="7C237D93"/>
    <w:rsid w:val="7C5068F9"/>
    <w:rsid w:val="7C8F73CA"/>
    <w:rsid w:val="7C903AC8"/>
    <w:rsid w:val="7CC3792E"/>
    <w:rsid w:val="7D1313AA"/>
    <w:rsid w:val="7D1B707F"/>
    <w:rsid w:val="7D3466B2"/>
    <w:rsid w:val="7D563FF8"/>
    <w:rsid w:val="7D626AEE"/>
    <w:rsid w:val="7D741CD0"/>
    <w:rsid w:val="7DC0001C"/>
    <w:rsid w:val="7DD27DA8"/>
    <w:rsid w:val="7DD833E2"/>
    <w:rsid w:val="7DF63381"/>
    <w:rsid w:val="7DFE2814"/>
    <w:rsid w:val="7E387371"/>
    <w:rsid w:val="7E4B0D54"/>
    <w:rsid w:val="7E554B25"/>
    <w:rsid w:val="7F204E7D"/>
    <w:rsid w:val="7F65643D"/>
    <w:rsid w:val="7F664937"/>
    <w:rsid w:val="7F6E683F"/>
    <w:rsid w:val="7F895391"/>
    <w:rsid w:val="7F9F3E6E"/>
    <w:rsid w:val="7FC1701F"/>
    <w:rsid w:val="7FD757BA"/>
    <w:rsid w:val="7FDC6A73"/>
    <w:rsid w:val="7FF474D3"/>
    <w:rsid w:val="7FF71559"/>
    <w:rsid w:val="7FFB5A0F"/>
    <w:rsid w:val="BDFF0A6E"/>
    <w:rsid w:val="FC3475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2">
    <w:name w:val="heading 1"/>
    <w:basedOn w:val="1"/>
    <w:next w:val="1"/>
    <w:link w:val="63"/>
    <w:qFormat/>
    <w:uiPriority w:val="0"/>
    <w:pPr>
      <w:keepNext/>
      <w:keepLines/>
      <w:spacing w:before="340" w:after="330" w:line="578" w:lineRule="auto"/>
      <w:outlineLvl w:val="0"/>
    </w:pPr>
    <w:rPr>
      <w:rFonts w:eastAsia="Copperplate Gothic Bold"/>
      <w:b/>
      <w:bCs/>
      <w:kern w:val="44"/>
      <w:sz w:val="44"/>
      <w:szCs w:val="44"/>
    </w:rPr>
  </w:style>
  <w:style w:type="paragraph" w:styleId="3">
    <w:name w:val="heading 2"/>
    <w:basedOn w:val="1"/>
    <w:next w:val="1"/>
    <w:link w:val="64"/>
    <w:qFormat/>
    <w:uiPriority w:val="0"/>
    <w:pPr>
      <w:keepNext/>
      <w:keepLines/>
      <w:widowControl w:val="0"/>
      <w:spacing w:before="240" w:after="240" w:line="360" w:lineRule="auto"/>
      <w:jc w:val="both"/>
      <w:outlineLvl w:val="1"/>
    </w:pPr>
    <w:rPr>
      <w:rFonts w:eastAsia="Cambria Math"/>
      <w:bCs/>
      <w:kern w:val="2"/>
      <w:sz w:val="30"/>
      <w:szCs w:val="30"/>
    </w:rPr>
  </w:style>
  <w:style w:type="paragraph" w:styleId="4">
    <w:name w:val="heading 3"/>
    <w:basedOn w:val="1"/>
    <w:next w:val="1"/>
    <w:link w:val="54"/>
    <w:qFormat/>
    <w:uiPriority w:val="0"/>
    <w:pPr>
      <w:keepNext/>
      <w:keepLines/>
      <w:spacing w:before="260" w:after="260" w:line="416" w:lineRule="auto"/>
      <w:outlineLvl w:val="2"/>
    </w:pPr>
    <w:rPr>
      <w:rFonts w:eastAsia="Copperplate Gothic Bold"/>
      <w:b/>
      <w:bCs/>
      <w:sz w:val="32"/>
      <w:szCs w:val="32"/>
    </w:rPr>
  </w:style>
  <w:style w:type="paragraph" w:styleId="5">
    <w:name w:val="heading 4"/>
    <w:basedOn w:val="1"/>
    <w:next w:val="1"/>
    <w:link w:val="67"/>
    <w:qFormat/>
    <w:uiPriority w:val="0"/>
    <w:pPr>
      <w:keepNext/>
      <w:keepLines/>
      <w:spacing w:before="280" w:after="290" w:line="376" w:lineRule="auto"/>
      <w:outlineLvl w:val="3"/>
    </w:pPr>
    <w:rPr>
      <w:rFonts w:ascii="楷体_GB2312" w:hAnsi="楷体_GB2312" w:eastAsia="Cambria Math"/>
      <w:b/>
      <w:bCs/>
      <w:sz w:val="28"/>
      <w:szCs w:val="28"/>
    </w:rPr>
  </w:style>
  <w:style w:type="paragraph" w:styleId="6">
    <w:name w:val="heading 5"/>
    <w:basedOn w:val="1"/>
    <w:next w:val="1"/>
    <w:qFormat/>
    <w:uiPriority w:val="0"/>
    <w:pPr>
      <w:spacing w:before="240" w:after="60"/>
      <w:ind w:left="1008" w:hanging="1008"/>
      <w:outlineLvl w:val="4"/>
    </w:pPr>
    <w:rPr>
      <w:rFonts w:ascii="MT Extra" w:hAnsi="MT Extra" w:eastAsia="等线"/>
      <w:b/>
      <w:bCs/>
      <w:i/>
      <w:iCs/>
      <w:sz w:val="26"/>
      <w:szCs w:val="26"/>
    </w:rPr>
  </w:style>
  <w:style w:type="paragraph" w:styleId="7">
    <w:name w:val="heading 6"/>
    <w:basedOn w:val="1"/>
    <w:next w:val="1"/>
    <w:qFormat/>
    <w:uiPriority w:val="0"/>
    <w:pPr>
      <w:spacing w:before="240" w:after="60"/>
      <w:ind w:left="1152" w:hanging="1152"/>
      <w:outlineLvl w:val="5"/>
    </w:pPr>
    <w:rPr>
      <w:rFonts w:ascii="MT Extra" w:hAnsi="MT Extra" w:eastAsia="等线"/>
      <w:b/>
      <w:bCs/>
    </w:rPr>
  </w:style>
  <w:style w:type="paragraph" w:styleId="8">
    <w:name w:val="heading 7"/>
    <w:basedOn w:val="1"/>
    <w:next w:val="1"/>
    <w:qFormat/>
    <w:uiPriority w:val="0"/>
    <w:pPr>
      <w:spacing w:before="240" w:after="60"/>
      <w:ind w:left="1296" w:hanging="1296"/>
      <w:outlineLvl w:val="6"/>
    </w:pPr>
    <w:rPr>
      <w:rFonts w:ascii="MT Extra" w:hAnsi="MT Extra" w:eastAsia="等线"/>
      <w:sz w:val="24"/>
      <w:szCs w:val="24"/>
    </w:rPr>
  </w:style>
  <w:style w:type="paragraph" w:styleId="9">
    <w:name w:val="heading 8"/>
    <w:basedOn w:val="1"/>
    <w:next w:val="1"/>
    <w:qFormat/>
    <w:uiPriority w:val="0"/>
    <w:pPr>
      <w:spacing w:before="240" w:after="60"/>
      <w:ind w:left="1440" w:hanging="1440"/>
      <w:outlineLvl w:val="7"/>
    </w:pPr>
    <w:rPr>
      <w:rFonts w:ascii="MT Extra" w:hAnsi="MT Extra" w:eastAsia="等线"/>
      <w:i/>
      <w:iCs/>
      <w:sz w:val="24"/>
      <w:szCs w:val="24"/>
    </w:rPr>
  </w:style>
  <w:style w:type="paragraph" w:styleId="10">
    <w:name w:val="heading 9"/>
    <w:basedOn w:val="1"/>
    <w:next w:val="1"/>
    <w:qFormat/>
    <w:uiPriority w:val="0"/>
    <w:pPr>
      <w:spacing w:before="240" w:after="60"/>
      <w:ind w:left="1584" w:hanging="1584"/>
      <w:outlineLvl w:val="8"/>
    </w:pPr>
    <w:rPr>
      <w:rFonts w:ascii="黑体" w:hAnsi="黑体" w:eastAsia="等线"/>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qFormat/>
    <w:uiPriority w:val="0"/>
    <w:pPr>
      <w:tabs>
        <w:tab w:val="left" w:pos="454"/>
        <w:tab w:val="left" w:pos="720"/>
        <w:tab w:val="left" w:pos="899"/>
        <w:tab w:val="left" w:pos="960"/>
      </w:tabs>
      <w:spacing w:afterLines="50"/>
      <w:ind w:left="454" w:hanging="284"/>
    </w:pPr>
    <w:rPr>
      <w:rFonts w:ascii="等线" w:hAnsi="等线" w:eastAsia="等线"/>
      <w:sz w:val="24"/>
    </w:rPr>
  </w:style>
  <w:style w:type="paragraph" w:styleId="12">
    <w:name w:val="Normal Indent"/>
    <w:basedOn w:val="1"/>
    <w:next w:val="13"/>
    <w:qFormat/>
    <w:uiPriority w:val="0"/>
    <w:pPr>
      <w:widowControl w:val="0"/>
      <w:ind w:firstLine="420" w:firstLineChars="200"/>
      <w:jc w:val="both"/>
    </w:pPr>
    <w:rPr>
      <w:rFonts w:ascii="等线" w:hAnsi="等线" w:eastAsia="等线"/>
      <w:kern w:val="2"/>
      <w:sz w:val="24"/>
      <w:szCs w:val="24"/>
    </w:rPr>
  </w:style>
  <w:style w:type="paragraph" w:styleId="13">
    <w:name w:val="Body Text Indent"/>
    <w:basedOn w:val="1"/>
    <w:next w:val="1"/>
    <w:qFormat/>
    <w:uiPriority w:val="0"/>
    <w:pPr>
      <w:widowControl w:val="0"/>
      <w:tabs>
        <w:tab w:val="left" w:pos="0"/>
        <w:tab w:val="left" w:pos="1260"/>
        <w:tab w:val="left" w:pos="1365"/>
      </w:tabs>
      <w:spacing w:line="500" w:lineRule="exact"/>
      <w:ind w:firstLine="630"/>
      <w:jc w:val="both"/>
    </w:pPr>
    <w:rPr>
      <w:rFonts w:ascii="Arial Unicode MS" w:hAnsi="等线" w:eastAsia="Arial Unicode MS"/>
      <w:kern w:val="2"/>
      <w:sz w:val="28"/>
    </w:rPr>
  </w:style>
  <w:style w:type="paragraph" w:styleId="14">
    <w:name w:val="caption"/>
    <w:basedOn w:val="1"/>
    <w:next w:val="1"/>
    <w:qFormat/>
    <w:uiPriority w:val="0"/>
    <w:pPr>
      <w:numPr>
        <w:ilvl w:val="0"/>
        <w:numId w:val="1"/>
      </w:numPr>
      <w:jc w:val="center"/>
    </w:pPr>
    <w:rPr>
      <w:rFonts w:ascii="Courier New" w:hAnsi="Courier New" w:eastAsia="等线" w:cs="Copperplate Gothic Bold"/>
    </w:rPr>
  </w:style>
  <w:style w:type="paragraph" w:styleId="15">
    <w:name w:val="Document Map"/>
    <w:basedOn w:val="1"/>
    <w:qFormat/>
    <w:uiPriority w:val="0"/>
    <w:pPr>
      <w:widowControl w:val="0"/>
      <w:shd w:val="clear" w:color="auto" w:fill="000080"/>
      <w:jc w:val="both"/>
    </w:pPr>
    <w:rPr>
      <w:rFonts w:ascii="等线" w:hAnsi="等线" w:eastAsia="等线"/>
      <w:kern w:val="2"/>
      <w:sz w:val="21"/>
      <w:szCs w:val="24"/>
    </w:rPr>
  </w:style>
  <w:style w:type="paragraph" w:styleId="16">
    <w:name w:val="annotation text"/>
    <w:basedOn w:val="1"/>
    <w:link w:val="65"/>
    <w:qFormat/>
    <w:uiPriority w:val="0"/>
    <w:pPr>
      <w:widowControl w:val="0"/>
    </w:pPr>
    <w:rPr>
      <w:rFonts w:eastAsia="Copperplate Gothic Bold"/>
      <w:kern w:val="2"/>
      <w:sz w:val="21"/>
      <w:szCs w:val="24"/>
    </w:rPr>
  </w:style>
  <w:style w:type="paragraph" w:styleId="17">
    <w:name w:val="Body Text 3"/>
    <w:basedOn w:val="1"/>
    <w:qFormat/>
    <w:uiPriority w:val="0"/>
    <w:pPr>
      <w:widowControl w:val="0"/>
      <w:spacing w:after="120"/>
      <w:jc w:val="both"/>
    </w:pPr>
    <w:rPr>
      <w:kern w:val="2"/>
      <w:sz w:val="16"/>
      <w:szCs w:val="16"/>
    </w:rPr>
  </w:style>
  <w:style w:type="paragraph" w:styleId="18">
    <w:name w:val="Body Text"/>
    <w:basedOn w:val="1"/>
    <w:qFormat/>
    <w:uiPriority w:val="0"/>
    <w:pPr>
      <w:spacing w:after="120"/>
    </w:pPr>
    <w:rPr>
      <w:rFonts w:ascii="等线" w:hAnsi="等线" w:eastAsia="等线"/>
    </w:rPr>
  </w:style>
  <w:style w:type="paragraph" w:styleId="19">
    <w:name w:val="Block Text"/>
    <w:basedOn w:val="1"/>
    <w:qFormat/>
    <w:uiPriority w:val="0"/>
    <w:pPr>
      <w:adjustRightInd w:val="0"/>
      <w:snapToGrid w:val="0"/>
      <w:spacing w:line="360" w:lineRule="auto"/>
      <w:ind w:left="567" w:leftChars="270" w:right="-150" w:rightChars="-150" w:firstLine="480" w:firstLineChars="200"/>
    </w:pPr>
    <w:rPr>
      <w:rFonts w:ascii="Copperplate Gothic Bold" w:hAnsi="等线" w:eastAsia="等线"/>
      <w:sz w:val="24"/>
    </w:rPr>
  </w:style>
  <w:style w:type="paragraph" w:styleId="20">
    <w:name w:val="toc 3"/>
    <w:basedOn w:val="1"/>
    <w:next w:val="1"/>
    <w:qFormat/>
    <w:uiPriority w:val="0"/>
    <w:pPr>
      <w:widowControl w:val="0"/>
      <w:tabs>
        <w:tab w:val="left" w:pos="1470"/>
        <w:tab w:val="right" w:leader="dot" w:pos="8296"/>
      </w:tabs>
      <w:ind w:left="840" w:leftChars="400"/>
      <w:jc w:val="both"/>
    </w:pPr>
    <w:rPr>
      <w:rFonts w:ascii="等线" w:hAnsi="等线" w:eastAsia="等线"/>
      <w:kern w:val="2"/>
      <w:sz w:val="21"/>
      <w:szCs w:val="24"/>
    </w:rPr>
  </w:style>
  <w:style w:type="paragraph" w:styleId="21">
    <w:name w:val="Plain Text"/>
    <w:basedOn w:val="1"/>
    <w:next w:val="22"/>
    <w:link w:val="51"/>
    <w:qFormat/>
    <w:uiPriority w:val="0"/>
    <w:pPr>
      <w:widowControl w:val="0"/>
      <w:jc w:val="both"/>
    </w:pPr>
    <w:rPr>
      <w:rFonts w:ascii="Copperplate Gothic Bold" w:eastAsia="Copperplate Gothic Bold" w:cs="Calibri"/>
      <w:kern w:val="2"/>
      <w:sz w:val="21"/>
      <w:szCs w:val="21"/>
    </w:rPr>
  </w:style>
  <w:style w:type="paragraph" w:styleId="22">
    <w:name w:val="Date"/>
    <w:basedOn w:val="1"/>
    <w:next w:val="1"/>
    <w:link w:val="68"/>
    <w:qFormat/>
    <w:uiPriority w:val="0"/>
    <w:pPr>
      <w:widowControl w:val="0"/>
      <w:jc w:val="both"/>
    </w:pPr>
    <w:rPr>
      <w:kern w:val="2"/>
      <w:sz w:val="21"/>
    </w:rPr>
  </w:style>
  <w:style w:type="paragraph" w:styleId="23">
    <w:name w:val="Balloon Text"/>
    <w:basedOn w:val="1"/>
    <w:link w:val="56"/>
    <w:qFormat/>
    <w:uiPriority w:val="0"/>
    <w:pPr>
      <w:widowControl w:val="0"/>
      <w:jc w:val="both"/>
    </w:pPr>
    <w:rPr>
      <w:rFonts w:eastAsia="Copperplate Gothic Bold"/>
      <w:kern w:val="2"/>
      <w:sz w:val="18"/>
      <w:szCs w:val="18"/>
    </w:rPr>
  </w:style>
  <w:style w:type="paragraph" w:styleId="24">
    <w:name w:val="footer"/>
    <w:basedOn w:val="1"/>
    <w:link w:val="60"/>
    <w:qFormat/>
    <w:uiPriority w:val="0"/>
    <w:pPr>
      <w:widowControl w:val="0"/>
      <w:tabs>
        <w:tab w:val="center" w:pos="4153"/>
        <w:tab w:val="right" w:pos="8306"/>
      </w:tabs>
      <w:snapToGrid w:val="0"/>
    </w:pPr>
    <w:rPr>
      <w:rFonts w:eastAsia="Copperplate Gothic Bold"/>
      <w:kern w:val="2"/>
      <w:sz w:val="18"/>
    </w:rPr>
  </w:style>
  <w:style w:type="paragraph" w:styleId="25">
    <w:name w:val="envelope return"/>
    <w:basedOn w:val="1"/>
    <w:unhideWhenUsed/>
    <w:qFormat/>
    <w:uiPriority w:val="99"/>
    <w:pPr>
      <w:snapToGrid w:val="0"/>
    </w:pPr>
    <w:rPr>
      <w:rFonts w:ascii="Arial" w:hAnsi="Arial"/>
    </w:rPr>
  </w:style>
  <w:style w:type="paragraph" w:styleId="26">
    <w:name w:val="header"/>
    <w:basedOn w:val="1"/>
    <w:link w:val="58"/>
    <w:qFormat/>
    <w:uiPriority w:val="0"/>
    <w:pPr>
      <w:widowControl w:val="0"/>
      <w:pBdr>
        <w:bottom w:val="single" w:color="auto" w:sz="6" w:space="1"/>
      </w:pBdr>
      <w:tabs>
        <w:tab w:val="center" w:pos="4153"/>
        <w:tab w:val="right" w:pos="8306"/>
      </w:tabs>
      <w:snapToGrid w:val="0"/>
      <w:jc w:val="center"/>
    </w:pPr>
    <w:rPr>
      <w:rFonts w:eastAsia="Copperplate Gothic Bold"/>
      <w:kern w:val="2"/>
      <w:sz w:val="18"/>
    </w:rPr>
  </w:style>
  <w:style w:type="paragraph" w:styleId="27">
    <w:name w:val="toc 1"/>
    <w:basedOn w:val="1"/>
    <w:next w:val="1"/>
    <w:qFormat/>
    <w:uiPriority w:val="0"/>
    <w:rPr>
      <w:rFonts w:ascii="等线" w:hAnsi="等线" w:eastAsia="等线"/>
    </w:rPr>
  </w:style>
  <w:style w:type="paragraph" w:styleId="28">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9">
    <w:name w:val="toc 6"/>
    <w:basedOn w:val="1"/>
    <w:next w:val="1"/>
    <w:qFormat/>
    <w:uiPriority w:val="99"/>
    <w:pPr>
      <w:ind w:left="1050"/>
    </w:pPr>
    <w:rPr>
      <w:rFonts w:cs="Calibri"/>
      <w:sz w:val="18"/>
      <w:szCs w:val="18"/>
    </w:rPr>
  </w:style>
  <w:style w:type="paragraph" w:styleId="30">
    <w:name w:val="Body Text Indent 3"/>
    <w:basedOn w:val="1"/>
    <w:link w:val="53"/>
    <w:qFormat/>
    <w:uiPriority w:val="0"/>
    <w:pPr>
      <w:widowControl w:val="0"/>
      <w:spacing w:after="120"/>
      <w:ind w:left="420" w:leftChars="200"/>
      <w:jc w:val="both"/>
    </w:pPr>
    <w:rPr>
      <w:rFonts w:eastAsia="Copperplate Gothic Bold"/>
      <w:kern w:val="2"/>
      <w:sz w:val="16"/>
      <w:szCs w:val="16"/>
    </w:rPr>
  </w:style>
  <w:style w:type="paragraph" w:styleId="31">
    <w:name w:val="toc 2"/>
    <w:basedOn w:val="1"/>
    <w:next w:val="1"/>
    <w:qFormat/>
    <w:uiPriority w:val="0"/>
    <w:pPr>
      <w:ind w:left="420" w:leftChars="200"/>
    </w:pPr>
    <w:rPr>
      <w:rFonts w:ascii="等线" w:hAnsi="等线" w:eastAsia="等线"/>
    </w:rPr>
  </w:style>
  <w:style w:type="paragraph" w:styleId="32">
    <w:name w:val="Body Text 2"/>
    <w:basedOn w:val="1"/>
    <w:qFormat/>
    <w:uiPriority w:val="0"/>
    <w:pPr>
      <w:spacing w:after="120" w:line="480" w:lineRule="auto"/>
    </w:p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Copperplate Gothic Bold" w:hAnsi="Copperplate Gothic Bold" w:eastAsia="等线"/>
      <w:sz w:val="24"/>
    </w:rPr>
  </w:style>
  <w:style w:type="paragraph" w:styleId="34">
    <w:name w:val="Normal (Web)"/>
    <w:basedOn w:val="1"/>
    <w:qFormat/>
    <w:uiPriority w:val="0"/>
    <w:pPr>
      <w:spacing w:before="100" w:beforeAutospacing="1" w:after="100" w:afterAutospacing="1"/>
    </w:pPr>
    <w:rPr>
      <w:rFonts w:ascii="Copperplate Gothic Bold" w:hAnsi="Copperplate Gothic Bold" w:eastAsia="等线" w:cs="Copperplate Gothic Bold"/>
      <w:sz w:val="24"/>
      <w:szCs w:val="24"/>
    </w:rPr>
  </w:style>
  <w:style w:type="paragraph" w:styleId="35">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6">
    <w:name w:val="annotation subject"/>
    <w:basedOn w:val="16"/>
    <w:next w:val="16"/>
    <w:link w:val="73"/>
    <w:qFormat/>
    <w:uiPriority w:val="0"/>
    <w:rPr>
      <w:rFonts w:ascii="Copperplate Gothic Bold" w:cs="Calibri"/>
      <w:szCs w:val="21"/>
    </w:rPr>
  </w:style>
  <w:style w:type="paragraph" w:styleId="37">
    <w:name w:val="Body Text First Indent"/>
    <w:basedOn w:val="18"/>
    <w:next w:val="29"/>
    <w:qFormat/>
    <w:uiPriority w:val="0"/>
    <w:pPr>
      <w:ind w:firstLine="420" w:firstLineChars="100"/>
    </w:pPr>
  </w:style>
  <w:style w:type="paragraph" w:styleId="38">
    <w:name w:val="Body Text First Indent 2"/>
    <w:basedOn w:val="13"/>
    <w:next w:val="1"/>
    <w:qFormat/>
    <w:uiPriority w:val="0"/>
    <w:pPr>
      <w:snapToGrid w:val="0"/>
      <w:spacing w:after="120"/>
      <w:ind w:left="420" w:firstLine="420" w:firstLineChars="200"/>
    </w:pPr>
    <w:rPr>
      <w:rFonts w:ascii="Tahoma" w:hAnsi="Tahoma"/>
      <w:szCs w:val="24"/>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rFonts w:ascii="等线" w:hAnsi="等线" w:eastAsia="等线" w:cs="Times New Roman"/>
      <w:b/>
    </w:rPr>
  </w:style>
  <w:style w:type="character" w:styleId="43">
    <w:name w:val="page number"/>
    <w:basedOn w:val="41"/>
    <w:qFormat/>
    <w:uiPriority w:val="0"/>
    <w:rPr>
      <w:rFonts w:ascii="等线" w:hAnsi="等线" w:eastAsia="等线" w:cs="Times New Roman"/>
    </w:rPr>
  </w:style>
  <w:style w:type="character" w:styleId="44">
    <w:name w:val="Hyperlink"/>
    <w:qFormat/>
    <w:uiPriority w:val="0"/>
    <w:rPr>
      <w:rFonts w:ascii="等线" w:hAnsi="等线" w:eastAsia="等线" w:cs="Times New Roman"/>
      <w:color w:val="0000FF"/>
      <w:u w:val="single"/>
    </w:rPr>
  </w:style>
  <w:style w:type="character" w:styleId="45">
    <w:name w:val="annotation reference"/>
    <w:qFormat/>
    <w:uiPriority w:val="0"/>
    <w:rPr>
      <w:rFonts w:ascii="等线" w:hAnsi="等线" w:eastAsia="等线" w:cs="Times New Roman"/>
      <w:sz w:val="21"/>
      <w:szCs w:val="21"/>
    </w:rPr>
  </w:style>
  <w:style w:type="paragraph" w:customStyle="1" w:styleId="4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7">
    <w:name w:val="my正文"/>
    <w:basedOn w:val="1"/>
    <w:qFormat/>
    <w:uiPriority w:val="0"/>
    <w:pPr>
      <w:spacing w:line="360" w:lineRule="auto"/>
      <w:ind w:firstLine="480" w:firstLineChars="200"/>
    </w:pPr>
    <w:rPr>
      <w:sz w:val="24"/>
    </w:rPr>
  </w:style>
  <w:style w:type="paragraph" w:customStyle="1" w:styleId="4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正文文本首行缩进 21"/>
    <w:basedOn w:val="13"/>
    <w:next w:val="1"/>
    <w:qFormat/>
    <w:uiPriority w:val="0"/>
    <w:pPr>
      <w:ind w:firstLine="420"/>
    </w:pPr>
    <w:rPr>
      <w:rFonts w:ascii="等线" w:eastAsia="等线" w:cs="Copperplate Gothic Bold"/>
      <w:szCs w:val="21"/>
    </w:rPr>
  </w:style>
  <w:style w:type="character" w:customStyle="1" w:styleId="50">
    <w:name w:val="无"/>
    <w:qFormat/>
    <w:uiPriority w:val="0"/>
    <w:rPr>
      <w:rFonts w:ascii="等线" w:hAnsi="等线" w:eastAsia="等线" w:cs="Times New Roman"/>
    </w:rPr>
  </w:style>
  <w:style w:type="character" w:customStyle="1" w:styleId="51">
    <w:name w:val="纯文本 字符"/>
    <w:link w:val="21"/>
    <w:qFormat/>
    <w:uiPriority w:val="0"/>
    <w:rPr>
      <w:rFonts w:ascii="Copperplate Gothic Bold" w:hAnsi="Calibri" w:eastAsia="Copperplate Gothic Bold" w:cs="Calibri"/>
      <w:kern w:val="2"/>
      <w:sz w:val="21"/>
      <w:szCs w:val="21"/>
      <w:lang w:val="en-US" w:eastAsia="zh-CN" w:bidi="ar-SA"/>
    </w:rPr>
  </w:style>
  <w:style w:type="character" w:customStyle="1" w:styleId="52">
    <w:name w:val="Char Char7"/>
    <w:qFormat/>
    <w:uiPriority w:val="0"/>
    <w:rPr>
      <w:rFonts w:ascii="黑体" w:hAnsi="黑体" w:eastAsia="等线" w:cs="Times New Roman"/>
      <w:b/>
      <w:bCs/>
      <w:kern w:val="32"/>
      <w:sz w:val="32"/>
      <w:szCs w:val="32"/>
    </w:rPr>
  </w:style>
  <w:style w:type="character" w:customStyle="1" w:styleId="53">
    <w:name w:val="正文文本缩进 3 字符"/>
    <w:link w:val="30"/>
    <w:qFormat/>
    <w:uiPriority w:val="0"/>
    <w:rPr>
      <w:rFonts w:ascii="等线" w:hAnsi="等线" w:eastAsia="Copperplate Gothic Bold" w:cs="Times New Roman"/>
      <w:kern w:val="2"/>
      <w:sz w:val="16"/>
      <w:szCs w:val="16"/>
      <w:lang w:val="en-US" w:eastAsia="zh-CN" w:bidi="ar-SA"/>
    </w:rPr>
  </w:style>
  <w:style w:type="character" w:customStyle="1" w:styleId="54">
    <w:name w:val="标题 3 字符"/>
    <w:link w:val="4"/>
    <w:qFormat/>
    <w:uiPriority w:val="0"/>
    <w:rPr>
      <w:rFonts w:ascii="等线" w:hAnsi="等线" w:eastAsia="Copperplate Gothic Bold" w:cs="Times New Roman"/>
      <w:b/>
      <w:bCs/>
      <w:sz w:val="32"/>
      <w:szCs w:val="32"/>
      <w:lang w:val="en-US" w:eastAsia="zh-CN" w:bidi="ar-SA"/>
    </w:rPr>
  </w:style>
  <w:style w:type="character" w:customStyle="1" w:styleId="55">
    <w:name w:val="font21"/>
    <w:basedOn w:val="41"/>
    <w:qFormat/>
    <w:uiPriority w:val="0"/>
    <w:rPr>
      <w:rFonts w:hint="default" w:ascii="MT Extra" w:hAnsi="MT Extra" w:eastAsia="等线" w:cs="MT Extra"/>
      <w:color w:val="000000"/>
      <w:sz w:val="16"/>
      <w:szCs w:val="16"/>
      <w:u w:val="none"/>
    </w:rPr>
  </w:style>
  <w:style w:type="character" w:customStyle="1" w:styleId="56">
    <w:name w:val="批注框文本 字符"/>
    <w:link w:val="23"/>
    <w:qFormat/>
    <w:uiPriority w:val="0"/>
    <w:rPr>
      <w:rFonts w:ascii="等线" w:hAnsi="等线" w:eastAsia="Copperplate Gothic Bold" w:cs="Times New Roman"/>
      <w:kern w:val="2"/>
      <w:sz w:val="18"/>
      <w:szCs w:val="18"/>
      <w:lang w:bidi="ar-SA"/>
    </w:rPr>
  </w:style>
  <w:style w:type="character" w:customStyle="1" w:styleId="57">
    <w:name w:val="font31"/>
    <w:basedOn w:val="41"/>
    <w:qFormat/>
    <w:uiPriority w:val="0"/>
    <w:rPr>
      <w:rFonts w:hint="eastAsia" w:ascii="Copperplate Gothic Bold" w:hAnsi="Copperplate Gothic Bold" w:eastAsia="Copperplate Gothic Bold" w:cs="Copperplate Gothic Bold"/>
      <w:color w:val="000000"/>
      <w:sz w:val="22"/>
      <w:szCs w:val="22"/>
      <w:u w:val="none"/>
    </w:rPr>
  </w:style>
  <w:style w:type="character" w:customStyle="1" w:styleId="58">
    <w:name w:val="页眉 字符"/>
    <w:link w:val="26"/>
    <w:qFormat/>
    <w:uiPriority w:val="0"/>
    <w:rPr>
      <w:rFonts w:ascii="等线" w:hAnsi="等线" w:eastAsia="Copperplate Gothic Bold" w:cs="Times New Roman"/>
      <w:kern w:val="2"/>
      <w:sz w:val="18"/>
      <w:lang w:val="en-US" w:eastAsia="zh-CN" w:bidi="ar-SA"/>
    </w:rPr>
  </w:style>
  <w:style w:type="character" w:customStyle="1" w:styleId="59">
    <w:name w:val="f101"/>
    <w:qFormat/>
    <w:uiPriority w:val="0"/>
    <w:rPr>
      <w:rFonts w:ascii="等线" w:hAnsi="等线" w:eastAsia="等线" w:cs="Times New Roman"/>
      <w:sz w:val="21"/>
    </w:rPr>
  </w:style>
  <w:style w:type="character" w:customStyle="1" w:styleId="60">
    <w:name w:val="页脚 字符"/>
    <w:link w:val="24"/>
    <w:qFormat/>
    <w:uiPriority w:val="0"/>
    <w:rPr>
      <w:rFonts w:ascii="等线" w:hAnsi="等线" w:eastAsia="Copperplate Gothic Bold" w:cs="Times New Roman"/>
      <w:kern w:val="2"/>
      <w:sz w:val="18"/>
      <w:lang w:val="en-US" w:eastAsia="zh-CN" w:bidi="ar-SA"/>
    </w:rPr>
  </w:style>
  <w:style w:type="character" w:customStyle="1" w:styleId="61">
    <w:name w:val="font81"/>
    <w:basedOn w:val="41"/>
    <w:qFormat/>
    <w:uiPriority w:val="0"/>
    <w:rPr>
      <w:rFonts w:hint="eastAsia" w:ascii="Copperplate Gothic Bold" w:hAnsi="Copperplate Gothic Bold" w:eastAsia="Copperplate Gothic Bold" w:cs="Copperplate Gothic Bold"/>
      <w:color w:val="000000"/>
      <w:sz w:val="16"/>
      <w:szCs w:val="16"/>
      <w:u w:val="none"/>
    </w:rPr>
  </w:style>
  <w:style w:type="character" w:customStyle="1" w:styleId="62">
    <w:name w:val="标题 1 Char Char"/>
    <w:qFormat/>
    <w:uiPriority w:val="0"/>
    <w:rPr>
      <w:rFonts w:ascii="等线" w:hAnsi="等线" w:eastAsia="Copperplate Gothic Bold" w:cs="Times New Roman"/>
      <w:b/>
      <w:spacing w:val="-2"/>
      <w:sz w:val="24"/>
      <w:lang w:val="en-US" w:eastAsia="zh-CN" w:bidi="ar-SA"/>
    </w:rPr>
  </w:style>
  <w:style w:type="character" w:customStyle="1" w:styleId="63">
    <w:name w:val="标题 1 字符"/>
    <w:link w:val="2"/>
    <w:qFormat/>
    <w:uiPriority w:val="0"/>
    <w:rPr>
      <w:rFonts w:ascii="等线" w:hAnsi="等线" w:eastAsia="Copperplate Gothic Bold" w:cs="Times New Roman"/>
      <w:b/>
      <w:bCs/>
      <w:kern w:val="44"/>
      <w:sz w:val="44"/>
      <w:szCs w:val="44"/>
      <w:lang w:val="en-US" w:eastAsia="zh-CN" w:bidi="ar-SA"/>
    </w:rPr>
  </w:style>
  <w:style w:type="character" w:customStyle="1" w:styleId="64">
    <w:name w:val="标题 2 字符"/>
    <w:link w:val="3"/>
    <w:qFormat/>
    <w:uiPriority w:val="0"/>
    <w:rPr>
      <w:rFonts w:ascii="等线" w:hAnsi="等线" w:eastAsia="Cambria Math" w:cs="Times New Roman"/>
      <w:bCs/>
      <w:kern w:val="2"/>
      <w:sz w:val="30"/>
      <w:szCs w:val="30"/>
      <w:lang w:val="en-US" w:eastAsia="zh-CN" w:bidi="ar-SA"/>
    </w:rPr>
  </w:style>
  <w:style w:type="character" w:customStyle="1" w:styleId="65">
    <w:name w:val="批注文字 字符"/>
    <w:link w:val="16"/>
    <w:qFormat/>
    <w:uiPriority w:val="0"/>
    <w:rPr>
      <w:rFonts w:ascii="等线" w:hAnsi="等线" w:eastAsia="Copperplate Gothic Bold" w:cs="Times New Roman"/>
      <w:kern w:val="2"/>
      <w:sz w:val="21"/>
      <w:szCs w:val="24"/>
      <w:lang w:bidi="ar-SA"/>
    </w:rPr>
  </w:style>
  <w:style w:type="character" w:customStyle="1" w:styleId="66">
    <w:name w:val="font91"/>
    <w:qFormat/>
    <w:uiPriority w:val="0"/>
    <w:rPr>
      <w:rFonts w:hint="eastAsia" w:ascii="Copperplate Gothic Bold" w:hAnsi="Copperplate Gothic Bold" w:eastAsia="Copperplate Gothic Bold" w:cs="Copperplate Gothic Bold"/>
      <w:color w:val="000000"/>
      <w:sz w:val="16"/>
      <w:szCs w:val="16"/>
      <w:u w:val="none"/>
    </w:rPr>
  </w:style>
  <w:style w:type="character" w:customStyle="1" w:styleId="67">
    <w:name w:val="标题 4 字符"/>
    <w:link w:val="5"/>
    <w:qFormat/>
    <w:uiPriority w:val="0"/>
    <w:rPr>
      <w:rFonts w:ascii="楷体_GB2312" w:hAnsi="楷体_GB2312" w:eastAsia="Cambria Math" w:cs="Times New Roman"/>
      <w:b/>
      <w:bCs/>
      <w:sz w:val="28"/>
      <w:szCs w:val="28"/>
      <w:lang w:val="en-US" w:eastAsia="zh-CN" w:bidi="ar-SA"/>
    </w:rPr>
  </w:style>
  <w:style w:type="character" w:customStyle="1" w:styleId="68">
    <w:name w:val="日期 字符"/>
    <w:link w:val="22"/>
    <w:qFormat/>
    <w:uiPriority w:val="0"/>
    <w:rPr>
      <w:rFonts w:ascii="等线" w:hAnsi="等线" w:eastAsia="等线" w:cs="Times New Roman"/>
      <w:kern w:val="2"/>
      <w:sz w:val="21"/>
    </w:rPr>
  </w:style>
  <w:style w:type="character" w:customStyle="1" w:styleId="69">
    <w:name w:val="font71"/>
    <w:basedOn w:val="41"/>
    <w:qFormat/>
    <w:uiPriority w:val="0"/>
    <w:rPr>
      <w:rFonts w:hint="default" w:ascii="MT Extra" w:hAnsi="MT Extra" w:eastAsia="等线" w:cs="MT Extra"/>
      <w:color w:val="000000"/>
      <w:sz w:val="16"/>
      <w:szCs w:val="16"/>
      <w:u w:val="none"/>
    </w:rPr>
  </w:style>
  <w:style w:type="character" w:customStyle="1" w:styleId="70">
    <w:name w:val="f10"/>
    <w:qFormat/>
    <w:uiPriority w:val="0"/>
    <w:rPr>
      <w:rFonts w:ascii="等线" w:hAnsi="等线" w:eastAsia="等线" w:cs="Times New Roman"/>
    </w:rPr>
  </w:style>
  <w:style w:type="character" w:customStyle="1" w:styleId="71">
    <w:name w:val="列出段落 Char"/>
    <w:link w:val="72"/>
    <w:qFormat/>
    <w:uiPriority w:val="0"/>
    <w:rPr>
      <w:rFonts w:ascii="Cambria" w:hAnsi="Cambria" w:eastAsia="Copperplate Gothic Bold" w:cs="Times New Roman"/>
      <w:sz w:val="28"/>
      <w:szCs w:val="28"/>
      <w:lang w:bidi="ar-SA"/>
    </w:rPr>
  </w:style>
  <w:style w:type="paragraph" w:customStyle="1" w:styleId="72">
    <w:name w:val="列出段落1"/>
    <w:basedOn w:val="1"/>
    <w:link w:val="71"/>
    <w:qFormat/>
    <w:uiPriority w:val="0"/>
    <w:pPr>
      <w:widowControl w:val="0"/>
      <w:autoSpaceDE w:val="0"/>
      <w:autoSpaceDN w:val="0"/>
      <w:adjustRightInd w:val="0"/>
      <w:ind w:firstLine="420" w:firstLineChars="200"/>
    </w:pPr>
    <w:rPr>
      <w:rFonts w:ascii="Cambria" w:hAnsi="Cambria" w:eastAsia="Copperplate Gothic Bold"/>
      <w:sz w:val="28"/>
      <w:szCs w:val="28"/>
    </w:rPr>
  </w:style>
  <w:style w:type="character" w:customStyle="1" w:styleId="73">
    <w:name w:val="批注主题 字符"/>
    <w:link w:val="36"/>
    <w:qFormat/>
    <w:uiPriority w:val="0"/>
    <w:rPr>
      <w:rFonts w:ascii="Copperplate Gothic Bold" w:hAnsi="Calibri" w:eastAsia="Copperplate Gothic Bold" w:cs="Calibri"/>
      <w:kern w:val="2"/>
      <w:sz w:val="21"/>
      <w:szCs w:val="21"/>
      <w:lang w:val="en-US" w:eastAsia="zh-CN" w:bidi="ar-SA"/>
    </w:rPr>
  </w:style>
  <w:style w:type="character" w:customStyle="1" w:styleId="74">
    <w:name w:val="font01"/>
    <w:qFormat/>
    <w:uiPriority w:val="0"/>
    <w:rPr>
      <w:rFonts w:hint="eastAsia" w:ascii="Copperplate Gothic Bold" w:hAnsi="Copperplate Gothic Bold" w:eastAsia="Copperplate Gothic Bold" w:cs="Copperplate Gothic Bold"/>
      <w:color w:val="000000"/>
      <w:sz w:val="21"/>
      <w:szCs w:val="21"/>
      <w:u w:val="none"/>
    </w:rPr>
  </w:style>
  <w:style w:type="paragraph" w:customStyle="1" w:styleId="75">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文本首行缩进1"/>
    <w:basedOn w:val="18"/>
    <w:qFormat/>
    <w:uiPriority w:val="0"/>
    <w:pPr>
      <w:spacing w:after="0" w:line="300" w:lineRule="auto"/>
      <w:ind w:firstLine="200" w:firstLineChars="200"/>
    </w:pPr>
    <w:rPr>
      <w:szCs w:val="21"/>
    </w:rPr>
  </w:style>
  <w:style w:type="paragraph" w:customStyle="1" w:styleId="77">
    <w:name w:val="样式 标题 2 + 宋体 五号 非加粗 黑色"/>
    <w:basedOn w:val="3"/>
    <w:qFormat/>
    <w:uiPriority w:val="0"/>
    <w:pPr>
      <w:spacing w:before="260" w:after="260" w:line="416" w:lineRule="atLeast"/>
      <w:ind w:left="1320" w:hanging="420"/>
    </w:pPr>
    <w:rPr>
      <w:rFonts w:ascii="Copperplate Gothic Bold" w:hAnsi="Copperplate Gothic Bold" w:eastAsia="Copperplate Gothic Bold"/>
      <w:bCs w:val="0"/>
      <w:color w:val="000000"/>
      <w:sz w:val="21"/>
      <w:szCs w:val="32"/>
    </w:rPr>
  </w:style>
  <w:style w:type="paragraph" w:customStyle="1" w:styleId="78">
    <w:name w:val="彩色列表 - 强调文字颜色 11"/>
    <w:basedOn w:val="1"/>
    <w:qFormat/>
    <w:uiPriority w:val="0"/>
    <w:pPr>
      <w:ind w:firstLine="420" w:firstLineChars="200"/>
    </w:pPr>
    <w:rPr>
      <w:rFonts w:ascii="等线" w:hAnsi="等线" w:eastAsia="等线"/>
    </w:rPr>
  </w:style>
  <w:style w:type="paragraph" w:customStyle="1" w:styleId="79">
    <w:name w:val="reader-word-layer"/>
    <w:basedOn w:val="1"/>
    <w:qFormat/>
    <w:uiPriority w:val="0"/>
    <w:pPr>
      <w:spacing w:before="100" w:beforeAutospacing="1" w:after="100" w:afterAutospacing="1"/>
    </w:pPr>
    <w:rPr>
      <w:rFonts w:ascii="Copperplate Gothic Bold" w:hAnsi="Copperplate Gothic Bold" w:eastAsia="等线" w:cs="Copperplate Gothic Bold"/>
      <w:sz w:val="24"/>
      <w:szCs w:val="24"/>
    </w:rPr>
  </w:style>
  <w:style w:type="paragraph" w:customStyle="1" w:styleId="80">
    <w:name w:val="Default"/>
    <w:qFormat/>
    <w:uiPriority w:val="0"/>
    <w:pPr>
      <w:widowControl w:val="0"/>
      <w:autoSpaceDE w:val="0"/>
      <w:autoSpaceDN w:val="0"/>
      <w:adjustRightInd w:val="0"/>
    </w:pPr>
    <w:rPr>
      <w:rFonts w:ascii="Copperplate Gothic Bold" w:hAnsi="Calibri" w:eastAsia="宋体" w:cs="Copperplate Gothic Bold"/>
      <w:color w:val="000000"/>
      <w:sz w:val="24"/>
      <w:szCs w:val="24"/>
      <w:lang w:val="en-US" w:eastAsia="zh-CN" w:bidi="ar-SA"/>
    </w:rPr>
  </w:style>
  <w:style w:type="paragraph" w:customStyle="1" w:styleId="81">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正文（首行缩进2字符）"/>
    <w:basedOn w:val="1"/>
    <w:qFormat/>
    <w:uiPriority w:val="0"/>
    <w:pPr>
      <w:spacing w:line="360" w:lineRule="auto"/>
      <w:ind w:firstLine="420" w:firstLineChars="200"/>
    </w:pPr>
    <w:rPr>
      <w:rFonts w:ascii="等线" w:hAnsi="等线" w:eastAsia="等线"/>
      <w:szCs w:val="21"/>
    </w:rPr>
  </w:style>
  <w:style w:type="paragraph" w:customStyle="1" w:styleId="83">
    <w:name w:val="默认段落字体 Para Char Char Char Char"/>
    <w:basedOn w:val="1"/>
    <w:qFormat/>
    <w:uiPriority w:val="0"/>
    <w:pPr>
      <w:widowControl w:val="0"/>
      <w:adjustRightInd w:val="0"/>
      <w:spacing w:line="360" w:lineRule="auto"/>
      <w:jc w:val="both"/>
    </w:pPr>
    <w:rPr>
      <w:rFonts w:ascii="等线" w:hAnsi="等线" w:eastAsia="等线"/>
      <w:sz w:val="24"/>
    </w:rPr>
  </w:style>
  <w:style w:type="paragraph" w:customStyle="1" w:styleId="84">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font0"/>
    <w:basedOn w:val="1"/>
    <w:qFormat/>
    <w:uiPriority w:val="0"/>
    <w:pPr>
      <w:spacing w:before="100" w:beforeAutospacing="1" w:after="100" w:afterAutospacing="1"/>
    </w:pPr>
    <w:rPr>
      <w:rFonts w:hint="eastAsia" w:ascii="Copperplate Gothic Bold" w:hAnsi="Copperplate Gothic Bold" w:eastAsia="等线"/>
      <w:sz w:val="24"/>
      <w:szCs w:val="24"/>
    </w:rPr>
  </w:style>
  <w:style w:type="paragraph" w:customStyle="1" w:styleId="86">
    <w:name w:val="样式1"/>
    <w:basedOn w:val="1"/>
    <w:qFormat/>
    <w:uiPriority w:val="0"/>
    <w:pPr>
      <w:widowControl w:val="0"/>
      <w:numPr>
        <w:ilvl w:val="0"/>
        <w:numId w:val="2"/>
      </w:numPr>
      <w:jc w:val="both"/>
    </w:pPr>
    <w:rPr>
      <w:rFonts w:ascii="Copperplate Gothic Bold" w:hAnsi="Copperplate Gothic Bold" w:eastAsia="等线"/>
      <w:kern w:val="2"/>
      <w:sz w:val="21"/>
      <w:szCs w:val="21"/>
    </w:rPr>
  </w:style>
  <w:style w:type="paragraph" w:customStyle="1" w:styleId="87">
    <w:name w:val="Normal_15"/>
    <w:qFormat/>
    <w:uiPriority w:val="0"/>
    <w:pPr>
      <w:widowControl w:val="0"/>
      <w:jc w:val="both"/>
    </w:pPr>
    <w:rPr>
      <w:rFonts w:ascii="MT Extra" w:hAnsi="MT Extra" w:eastAsia="宋体" w:cs="Times New Roman"/>
      <w:kern w:val="2"/>
      <w:sz w:val="21"/>
      <w:szCs w:val="22"/>
      <w:lang w:val="en-US" w:eastAsia="zh-CN" w:bidi="ar-SA"/>
    </w:rPr>
  </w:style>
  <w:style w:type="paragraph" w:customStyle="1" w:styleId="88">
    <w:name w:val="列表段落1"/>
    <w:basedOn w:val="1"/>
    <w:qFormat/>
    <w:uiPriority w:val="0"/>
    <w:pPr>
      <w:widowControl w:val="0"/>
      <w:spacing w:line="480" w:lineRule="exact"/>
      <w:ind w:firstLine="420" w:firstLineChars="200"/>
    </w:pPr>
    <w:rPr>
      <w:rFonts w:ascii="等线" w:hAnsi="等线" w:eastAsia="Copperplate Gothic Bold"/>
      <w:kern w:val="2"/>
      <w:sz w:val="28"/>
    </w:rPr>
  </w:style>
  <w:style w:type="paragraph" w:customStyle="1" w:styleId="89">
    <w:name w:val="=正文="/>
    <w:basedOn w:val="1"/>
    <w:qFormat/>
    <w:uiPriority w:val="0"/>
    <w:pPr>
      <w:ind w:firstLine="480"/>
    </w:pPr>
    <w:rPr>
      <w:rFonts w:ascii="Copperplate Gothic Bold" w:hAnsi="Copperplate Gothic Bold" w:eastAsia="等线"/>
      <w:color w:val="000000"/>
    </w:rPr>
  </w:style>
  <w:style w:type="paragraph" w:customStyle="1" w:styleId="90">
    <w:name w:val="图表"/>
    <w:basedOn w:val="1"/>
    <w:qFormat/>
    <w:uiPriority w:val="0"/>
    <w:pPr>
      <w:widowControl w:val="0"/>
      <w:jc w:val="center"/>
    </w:pPr>
    <w:rPr>
      <w:rFonts w:ascii="Copperplate Gothic Bold" w:hAnsi="Copperplate Gothic Bold" w:eastAsia="等线"/>
      <w:bCs/>
      <w:smallCaps/>
      <w:kern w:val="2"/>
      <w:sz w:val="21"/>
      <w:szCs w:val="36"/>
    </w:rPr>
  </w:style>
  <w:style w:type="paragraph" w:customStyle="1" w:styleId="91">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_14"/>
    <w:qFormat/>
    <w:uiPriority w:val="0"/>
    <w:rPr>
      <w:rFonts w:ascii="Calibri" w:hAnsi="Calibri" w:eastAsia="宋体" w:cs="Times New Roman"/>
      <w:sz w:val="21"/>
      <w:szCs w:val="22"/>
      <w:lang w:val="en-US" w:eastAsia="zh-CN" w:bidi="ar-SA"/>
    </w:rPr>
  </w:style>
  <w:style w:type="paragraph" w:customStyle="1" w:styleId="93">
    <w:name w:val="表格"/>
    <w:basedOn w:val="1"/>
    <w:qFormat/>
    <w:uiPriority w:val="0"/>
    <w:pPr>
      <w:widowControl w:val="0"/>
      <w:spacing w:line="400" w:lineRule="exact"/>
      <w:jc w:val="both"/>
    </w:pPr>
    <w:rPr>
      <w:rFonts w:ascii="等线" w:hAnsi="等线" w:eastAsia="等线"/>
      <w:kern w:val="2"/>
      <w:sz w:val="24"/>
      <w:szCs w:val="24"/>
    </w:rPr>
  </w:style>
  <w:style w:type="paragraph" w:customStyle="1" w:styleId="94">
    <w:name w:val="样式 表格正文 + 两端对齐"/>
    <w:basedOn w:val="1"/>
    <w:qFormat/>
    <w:uiPriority w:val="0"/>
    <w:pPr>
      <w:widowControl w:val="0"/>
      <w:spacing w:line="300" w:lineRule="auto"/>
      <w:jc w:val="both"/>
    </w:pPr>
    <w:rPr>
      <w:rFonts w:ascii="等线" w:hAnsi="等线" w:eastAsia="等线"/>
      <w:kern w:val="2"/>
      <w:sz w:val="24"/>
    </w:rPr>
  </w:style>
  <w:style w:type="paragraph" w:customStyle="1" w:styleId="95">
    <w:name w:val="纯文本_0_1"/>
    <w:basedOn w:val="1"/>
    <w:qFormat/>
    <w:uiPriority w:val="0"/>
    <w:rPr>
      <w:rFonts w:ascii="Copperplate Gothic Bold" w:eastAsia="等线"/>
      <w:szCs w:val="21"/>
    </w:rPr>
  </w:style>
  <w:style w:type="paragraph" w:customStyle="1" w:styleId="96">
    <w:name w:val="此正文"/>
    <w:basedOn w:val="1"/>
    <w:qFormat/>
    <w:uiPriority w:val="0"/>
    <w:pPr>
      <w:widowControl w:val="0"/>
      <w:spacing w:line="360" w:lineRule="auto"/>
      <w:ind w:firstLine="200" w:firstLineChars="200"/>
      <w:jc w:val="both"/>
    </w:pPr>
    <w:rPr>
      <w:rFonts w:ascii="等线" w:hAnsi="等线" w:eastAsia="等线"/>
      <w:kern w:val="2"/>
      <w:sz w:val="24"/>
      <w:szCs w:val="24"/>
    </w:rPr>
  </w:style>
  <w:style w:type="paragraph" w:customStyle="1" w:styleId="97">
    <w:name w:val="列出段落11"/>
    <w:basedOn w:val="1"/>
    <w:qFormat/>
    <w:uiPriority w:val="0"/>
    <w:pPr>
      <w:ind w:firstLine="420" w:firstLineChars="200"/>
    </w:pPr>
    <w:rPr>
      <w:rFonts w:ascii="MT Extra" w:hAnsi="MT Extra" w:eastAsia="等线"/>
      <w:szCs w:val="22"/>
    </w:rPr>
  </w:style>
  <w:style w:type="paragraph" w:customStyle="1" w:styleId="98">
    <w:name w:val="Char Char Char Char Char Char"/>
    <w:basedOn w:val="1"/>
    <w:qFormat/>
    <w:uiPriority w:val="0"/>
    <w:pPr>
      <w:widowControl w:val="0"/>
      <w:ind w:firstLine="200" w:firstLineChars="200"/>
      <w:jc w:val="both"/>
    </w:pPr>
    <w:rPr>
      <w:rFonts w:ascii="等线" w:hAnsi="等线" w:eastAsia="等线"/>
      <w:kern w:val="2"/>
      <w:sz w:val="21"/>
      <w:szCs w:val="24"/>
    </w:rPr>
  </w:style>
  <w:style w:type="paragraph" w:customStyle="1" w:styleId="99">
    <w:name w:val="正文样1"/>
    <w:basedOn w:val="1"/>
    <w:qFormat/>
    <w:uiPriority w:val="0"/>
    <w:pPr>
      <w:spacing w:line="360" w:lineRule="auto"/>
      <w:ind w:firstLine="480"/>
    </w:pPr>
    <w:rPr>
      <w:rFonts w:ascii="MT Extra" w:hAnsi="MT Extra" w:eastAsia="等线"/>
      <w:sz w:val="24"/>
    </w:rPr>
  </w:style>
  <w:style w:type="paragraph" w:customStyle="1" w:styleId="100">
    <w:name w:val="Proposals body"/>
    <w:basedOn w:val="1"/>
    <w:next w:val="1"/>
    <w:qFormat/>
    <w:uiPriority w:val="0"/>
    <w:pPr>
      <w:spacing w:line="360" w:lineRule="auto"/>
    </w:pPr>
    <w:rPr>
      <w:rFonts w:ascii="Copperplate Gothic Bold" w:hAnsi="等线" w:eastAsia="等线"/>
      <w:snapToGrid w:val="0"/>
      <w:color w:val="000000"/>
      <w:sz w:val="24"/>
    </w:rPr>
  </w:style>
  <w:style w:type="paragraph" w:customStyle="1" w:styleId="101">
    <w:name w:val="bt1bt1"/>
    <w:basedOn w:val="2"/>
    <w:qFormat/>
    <w:uiPriority w:val="0"/>
    <w:pPr>
      <w:spacing w:line="240" w:lineRule="auto"/>
      <w:jc w:val="center"/>
    </w:pPr>
    <w:rPr>
      <w:rFonts w:ascii="黑体" w:hAnsi="等线" w:eastAsia="黑体"/>
      <w:b w:val="0"/>
      <w:sz w:val="36"/>
      <w:szCs w:val="36"/>
    </w:rPr>
  </w:style>
  <w:style w:type="paragraph" w:customStyle="1" w:styleId="102">
    <w:name w:val="列表段落2"/>
    <w:basedOn w:val="1"/>
    <w:qFormat/>
    <w:uiPriority w:val="0"/>
    <w:pPr>
      <w:widowControl w:val="0"/>
      <w:spacing w:line="480" w:lineRule="exact"/>
      <w:ind w:firstLine="420" w:firstLineChars="200"/>
    </w:pPr>
    <w:rPr>
      <w:rFonts w:ascii="等线" w:hAnsi="等线" w:eastAsia="Copperplate Gothic Bold"/>
      <w:kern w:val="2"/>
      <w:sz w:val="28"/>
    </w:rPr>
  </w:style>
  <w:style w:type="paragraph" w:customStyle="1" w:styleId="103">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样式2"/>
    <w:basedOn w:val="3"/>
    <w:qFormat/>
    <w:uiPriority w:val="0"/>
    <w:pPr>
      <w:spacing w:line="480" w:lineRule="exact"/>
      <w:jc w:val="center"/>
    </w:pPr>
    <w:rPr>
      <w:rFonts w:ascii="黑体" w:hAnsi="黑体" w:eastAsia="Copperplate Gothic Bold"/>
      <w:b/>
      <w:sz w:val="32"/>
      <w:szCs w:val="32"/>
    </w:rPr>
  </w:style>
  <w:style w:type="paragraph" w:customStyle="1" w:styleId="105">
    <w:name w:val="样式5"/>
    <w:basedOn w:val="1"/>
    <w:qFormat/>
    <w:uiPriority w:val="0"/>
    <w:pPr>
      <w:spacing w:line="360" w:lineRule="auto"/>
      <w:ind w:firstLine="425"/>
    </w:pPr>
    <w:rPr>
      <w:rFonts w:ascii="等线" w:hAnsi="等线" w:eastAsia="等线"/>
      <w:kern w:val="2"/>
      <w:sz w:val="24"/>
      <w:szCs w:val="24"/>
    </w:rPr>
  </w:style>
  <w:style w:type="paragraph" w:customStyle="1" w:styleId="106">
    <w:name w:val="表格文字"/>
    <w:basedOn w:val="1"/>
    <w:next w:val="18"/>
    <w:qFormat/>
    <w:uiPriority w:val="0"/>
    <w:pPr>
      <w:adjustRightInd w:val="0"/>
      <w:spacing w:line="420" w:lineRule="atLeast"/>
      <w:textAlignment w:val="baseline"/>
    </w:pPr>
    <w:rPr>
      <w:rFonts w:ascii="等线" w:hAnsi="等线" w:eastAsia="等线"/>
    </w:rPr>
  </w:style>
  <w:style w:type="paragraph" w:customStyle="1" w:styleId="107">
    <w:name w:val="Char1"/>
    <w:basedOn w:val="1"/>
    <w:qFormat/>
    <w:uiPriority w:val="0"/>
    <w:pPr>
      <w:widowControl w:val="0"/>
      <w:jc w:val="both"/>
    </w:pPr>
    <w:rPr>
      <w:rFonts w:ascii="Arial Unicode MS" w:hAnsi="Arial Unicode MS" w:eastAsia="等线"/>
      <w:kern w:val="2"/>
      <w:sz w:val="24"/>
    </w:rPr>
  </w:style>
  <w:style w:type="paragraph" w:customStyle="1" w:styleId="108">
    <w:name w:val="样式 首行缩进:  0 字符"/>
    <w:basedOn w:val="1"/>
    <w:qFormat/>
    <w:uiPriority w:val="0"/>
    <w:rPr>
      <w:rFonts w:ascii="楷体_GB2312" w:hAnsi="楷体_GB2312" w:eastAsia="等线" w:cs="Copperplate Gothic Bold"/>
    </w:rPr>
  </w:style>
  <w:style w:type="paragraph" w:customStyle="1" w:styleId="109">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正文"/>
    <w:basedOn w:val="1"/>
    <w:qFormat/>
    <w:uiPriority w:val="0"/>
    <w:pPr>
      <w:spacing w:line="300" w:lineRule="auto"/>
      <w:ind w:firstLine="480"/>
    </w:pPr>
    <w:rPr>
      <w:rFonts w:ascii="Copperplate Gothic Bold" w:hAnsi="Copperplate Gothic Bold" w:eastAsia="等线" w:cs="Arial Unicode MS"/>
    </w:rPr>
  </w:style>
  <w:style w:type="paragraph" w:customStyle="1" w:styleId="112">
    <w:name w:val="正文2"/>
    <w:basedOn w:val="1"/>
    <w:qFormat/>
    <w:uiPriority w:val="0"/>
    <w:pPr>
      <w:spacing w:before="156" w:line="360" w:lineRule="auto"/>
      <w:ind w:firstLine="510" w:firstLineChars="200"/>
    </w:pPr>
    <w:rPr>
      <w:rFonts w:ascii="MT Extra" w:hAnsi="MT Extra" w:eastAsia="等线"/>
      <w:sz w:val="24"/>
    </w:rPr>
  </w:style>
  <w:style w:type="paragraph" w:customStyle="1" w:styleId="113">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
    <w:name w:val="无间隔1"/>
    <w:qFormat/>
    <w:uiPriority w:val="0"/>
    <w:rPr>
      <w:rFonts w:ascii="MT Extra" w:hAnsi="MT Extra" w:eastAsia="宋体" w:cs="Times New Roman"/>
      <w:sz w:val="22"/>
      <w:szCs w:val="22"/>
      <w:lang w:val="en-US" w:eastAsia="en-US" w:bidi="ar-SA"/>
    </w:rPr>
  </w:style>
  <w:style w:type="paragraph" w:customStyle="1" w:styleId="115">
    <w:name w:val="默认段落字体 Para Char Char Char Char Char Char Char"/>
    <w:basedOn w:val="15"/>
    <w:qFormat/>
    <w:uiPriority w:val="0"/>
    <w:pPr>
      <w:adjustRightInd w:val="0"/>
      <w:spacing w:line="436" w:lineRule="exact"/>
      <w:ind w:left="357"/>
      <w:jc w:val="left"/>
      <w:outlineLvl w:val="3"/>
    </w:pPr>
    <w:rPr>
      <w:szCs w:val="20"/>
    </w:rPr>
  </w:style>
  <w:style w:type="paragraph" w:customStyle="1" w:styleId="116">
    <w:name w:val="char"/>
    <w:basedOn w:val="1"/>
    <w:qFormat/>
    <w:uiPriority w:val="0"/>
    <w:pPr>
      <w:widowControl w:val="0"/>
      <w:jc w:val="center"/>
    </w:pPr>
    <w:rPr>
      <w:rFonts w:ascii="等线" w:hAnsi="等线" w:eastAsia="等线"/>
      <w:b/>
      <w:kern w:val="2"/>
      <w:sz w:val="30"/>
    </w:rPr>
  </w:style>
  <w:style w:type="paragraph" w:customStyle="1" w:styleId="117">
    <w:name w:val="msolistparagraph"/>
    <w:basedOn w:val="1"/>
    <w:qFormat/>
    <w:uiPriority w:val="0"/>
    <w:pPr>
      <w:widowControl w:val="0"/>
      <w:ind w:firstLine="420" w:firstLineChars="200"/>
      <w:jc w:val="both"/>
    </w:pPr>
    <w:rPr>
      <w:rFonts w:ascii="MT Extra" w:hAnsi="MT Extra" w:eastAsia="等线"/>
      <w:kern w:val="2"/>
      <w:sz w:val="21"/>
      <w:szCs w:val="22"/>
    </w:rPr>
  </w:style>
  <w:style w:type="paragraph" w:customStyle="1" w:styleId="118">
    <w:name w:val="_Style 19"/>
    <w:basedOn w:val="1"/>
    <w:qFormat/>
    <w:uiPriority w:val="0"/>
    <w:pPr>
      <w:widowControl w:val="0"/>
      <w:jc w:val="both"/>
    </w:pPr>
    <w:rPr>
      <w:rFonts w:ascii="Arial Unicode MS" w:hAnsi="Copperplate Gothic Bold" w:eastAsia="Arial Unicode MS" w:cs="Copperplate Gothic Bold"/>
      <w:b/>
      <w:bCs/>
      <w:color w:val="000000"/>
      <w:sz w:val="21"/>
      <w:szCs w:val="21"/>
    </w:rPr>
  </w:style>
  <w:style w:type="paragraph" w:customStyle="1" w:styleId="119">
    <w:name w:val="正文文本首行缩进 22"/>
    <w:basedOn w:val="13"/>
    <w:next w:val="1"/>
    <w:qFormat/>
    <w:uiPriority w:val="0"/>
    <w:pPr>
      <w:ind w:firstLine="420"/>
    </w:pPr>
    <w:rPr>
      <w:rFonts w:ascii="等线" w:eastAsia="等线" w:cs="Copperplate Gothic Bold"/>
      <w:szCs w:val="21"/>
    </w:rPr>
  </w:style>
  <w:style w:type="paragraph" w:customStyle="1" w:styleId="120">
    <w:name w:val="第一章"/>
    <w:basedOn w:val="2"/>
    <w:qFormat/>
    <w:uiPriority w:val="0"/>
    <w:pPr>
      <w:pageBreakBefore/>
      <w:jc w:val="center"/>
    </w:pPr>
    <w:rPr>
      <w:rFonts w:eastAsia="黑体"/>
      <w:b w:val="0"/>
    </w:rPr>
  </w:style>
  <w:style w:type="paragraph" w:customStyle="1" w:styleId="121">
    <w:name w:val="!正文"/>
    <w:basedOn w:val="1"/>
    <w:qFormat/>
    <w:uiPriority w:val="0"/>
    <w:pPr>
      <w:spacing w:line="360" w:lineRule="auto"/>
      <w:ind w:firstLine="200" w:firstLineChars="200"/>
    </w:pPr>
    <w:rPr>
      <w:rFonts w:ascii="宋体" w:hAnsi="宋体"/>
      <w:sz w:val="24"/>
      <w:szCs w:val="28"/>
      <w:lang w:val="zh-CN"/>
    </w:rPr>
  </w:style>
  <w:style w:type="paragraph" w:customStyle="1" w:styleId="12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style21"/>
    <w:basedOn w:val="1"/>
    <w:qFormat/>
    <w:uiPriority w:val="0"/>
    <w:pPr>
      <w:spacing w:before="100" w:beforeAutospacing="1" w:after="100" w:afterAutospacing="1"/>
    </w:pPr>
    <w:rPr>
      <w:rFonts w:ascii="宋体" w:hAnsi="宋体" w:cs="宋体"/>
      <w:sz w:val="24"/>
      <w:szCs w:val="24"/>
    </w:rPr>
  </w:style>
  <w:style w:type="paragraph" w:styleId="124">
    <w:name w:val="List Paragraph"/>
    <w:basedOn w:val="1"/>
    <w:qFormat/>
    <w:uiPriority w:val="34"/>
    <w:pPr>
      <w:ind w:firstLine="420" w:firstLineChars="200"/>
    </w:pPr>
  </w:style>
  <w:style w:type="paragraph" w:customStyle="1" w:styleId="125">
    <w:name w:val="￥正文"/>
    <w:basedOn w:val="1"/>
    <w:qFormat/>
    <w:uiPriority w:val="0"/>
    <w:pPr>
      <w:spacing w:line="360" w:lineRule="auto"/>
      <w:ind w:firstLine="200" w:firstLineChars="200"/>
    </w:pPr>
  </w:style>
  <w:style w:type="paragraph" w:customStyle="1" w:styleId="12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szCs w:val="20"/>
    </w:rPr>
  </w:style>
  <w:style w:type="paragraph" w:customStyle="1" w:styleId="127">
    <w:name w:val="样式 样式1 + 首行缩进:  2 字符"/>
    <w:basedOn w:val="1"/>
    <w:qFormat/>
    <w:uiPriority w:val="0"/>
    <w:pPr>
      <w:spacing w:line="360" w:lineRule="exact"/>
      <w:ind w:firstLine="420" w:firstLineChars="200"/>
    </w:pPr>
    <w:rPr>
      <w:rFonts w:ascii="Arial" w:hAnsi="Arial" w:cs="宋体"/>
    </w:rPr>
  </w:style>
  <w:style w:type="paragraph" w:customStyle="1" w:styleId="128">
    <w:name w:val="样式 标题 3 + Arial"/>
    <w:basedOn w:val="4"/>
    <w:qFormat/>
    <w:uiPriority w:val="0"/>
    <w:pPr>
      <w:spacing w:before="312" w:beforeLines="100" w:after="0" w:line="360" w:lineRule="auto"/>
    </w:pPr>
    <w:rPr>
      <w:rFonts w:ascii="Arial" w:hAnsi="Arial"/>
      <w:sz w:val="24"/>
    </w:rPr>
  </w:style>
  <w:style w:type="paragraph" w:customStyle="1" w:styleId="129">
    <w:name w:val="Other|1"/>
    <w:basedOn w:val="1"/>
    <w:qFormat/>
    <w:uiPriority w:val="0"/>
    <w:pPr>
      <w:widowControl w:val="0"/>
      <w:spacing w:line="336" w:lineRule="auto"/>
    </w:pPr>
    <w:rPr>
      <w:rFonts w:ascii="宋体" w:hAnsi="宋体" w:cs="宋体"/>
      <w:sz w:val="11"/>
      <w:szCs w:val="11"/>
      <w:lang w:val="zh-TW" w:eastAsia="zh-TW" w:bidi="zh-TW"/>
    </w:rPr>
  </w:style>
  <w:style w:type="paragraph" w:customStyle="1" w:styleId="130">
    <w:name w:val="签发人"/>
    <w:basedOn w:val="1"/>
    <w:qFormat/>
    <w:uiPriority w:val="0"/>
    <w:rPr>
      <w:rFonts w:eastAsia="楷体"/>
      <w:sz w:val="32"/>
    </w:rPr>
  </w:style>
  <w:style w:type="paragraph" w:customStyle="1" w:styleId="131">
    <w:name w:val="DAS正文"/>
    <w:basedOn w:val="1"/>
    <w:qFormat/>
    <w:uiPriority w:val="0"/>
    <w:pPr>
      <w:spacing w:line="360" w:lineRule="auto"/>
      <w:ind w:right="181" w:firstLine="480" w:firstLineChars="200"/>
    </w:pPr>
    <w:rPr>
      <w:rFonts w:ascii="Verdana" w:hAnsi="Verdana"/>
    </w:rPr>
  </w:style>
  <w:style w:type="paragraph" w:customStyle="1" w:styleId="132">
    <w:name w:val="表内文字"/>
    <w:basedOn w:val="1"/>
    <w:qFormat/>
    <w:uiPriority w:val="0"/>
    <w:pPr>
      <w:tabs>
        <w:tab w:val="left" w:pos="1418"/>
      </w:tabs>
      <w:spacing w:line="360" w:lineRule="auto"/>
      <w:ind w:firstLine="420" w:firstLineChars="200"/>
      <w:jc w:val="center"/>
    </w:pPr>
    <w:rPr>
      <w:rFonts w:ascii="仿宋_GB2312" w:eastAsia="仿宋_GB2312"/>
      <w:spacing w:val="-20"/>
      <w:sz w:val="24"/>
    </w:rPr>
  </w:style>
  <w:style w:type="paragraph" w:customStyle="1" w:styleId="133">
    <w:name w:val="Table Paragraph"/>
    <w:basedOn w:val="1"/>
    <w:qFormat/>
    <w:uiPriority w:val="0"/>
    <w:rPr>
      <w:sz w:val="22"/>
      <w:szCs w:val="22"/>
      <w:lang w:eastAsia="en-US"/>
    </w:r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彩色列表 - 强调文字颜色 12"/>
    <w:basedOn w:val="1"/>
    <w:qFormat/>
    <w:uiPriority w:val="34"/>
    <w:pPr>
      <w:ind w:left="720"/>
      <w:contextualSpacing/>
    </w:pPr>
  </w:style>
  <w:style w:type="paragraph" w:customStyle="1" w:styleId="136">
    <w:name w:val="样式 首行缩进:  0.74 厘米"/>
    <w:basedOn w:val="1"/>
    <w:qFormat/>
    <w:uiPriority w:val="0"/>
    <w:pPr>
      <w:ind w:firstLine="420"/>
    </w:pPr>
    <w:rPr>
      <w:rFonts w:ascii="Arial" w:hAnsi="Arial" w:eastAsia="仿宋_GB2312" w:cs="Arial"/>
      <w:bCs/>
      <w:sz w:val="28"/>
      <w:szCs w:val="28"/>
    </w:rPr>
  </w:style>
  <w:style w:type="character" w:customStyle="1" w:styleId="137">
    <w:name w:val="font61"/>
    <w:basedOn w:val="41"/>
    <w:qFormat/>
    <w:uiPriority w:val="0"/>
    <w:rPr>
      <w:rFonts w:hint="eastAsia" w:ascii="仿宋_GB2312" w:eastAsia="仿宋_GB2312" w:cs="仿宋_GB2312"/>
      <w:color w:val="000000"/>
      <w:sz w:val="22"/>
      <w:szCs w:val="22"/>
      <w:u w:val="none"/>
    </w:rPr>
  </w:style>
  <w:style w:type="paragraph" w:customStyle="1" w:styleId="138">
    <w:name w:val="p0"/>
    <w:basedOn w:val="1"/>
    <w:qFormat/>
    <w:uiPriority w:val="0"/>
    <w:rPr>
      <w:rFonts w:ascii="宋体" w:hAnsi="宋体" w:cs="宋体"/>
      <w:szCs w:val="21"/>
    </w:rPr>
  </w:style>
  <w:style w:type="character" w:customStyle="1" w:styleId="139">
    <w:name w:val="font51"/>
    <w:basedOn w:val="41"/>
    <w:qFormat/>
    <w:uiPriority w:val="0"/>
    <w:rPr>
      <w:rFonts w:hint="eastAsia" w:ascii="微软雅黑" w:hAnsi="微软雅黑" w:eastAsia="微软雅黑" w:cs="微软雅黑"/>
      <w:b/>
      <w:color w:val="000000"/>
      <w:sz w:val="16"/>
      <w:szCs w:val="16"/>
      <w:u w:val="none"/>
    </w:rPr>
  </w:style>
  <w:style w:type="paragraph" w:customStyle="1" w:styleId="140">
    <w:name w:val="正文段"/>
    <w:basedOn w:val="1"/>
    <w:qFormat/>
    <w:uiPriority w:val="0"/>
    <w:pPr>
      <w:numPr>
        <w:ilvl w:val="0"/>
        <w:numId w:val="3"/>
      </w:numPr>
      <w:tabs>
        <w:tab w:val="left" w:pos="1200"/>
      </w:tabs>
      <w:snapToGrid w:val="0"/>
      <w:spacing w:afterLines="50"/>
    </w:pPr>
    <w:rPr>
      <w:rFonts w:ascii="Times New Roman" w:hAnsi="Times New Roman"/>
      <w:sz w:val="24"/>
    </w:rPr>
  </w:style>
  <w:style w:type="paragraph" w:customStyle="1" w:styleId="141">
    <w:name w:val="Normal Indent1"/>
    <w:basedOn w:val="1"/>
    <w:qFormat/>
    <w:uiPriority w:val="0"/>
    <w:pPr>
      <w:ind w:firstLine="420" w:firstLineChars="200"/>
    </w:pPr>
  </w:style>
  <w:style w:type="paragraph" w:customStyle="1" w:styleId="142">
    <w:name w:val="首行缩进"/>
    <w:basedOn w:val="1"/>
    <w:qFormat/>
    <w:uiPriority w:val="0"/>
    <w:pPr>
      <w:spacing w:line="360" w:lineRule="auto"/>
      <w:ind w:firstLine="720"/>
    </w:pPr>
    <w:rPr>
      <w:rFonts w:ascii="Times New Roman" w:hAnsi="Times New Roman"/>
      <w:szCs w:val="21"/>
    </w:rPr>
  </w:style>
  <w:style w:type="paragraph" w:customStyle="1" w:styleId="143">
    <w:name w:val="文档正文"/>
    <w:basedOn w:val="1"/>
    <w:qFormat/>
    <w:uiPriority w:val="0"/>
    <w:pPr>
      <w:spacing w:beforeLines="50" w:after="100" w:afterAutospacing="1" w:line="360" w:lineRule="auto"/>
      <w:ind w:firstLine="200" w:firstLineChars="200"/>
    </w:pPr>
    <w:rPr>
      <w:rFonts w:ascii="Times New Roman" w:hAnsi="Times New Roman"/>
      <w:sz w:val="24"/>
      <w:szCs w:val="24"/>
    </w:rPr>
  </w:style>
  <w:style w:type="paragraph" w:customStyle="1" w:styleId="144">
    <w:name w:val="列出段落3"/>
    <w:basedOn w:val="1"/>
    <w:qFormat/>
    <w:uiPriority w:val="99"/>
    <w:pPr>
      <w:ind w:firstLine="420" w:firstLineChars="200"/>
    </w:pPr>
  </w:style>
  <w:style w:type="paragraph" w:customStyle="1" w:styleId="145">
    <w:name w:val="石墨文档正文"/>
    <w:qFormat/>
    <w:uiPriority w:val="0"/>
    <w:rPr>
      <w:rFonts w:ascii="Arial Unicode MS" w:hAnsi="Arial Unicode MS" w:eastAsia="MicrosoftYaHei" w:cs="Arial Unicode MS"/>
      <w:sz w:val="22"/>
      <w:szCs w:val="22"/>
      <w:lang w:val="en-US" w:eastAsia="zh-CN" w:bidi="ar-SA"/>
    </w:rPr>
  </w:style>
  <w:style w:type="paragraph" w:customStyle="1" w:styleId="146">
    <w:name w:val="表格专用"/>
    <w:qFormat/>
    <w:uiPriority w:val="0"/>
    <w:rPr>
      <w:rFonts w:ascii="Times New Roman" w:hAnsi="Times New Roman" w:eastAsia="华文仿宋" w:cs="宋体"/>
      <w:color w:val="000000"/>
      <w:sz w:val="24"/>
      <w:lang w:val="en-US" w:eastAsia="zh-CN" w:bidi="ar-SA"/>
    </w:rPr>
  </w:style>
  <w:style w:type="paragraph" w:customStyle="1" w:styleId="147">
    <w:name w:val="正文-正文"/>
    <w:basedOn w:val="1"/>
    <w:qFormat/>
    <w:uiPriority w:val="0"/>
    <w:pPr>
      <w:spacing w:line="360" w:lineRule="auto"/>
      <w:ind w:firstLine="200" w:firstLineChars="200"/>
    </w:pPr>
    <w:rPr>
      <w:rFonts w:ascii="Times New Roman" w:hAnsi="Times New Roman" w:eastAsia="仿宋_GB2312"/>
      <w:sz w:val="28"/>
    </w:rPr>
  </w:style>
  <w:style w:type="paragraph" w:customStyle="1" w:styleId="148">
    <w:name w:val="Revision"/>
    <w:hidden/>
    <w:unhideWhenUsed/>
    <w:qFormat/>
    <w:uiPriority w:val="99"/>
    <w:rPr>
      <w:rFonts w:ascii="Calibri" w:hAnsi="Calibri" w:eastAsia="宋体" w:cs="Times New Roman"/>
      <w:lang w:val="en-US" w:eastAsia="zh-CN" w:bidi="ar-SA"/>
    </w:rPr>
  </w:style>
  <w:style w:type="paragraph" w:customStyle="1" w:styleId="149">
    <w:name w:val="null3"/>
    <w:hidden/>
    <w:qFormat/>
    <w:uiPriority w:val="0"/>
    <w:rPr>
      <w:rFonts w:hint="eastAsia" w:asciiTheme="minorHAnsi" w:hAnsiTheme="minorHAnsi" w:eastAsiaTheme="minorEastAsia" w:cstheme="minorBidi"/>
      <w:lang w:val="en-US" w:eastAsia="zh-Hans"/>
    </w:rPr>
  </w:style>
  <w:style w:type="paragraph" w:customStyle="1" w:styleId="150">
    <w:name w:val="正文 B"/>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151">
    <w:name w:val="正文 A"/>
    <w:next w:val="12"/>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152">
    <w:name w:val="_Style 1"/>
    <w:basedOn w:val="1"/>
    <w:qFormat/>
    <w:uiPriority w:val="34"/>
    <w:pPr>
      <w:adjustRightInd/>
      <w:ind w:firstLine="420" w:firstLineChars="200"/>
    </w:pPr>
    <w:rPr>
      <w:rFonts w:eastAsia="仿宋_GB2312"/>
      <w:sz w:val="28"/>
    </w:rPr>
  </w:style>
  <w:style w:type="character" w:customStyle="1" w:styleId="153">
    <w:name w:val="10"/>
    <w:basedOn w:val="41"/>
    <w:qFormat/>
    <w:uiPriority w:val="0"/>
    <w:rPr>
      <w:rFonts w:hint="default" w:ascii="Times New Roman" w:hAnsi="Times New Roman" w:cs="Times New Roman"/>
    </w:rPr>
  </w:style>
  <w:style w:type="character" w:customStyle="1" w:styleId="154">
    <w:name w:val="15"/>
    <w:basedOn w:val="4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chinaunicom</Company>
  <Pages>58</Pages>
  <Words>30441</Words>
  <Characters>32656</Characters>
  <Lines>1</Lines>
  <Paragraphs>1</Paragraphs>
  <TotalTime>1</TotalTime>
  <ScaleCrop>false</ScaleCrop>
  <LinksUpToDate>false</LinksUpToDate>
  <CharactersWithSpaces>33451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2020-06-24T14:15:00Z</dcterms:created>
  <dc:creator>雨林木风</dc:creator>
  <cp:lastModifiedBy>睡不醒</cp:lastModifiedBy>
  <cp:lastPrinted>2023-08-25T16:06:00Z</cp:lastPrinted>
  <dcterms:modified xsi:type="dcterms:W3CDTF">2024-11-22T10:52:02Z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D41DD22593DB2B9284B5DF6655BBBF1B_43</vt:lpwstr>
  </property>
</Properties>
</file>