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137" w:rightChars="0" w:firstLine="0" w:firstLineChars="0"/>
        <w:jc w:val="center"/>
        <w:rPr>
          <w:rFonts w:hint="eastAsia"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22"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hint="eastAsia" w:ascii="宋体"/>
          <w:b/>
          <w:bCs w:val="0"/>
          <w:kern w:val="0"/>
          <w:sz w:val="32"/>
          <w:lang w:val="en-US" w:eastAsia="zh-CN"/>
        </w:rPr>
      </w:pPr>
      <w:r>
        <w:rPr>
          <w:rFonts w:hint="eastAsia" w:ascii="宋体"/>
          <w:b/>
          <w:kern w:val="0"/>
          <w:sz w:val="32"/>
          <w:lang w:val="en-US" w:eastAsia="zh-CN"/>
        </w:rPr>
        <w:t>TZ</w:t>
      </w:r>
      <w:r>
        <w:rPr>
          <w:rFonts w:hint="eastAsia" w:ascii="宋体"/>
          <w:b/>
          <w:bCs w:val="0"/>
          <w:kern w:val="0"/>
          <w:sz w:val="32"/>
          <w:lang w:val="en-US" w:eastAsia="zh-CN"/>
        </w:rPr>
        <w:t>CG-2024-CS003号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83" w:rightChars="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left="0" w:leftChars="0" w:firstLine="0" w:firstLineChars="0"/>
        <w:jc w:val="left"/>
        <w:rPr>
          <w:rFonts w:ascii="宋体"/>
          <w:kern w:val="0"/>
          <w:sz w:val="28"/>
        </w:rPr>
      </w:pPr>
    </w:p>
    <w:p>
      <w:pPr>
        <w:autoSpaceDE w:val="0"/>
        <w:autoSpaceDN w:val="0"/>
        <w:adjustRightInd w:val="0"/>
        <w:spacing w:line="360" w:lineRule="auto"/>
        <w:ind w:left="0" w:leftChars="0" w:firstLine="0" w:firstLineChars="0"/>
        <w:jc w:val="center"/>
        <w:rPr>
          <w:rFonts w:hint="eastAsia" w:ascii="宋体"/>
          <w:kern w:val="0"/>
          <w:sz w:val="28"/>
          <w:lang w:eastAsia="zh-CN"/>
        </w:rPr>
      </w:pPr>
    </w:p>
    <w:p>
      <w:pPr>
        <w:autoSpaceDE w:val="0"/>
        <w:autoSpaceDN w:val="0"/>
        <w:adjustRightInd w:val="0"/>
        <w:spacing w:line="360" w:lineRule="auto"/>
        <w:ind w:left="0" w:leftChars="0" w:firstLine="0" w:firstLineChars="0"/>
        <w:jc w:val="center"/>
        <w:rPr>
          <w:rFonts w:hint="eastAsia" w:ascii="宋体"/>
          <w:kern w:val="0"/>
          <w:sz w:val="28"/>
          <w:lang w:eastAsia="zh-CN"/>
        </w:rPr>
      </w:pPr>
      <w:r>
        <w:rPr>
          <w:rFonts w:hint="eastAsia" w:ascii="宋体"/>
          <w:kern w:val="0"/>
          <w:sz w:val="28"/>
          <w:lang w:eastAsia="zh-CN"/>
        </w:rPr>
        <w:t>采购项目：台州市中级人民法院安保项目</w:t>
      </w:r>
    </w:p>
    <w:p>
      <w:pPr>
        <w:autoSpaceDE w:val="0"/>
        <w:autoSpaceDN w:val="0"/>
        <w:adjustRightInd w:val="0"/>
        <w:spacing w:line="360" w:lineRule="auto"/>
        <w:ind w:left="0" w:leftChars="0" w:firstLine="0" w:firstLineChars="0"/>
        <w:jc w:val="center"/>
        <w:rPr>
          <w:rFonts w:hint="eastAsia" w:ascii="宋体"/>
          <w:kern w:val="0"/>
          <w:sz w:val="28"/>
          <w:lang w:eastAsia="zh-CN"/>
        </w:rPr>
      </w:pPr>
      <w:r>
        <w:rPr>
          <w:rFonts w:hint="eastAsia" w:ascii="宋体"/>
          <w:kern w:val="0"/>
          <w:sz w:val="28"/>
          <w:lang w:eastAsia="zh-CN"/>
        </w:rPr>
        <w:t>采 购 人：台州市中级人民法院</w:t>
      </w:r>
    </w:p>
    <w:p>
      <w:pPr>
        <w:autoSpaceDE w:val="0"/>
        <w:autoSpaceDN w:val="0"/>
        <w:adjustRightInd w:val="0"/>
        <w:spacing w:line="360" w:lineRule="auto"/>
        <w:rPr>
          <w:rFonts w:ascii="宋体"/>
          <w:kern w:val="0"/>
          <w:sz w:val="28"/>
        </w:rPr>
      </w:pPr>
    </w:p>
    <w:p>
      <w:pPr>
        <w:tabs>
          <w:tab w:val="left" w:pos="720"/>
          <w:tab w:val="left" w:pos="1480"/>
          <w:tab w:val="left" w:pos="2160"/>
          <w:tab w:val="left" w:pos="2880"/>
          <w:tab w:val="left" w:pos="3600"/>
          <w:tab w:val="left" w:pos="4320"/>
          <w:tab w:val="left" w:pos="5040"/>
          <w:tab w:val="left" w:pos="5760"/>
        </w:tabs>
        <w:autoSpaceDE w:val="0"/>
        <w:autoSpaceDN w:val="0"/>
        <w:adjustRightInd w:val="0"/>
        <w:spacing w:line="360" w:lineRule="auto"/>
        <w:ind w:left="0" w:leftChars="0" w:right="-83" w:rightChars="0" w:firstLine="0" w:firstLineChars="0"/>
        <w:jc w:val="center"/>
        <w:rPr>
          <w:rFonts w:ascii="宋体"/>
          <w:kern w:val="0"/>
          <w:sz w:val="32"/>
        </w:rPr>
      </w:pPr>
    </w:p>
    <w:p>
      <w:pPr>
        <w:pStyle w:val="23"/>
        <w:rPr>
          <w:rFonts w:ascii="宋体"/>
          <w:kern w:val="0"/>
          <w:sz w:val="32"/>
        </w:rPr>
      </w:pPr>
    </w:p>
    <w:p>
      <w:pPr>
        <w:pStyle w:val="23"/>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83" w:rightChars="0" w:firstLine="0" w:firstLineChars="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2024</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 xml:space="preserve">7 </w:t>
      </w:r>
      <w:r>
        <w:rPr>
          <w:rFonts w:hint="eastAsia" w:ascii="宋体" w:hAnsi="宋体" w:cs="宋体"/>
          <w:kern w:val="0"/>
          <w:sz w:val="28"/>
          <w:szCs w:val="28"/>
        </w:rPr>
        <w:t>月</w:t>
      </w:r>
      <w:r>
        <w:rPr>
          <w:rFonts w:hint="eastAsia" w:ascii="宋体" w:hAnsi="宋体" w:cs="宋体"/>
          <w:kern w:val="0"/>
          <w:sz w:val="28"/>
          <w:szCs w:val="28"/>
          <w:lang w:val="en-US" w:eastAsia="zh-CN"/>
        </w:rPr>
        <w:t>25</w:t>
      </w:r>
      <w:r>
        <w:rPr>
          <w:rFonts w:hint="eastAsia" w:ascii="宋体" w:hAnsi="宋体" w:cs="宋体"/>
          <w:kern w:val="0"/>
          <w:sz w:val="28"/>
          <w:szCs w:val="28"/>
        </w:rPr>
        <w:t xml:space="preserve"> 日</w:t>
      </w:r>
    </w:p>
    <w:p>
      <w:pPr>
        <w:spacing w:line="360" w:lineRule="auto"/>
      </w:pPr>
    </w:p>
    <w:p>
      <w:pPr>
        <w:pStyle w:val="30"/>
      </w:pPr>
    </w:p>
    <w:p>
      <w:pPr>
        <w:rPr>
          <w:rFonts w:ascii="宋体" w:hAnsi="宋体" w:cs="Arial"/>
          <w:b/>
          <w:bCs/>
          <w:sz w:val="36"/>
          <w:szCs w:val="36"/>
        </w:rPr>
      </w:pPr>
      <w:r>
        <w:rPr>
          <w:rFonts w:hint="eastAsia" w:ascii="宋体" w:hAnsi="宋体" w:cs="Arial"/>
          <w:b/>
          <w:bCs/>
          <w:sz w:val="36"/>
          <w:szCs w:val="36"/>
        </w:rPr>
        <w:br w:type="page"/>
      </w:r>
    </w:p>
    <w:sdt>
      <w:sdtPr>
        <w:rPr>
          <w:rFonts w:hint="eastAsia" w:ascii="宋体" w:hAnsi="宋体" w:cs="宋体"/>
          <w:sz w:val="32"/>
          <w:szCs w:val="32"/>
        </w:rPr>
        <w:id w:val="147453465"/>
        <w:docPartObj>
          <w:docPartGallery w:val="Table of Contents"/>
          <w:docPartUnique/>
        </w:docPartObj>
      </w:sdtPr>
      <w:sdtEndPr>
        <w:rPr>
          <w:rFonts w:hint="eastAsia" w:ascii="宋体" w:hAnsi="宋体" w:eastAsiaTheme="minorEastAsia" w:cstheme="minorBidi"/>
          <w:sz w:val="28"/>
          <w:szCs w:val="28"/>
        </w:rPr>
      </w:sdtEndPr>
      <w:sdtContent>
        <w:p>
          <w:pPr>
            <w:jc w:val="center"/>
            <w:rPr>
              <w:rFonts w:ascii="宋体" w:hAnsi="宋体" w:cs="宋体"/>
              <w:sz w:val="32"/>
              <w:szCs w:val="32"/>
            </w:rPr>
          </w:pPr>
        </w:p>
        <w:p>
          <w:pPr>
            <w:jc w:val="center"/>
            <w:rPr>
              <w:rFonts w:ascii="宋体" w:hAnsi="宋体" w:cs="宋体"/>
              <w:sz w:val="32"/>
              <w:szCs w:val="32"/>
            </w:rPr>
          </w:pPr>
        </w:p>
        <w:p>
          <w:pPr>
            <w:spacing w:line="480" w:lineRule="auto"/>
            <w:jc w:val="center"/>
            <w:rPr>
              <w:rFonts w:ascii="宋体" w:hAnsi="宋体"/>
              <w:b/>
              <w:bCs/>
              <w:sz w:val="36"/>
              <w:szCs w:val="36"/>
            </w:rPr>
          </w:pPr>
          <w:r>
            <w:rPr>
              <w:rFonts w:hint="eastAsia" w:ascii="宋体" w:hAnsi="宋体"/>
              <w:b/>
              <w:bCs/>
              <w:sz w:val="36"/>
              <w:szCs w:val="36"/>
            </w:rPr>
            <w:t>目  录</w:t>
          </w:r>
        </w:p>
        <w:p>
          <w:pPr>
            <w:pStyle w:val="17"/>
            <w:tabs>
              <w:tab w:val="right" w:leader="dot" w:pos="8620"/>
            </w:tabs>
            <w:rPr>
              <w:rFonts w:eastAsiaTheme="minorEastAsia" w:cstheme="minorBidi"/>
              <w:sz w:val="28"/>
              <w:szCs w:val="28"/>
            </w:rPr>
          </w:pPr>
          <w:r>
            <w:rPr>
              <w:rFonts w:hint="eastAsia" w:eastAsiaTheme="minorEastAsia" w:cstheme="minorBidi"/>
              <w:sz w:val="28"/>
              <w:szCs w:val="28"/>
            </w:rPr>
            <w:fldChar w:fldCharType="begin"/>
          </w:r>
          <w:r>
            <w:rPr>
              <w:rFonts w:hint="eastAsia" w:eastAsiaTheme="minorEastAsia" w:cstheme="minorBidi"/>
              <w:sz w:val="28"/>
              <w:szCs w:val="28"/>
            </w:rPr>
            <w:instrText xml:space="preserve">TOC \o "1-1" \h \u </w:instrText>
          </w:r>
          <w:r>
            <w:rPr>
              <w:rFonts w:hint="eastAsia" w:eastAsiaTheme="minorEastAsia" w:cstheme="minorBidi"/>
              <w:sz w:val="28"/>
              <w:szCs w:val="28"/>
            </w:rPr>
            <w:fldChar w:fldCharType="separate"/>
          </w:r>
          <w:r>
            <w:rPr>
              <w:rFonts w:eastAsiaTheme="minorEastAsia" w:cstheme="minorBidi"/>
              <w:sz w:val="28"/>
              <w:szCs w:val="28"/>
            </w:rPr>
            <w:fldChar w:fldCharType="begin"/>
          </w:r>
          <w:r>
            <w:rPr>
              <w:rFonts w:eastAsiaTheme="minorEastAsia" w:cstheme="minorBidi"/>
              <w:sz w:val="28"/>
              <w:szCs w:val="28"/>
            </w:rPr>
            <w:instrText xml:space="preserve"> HYPERLINK \l "_Toc32401" </w:instrText>
          </w:r>
          <w:r>
            <w:rPr>
              <w:rFonts w:eastAsiaTheme="minorEastAsia" w:cstheme="minorBidi"/>
              <w:sz w:val="28"/>
              <w:szCs w:val="28"/>
            </w:rPr>
            <w:fldChar w:fldCharType="separate"/>
          </w:r>
          <w:r>
            <w:rPr>
              <w:rFonts w:hint="eastAsia" w:eastAsiaTheme="minorEastAsia" w:cstheme="minorBidi"/>
              <w:sz w:val="28"/>
              <w:szCs w:val="28"/>
            </w:rPr>
            <w:t>第一章 磋商邀请</w:t>
          </w:r>
          <w:r>
            <w:rPr>
              <w:rFonts w:hint="eastAsia" w:eastAsiaTheme="minorEastAsia" w:cstheme="minorBidi"/>
              <w:sz w:val="28"/>
              <w:szCs w:val="28"/>
            </w:rPr>
            <w:tab/>
          </w:r>
          <w:r>
            <w:rPr>
              <w:rFonts w:hint="eastAsia" w:eastAsiaTheme="minorEastAsia" w:cstheme="minorBidi"/>
              <w:sz w:val="28"/>
              <w:szCs w:val="28"/>
            </w:rPr>
            <w:fldChar w:fldCharType="begin"/>
          </w:r>
          <w:r>
            <w:rPr>
              <w:rFonts w:hint="eastAsia" w:eastAsiaTheme="minorEastAsia" w:cstheme="minorBidi"/>
              <w:sz w:val="28"/>
              <w:szCs w:val="28"/>
            </w:rPr>
            <w:instrText xml:space="preserve"> PAGEREF _Toc32401 </w:instrText>
          </w:r>
          <w:r>
            <w:rPr>
              <w:rFonts w:hint="eastAsia" w:eastAsiaTheme="minorEastAsia" w:cstheme="minorBidi"/>
              <w:sz w:val="28"/>
              <w:szCs w:val="28"/>
            </w:rPr>
            <w:fldChar w:fldCharType="separate"/>
          </w:r>
          <w:r>
            <w:rPr>
              <w:rFonts w:hint="eastAsia" w:eastAsiaTheme="minorEastAsia" w:cstheme="minorBidi"/>
              <w:sz w:val="28"/>
              <w:szCs w:val="28"/>
            </w:rPr>
            <w:t>3</w:t>
          </w:r>
          <w:r>
            <w:rPr>
              <w:rFonts w:hint="eastAsia" w:eastAsiaTheme="minorEastAsia" w:cstheme="minorBidi"/>
              <w:sz w:val="28"/>
              <w:szCs w:val="28"/>
            </w:rPr>
            <w:fldChar w:fldCharType="end"/>
          </w:r>
          <w:r>
            <w:rPr>
              <w:rFonts w:hint="eastAsia" w:eastAsiaTheme="minorEastAsia" w:cstheme="minorBidi"/>
              <w:sz w:val="28"/>
              <w:szCs w:val="28"/>
            </w:rPr>
            <w:fldChar w:fldCharType="end"/>
          </w:r>
        </w:p>
        <w:p>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"_Toc6994" </w:instrText>
          </w:r>
          <w:r>
            <w:rPr>
              <w:rFonts w:eastAsiaTheme="minorEastAsia" w:cstheme="minorBidi"/>
              <w:sz w:val="28"/>
              <w:szCs w:val="28"/>
            </w:rPr>
            <w:fldChar w:fldCharType="separate"/>
          </w:r>
          <w:r>
            <w:rPr>
              <w:rFonts w:hint="eastAsia" w:eastAsiaTheme="minorEastAsia" w:cstheme="minorBidi"/>
              <w:sz w:val="28"/>
              <w:szCs w:val="28"/>
            </w:rPr>
            <w:t>第二章 供应商须知</w:t>
          </w:r>
          <w:r>
            <w:rPr>
              <w:rFonts w:hint="eastAsia"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7"/>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"_Toc29935" </w:instrText>
          </w:r>
          <w:r>
            <w:rPr>
              <w:rFonts w:eastAsiaTheme="minorEastAsia" w:cstheme="minorBidi"/>
              <w:sz w:val="28"/>
              <w:szCs w:val="28"/>
            </w:rPr>
            <w:fldChar w:fldCharType="separate"/>
          </w:r>
          <w:r>
            <w:rPr>
              <w:rFonts w:hint="eastAsia" w:eastAsiaTheme="minorEastAsia" w:cstheme="minorBidi"/>
              <w:sz w:val="28"/>
              <w:szCs w:val="28"/>
            </w:rPr>
            <w:t>第三章 项目需求</w:t>
          </w:r>
          <w:r>
            <w:rPr>
              <w:rFonts w:hint="eastAsia" w:eastAsiaTheme="minorEastAsia" w:cstheme="minorBidi"/>
              <w:sz w:val="28"/>
              <w:szCs w:val="28"/>
            </w:rPr>
            <w:tab/>
          </w:r>
          <w:r>
            <w:rPr>
              <w:rFonts w:hint="eastAsia" w:eastAsiaTheme="minorEastAsia" w:cstheme="minorBidi"/>
              <w:sz w:val="28"/>
              <w:szCs w:val="28"/>
              <w:lang w:val="en-US" w:eastAsia="zh-CN"/>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5</w:t>
          </w:r>
        </w:p>
        <w:p>
          <w:pPr>
            <w:pStyle w:val="17"/>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"_Toc19531" </w:instrText>
          </w:r>
          <w:r>
            <w:rPr>
              <w:rFonts w:eastAsiaTheme="minorEastAsia" w:cstheme="minorBidi"/>
              <w:sz w:val="28"/>
              <w:szCs w:val="28"/>
            </w:rPr>
            <w:fldChar w:fldCharType="separate"/>
          </w:r>
          <w:r>
            <w:rPr>
              <w:rFonts w:hint="eastAsia" w:eastAsiaTheme="minorEastAsia" w:cstheme="minorBidi"/>
              <w:sz w:val="28"/>
              <w:szCs w:val="28"/>
            </w:rPr>
            <w:t>第四章 磋商</w:t>
          </w:r>
          <w:r>
            <w:rPr>
              <w:rFonts w:hint="eastAsia" w:eastAsiaTheme="minorEastAsia" w:cstheme="minorBidi"/>
              <w:sz w:val="28"/>
              <w:szCs w:val="28"/>
            </w:rPr>
            <w:tab/>
          </w:r>
          <w:r>
            <w:rPr>
              <w:rFonts w:hint="eastAsia" w:eastAsiaTheme="minorEastAsia" w:cstheme="minorBidi"/>
              <w:sz w:val="28"/>
              <w:szCs w:val="28"/>
              <w:lang w:val="en-US" w:eastAsia="zh-CN"/>
            </w:rPr>
            <w:t>2</w:t>
          </w:r>
          <w:r>
            <w:rPr>
              <w:rFonts w:hint="eastAsia" w:eastAsiaTheme="minorEastAsia" w:cstheme="minorBidi"/>
              <w:sz w:val="28"/>
              <w:szCs w:val="28"/>
            </w:rPr>
            <w:fldChar w:fldCharType="end"/>
          </w:r>
          <w:r>
            <w:rPr>
              <w:rFonts w:hint="eastAsia" w:eastAsiaTheme="minorEastAsia" w:cstheme="minorBidi"/>
              <w:sz w:val="28"/>
              <w:szCs w:val="28"/>
              <w:lang w:val="en-US" w:eastAsia="zh-CN"/>
            </w:rPr>
            <w:t>1</w:t>
          </w:r>
        </w:p>
        <w:p>
          <w:pPr>
            <w:pStyle w:val="17"/>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"_Toc21781"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r>
            <w:rPr>
              <w:rFonts w:hint="eastAsia" w:eastAsiaTheme="minorEastAsia" w:cstheme="minorBidi"/>
              <w:sz w:val="28"/>
              <w:szCs w:val="28"/>
              <w:lang w:val="en-US" w:eastAsia="zh-CN"/>
            </w:rPr>
            <w:t>3</w:t>
          </w:r>
          <w:r>
            <w:rPr>
              <w:rFonts w:hint="eastAsia" w:eastAsiaTheme="minorEastAsia" w:cstheme="minorBidi"/>
              <w:sz w:val="28"/>
              <w:szCs w:val="28"/>
            </w:rPr>
            <w:fldChar w:fldCharType="end"/>
          </w:r>
          <w:r>
            <w:rPr>
              <w:rFonts w:hint="eastAsia" w:eastAsiaTheme="minorEastAsia" w:cstheme="minorBidi"/>
              <w:sz w:val="28"/>
              <w:szCs w:val="28"/>
              <w:lang w:val="en-US" w:eastAsia="zh-CN"/>
            </w:rPr>
            <w:t>0</w:t>
          </w:r>
        </w:p>
        <w:p>
          <w:pPr>
            <w:pStyle w:val="17"/>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"_Toc22166" </w:instrText>
          </w:r>
          <w:r>
            <w:rPr>
              <w:rFonts w:eastAsiaTheme="minorEastAsia" w:cstheme="minorBidi"/>
              <w:sz w:val="28"/>
              <w:szCs w:val="28"/>
            </w:rPr>
            <w:fldChar w:fldCharType="separate"/>
          </w:r>
          <w:r>
            <w:rPr>
              <w:rFonts w:hint="eastAsia" w:eastAsiaTheme="minorEastAsia" w:cstheme="minorBidi"/>
              <w:sz w:val="28"/>
              <w:szCs w:val="28"/>
            </w:rPr>
            <w:t>第六章 响应文件格式</w:t>
          </w:r>
          <w:r>
            <w:rPr>
              <w:rFonts w:hint="eastAsia" w:eastAsiaTheme="minorEastAsia" w:cstheme="minorBidi"/>
              <w:sz w:val="28"/>
              <w:szCs w:val="28"/>
            </w:rPr>
            <w:tab/>
          </w:r>
          <w:r>
            <w:rPr>
              <w:rFonts w:hint="eastAsia" w:eastAsiaTheme="minorEastAsia" w:cstheme="minorBidi"/>
              <w:sz w:val="28"/>
              <w:szCs w:val="28"/>
              <w:lang w:val="en-US" w:eastAsia="zh-CN"/>
            </w:rPr>
            <w:t>3</w:t>
          </w:r>
          <w:r>
            <w:rPr>
              <w:rFonts w:hint="eastAsia" w:eastAsiaTheme="minorEastAsia" w:cstheme="minorBidi"/>
              <w:sz w:val="28"/>
              <w:szCs w:val="28"/>
            </w:rPr>
            <w:fldChar w:fldCharType="end"/>
          </w:r>
          <w:r>
            <w:rPr>
              <w:rFonts w:hint="eastAsia" w:eastAsiaTheme="minorEastAsia" w:cstheme="minorBidi"/>
              <w:sz w:val="28"/>
              <w:szCs w:val="28"/>
              <w:lang w:val="en-US" w:eastAsia="zh-CN"/>
            </w:rPr>
            <w:t>4</w:t>
          </w:r>
        </w:p>
        <w:p>
          <w:pPr>
            <w:pStyle w:val="17"/>
            <w:tabs>
              <w:tab w:val="right" w:leader="dot" w:pos="8620"/>
            </w:tabs>
            <w:rPr>
              <w:rFonts w:eastAsiaTheme="minorEastAsia" w:cstheme="minorBidi"/>
              <w:sz w:val="28"/>
              <w:szCs w:val="28"/>
            </w:rPr>
          </w:pPr>
          <w:r>
            <w:rPr>
              <w:rFonts w:hint="eastAsia" w:eastAsiaTheme="minorEastAsia" w:cstheme="minorBidi"/>
              <w:sz w:val="28"/>
              <w:szCs w:val="28"/>
            </w:rPr>
            <w:fldChar w:fldCharType="end"/>
          </w:r>
        </w:p>
      </w:sdtContent>
    </w:sdt>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sz w:val="36"/>
          <w:szCs w:val="36"/>
        </w:rPr>
      </w:pPr>
      <w:bookmarkStart w:id="0" w:name="_Toc32401"/>
      <w:r>
        <w:rPr>
          <w:rFonts w:hint="eastAsia" w:asciiTheme="majorEastAsia" w:hAnsiTheme="majorEastAsia" w:eastAsiaTheme="majorEastAsia"/>
          <w:b/>
          <w:kern w:val="0"/>
          <w:sz w:val="36"/>
          <w:szCs w:val="36"/>
        </w:rPr>
        <w:t>磋商邀请</w:t>
      </w:r>
      <w:bookmarkEnd w:id="0"/>
    </w:p>
    <w:p>
      <w:pPr>
        <w:pStyle w:val="4"/>
        <w:spacing w:line="240" w:lineRule="auto"/>
        <w:ind w:right="0" w:firstLine="480" w:firstLineChars="200"/>
        <w:rPr>
          <w:rFonts w:hint="eastAsia" w:asciiTheme="minorEastAsia" w:hAnsiTheme="minorEastAsia" w:eastAsiaTheme="minorEastAsia" w:cstheme="minorEastAsia"/>
          <w:b w:val="0"/>
          <w:sz w:val="24"/>
          <w:szCs w:val="24"/>
        </w:rPr>
      </w:pPr>
      <w:bookmarkStart w:id="1" w:name="_Toc35393790"/>
      <w:bookmarkStart w:id="2" w:name="_Toc35393621"/>
      <w:bookmarkStart w:id="3" w:name="_Toc28359079"/>
      <w:bookmarkStart w:id="4" w:name="_Toc28359002"/>
      <w:bookmarkStart w:id="5" w:name="_Hlk24379207"/>
      <w:r>
        <w:rPr>
          <w:rFonts w:hint="eastAsia" w:asciiTheme="minorEastAsia" w:hAnsiTheme="minorEastAsia" w:eastAsiaTheme="minorEastAsia" w:cstheme="minorEastAsia"/>
          <w:b w:val="0"/>
          <w:sz w:val="24"/>
          <w:szCs w:val="24"/>
          <w:lang w:val="en-US" w:eastAsia="zh-CN"/>
        </w:rPr>
        <w:t>台州市</w:t>
      </w:r>
      <w:r>
        <w:rPr>
          <w:rFonts w:hint="eastAsia" w:asciiTheme="minorEastAsia" w:hAnsiTheme="minorEastAsia" w:eastAsiaTheme="minorEastAsia" w:cstheme="minorEastAsia"/>
          <w:b w:val="0"/>
          <w:sz w:val="24"/>
          <w:szCs w:val="24"/>
        </w:rPr>
        <w:t>政府采购中心受</w:t>
      </w:r>
      <w:r>
        <w:rPr>
          <w:rFonts w:hint="eastAsia" w:asciiTheme="minorEastAsia" w:hAnsiTheme="minorEastAsia" w:eastAsiaTheme="minorEastAsia" w:cstheme="minorEastAsia"/>
          <w:b w:val="0"/>
          <w:sz w:val="24"/>
          <w:szCs w:val="24"/>
          <w:lang w:val="en-US" w:eastAsia="zh-CN"/>
        </w:rPr>
        <w:t>台州市中级人民法院委托</w:t>
      </w:r>
      <w:r>
        <w:rPr>
          <w:rFonts w:hint="eastAsia" w:asciiTheme="minorEastAsia" w:hAnsiTheme="minorEastAsia" w:eastAsiaTheme="minorEastAsia" w:cstheme="minorEastAsia"/>
          <w:b w:val="0"/>
          <w:sz w:val="24"/>
          <w:szCs w:val="24"/>
        </w:rPr>
        <w:t>，就</w:t>
      </w:r>
      <w:r>
        <w:rPr>
          <w:rFonts w:hint="eastAsia" w:asciiTheme="minorEastAsia" w:hAnsiTheme="minorEastAsia" w:eastAsiaTheme="minorEastAsia" w:cstheme="minorEastAsia"/>
          <w:b w:val="0"/>
          <w:sz w:val="24"/>
          <w:szCs w:val="24"/>
          <w:lang w:eastAsia="zh-CN"/>
        </w:rPr>
        <w:t>安保项目</w:t>
      </w:r>
      <w:r>
        <w:rPr>
          <w:rFonts w:hint="eastAsia" w:asciiTheme="minorEastAsia" w:hAnsiTheme="minorEastAsia" w:eastAsiaTheme="minorEastAsia" w:cstheme="minorEastAsia"/>
          <w:b w:val="0"/>
          <w:sz w:val="24"/>
          <w:szCs w:val="24"/>
        </w:rPr>
        <w:t>进行竞争性磋商，欢迎符合资格条件的国内供应商前来磋商。</w:t>
      </w:r>
    </w:p>
    <w:p>
      <w:pPr>
        <w:pStyle w:val="4"/>
        <w:ind w:right="0"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一、项目基本情况</w:t>
      </w:r>
      <w:bookmarkEnd w:id="1"/>
      <w:bookmarkEnd w:id="2"/>
      <w:bookmarkEnd w:id="3"/>
      <w:bookmarkEnd w:id="4"/>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lang w:val="en-US" w:eastAsia="zh-CN"/>
        </w:rPr>
        <w:t>TZCG-2024-CS</w:t>
      </w:r>
      <w:r>
        <w:rPr>
          <w:rFonts w:hint="eastAsia" w:asciiTheme="minorEastAsia" w:hAnsiTheme="minorEastAsia" w:eastAsiaTheme="minorEastAsia" w:cstheme="minorEastAsia"/>
          <w:color w:val="auto"/>
          <w:sz w:val="24"/>
          <w:lang w:val="en-US" w:eastAsia="zh-CN"/>
        </w:rPr>
        <w:t>003</w:t>
      </w:r>
      <w:r>
        <w:rPr>
          <w:rFonts w:hint="eastAsia" w:asciiTheme="minorEastAsia" w:hAnsiTheme="minorEastAsia" w:eastAsiaTheme="minorEastAsia" w:cstheme="minorEastAsia"/>
          <w:sz w:val="24"/>
        </w:rPr>
        <w:t>号</w:t>
      </w:r>
    </w:p>
    <w:bookmarkEnd w:id="5"/>
    <w:p>
      <w:p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项目名</w:t>
      </w:r>
      <w:r>
        <w:rPr>
          <w:rFonts w:hint="eastAsia" w:asciiTheme="minorEastAsia" w:hAnsiTheme="minorEastAsia" w:eastAsiaTheme="minorEastAsia" w:cstheme="minorEastAsia"/>
          <w:sz w:val="24"/>
          <w:lang w:val="en-US" w:eastAsia="zh-CN"/>
        </w:rPr>
        <w:t>称：</w:t>
      </w:r>
      <w:r>
        <w:rPr>
          <w:rFonts w:hint="eastAsia" w:asciiTheme="minorEastAsia" w:hAnsiTheme="minorEastAsia" w:eastAsiaTheme="minorEastAsia" w:cstheme="minorEastAsia"/>
          <w:sz w:val="24"/>
          <w:lang w:eastAsia="zh-CN"/>
        </w:rPr>
        <w:t>台州市中级人民法院安保项目</w:t>
      </w:r>
    </w:p>
    <w:tbl>
      <w:tblPr>
        <w:tblStyle w:val="24"/>
        <w:tblpPr w:leftFromText="181" w:rightFromText="181" w:bottomFromText="170" w:vertAnchor="text" w:tblpXSpec="center" w:tblpY="1"/>
        <w:tblOverlap w:val="never"/>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177"/>
        <w:gridCol w:w="810"/>
        <w:gridCol w:w="97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86"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标项号</w:t>
            </w:r>
          </w:p>
        </w:tc>
        <w:tc>
          <w:tcPr>
            <w:tcW w:w="3177" w:type="dxa"/>
            <w:vAlign w:val="center"/>
          </w:tcPr>
          <w:p>
            <w:pPr>
              <w:spacing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标项名称</w:t>
            </w:r>
          </w:p>
        </w:tc>
        <w:tc>
          <w:tcPr>
            <w:tcW w:w="810"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rPr>
              <w:t>数量</w:t>
            </w:r>
          </w:p>
        </w:tc>
        <w:tc>
          <w:tcPr>
            <w:tcW w:w="979"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单位</w:t>
            </w:r>
          </w:p>
        </w:tc>
        <w:tc>
          <w:tcPr>
            <w:tcW w:w="2160"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预算</w:t>
            </w:r>
          </w:p>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86"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w:t>
            </w:r>
          </w:p>
        </w:tc>
        <w:tc>
          <w:tcPr>
            <w:tcW w:w="3177" w:type="dxa"/>
            <w:vAlign w:val="center"/>
          </w:tcPr>
          <w:p>
            <w:pPr>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台州市中级人民法院安保项目</w:t>
            </w:r>
          </w:p>
        </w:tc>
        <w:tc>
          <w:tcPr>
            <w:tcW w:w="810"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w:t>
            </w:r>
          </w:p>
        </w:tc>
        <w:tc>
          <w:tcPr>
            <w:tcW w:w="979"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项</w:t>
            </w:r>
          </w:p>
        </w:tc>
        <w:tc>
          <w:tcPr>
            <w:tcW w:w="2160" w:type="dxa"/>
            <w:vAlign w:val="center"/>
          </w:tcPr>
          <w:p>
            <w:pPr>
              <w:tabs>
                <w:tab w:val="left" w:pos="8280"/>
              </w:tabs>
              <w:autoSpaceDE w:val="0"/>
              <w:autoSpaceDN w:val="0"/>
              <w:adjustRightInd w:val="0"/>
              <w:jc w:val="center"/>
              <w:rPr>
                <w:rFonts w:hint="default" w:asciiTheme="minorEastAsia" w:hAnsiTheme="minorEastAsia" w:eastAsiaTheme="minorEastAsia" w:cstheme="minorEastAsia"/>
                <w:b w:val="0"/>
                <w:bCs/>
                <w:sz w:val="21"/>
                <w:szCs w:val="21"/>
                <w:lang w:val="en-US" w:eastAsia="zh-CN"/>
              </w:rPr>
            </w:pPr>
            <w:r>
              <w:rPr>
                <w:rFonts w:hint="eastAsia" w:ascii="宋体" w:hAnsi="宋体" w:eastAsia="宋体" w:cs="宋体"/>
                <w:sz w:val="24"/>
                <w:szCs w:val="24"/>
                <w:highlight w:val="none"/>
                <w:lang w:val="en-US" w:eastAsia="zh-CN"/>
              </w:rPr>
              <w:t>95.6</w:t>
            </w:r>
          </w:p>
        </w:tc>
      </w:tr>
    </w:tbl>
    <w:p>
      <w:pPr>
        <w:pStyle w:val="4"/>
        <w:ind w:right="0" w:firstLine="482" w:firstLineChars="200"/>
        <w:rPr>
          <w:rFonts w:hint="eastAsia" w:asciiTheme="minorEastAsia" w:hAnsiTheme="minorEastAsia" w:eastAsiaTheme="minorEastAsia" w:cstheme="minorEastAsia"/>
          <w:bCs/>
          <w:sz w:val="24"/>
          <w:szCs w:val="24"/>
        </w:rPr>
      </w:pPr>
      <w:bookmarkStart w:id="6" w:name="_Toc35393791"/>
      <w:bookmarkStart w:id="7" w:name="_Toc28359003"/>
      <w:bookmarkStart w:id="8" w:name="_Toc35393622"/>
      <w:bookmarkStart w:id="9" w:name="_Toc28359080"/>
      <w:r>
        <w:rPr>
          <w:rFonts w:hint="eastAsia" w:asciiTheme="minorEastAsia" w:hAnsiTheme="minorEastAsia" w:eastAsiaTheme="minorEastAsia" w:cstheme="minorEastAsia"/>
          <w:bCs/>
          <w:sz w:val="24"/>
          <w:szCs w:val="24"/>
        </w:rPr>
        <w:t>二、供应商的资格要求</w:t>
      </w:r>
      <w:bookmarkEnd w:id="6"/>
      <w:bookmarkEnd w:id="7"/>
      <w:bookmarkEnd w:id="8"/>
      <w:bookmarkEnd w:id="9"/>
    </w:p>
    <w:p>
      <w:pPr>
        <w:spacing w:line="360" w:lineRule="auto"/>
        <w:ind w:firstLine="480" w:firstLineChars="200"/>
        <w:rPr>
          <w:rFonts w:hint="eastAsia" w:asciiTheme="minorEastAsia" w:hAnsiTheme="minorEastAsia" w:eastAsiaTheme="minorEastAsia" w:cstheme="minorEastAsia"/>
          <w:sz w:val="24"/>
        </w:rPr>
      </w:pPr>
      <w:bookmarkStart w:id="10" w:name="_Toc28359004"/>
      <w:bookmarkStart w:id="11" w:name="_Toc35393623"/>
      <w:bookmarkStart w:id="12" w:name="_Toc35393792"/>
      <w:bookmarkStart w:id="13" w:name="_Toc28359081"/>
      <w:r>
        <w:rPr>
          <w:rFonts w:hint="eastAsia" w:asciiTheme="minorEastAsia" w:hAnsiTheme="minorEastAsia" w:eastAsiaTheme="minorEastAsia" w:cstheme="minorEastAsia"/>
          <w:sz w:val="24"/>
        </w:rPr>
        <w:t>（一）满足《中华人民共和国政府采购法》第二十二条规定。</w:t>
      </w:r>
    </w:p>
    <w:p>
      <w:pPr>
        <w:spacing w:line="360" w:lineRule="auto"/>
        <w:ind w:firstLine="480" w:firstLineChars="200"/>
        <w:rPr>
          <w:rFonts w:hint="eastAsia"/>
        </w:rPr>
      </w:pPr>
      <w:r>
        <w:rPr>
          <w:rFonts w:hint="eastAsia" w:asciiTheme="minorEastAsia" w:hAnsiTheme="minorEastAsia" w:eastAsiaTheme="minorEastAsia" w:cstheme="minorEastAsia"/>
          <w:sz w:val="24"/>
        </w:rPr>
        <w:t>（二）本项目的特定资格要求：</w:t>
      </w:r>
      <w:bookmarkEnd w:id="10"/>
      <w:bookmarkEnd w:id="11"/>
      <w:bookmarkEnd w:id="12"/>
      <w:bookmarkEnd w:id="13"/>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1.</w:t>
      </w:r>
      <w:r>
        <w:rPr>
          <w:rFonts w:hint="eastAsia" w:ascii="宋体" w:hAnsi="宋体"/>
          <w:b w:val="0"/>
          <w:bCs w:val="0"/>
          <w:color w:val="000000" w:themeColor="text1"/>
          <w:sz w:val="24"/>
          <w:highlight w:val="none"/>
          <w14:textFill>
            <w14:solidFill>
              <w14:schemeClr w14:val="tx1"/>
            </w14:solidFill>
          </w14:textFill>
        </w:rPr>
        <w:t>本项目</w:t>
      </w:r>
      <w:r>
        <w:rPr>
          <w:rFonts w:hint="eastAsia" w:ascii="宋体" w:hAnsi="宋体"/>
          <w:b w:val="0"/>
          <w:bCs w:val="0"/>
          <w:color w:val="000000" w:themeColor="text1"/>
          <w:sz w:val="24"/>
          <w:highlight w:val="none"/>
          <w:lang w:eastAsia="zh-CN"/>
          <w14:textFill>
            <w14:solidFill>
              <w14:schemeClr w14:val="tx1"/>
            </w14:solidFill>
          </w14:textFill>
        </w:rPr>
        <w:t>投标供应商需是</w:t>
      </w:r>
      <w:r>
        <w:rPr>
          <w:rFonts w:hint="eastAsia" w:ascii="宋体" w:hAnsi="宋体"/>
          <w:b w:val="0"/>
          <w:bCs w:val="0"/>
          <w:color w:val="000000" w:themeColor="text1"/>
          <w:sz w:val="24"/>
          <w:highlight w:val="none"/>
          <w14:textFill>
            <w14:solidFill>
              <w14:schemeClr w14:val="tx1"/>
            </w14:solidFill>
          </w14:textFill>
        </w:rPr>
        <w:t>中小企业（须在资格证明文件里提供《中小企业声明函》）</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default" w:ascii="宋体" w:hAnsi="宋体" w:eastAsia="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2.</w:t>
      </w:r>
      <w:r>
        <w:rPr>
          <w:rFonts w:hint="eastAsia" w:ascii="宋体" w:hAnsi="宋体"/>
          <w:b w:val="0"/>
          <w:bCs w:val="0"/>
          <w:color w:val="000000" w:themeColor="text1"/>
          <w:sz w:val="24"/>
          <w:highlight w:val="none"/>
          <w14:textFill>
            <w14:solidFill>
              <w14:schemeClr w14:val="tx1"/>
            </w14:solidFill>
          </w14:textFill>
        </w:rPr>
        <w:t>本项目</w:t>
      </w:r>
      <w:r>
        <w:rPr>
          <w:rFonts w:hint="eastAsia" w:ascii="宋体" w:hAnsi="宋体"/>
          <w:b w:val="0"/>
          <w:bCs w:val="0"/>
          <w:color w:val="000000" w:themeColor="text1"/>
          <w:sz w:val="24"/>
          <w:highlight w:val="none"/>
          <w:lang w:eastAsia="zh-CN"/>
          <w14:textFill>
            <w14:solidFill>
              <w14:schemeClr w14:val="tx1"/>
            </w14:solidFill>
          </w14:textFill>
        </w:rPr>
        <w:t>投标供应商需提供《</w:t>
      </w:r>
      <w:r>
        <w:rPr>
          <w:rFonts w:hint="eastAsia" w:ascii="宋体" w:hAnsi="宋体"/>
          <w:b w:val="0"/>
          <w:bCs w:val="0"/>
          <w:color w:val="000000" w:themeColor="text1"/>
          <w:sz w:val="24"/>
          <w:highlight w:val="none"/>
          <w:lang w:val="en-US" w:eastAsia="zh-CN"/>
          <w14:textFill>
            <w14:solidFill>
              <w14:schemeClr w14:val="tx1"/>
            </w14:solidFill>
          </w14:textFill>
        </w:rPr>
        <w:t>保安服务许可证</w:t>
      </w:r>
      <w:r>
        <w:rPr>
          <w:rFonts w:hint="eastAsia" w:ascii="宋体" w:hAnsi="宋体"/>
          <w:b w:val="0"/>
          <w:bCs w:val="0"/>
          <w:color w:val="000000" w:themeColor="text1"/>
          <w:sz w:val="24"/>
          <w:highlight w:val="none"/>
          <w:lang w:eastAsia="zh-CN"/>
          <w14:textFill>
            <w14:solidFill>
              <w14:schemeClr w14:val="tx1"/>
            </w14:solidFill>
          </w14:textFill>
        </w:rPr>
        <w:t>》</w:t>
      </w:r>
    </w:p>
    <w:p>
      <w:pPr>
        <w:spacing w:line="360" w:lineRule="auto"/>
        <w:ind w:left="479" w:leftChars="228"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（三）信用记录：未被列入“信用中国”失信被执行人或重大税收违法案件当事人名单；未处于“中国政府采购网”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"http://www.ccgp.gov.cn）政府采购严重违法失信行为信息记录中的禁止参加政府采购活动期间。"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rPr>
        <w:t>政府采购严重违法失信行为信息记录中的禁止参加政府采购活动期间。</w:t>
      </w:r>
      <w:r>
        <w:rPr>
          <w:rFonts w:hint="eastAsia" w:asciiTheme="minorEastAsia" w:hAnsiTheme="minorEastAsia" w:eastAsiaTheme="minorEastAsia" w:cstheme="minorEastAsia"/>
          <w:sz w:val="24"/>
        </w:rPr>
        <w:fldChar w:fldCharType="end"/>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磋商的，联合体各方均须满足该条款）。</w:t>
      </w:r>
    </w:p>
    <w:p>
      <w:pPr>
        <w:pStyle w:val="4"/>
        <w:ind w:right="0"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三、获取磋商文件</w:t>
      </w:r>
    </w:p>
    <w:p>
      <w:pPr>
        <w:pStyle w:val="4"/>
        <w:ind w:right="0" w:firstLine="480" w:firstLineChars="200"/>
        <w:rPr>
          <w:rFonts w:hint="eastAsia" w:asciiTheme="minorEastAsia" w:hAnsiTheme="minorEastAsia" w:eastAsiaTheme="minorEastAsia" w:cstheme="minorEastAsia"/>
          <w:b w:val="0"/>
          <w:kern w:val="2"/>
          <w:sz w:val="24"/>
          <w:szCs w:val="24"/>
          <w:u w:val="single"/>
          <w:lang w:val="en-US" w:eastAsia="zh-CN" w:bidi="ar-SA"/>
        </w:rPr>
      </w:pPr>
      <w:r>
        <w:rPr>
          <w:rFonts w:hint="eastAsia" w:asciiTheme="minorEastAsia" w:hAnsiTheme="minorEastAsia" w:eastAsiaTheme="minorEastAsia" w:cstheme="minorEastAsia"/>
          <w:b w:val="0"/>
          <w:sz w:val="24"/>
          <w:szCs w:val="24"/>
        </w:rPr>
        <w:t>（一）时间</w:t>
      </w:r>
      <w:r>
        <w:rPr>
          <w:rFonts w:hint="eastAsia" w:asciiTheme="minorEastAsia" w:hAnsiTheme="minorEastAsia" w:eastAsiaTheme="minorEastAsia" w:cstheme="minorEastAsia"/>
          <w:b w:val="0"/>
          <w:kern w:val="2"/>
          <w:sz w:val="24"/>
          <w:szCs w:val="24"/>
          <w:lang w:val="en-US" w:eastAsia="zh-CN" w:bidi="ar-SA"/>
        </w:rPr>
        <w:t>：</w:t>
      </w:r>
      <w:r>
        <w:rPr>
          <w:rFonts w:hint="eastAsia" w:asciiTheme="minorEastAsia" w:hAnsiTheme="minorEastAsia" w:eastAsiaTheme="minorEastAsia" w:cstheme="minorEastAsia"/>
          <w:b w:val="0"/>
          <w:bCs/>
          <w:sz w:val="24"/>
          <w:u w:val="single"/>
          <w:lang w:val="en-US" w:eastAsia="zh-CN"/>
        </w:rPr>
        <w:t xml:space="preserve">2024 </w:t>
      </w:r>
      <w:r>
        <w:rPr>
          <w:rFonts w:hint="eastAsia" w:asciiTheme="minorEastAsia" w:hAnsiTheme="minorEastAsia" w:eastAsiaTheme="minorEastAsia" w:cstheme="minorEastAsia"/>
          <w:b w:val="0"/>
          <w:bCs/>
          <w:sz w:val="24"/>
          <w:u w:val="single"/>
        </w:rPr>
        <w:t>年</w:t>
      </w:r>
      <w:r>
        <w:rPr>
          <w:rFonts w:hint="eastAsia" w:asciiTheme="minorEastAsia" w:hAnsiTheme="minorEastAsia" w:eastAsiaTheme="minorEastAsia" w:cstheme="minorEastAsia"/>
          <w:b w:val="0"/>
          <w:bCs/>
          <w:sz w:val="24"/>
          <w:u w:val="single"/>
          <w:lang w:val="en-US" w:eastAsia="zh-CN"/>
        </w:rPr>
        <w:t>7</w:t>
      </w:r>
      <w:r>
        <w:rPr>
          <w:rFonts w:hint="eastAsia" w:asciiTheme="minorEastAsia" w:hAnsiTheme="minorEastAsia" w:eastAsiaTheme="minorEastAsia" w:cstheme="minorEastAsia"/>
          <w:b w:val="0"/>
          <w:bCs/>
          <w:sz w:val="24"/>
          <w:u w:val="single"/>
        </w:rPr>
        <w:t>月</w:t>
      </w:r>
      <w:r>
        <w:rPr>
          <w:rFonts w:hint="eastAsia" w:asciiTheme="minorEastAsia" w:hAnsiTheme="minorEastAsia" w:eastAsiaTheme="minorEastAsia" w:cstheme="minorEastAsia"/>
          <w:b w:val="0"/>
          <w:bCs/>
          <w:sz w:val="24"/>
          <w:u w:val="single"/>
          <w:lang w:val="en-US" w:eastAsia="zh-CN"/>
        </w:rPr>
        <w:t>26</w:t>
      </w:r>
      <w:r>
        <w:rPr>
          <w:rFonts w:hint="eastAsia" w:asciiTheme="minorEastAsia" w:hAnsiTheme="minorEastAsia" w:eastAsiaTheme="minorEastAsia" w:cstheme="minorEastAsia"/>
          <w:b w:val="0"/>
          <w:bCs/>
          <w:sz w:val="24"/>
          <w:u w:val="single"/>
        </w:rPr>
        <w:t>日</w:t>
      </w:r>
      <w:r>
        <w:rPr>
          <w:rFonts w:hint="eastAsia" w:asciiTheme="minorEastAsia" w:hAnsiTheme="minorEastAsia" w:eastAsiaTheme="minorEastAsia" w:cstheme="minorEastAsia"/>
          <w:b w:val="0"/>
          <w:bCs/>
          <w:sz w:val="24"/>
        </w:rPr>
        <w:t>至</w:t>
      </w:r>
      <w:r>
        <w:rPr>
          <w:rFonts w:hint="eastAsia" w:asciiTheme="minorEastAsia" w:hAnsiTheme="minorEastAsia" w:eastAsiaTheme="minorEastAsia" w:cstheme="minorEastAsia"/>
          <w:b w:val="0"/>
          <w:bCs/>
          <w:sz w:val="24"/>
          <w:lang w:val="en-US" w:eastAsia="zh-CN"/>
        </w:rPr>
        <w:t xml:space="preserve"> </w:t>
      </w:r>
      <w:r>
        <w:rPr>
          <w:rFonts w:hint="eastAsia" w:asciiTheme="minorEastAsia" w:hAnsiTheme="minorEastAsia" w:eastAsiaTheme="minorEastAsia" w:cstheme="minorEastAsia"/>
          <w:b w:val="0"/>
          <w:bCs/>
          <w:sz w:val="24"/>
          <w:u w:val="single"/>
          <w:lang w:val="en-US" w:eastAsia="zh-CN"/>
        </w:rPr>
        <w:t xml:space="preserve">2024 </w:t>
      </w:r>
      <w:r>
        <w:rPr>
          <w:rFonts w:hint="eastAsia" w:asciiTheme="minorEastAsia" w:hAnsiTheme="minorEastAsia" w:eastAsiaTheme="minorEastAsia" w:cstheme="minorEastAsia"/>
          <w:b w:val="0"/>
          <w:bCs/>
          <w:sz w:val="24"/>
          <w:u w:val="single"/>
        </w:rPr>
        <w:t>年</w:t>
      </w:r>
      <w:r>
        <w:rPr>
          <w:rFonts w:hint="eastAsia" w:asciiTheme="minorEastAsia" w:hAnsiTheme="minorEastAsia" w:eastAsiaTheme="minorEastAsia" w:cstheme="minorEastAsia"/>
          <w:b w:val="0"/>
          <w:bCs/>
          <w:sz w:val="24"/>
          <w:u w:val="single"/>
          <w:lang w:val="en-US" w:eastAsia="zh-CN"/>
        </w:rPr>
        <w:t xml:space="preserve"> 8 </w:t>
      </w:r>
      <w:r>
        <w:rPr>
          <w:rFonts w:hint="eastAsia" w:asciiTheme="minorEastAsia" w:hAnsiTheme="minorEastAsia" w:eastAsiaTheme="minorEastAsia" w:cstheme="minorEastAsia"/>
          <w:b w:val="0"/>
          <w:bCs/>
          <w:sz w:val="24"/>
          <w:u w:val="single"/>
        </w:rPr>
        <w:t>月</w:t>
      </w:r>
      <w:r>
        <w:rPr>
          <w:rFonts w:hint="eastAsia" w:asciiTheme="minorEastAsia" w:hAnsiTheme="minorEastAsia" w:eastAsiaTheme="minorEastAsia" w:cstheme="minorEastAsia"/>
          <w:b w:val="0"/>
          <w:bCs/>
          <w:sz w:val="24"/>
          <w:u w:val="single"/>
          <w:lang w:val="en-US" w:eastAsia="zh-CN"/>
        </w:rPr>
        <w:t xml:space="preserve">1 </w:t>
      </w:r>
      <w:r>
        <w:rPr>
          <w:rFonts w:hint="eastAsia" w:asciiTheme="minorEastAsia" w:hAnsiTheme="minorEastAsia" w:eastAsiaTheme="minorEastAsia" w:cstheme="minorEastAsia"/>
          <w:b w:val="0"/>
          <w:bCs/>
          <w:sz w:val="24"/>
          <w:u w:val="single"/>
        </w:rPr>
        <w:t>日</w:t>
      </w:r>
    </w:p>
    <w:p>
      <w:pPr>
        <w:pStyle w:val="3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sz w:val="24"/>
          <w:szCs w:val="24"/>
          <w:lang w:val="en-US" w:eastAsia="zh-CN" w:bidi="ar-SA"/>
        </w:rPr>
        <w:t>（二）方式：浙江政府采购网（https://zf</w:t>
      </w:r>
      <w:r>
        <w:rPr>
          <w:rFonts w:hint="eastAsia" w:asciiTheme="minorEastAsia" w:hAnsiTheme="minorEastAsia" w:eastAsiaTheme="minorEastAsia" w:cstheme="minorEastAsia"/>
          <w:kern w:val="2"/>
          <w:sz w:val="24"/>
          <w:szCs w:val="24"/>
        </w:rPr>
        <w:t>cg.czt.zj.gov.cn）</w:t>
      </w:r>
      <w:r>
        <w:rPr>
          <w:rFonts w:hint="eastAsia" w:asciiTheme="minorEastAsia" w:hAnsiTheme="minorEastAsia" w:eastAsiaTheme="minorEastAsia" w:cstheme="minorEastAsia"/>
          <w:sz w:val="24"/>
          <w:szCs w:val="24"/>
        </w:rPr>
        <w:t>免费下载</w:t>
      </w:r>
    </w:p>
    <w:p>
      <w:pPr>
        <w:pStyle w:val="4"/>
        <w:ind w:right="0" w:firstLine="482" w:firstLineChars="200"/>
        <w:rPr>
          <w:rFonts w:hint="eastAsia" w:asciiTheme="minorEastAsia" w:hAnsiTheme="minorEastAsia" w:eastAsiaTheme="minorEastAsia" w:cstheme="minorEastAsia"/>
          <w:bCs/>
          <w:sz w:val="24"/>
          <w:szCs w:val="24"/>
        </w:rPr>
      </w:pPr>
      <w:bookmarkStart w:id="14" w:name="_Toc35393624"/>
      <w:bookmarkStart w:id="15" w:name="_Toc35393793"/>
      <w:bookmarkStart w:id="16" w:name="_Toc28359005"/>
      <w:bookmarkStart w:id="17" w:name="_Toc28359082"/>
      <w:r>
        <w:rPr>
          <w:rFonts w:hint="eastAsia" w:asciiTheme="minorEastAsia" w:hAnsiTheme="minorEastAsia" w:eastAsiaTheme="minorEastAsia" w:cstheme="minorEastAsia"/>
          <w:bCs/>
          <w:sz w:val="24"/>
          <w:szCs w:val="24"/>
        </w:rPr>
        <w:t>四、提交磋商响应文件</w:t>
      </w:r>
      <w:bookmarkEnd w:id="14"/>
      <w:bookmarkEnd w:id="15"/>
      <w:bookmarkEnd w:id="16"/>
      <w:bookmarkEnd w:id="17"/>
    </w:p>
    <w:p>
      <w:pPr>
        <w:spacing w:line="360" w:lineRule="auto"/>
        <w:ind w:firstLine="480" w:firstLineChars="200"/>
        <w:rPr>
          <w:rFonts w:hint="eastAsia" w:asciiTheme="minorEastAsia" w:hAnsiTheme="minorEastAsia" w:eastAsiaTheme="minorEastAsia" w:cstheme="minorEastAsia"/>
          <w:iCs/>
          <w:sz w:val="24"/>
          <w:u w:val="single"/>
        </w:rPr>
      </w:pPr>
      <w:bookmarkStart w:id="18" w:name="_Toc35393794"/>
      <w:bookmarkStart w:id="19" w:name="_Toc28359007"/>
      <w:bookmarkStart w:id="20" w:name="_Toc35393625"/>
      <w:bookmarkStart w:id="21" w:name="_Toc28359084"/>
      <w:r>
        <w:rPr>
          <w:rFonts w:hint="eastAsia" w:asciiTheme="minorEastAsia" w:hAnsiTheme="minorEastAsia" w:eastAsiaTheme="minorEastAsia" w:cstheme="minorEastAsia"/>
          <w:sz w:val="24"/>
        </w:rPr>
        <w:t>（一）截止时间（磋商开始时间）：</w:t>
      </w:r>
      <w:r>
        <w:rPr>
          <w:rFonts w:hint="eastAsia" w:asciiTheme="minorEastAsia" w:hAnsiTheme="minorEastAsia" w:eastAsiaTheme="minorEastAsia" w:cstheme="minorEastAsia"/>
          <w:bCs/>
          <w:sz w:val="24"/>
          <w:u w:val="single"/>
          <w:lang w:val="en-US" w:eastAsia="zh-CN"/>
        </w:rPr>
        <w:t>2024</w:t>
      </w:r>
      <w:r>
        <w:rPr>
          <w:rFonts w:hint="eastAsia" w:asciiTheme="minorEastAsia" w:hAnsiTheme="minorEastAsia" w:eastAsiaTheme="minorEastAsia" w:cstheme="minorEastAsia"/>
          <w:bCs/>
          <w:sz w:val="24"/>
          <w:u w:val="single"/>
        </w:rPr>
        <w:t>年</w:t>
      </w:r>
      <w:r>
        <w:rPr>
          <w:rFonts w:hint="eastAsia" w:asciiTheme="minorEastAsia" w:hAnsiTheme="minorEastAsia" w:eastAsiaTheme="minorEastAsia" w:cstheme="minorEastAsia"/>
          <w:sz w:val="24"/>
          <w:u w:val="single"/>
          <w:lang w:val="en-US" w:eastAsia="zh-CN"/>
        </w:rPr>
        <w:t xml:space="preserve"> 8 </w:t>
      </w:r>
      <w:r>
        <w:rPr>
          <w:rFonts w:hint="eastAsia" w:asciiTheme="minorEastAsia" w:hAnsiTheme="minorEastAsia" w:eastAsiaTheme="minorEastAsia" w:cstheme="minorEastAsia"/>
          <w:bCs/>
          <w:sz w:val="24"/>
          <w:u w:val="single"/>
        </w:rPr>
        <w:t>月</w:t>
      </w:r>
      <w:r>
        <w:rPr>
          <w:rFonts w:hint="eastAsia" w:asciiTheme="minorEastAsia" w:hAnsiTheme="minorEastAsia" w:eastAsiaTheme="minorEastAsia" w:cstheme="minorEastAsia"/>
          <w:bCs/>
          <w:sz w:val="24"/>
          <w:u w:val="single"/>
          <w:lang w:val="en-US" w:eastAsia="zh-CN"/>
        </w:rPr>
        <w:t xml:space="preserve">13 </w:t>
      </w:r>
      <w:r>
        <w:rPr>
          <w:rFonts w:hint="eastAsia" w:asciiTheme="minorEastAsia" w:hAnsiTheme="minorEastAsia" w:eastAsiaTheme="minorEastAsia" w:cstheme="minorEastAsia"/>
          <w:bCs/>
          <w:sz w:val="24"/>
          <w:u w:val="single"/>
        </w:rPr>
        <w:t>日</w:t>
      </w:r>
      <w:r>
        <w:rPr>
          <w:rFonts w:hint="eastAsia" w:asciiTheme="minorEastAsia" w:hAnsiTheme="minorEastAsia" w:eastAsiaTheme="minorEastAsia" w:cstheme="minorEastAsia"/>
          <w:bCs/>
          <w:sz w:val="24"/>
          <w:u w:val="single"/>
          <w:lang w:val="en-US" w:eastAsia="zh-CN"/>
        </w:rPr>
        <w:t>9</w:t>
      </w:r>
      <w:r>
        <w:rPr>
          <w:rFonts w:hint="eastAsia" w:asciiTheme="minorEastAsia" w:hAnsiTheme="minorEastAsia" w:eastAsiaTheme="minorEastAsia" w:cstheme="minorEastAsia"/>
          <w:bCs/>
          <w:sz w:val="24"/>
          <w:u w:val="single"/>
        </w:rPr>
        <w:t>点整</w:t>
      </w:r>
      <w:r>
        <w:rPr>
          <w:rFonts w:hint="eastAsia" w:asciiTheme="minorEastAsia" w:hAnsiTheme="minorEastAsia" w:eastAsiaTheme="minorEastAsia" w:cstheme="minorEastAsia"/>
          <w:bCs/>
          <w:sz w:val="24"/>
        </w:rPr>
        <w:t>（北京时间）</w:t>
      </w: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（二）提交网址：浙江政府采购云平台（http://www.zcygov.cn）</w:t>
      </w:r>
    </w:p>
    <w:bookmarkEnd w:id="18"/>
    <w:bookmarkEnd w:id="19"/>
    <w:bookmarkEnd w:id="20"/>
    <w:bookmarkEnd w:id="21"/>
    <w:p>
      <w:pPr>
        <w:pStyle w:val="23"/>
        <w:spacing w:after="0" w:line="360" w:lineRule="auto"/>
        <w:ind w:left="0" w:leftChars="0" w:firstLine="482" w:firstLineChars="200"/>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五、发布公告</w:t>
      </w:r>
    </w:p>
    <w:p>
      <w:pPr>
        <w:pStyle w:val="23"/>
        <w:spacing w:after="0" w:line="360" w:lineRule="auto"/>
        <w:ind w:left="0" w:leftChars="0" w:firstLine="480" w:firstLineChars="200"/>
        <w:rPr>
          <w:rFonts w:hint="eastAsia" w:asciiTheme="minorEastAsia" w:hAnsiTheme="minorEastAsia" w:eastAsiaTheme="minorEastAsia" w:cstheme="minorEastAsia"/>
          <w:kern w:val="0"/>
          <w:sz w:val="24"/>
        </w:rPr>
      </w:pPr>
      <w:bookmarkStart w:id="22" w:name="_Toc35393626"/>
      <w:bookmarkStart w:id="23" w:name="_Toc35393795"/>
      <w:r>
        <w:rPr>
          <w:rFonts w:hint="eastAsia" w:asciiTheme="minorEastAsia" w:hAnsiTheme="minorEastAsia" w:eastAsiaTheme="minorEastAsia" w:cstheme="minorEastAsia"/>
          <w:kern w:val="0"/>
          <w:sz w:val="24"/>
        </w:rPr>
        <w:t>（一）公告网址：浙江政府采购网（</w:t>
      </w:r>
      <w:r>
        <w:rPr>
          <w:rFonts w:hint="eastAsia" w:asciiTheme="minorEastAsia" w:hAnsiTheme="minorEastAsia" w:eastAsiaTheme="minorEastAsia" w:cstheme="minorEastAsia"/>
          <w:sz w:val="24"/>
        </w:rPr>
        <w:t>https://zfcg.czt.zj.gov.cn</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rPr>
        <w:t>台州市公共资源交易网（https://tzztb.zjtz.gov.cn）</w:t>
      </w:r>
    </w:p>
    <w:p>
      <w:pPr>
        <w:pStyle w:val="23"/>
        <w:spacing w:after="0" w:line="360" w:lineRule="auto"/>
        <w:ind w:left="0" w:leftChars="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（二）公告期限：本公告期限自发布之日起五个工作日</w:t>
      </w:r>
    </w:p>
    <w:bookmarkEnd w:id="22"/>
    <w:bookmarkEnd w:id="23"/>
    <w:p>
      <w:pPr>
        <w:pStyle w:val="4"/>
        <w:ind w:right="0" w:firstLine="482" w:firstLineChars="200"/>
        <w:rPr>
          <w:rFonts w:hint="eastAsia" w:asciiTheme="minorEastAsia" w:hAnsiTheme="minorEastAsia" w:eastAsiaTheme="minorEastAsia" w:cstheme="minorEastAsia"/>
          <w:bCs/>
          <w:sz w:val="24"/>
          <w:szCs w:val="24"/>
        </w:rPr>
      </w:pPr>
      <w:bookmarkStart w:id="24" w:name="_Toc28359010"/>
      <w:bookmarkStart w:id="25" w:name="_Toc28359087"/>
      <w:r>
        <w:rPr>
          <w:rFonts w:hint="eastAsia" w:asciiTheme="minorEastAsia" w:hAnsiTheme="minorEastAsia" w:eastAsiaTheme="minorEastAsia" w:cstheme="minorEastAsia"/>
          <w:bCs/>
          <w:sz w:val="24"/>
          <w:szCs w:val="24"/>
        </w:rPr>
        <w:t>六、注册报名</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供应商需登录浙江省政府采购网（https://zfcg.czt.zj.gov.cn/）进行注册后报名。</w:t>
      </w:r>
    </w:p>
    <w:p>
      <w:pPr>
        <w:pStyle w:val="4"/>
        <w:ind w:right="0" w:firstLine="482" w:firstLineChars="200"/>
        <w:rPr>
          <w:rFonts w:hint="eastAsia" w:asciiTheme="minorEastAsia" w:hAnsiTheme="minorEastAsia" w:eastAsiaTheme="minorEastAsia" w:cstheme="minorEastAsia"/>
          <w:bCs/>
          <w:sz w:val="24"/>
          <w:szCs w:val="24"/>
        </w:rPr>
      </w:pPr>
      <w:bookmarkStart w:id="26" w:name="_Toc35393796"/>
      <w:bookmarkStart w:id="27" w:name="_Toc28359085"/>
      <w:bookmarkStart w:id="28" w:name="_Toc35393627"/>
      <w:bookmarkStart w:id="29" w:name="_Toc28359008"/>
      <w:r>
        <w:rPr>
          <w:rFonts w:hint="eastAsia" w:asciiTheme="minorEastAsia" w:hAnsiTheme="minorEastAsia" w:eastAsiaTheme="minorEastAsia" w:cstheme="minorEastAsia"/>
          <w:bCs/>
          <w:sz w:val="24"/>
          <w:szCs w:val="24"/>
        </w:rPr>
        <w:t>七、联系</w:t>
      </w:r>
      <w:bookmarkEnd w:id="26"/>
      <w:bookmarkEnd w:id="27"/>
      <w:bookmarkEnd w:id="28"/>
      <w:bookmarkEnd w:id="29"/>
      <w:r>
        <w:rPr>
          <w:rFonts w:hint="eastAsia" w:asciiTheme="minorEastAsia" w:hAnsiTheme="minorEastAsia" w:eastAsiaTheme="minorEastAsia" w:cstheme="minorEastAsia"/>
          <w:bCs/>
          <w:sz w:val="24"/>
          <w:szCs w:val="24"/>
        </w:rPr>
        <w:t>方式</w:t>
      </w:r>
    </w:p>
    <w:p>
      <w:pPr>
        <w:snapToGrid w:val="0"/>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（一）采购人（受理招标文件相关质疑及答复） </w:t>
      </w:r>
    </w:p>
    <w:p>
      <w:pPr>
        <w:spacing w:line="360" w:lineRule="auto"/>
        <w:ind w:firstLine="480" w:firstLineChars="200"/>
        <w:rPr>
          <w:rFonts w:hint="eastAsia" w:asciiTheme="minorEastAsia" w:hAnsiTheme="minorEastAsia" w:eastAsiaTheme="minorEastAsia" w:cstheme="minorEastAsia"/>
          <w:sz w:val="24"/>
          <w:highlight w:val="none"/>
          <w:u w:val="none"/>
          <w:lang w:eastAsia="zh-CN"/>
        </w:rPr>
      </w:pPr>
      <w:bookmarkStart w:id="30" w:name="_Toc28359086"/>
      <w:bookmarkStart w:id="31" w:name="_Toc28359009"/>
      <w:r>
        <w:rPr>
          <w:rFonts w:hint="eastAsia" w:asciiTheme="minorEastAsia" w:hAnsiTheme="minorEastAsia" w:eastAsiaTheme="minorEastAsia" w:cstheme="minorEastAsia"/>
          <w:sz w:val="24"/>
        </w:rPr>
        <w:t>名</w:t>
      </w: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u w:val="none"/>
        </w:rPr>
        <w:t>称：</w:t>
      </w:r>
      <w:r>
        <w:rPr>
          <w:rFonts w:hint="eastAsia" w:asciiTheme="minorEastAsia" w:hAnsiTheme="minorEastAsia" w:eastAsiaTheme="minorEastAsia" w:cstheme="minorEastAsia"/>
          <w:sz w:val="24"/>
          <w:szCs w:val="24"/>
          <w:lang w:eastAsia="zh-CN"/>
        </w:rPr>
        <w:t>台州市中级人民法院</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址：</w:t>
      </w:r>
      <w:r>
        <w:rPr>
          <w:rFonts w:hint="eastAsia" w:asciiTheme="minorEastAsia" w:hAnsiTheme="minorEastAsia" w:eastAsiaTheme="minorEastAsia" w:cstheme="minorEastAsia"/>
          <w:sz w:val="24"/>
          <w:szCs w:val="24"/>
          <w:lang w:val="en-US" w:eastAsia="zh-CN"/>
        </w:rPr>
        <w:t>台州市</w:t>
      </w:r>
      <w:r>
        <w:rPr>
          <w:rFonts w:hint="eastAsia" w:asciiTheme="minorEastAsia" w:hAnsiTheme="minorEastAsia" w:eastAsiaTheme="minorEastAsia" w:cstheme="minorEastAsia"/>
          <w:sz w:val="24"/>
          <w:szCs w:val="24"/>
          <w:lang w:eastAsia="zh-CN"/>
        </w:rPr>
        <w:t>市府大道３９９号</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联系人：</w:t>
      </w:r>
      <w:r>
        <w:rPr>
          <w:rFonts w:hint="eastAsia" w:asciiTheme="minorEastAsia" w:hAnsiTheme="minorEastAsia" w:eastAsiaTheme="minorEastAsia" w:cstheme="minorEastAsia"/>
          <w:sz w:val="24"/>
          <w:szCs w:val="24"/>
          <w:lang w:val="en-US" w:eastAsia="zh-CN"/>
        </w:rPr>
        <w:t>林先生</w:t>
      </w:r>
      <w:r>
        <w:rPr>
          <w:rFonts w:hint="eastAsia" w:asciiTheme="minorEastAsia" w:hAnsiTheme="minorEastAsia" w:eastAsiaTheme="minorEastAsia" w:cstheme="minorEastAsia"/>
          <w:sz w:val="24"/>
          <w:szCs w:val="24"/>
          <w:lang w:eastAsia="zh-CN"/>
        </w:rPr>
        <w:t>　　</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联系电话：０５７６</w:t>
      </w:r>
      <w:r>
        <w:rPr>
          <w:rFonts w:hint="eastAsia" w:asciiTheme="minorEastAsia" w:hAnsiTheme="minorEastAsia" w:eastAsiaTheme="minorEastAsia" w:cstheme="minorEastAsia"/>
          <w:sz w:val="24"/>
          <w:szCs w:val="24"/>
          <w:lang w:val="en-US" w:eastAsia="zh-CN"/>
        </w:rPr>
        <w:t>-８８５５３０２０</w:t>
      </w:r>
      <w:r>
        <w:rPr>
          <w:rFonts w:hint="eastAsia" w:asciiTheme="minorEastAsia" w:hAnsiTheme="minorEastAsia" w:eastAsiaTheme="minorEastAsia" w:cstheme="minorEastAsia"/>
          <w:sz w:val="24"/>
          <w:szCs w:val="24"/>
          <w:lang w:eastAsia="zh-CN"/>
        </w:rPr>
        <w:t xml:space="preserve">　　 </w:t>
      </w:r>
    </w:p>
    <w:bookmarkEnd w:id="30"/>
    <w:bookmarkEnd w:id="31"/>
    <w:p>
      <w:pPr>
        <w:spacing w:line="360" w:lineRule="auto"/>
        <w:ind w:firstLine="482" w:firstLineChars="200"/>
        <w:rPr>
          <w:rFonts w:hint="eastAsia" w:asciiTheme="minorEastAsia" w:hAnsiTheme="minorEastAsia" w:eastAsiaTheme="minorEastAsia" w:cstheme="minorEastAsia"/>
          <w:b/>
          <w:sz w:val="24"/>
          <w:u w:val="none"/>
        </w:rPr>
      </w:pPr>
      <w:r>
        <w:rPr>
          <w:rFonts w:hint="eastAsia" w:asciiTheme="minorEastAsia" w:hAnsiTheme="minorEastAsia" w:eastAsiaTheme="minorEastAsia" w:cstheme="minorEastAsia"/>
          <w:b/>
          <w:bCs/>
          <w:sz w:val="24"/>
          <w:u w:val="none"/>
        </w:rPr>
        <w:t>（二）采购组织机构</w:t>
      </w:r>
    </w:p>
    <w:p>
      <w:pPr>
        <w:spacing w:line="360" w:lineRule="auto"/>
        <w:ind w:firstLine="480" w:firstLineChars="200"/>
        <w:jc w:val="left"/>
        <w:rPr>
          <w:rFonts w:hint="eastAsia" w:asciiTheme="minorEastAsia" w:hAnsiTheme="minorEastAsia" w:eastAsiaTheme="minorEastAsia" w:cstheme="minorEastAsia"/>
          <w:sz w:val="24"/>
          <w:u w:val="none"/>
          <w:lang w:val="en-US" w:eastAsia="zh-CN"/>
        </w:rPr>
      </w:pPr>
      <w:r>
        <w:rPr>
          <w:rFonts w:hint="eastAsia" w:asciiTheme="minorEastAsia" w:hAnsiTheme="minorEastAsia" w:eastAsiaTheme="minorEastAsia" w:cstheme="minorEastAsia"/>
          <w:sz w:val="24"/>
          <w:u w:val="none"/>
        </w:rPr>
        <w:t>名 称：</w:t>
      </w:r>
      <w:r>
        <w:rPr>
          <w:rFonts w:hint="eastAsia" w:asciiTheme="minorEastAsia" w:hAnsiTheme="minorEastAsia" w:eastAsiaTheme="minorEastAsia" w:cstheme="minorEastAsia"/>
          <w:sz w:val="24"/>
          <w:u w:val="none"/>
          <w:lang w:val="en-US" w:eastAsia="zh-CN"/>
        </w:rPr>
        <w:t>台州市政府采购中心</w:t>
      </w:r>
    </w:p>
    <w:p>
      <w:pPr>
        <w:spacing w:line="360" w:lineRule="auto"/>
        <w:ind w:firstLine="480" w:firstLineChars="200"/>
        <w:jc w:val="left"/>
        <w:rPr>
          <w:rFonts w:hint="eastAsia" w:asciiTheme="minorEastAsia" w:hAnsiTheme="minorEastAsia" w:eastAsiaTheme="minorEastAsia" w:cstheme="minorEastAsia"/>
          <w:sz w:val="24"/>
          <w:u w:val="none"/>
        </w:rPr>
      </w:pPr>
      <w:r>
        <w:rPr>
          <w:rFonts w:hint="eastAsia" w:asciiTheme="minorEastAsia" w:hAnsiTheme="minorEastAsia" w:eastAsiaTheme="minorEastAsia" w:cstheme="minorEastAsia"/>
          <w:sz w:val="24"/>
          <w:u w:val="none"/>
        </w:rPr>
        <w:t>地　址：台州市市府大道777号</w:t>
      </w:r>
    </w:p>
    <w:p>
      <w:pPr>
        <w:spacing w:line="360" w:lineRule="auto"/>
        <w:ind w:firstLine="480" w:firstLineChars="200"/>
        <w:jc w:val="left"/>
        <w:rPr>
          <w:rFonts w:hint="eastAsia" w:asciiTheme="minorEastAsia" w:hAnsiTheme="minorEastAsia" w:eastAsiaTheme="minorEastAsia" w:cstheme="minorEastAsia"/>
          <w:sz w:val="24"/>
          <w:u w:val="none"/>
          <w:lang w:val="en-US" w:eastAsia="zh-CN"/>
        </w:rPr>
      </w:pPr>
      <w:r>
        <w:rPr>
          <w:rFonts w:hint="eastAsia" w:asciiTheme="minorEastAsia" w:hAnsiTheme="minorEastAsia" w:eastAsiaTheme="minorEastAsia" w:cstheme="minorEastAsia"/>
          <w:sz w:val="24"/>
          <w:u w:val="none"/>
        </w:rPr>
        <w:t>项目联系人：</w:t>
      </w:r>
      <w:r>
        <w:rPr>
          <w:rFonts w:hint="eastAsia" w:asciiTheme="minorEastAsia" w:hAnsiTheme="minorEastAsia" w:eastAsiaTheme="minorEastAsia" w:cstheme="minorEastAsia"/>
          <w:sz w:val="24"/>
          <w:u w:val="none"/>
          <w:lang w:val="en-US" w:eastAsia="zh-CN"/>
        </w:rPr>
        <w:t>陈</w:t>
      </w:r>
      <w:r>
        <w:rPr>
          <w:rFonts w:hint="eastAsia" w:asciiTheme="minorEastAsia" w:hAnsiTheme="minorEastAsia" w:eastAsiaTheme="minorEastAsia" w:cstheme="minorEastAsia"/>
          <w:sz w:val="24"/>
          <w:u w:val="none"/>
        </w:rPr>
        <w:t xml:space="preserve">女士　 </w:t>
      </w:r>
      <w:r>
        <w:rPr>
          <w:rFonts w:hint="eastAsia" w:asciiTheme="minorEastAsia" w:hAnsiTheme="minorEastAsia" w:eastAsiaTheme="minorEastAsia" w:cstheme="minorEastAsia"/>
          <w:sz w:val="24"/>
          <w:u w:val="none"/>
          <w:lang w:val="en-US" w:eastAsia="zh-CN"/>
        </w:rPr>
        <w:t xml:space="preserve"> </w:t>
      </w:r>
    </w:p>
    <w:p>
      <w:pPr>
        <w:spacing w:line="360" w:lineRule="auto"/>
        <w:ind w:firstLine="480" w:firstLineChars="200"/>
        <w:jc w:val="left"/>
        <w:rPr>
          <w:rFonts w:hint="eastAsia" w:asciiTheme="minorEastAsia" w:hAnsiTheme="minorEastAsia" w:eastAsiaTheme="minorEastAsia" w:cstheme="minorEastAsia"/>
          <w:sz w:val="24"/>
          <w:u w:val="none"/>
          <w:lang w:val="en-US" w:eastAsia="zh-CN"/>
        </w:rPr>
      </w:pPr>
      <w:r>
        <w:rPr>
          <w:rFonts w:hint="eastAsia" w:asciiTheme="minorEastAsia" w:hAnsiTheme="minorEastAsia" w:eastAsiaTheme="minorEastAsia" w:cstheme="minorEastAsia"/>
          <w:sz w:val="24"/>
          <w:u w:val="none"/>
        </w:rPr>
        <w:t>联系电话：0576-</w:t>
      </w:r>
      <w:r>
        <w:rPr>
          <w:rFonts w:hint="eastAsia" w:asciiTheme="minorEastAsia" w:hAnsiTheme="minorEastAsia" w:eastAsiaTheme="minorEastAsia" w:cstheme="minorEastAsia"/>
          <w:sz w:val="24"/>
          <w:u w:val="none"/>
          <w:lang w:val="en-US" w:eastAsia="zh-CN"/>
        </w:rPr>
        <w:t>88685056</w:t>
      </w:r>
      <w:r>
        <w:rPr>
          <w:rFonts w:hint="eastAsia" w:asciiTheme="minorEastAsia" w:hAnsiTheme="minorEastAsia" w:eastAsiaTheme="minorEastAsia" w:cstheme="minorEastAsia"/>
          <w:sz w:val="24"/>
          <w:u w:val="none"/>
        </w:rPr>
        <w:t xml:space="preserve">       </w:t>
      </w:r>
    </w:p>
    <w:p>
      <w:pPr>
        <w:spacing w:line="360" w:lineRule="auto"/>
        <w:ind w:firstLine="480" w:firstLineChars="200"/>
        <w:jc w:val="left"/>
        <w:rPr>
          <w:rFonts w:hint="eastAsia" w:asciiTheme="minorEastAsia" w:hAnsiTheme="minorEastAsia" w:eastAsiaTheme="minorEastAsia" w:cstheme="minorEastAsia"/>
          <w:sz w:val="24"/>
          <w:u w:val="none"/>
        </w:rPr>
      </w:pPr>
      <w:r>
        <w:rPr>
          <w:rFonts w:hint="eastAsia" w:asciiTheme="minorEastAsia" w:hAnsiTheme="minorEastAsia" w:eastAsiaTheme="minorEastAsia" w:cstheme="minorEastAsia"/>
          <w:sz w:val="24"/>
          <w:u w:val="none"/>
        </w:rPr>
        <w:t>受理联系人：</w:t>
      </w:r>
      <w:r>
        <w:rPr>
          <w:rFonts w:hint="eastAsia" w:asciiTheme="minorEastAsia" w:hAnsiTheme="minorEastAsia" w:eastAsiaTheme="minorEastAsia" w:cstheme="minorEastAsia"/>
          <w:sz w:val="24"/>
          <w:u w:val="none"/>
          <w:lang w:val="en-US" w:eastAsia="zh-CN"/>
        </w:rPr>
        <w:t>侯</w:t>
      </w:r>
      <w:r>
        <w:rPr>
          <w:rFonts w:hint="eastAsia" w:asciiTheme="minorEastAsia" w:hAnsiTheme="minorEastAsia" w:eastAsiaTheme="minorEastAsia" w:cstheme="minorEastAsia"/>
          <w:sz w:val="24"/>
          <w:u w:val="none"/>
        </w:rPr>
        <w:t>女士（受理注册、中标结果相关质疑及答复）</w:t>
      </w:r>
    </w:p>
    <w:p>
      <w:pPr>
        <w:spacing w:line="360" w:lineRule="auto"/>
        <w:ind w:firstLine="480" w:firstLineChars="200"/>
        <w:jc w:val="left"/>
        <w:rPr>
          <w:rFonts w:hint="eastAsia" w:asciiTheme="minorEastAsia" w:hAnsiTheme="minorEastAsia" w:eastAsiaTheme="minorEastAsia" w:cstheme="minorEastAsia"/>
          <w:sz w:val="24"/>
          <w:u w:val="none"/>
          <w:lang w:val="en-US" w:eastAsia="zh-CN"/>
        </w:rPr>
      </w:pPr>
      <w:r>
        <w:rPr>
          <w:rFonts w:hint="eastAsia" w:asciiTheme="minorEastAsia" w:hAnsiTheme="minorEastAsia" w:eastAsiaTheme="minorEastAsia" w:cstheme="minorEastAsia"/>
          <w:sz w:val="24"/>
          <w:u w:val="none"/>
        </w:rPr>
        <w:t xml:space="preserve">联系电话：0576-88685121    </w:t>
      </w:r>
      <w:r>
        <w:rPr>
          <w:rFonts w:hint="eastAsia" w:asciiTheme="minorEastAsia" w:hAnsiTheme="minorEastAsia" w:eastAsiaTheme="minorEastAsia" w:cstheme="minorEastAsia"/>
          <w:sz w:val="24"/>
          <w:u w:val="none"/>
          <w:lang w:val="en-US" w:eastAsia="zh-CN"/>
        </w:rPr>
        <w:t xml:space="preserve"> </w:t>
      </w:r>
    </w:p>
    <w:p>
      <w:pPr>
        <w:spacing w:line="360" w:lineRule="auto"/>
        <w:ind w:firstLine="480" w:firstLineChars="200"/>
        <w:jc w:val="left"/>
        <w:rPr>
          <w:rFonts w:hint="eastAsia" w:asciiTheme="minorEastAsia" w:hAnsiTheme="minorEastAsia" w:eastAsiaTheme="minorEastAsia" w:cstheme="minorEastAsia"/>
          <w:sz w:val="24"/>
          <w:u w:val="none"/>
        </w:rPr>
      </w:pPr>
      <w:r>
        <w:rPr>
          <w:rFonts w:hint="eastAsia" w:asciiTheme="minorEastAsia" w:hAnsiTheme="minorEastAsia" w:eastAsiaTheme="minorEastAsia" w:cstheme="minorEastAsia"/>
          <w:sz w:val="24"/>
          <w:u w:val="none"/>
        </w:rPr>
        <w:t>技术人员：</w:t>
      </w:r>
      <w:r>
        <w:rPr>
          <w:rFonts w:hint="eastAsia" w:asciiTheme="minorEastAsia" w:hAnsiTheme="minorEastAsia" w:eastAsiaTheme="minorEastAsia" w:cstheme="minorEastAsia"/>
          <w:sz w:val="24"/>
          <w:u w:val="none"/>
          <w:lang w:val="en-US" w:eastAsia="zh-CN"/>
        </w:rPr>
        <w:t>徐</w:t>
      </w:r>
      <w:r>
        <w:rPr>
          <w:rFonts w:hint="eastAsia" w:asciiTheme="minorEastAsia" w:hAnsiTheme="minorEastAsia" w:eastAsiaTheme="minorEastAsia" w:cstheme="minorEastAsia"/>
          <w:sz w:val="24"/>
          <w:u w:val="none"/>
        </w:rPr>
        <w:t>女士</w:t>
      </w:r>
    </w:p>
    <w:p>
      <w:pPr>
        <w:spacing w:line="360" w:lineRule="auto"/>
        <w:ind w:firstLine="480" w:firstLineChars="200"/>
        <w:jc w:val="left"/>
        <w:rPr>
          <w:rFonts w:hint="eastAsia" w:asciiTheme="minorEastAsia" w:hAnsiTheme="minorEastAsia" w:eastAsiaTheme="minorEastAsia" w:cstheme="minorEastAsia"/>
          <w:sz w:val="24"/>
          <w:u w:val="none"/>
          <w:lang w:val="en-US" w:eastAsia="zh-CN"/>
        </w:rPr>
      </w:pPr>
      <w:r>
        <w:rPr>
          <w:rFonts w:hint="eastAsia" w:asciiTheme="minorEastAsia" w:hAnsiTheme="minorEastAsia" w:eastAsiaTheme="minorEastAsia" w:cstheme="minorEastAsia"/>
          <w:sz w:val="24"/>
          <w:u w:val="none"/>
        </w:rPr>
        <w:t>联系电话：0576-</w:t>
      </w:r>
      <w:r>
        <w:rPr>
          <w:rFonts w:hint="eastAsia" w:asciiTheme="minorEastAsia" w:hAnsiTheme="minorEastAsia" w:eastAsiaTheme="minorEastAsia" w:cstheme="minorEastAsia"/>
          <w:sz w:val="24"/>
          <w:u w:val="none"/>
          <w:lang w:val="en-US" w:eastAsia="zh-CN"/>
        </w:rPr>
        <w:t>88685161</w:t>
      </w:r>
      <w:r>
        <w:rPr>
          <w:rFonts w:hint="eastAsia" w:asciiTheme="minorEastAsia" w:hAnsiTheme="minorEastAsia" w:eastAsiaTheme="minorEastAsia" w:cstheme="minorEastAsia"/>
          <w:sz w:val="24"/>
          <w:u w:val="none"/>
        </w:rPr>
        <w:t xml:space="preserve">    </w:t>
      </w:r>
      <w:r>
        <w:rPr>
          <w:rFonts w:hint="eastAsia" w:asciiTheme="minorEastAsia" w:hAnsiTheme="minorEastAsia" w:eastAsiaTheme="minorEastAsia" w:cstheme="minorEastAsia"/>
          <w:sz w:val="24"/>
          <w:u w:val="none"/>
          <w:lang w:val="en-US" w:eastAsia="zh-CN"/>
        </w:rPr>
        <w:t xml:space="preserve"> </w:t>
      </w:r>
    </w:p>
    <w:p>
      <w:pPr>
        <w:spacing w:line="360" w:lineRule="auto"/>
        <w:ind w:firstLine="482" w:firstLineChars="200"/>
        <w:rPr>
          <w:rFonts w:hint="eastAsia" w:asciiTheme="minorEastAsia" w:hAnsiTheme="minorEastAsia" w:eastAsiaTheme="minorEastAsia" w:cstheme="minorEastAsia"/>
          <w:b/>
          <w:sz w:val="24"/>
          <w:u w:val="none"/>
        </w:rPr>
      </w:pPr>
      <w:r>
        <w:rPr>
          <w:rFonts w:hint="eastAsia" w:asciiTheme="minorEastAsia" w:hAnsiTheme="minorEastAsia" w:eastAsiaTheme="minorEastAsia" w:cstheme="minorEastAsia"/>
          <w:b/>
          <w:sz w:val="24"/>
          <w:u w:val="none"/>
        </w:rPr>
        <w:t>（三）同级政府采购监管机构</w:t>
      </w:r>
    </w:p>
    <w:p>
      <w:pPr>
        <w:spacing w:line="360" w:lineRule="auto"/>
        <w:ind w:firstLine="480" w:firstLineChars="200"/>
        <w:jc w:val="left"/>
        <w:rPr>
          <w:rFonts w:hint="eastAsia" w:asciiTheme="minorEastAsia" w:hAnsiTheme="minorEastAsia" w:eastAsiaTheme="minorEastAsia" w:cstheme="minorEastAsia"/>
          <w:sz w:val="24"/>
          <w:u w:val="none"/>
          <w:lang w:val="en-US" w:eastAsia="zh-CN"/>
        </w:rPr>
      </w:pPr>
      <w:r>
        <w:rPr>
          <w:rFonts w:hint="eastAsia" w:asciiTheme="minorEastAsia" w:hAnsiTheme="minorEastAsia" w:eastAsiaTheme="minorEastAsia" w:cstheme="minorEastAsia"/>
          <w:sz w:val="24"/>
          <w:u w:val="none"/>
        </w:rPr>
        <w:t>名 称：台州市采监处</w:t>
      </w:r>
      <w:r>
        <w:rPr>
          <w:rFonts w:hint="eastAsia" w:asciiTheme="minorEastAsia" w:hAnsiTheme="minorEastAsia" w:eastAsiaTheme="minorEastAsia" w:cstheme="minorEastAsia"/>
          <w:sz w:val="24"/>
          <w:u w:val="none"/>
          <w:lang w:val="en-US" w:eastAsia="zh-CN"/>
        </w:rPr>
        <w:t xml:space="preserve">         </w:t>
      </w:r>
    </w:p>
    <w:p>
      <w:pPr>
        <w:spacing w:line="360" w:lineRule="auto"/>
        <w:ind w:firstLine="480" w:firstLineChars="200"/>
        <w:jc w:val="left"/>
        <w:rPr>
          <w:rFonts w:hint="eastAsia" w:asciiTheme="minorEastAsia" w:hAnsiTheme="minorEastAsia" w:eastAsiaTheme="minorEastAsia" w:cstheme="minorEastAsia"/>
          <w:sz w:val="24"/>
          <w:u w:val="none"/>
          <w:lang w:val="en-US" w:eastAsia="zh-CN"/>
        </w:rPr>
      </w:pPr>
      <w:r>
        <w:rPr>
          <w:rFonts w:hint="eastAsia" w:asciiTheme="minorEastAsia" w:hAnsiTheme="minorEastAsia" w:eastAsiaTheme="minorEastAsia" w:cstheme="minorEastAsia"/>
          <w:sz w:val="24"/>
          <w:u w:val="none"/>
        </w:rPr>
        <w:t>地 址：台州市财政局</w:t>
      </w:r>
      <w:r>
        <w:rPr>
          <w:rFonts w:hint="eastAsia" w:asciiTheme="minorEastAsia" w:hAnsiTheme="minorEastAsia" w:eastAsiaTheme="minorEastAsia" w:cstheme="minorEastAsia"/>
          <w:sz w:val="24"/>
          <w:u w:val="none"/>
          <w:lang w:val="en-US" w:eastAsia="zh-CN"/>
        </w:rPr>
        <w:t xml:space="preserve">         </w:t>
      </w:r>
    </w:p>
    <w:p>
      <w:pPr>
        <w:spacing w:line="360" w:lineRule="auto"/>
        <w:ind w:firstLine="480" w:firstLineChars="200"/>
        <w:jc w:val="left"/>
        <w:rPr>
          <w:rFonts w:hint="eastAsia" w:asciiTheme="minorEastAsia" w:hAnsiTheme="minorEastAsia" w:eastAsiaTheme="minorEastAsia" w:cstheme="minorEastAsia"/>
          <w:sz w:val="24"/>
          <w:u w:val="none"/>
          <w:lang w:val="en-US" w:eastAsia="zh-CN"/>
        </w:rPr>
      </w:pPr>
      <w:r>
        <w:rPr>
          <w:rFonts w:hint="eastAsia" w:asciiTheme="minorEastAsia" w:hAnsiTheme="minorEastAsia" w:eastAsiaTheme="minorEastAsia" w:cstheme="minorEastAsia"/>
          <w:sz w:val="24"/>
          <w:u w:val="none"/>
        </w:rPr>
        <w:t>联系人：</w:t>
      </w:r>
      <w:r>
        <w:rPr>
          <w:rFonts w:hint="eastAsia" w:asciiTheme="minorEastAsia" w:hAnsiTheme="minorEastAsia" w:eastAsiaTheme="minorEastAsia" w:cstheme="minorEastAsia"/>
          <w:sz w:val="24"/>
          <w:u w:val="none"/>
          <w:lang w:val="en-US" w:eastAsia="zh-CN"/>
        </w:rPr>
        <w:t>陈</w:t>
      </w:r>
      <w:r>
        <w:rPr>
          <w:rFonts w:hint="eastAsia" w:asciiTheme="minorEastAsia" w:hAnsiTheme="minorEastAsia" w:eastAsiaTheme="minorEastAsia" w:cstheme="minorEastAsia"/>
          <w:sz w:val="24"/>
          <w:u w:val="none"/>
        </w:rPr>
        <w:t>女士</w:t>
      </w:r>
      <w:r>
        <w:rPr>
          <w:rFonts w:hint="eastAsia" w:asciiTheme="minorEastAsia" w:hAnsiTheme="minorEastAsia" w:eastAsiaTheme="minorEastAsia" w:cstheme="minorEastAsia"/>
          <w:sz w:val="24"/>
          <w:u w:val="none"/>
          <w:lang w:val="en-US" w:eastAsia="zh-CN"/>
        </w:rPr>
        <w:t xml:space="preserve">              </w:t>
      </w:r>
    </w:p>
    <w:p>
      <w:pPr>
        <w:spacing w:line="360" w:lineRule="auto"/>
        <w:ind w:firstLine="480" w:firstLineChars="200"/>
        <w:jc w:val="left"/>
        <w:rPr>
          <w:rFonts w:hint="eastAsia" w:asciiTheme="minorEastAsia" w:hAnsiTheme="minorEastAsia" w:eastAsiaTheme="minorEastAsia" w:cstheme="minorEastAsia"/>
          <w:sz w:val="24"/>
          <w:u w:val="none"/>
          <w:lang w:val="en-US" w:eastAsia="zh-CN"/>
        </w:rPr>
      </w:pPr>
      <w:r>
        <w:rPr>
          <w:rFonts w:hint="eastAsia" w:asciiTheme="minorEastAsia" w:hAnsiTheme="minorEastAsia" w:eastAsiaTheme="minorEastAsia" w:cstheme="minorEastAsia"/>
          <w:sz w:val="24"/>
          <w:u w:val="none"/>
        </w:rPr>
        <w:t>联系电话：0576-</w:t>
      </w:r>
      <w:r>
        <w:rPr>
          <w:rFonts w:hint="eastAsia" w:asciiTheme="minorEastAsia" w:hAnsiTheme="minorEastAsia" w:eastAsiaTheme="minorEastAsia" w:cstheme="minorEastAsia"/>
          <w:sz w:val="24"/>
          <w:u w:val="none"/>
          <w:lang w:val="en-US" w:eastAsia="zh-CN"/>
        </w:rPr>
        <w:t xml:space="preserve">88206705     </w:t>
      </w:r>
    </w:p>
    <w:p>
      <w:pPr>
        <w:spacing w:line="360" w:lineRule="auto"/>
        <w:ind w:firstLine="482" w:firstLineChars="200"/>
        <w:rPr>
          <w:rFonts w:hint="eastAsia" w:asciiTheme="minorEastAsia" w:hAnsiTheme="minorEastAsia" w:eastAsiaTheme="minorEastAsia" w:cstheme="minorEastAsia"/>
          <w:b/>
          <w:sz w:val="24"/>
          <w:u w:val="none"/>
        </w:rPr>
      </w:pPr>
      <w:r>
        <w:rPr>
          <w:rFonts w:hint="eastAsia" w:asciiTheme="minorEastAsia" w:hAnsiTheme="minorEastAsia" w:eastAsiaTheme="minorEastAsia" w:cstheme="minorEastAsia"/>
          <w:b/>
          <w:sz w:val="24"/>
          <w:u w:val="none"/>
        </w:rPr>
        <w:t>（四）政采云平台</w:t>
      </w:r>
    </w:p>
    <w:p>
      <w:pPr>
        <w:spacing w:line="360" w:lineRule="auto"/>
        <w:ind w:firstLine="480" w:firstLineChars="200"/>
        <w:rPr>
          <w:rFonts w:hint="eastAsia" w:asciiTheme="minorEastAsia" w:hAnsiTheme="minorEastAsia" w:eastAsiaTheme="minorEastAsia" w:cstheme="minorEastAsia"/>
          <w:sz w:val="24"/>
          <w:u w:val="none"/>
        </w:rPr>
      </w:pPr>
      <w:r>
        <w:rPr>
          <w:rFonts w:hint="eastAsia" w:asciiTheme="minorEastAsia" w:hAnsiTheme="minorEastAsia" w:eastAsiaTheme="minorEastAsia" w:cstheme="minorEastAsia"/>
          <w:sz w:val="24"/>
          <w:u w:val="none"/>
        </w:rPr>
        <w:t>联系电话：</w:t>
      </w:r>
      <w:r>
        <w:rPr>
          <w:rFonts w:hint="eastAsia" w:asciiTheme="minorEastAsia" w:hAnsiTheme="minorEastAsia" w:eastAsiaTheme="minorEastAsia" w:cstheme="minorEastAsia"/>
          <w:sz w:val="24"/>
          <w:u w:val="none"/>
          <w:lang w:val="en-US" w:eastAsia="zh-CN"/>
        </w:rPr>
        <w:t>95763</w:t>
      </w:r>
      <w:r>
        <w:rPr>
          <w:rFonts w:hint="eastAsia" w:asciiTheme="minorEastAsia" w:hAnsiTheme="minorEastAsia" w:eastAsiaTheme="minorEastAsia" w:cstheme="minorEastAsia"/>
          <w:sz w:val="24"/>
          <w:u w:val="none"/>
        </w:rPr>
        <w:t xml:space="preserve">  </w:t>
      </w:r>
      <w:r>
        <w:rPr>
          <w:rFonts w:hint="eastAsia" w:asciiTheme="minorEastAsia" w:hAnsiTheme="minorEastAsia" w:eastAsiaTheme="minorEastAsia" w:cstheme="minorEastAsia"/>
          <w:sz w:val="24"/>
          <w:u w:val="none"/>
          <w:lang w:val="en-US" w:eastAsia="zh-CN"/>
        </w:rPr>
        <w:t xml:space="preserve">      </w:t>
      </w:r>
      <w:r>
        <w:rPr>
          <w:rFonts w:hint="eastAsia" w:asciiTheme="minorEastAsia" w:hAnsiTheme="minorEastAsia" w:eastAsiaTheme="minorEastAsia" w:cstheme="minorEastAsia"/>
          <w:sz w:val="24"/>
          <w:u w:val="non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hint="eastAsia" w:asciiTheme="minorEastAsia" w:hAnsiTheme="minorEastAsia" w:eastAsiaTheme="minorEastAsia" w:cstheme="minorEastAsia"/>
          <w:sz w:val="24"/>
          <w:shd w:val="clear" w:color="auto" w:fill="FFFFFF"/>
          <w:lang w:val="en-US" w:eastAsia="zh-CN"/>
        </w:rPr>
      </w:pPr>
      <w:r>
        <w:rPr>
          <w:rFonts w:hint="eastAsia" w:asciiTheme="minorEastAsia" w:hAnsiTheme="minorEastAsia" w:eastAsiaTheme="minorEastAsia" w:cstheme="minorEastAsia"/>
          <w:sz w:val="24"/>
          <w:shd w:val="clear" w:color="auto" w:fill="FFFFFF"/>
          <w:lang w:val="en-US" w:eastAsia="zh-CN"/>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4320" w:firstLineChars="1800"/>
        <w:jc w:val="right"/>
        <w:rPr>
          <w:rFonts w:asciiTheme="minorEastAsia" w:hAnsiTheme="minorEastAsia" w:eastAsiaTheme="minorEastAsia" w:cstheme="minorEastAsia"/>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政府采购中心</w:t>
      </w:r>
      <w:r>
        <w:rPr>
          <w:rFonts w:hint="eastAsia" w:asciiTheme="minorEastAsia" w:hAnsiTheme="minorEastAsia" w:eastAsiaTheme="minorEastAsia" w:cstheme="minorEastAsia"/>
          <w:kern w:val="0"/>
          <w:sz w:val="24"/>
        </w:rPr>
        <w:t xml:space="preserve"> </w:t>
      </w:r>
    </w:p>
    <w:p>
      <w:pPr>
        <w:widowControl/>
        <w:spacing w:line="360" w:lineRule="auto"/>
        <w:ind w:firstLine="200"/>
        <w:jc w:val="right"/>
        <w:rPr>
          <w:rFonts w:eastAsiaTheme="minorEastAsia"/>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en-US" w:eastAsia="zh-CN"/>
        </w:rPr>
        <w:t>2024</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25</w:t>
      </w:r>
      <w:r>
        <w:rPr>
          <w:rFonts w:hint="eastAsia" w:asciiTheme="minorEastAsia" w:hAnsiTheme="minorEastAsia" w:eastAsiaTheme="minorEastAsia" w:cstheme="minorEastAsia"/>
          <w:kern w:val="0"/>
          <w:sz w:val="24"/>
        </w:rPr>
        <w:t>日</w:t>
      </w:r>
    </w:p>
    <w:bookmarkEnd w:id="24"/>
    <w:bookmarkEnd w:id="25"/>
    <w:p>
      <w:pPr>
        <w:numPr>
          <w:ilvl w:val="0"/>
          <w:numId w:val="4"/>
        </w:numPr>
        <w:spacing w:line="360" w:lineRule="auto"/>
        <w:jc w:val="center"/>
        <w:outlineLvl w:val="0"/>
        <w:rPr>
          <w:rFonts w:asciiTheme="minorEastAsia" w:hAnsiTheme="minorEastAsia" w:eastAsiaTheme="minorEastAsia"/>
          <w:b/>
          <w:sz w:val="36"/>
          <w:szCs w:val="36"/>
        </w:rPr>
      </w:pPr>
      <w:bookmarkStart w:id="32" w:name="_Toc6994"/>
      <w:r>
        <w:rPr>
          <w:rFonts w:hint="eastAsia" w:asciiTheme="minorEastAsia" w:hAnsiTheme="minorEastAsia" w:eastAsiaTheme="minorEastAsia"/>
          <w:b/>
          <w:sz w:val="36"/>
          <w:szCs w:val="36"/>
        </w:rPr>
        <w:t>供应商须知</w:t>
      </w:r>
      <w:bookmarkEnd w:id="32"/>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4"/>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事</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 /</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w:t>
            </w:r>
            <w:r>
              <w:rPr>
                <w:rFonts w:hint="eastAsia" w:ascii="宋体" w:hAnsi="宋体" w:cs="宋体"/>
                <w:sz w:val="21"/>
                <w:szCs w:val="21"/>
                <w:highlight w:val="none"/>
                <w:lang w:val="en-US" w:eastAsia="zh-CN"/>
              </w:rPr>
              <w:t>可</w:t>
            </w:r>
            <w:r>
              <w:rPr>
                <w:rFonts w:hint="eastAsia" w:ascii="宋体" w:hAnsi="宋体" w:eastAsia="宋体" w:cs="宋体"/>
                <w:sz w:val="21"/>
                <w:szCs w:val="21"/>
                <w:highlight w:val="none"/>
              </w:rPr>
              <w:t>分包部分详见招标需求内容）/</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2"/>
                <w:sz w:val="21"/>
                <w:szCs w:val="24"/>
                <w:lang w:val="en-US" w:eastAsia="zh-CN" w:bidi="ar-SA"/>
              </w:rPr>
            </w:pPr>
            <w:r>
              <w:rPr>
                <w:rFonts w:hint="eastAsia" w:ascii="宋体" w:hAnsi="宋体" w:cs="宋体"/>
                <w:lang w:val="en-US" w:eastAsia="zh-CN"/>
              </w:rPr>
              <w:t>是否需要提供预付款保函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答疑会或</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响应文件的制作和递交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请供应商仔细阅读</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政府采购项目电子交易操作指南</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1.响应文件的制作：供应商按照本项目磋商文件和政采云平台的要求，通过政采云电子交易客户端编制、加密并递交响应文件（下载网址：</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"http://www.zjzfcg.gov.cn/bidClientTemplate/2019-09-24/12975.html）。"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sz w:val="21"/>
                <w:szCs w:val="21"/>
              </w:rPr>
              <w:t>https://zfcg.czt.zj.gov.cn/download/index.html</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fldChar w:fldCharType="end"/>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2.递交响应文件：供应商应当在响应截止时间前（磋商当天北京时间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color w:val="000000" w:themeColor="text1"/>
                <w:sz w:val="21"/>
                <w:szCs w:val="21"/>
                <w14:textFill>
                  <w14:solidFill>
                    <w14:schemeClr w14:val="tx1"/>
                  </w14:solidFill>
                </w14:textFill>
              </w:rPr>
              <w:t>）完成响应文件的递交，逾期递交的响应文件恕不接受。补充或者修改响应文件的，应当先行撤回原文件，补充、修改后重新递交。响应截止时间前未完成递交的，视为撤回响应文件。</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3.响应文件解密：供应商应在磋商当天北京时间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color w:val="000000" w:themeColor="text1"/>
                <w:sz w:val="21"/>
                <w:szCs w:val="21"/>
                <w14:textFill>
                  <w14:solidFill>
                    <w14:schemeClr w14:val="tx1"/>
                  </w14:solidFill>
                </w14:textFill>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3"/>
              <w:keepNext w:val="0"/>
              <w:keepLines w:val="0"/>
              <w:pageBreakBefore w:val="0"/>
              <w:kinsoku/>
              <w:wordWrap/>
              <w:overflowPunct/>
              <w:topLinePunct w:val="0"/>
              <w:bidi w:val="0"/>
              <w:adjustRightInd/>
              <w:snapToGrid/>
              <w:spacing w:after="0" w:line="300" w:lineRule="auto"/>
              <w:ind w:left="0" w:leftChars="0" w:firstLine="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备份响应文件的递交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3"/>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备份响应文件是通过“政采云电子交易客户端”</w:t>
            </w:r>
            <w:r>
              <w:rPr>
                <w:rFonts w:hint="eastAsia" w:ascii="宋体" w:hAnsi="宋体" w:cs="宋体"/>
                <w:color w:val="000000" w:themeColor="text1"/>
                <w:sz w:val="21"/>
                <w:szCs w:val="21"/>
                <w:lang w:eastAsia="zh-CN"/>
                <w14:textFill>
                  <w14:solidFill>
                    <w14:schemeClr w14:val="tx1"/>
                  </w14:solidFill>
                </w14:textFill>
              </w:rPr>
              <w:t>制作</w:t>
            </w:r>
            <w:r>
              <w:rPr>
                <w:rFonts w:hint="eastAsia" w:ascii="宋体" w:hAnsi="宋体" w:eastAsia="宋体" w:cs="宋体"/>
                <w:color w:val="000000" w:themeColor="text1"/>
                <w:sz w:val="21"/>
                <w:szCs w:val="21"/>
                <w14:textFill>
                  <w14:solidFill>
                    <w14:schemeClr w14:val="tx1"/>
                  </w14:solidFill>
                </w14:textFill>
              </w:rPr>
              <w:t>响应文件产生的备份文件，请供应商自行妥善保管。</w:t>
            </w:r>
          </w:p>
          <w:p>
            <w:pPr>
              <w:pStyle w:val="23"/>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1.使用前提：在解密截止时间前，供应商自行在线解密操作失败,又未能及时联系技术人员帮助解密，或者供应商寻求技术人员帮助仍无法完成解密。</w:t>
            </w:r>
          </w:p>
          <w:p>
            <w:pPr>
              <w:pStyle w:val="23"/>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2.递交截止时间：磋商当天</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50</w:t>
            </w:r>
            <w:r>
              <w:rPr>
                <w:rFonts w:hint="eastAsia" w:ascii="宋体" w:hAnsi="宋体" w:eastAsia="宋体" w:cs="宋体"/>
                <w:color w:val="000000" w:themeColor="text1"/>
                <w:sz w:val="21"/>
                <w:szCs w:val="21"/>
                <w14:textFill>
                  <w14:solidFill>
                    <w14:schemeClr w14:val="tx1"/>
                  </w14:solidFill>
                </w14:textFill>
              </w:rPr>
              <w:t>（北京时间）。</w:t>
            </w:r>
          </w:p>
          <w:p>
            <w:pPr>
              <w:pStyle w:val="23"/>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3.投递邮箱：磋商当天公布的指定邮箱。</w:t>
            </w:r>
          </w:p>
          <w:p>
            <w:pPr>
              <w:pStyle w:val="23"/>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4.未按上述要求递交备份响应文件或所提供的备份响应文件不符合要求的视同放弃本次磋商，仅提交备份响应文件的，响应无效。</w:t>
            </w:r>
          </w:p>
          <w:p>
            <w:pPr>
              <w:pStyle w:val="23"/>
              <w:keepNext w:val="0"/>
              <w:keepLines w:val="0"/>
              <w:pageBreakBefore w:val="0"/>
              <w:kinsoku/>
              <w:wordWrap/>
              <w:overflowPunct/>
              <w:topLinePunct w:val="0"/>
              <w:bidi w:val="0"/>
              <w:adjustRightInd/>
              <w:snapToGrid/>
              <w:spacing w:after="0" w:line="300" w:lineRule="auto"/>
              <w:ind w:left="0" w:leftChars="0" w:firstLine="420" w:firstLineChars="200"/>
              <w:jc w:val="left"/>
              <w:textAlignment w:val="auto"/>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5.供应商未按时完成解密的，并符合备份投标文件使用前提的，供应商应提供备份投标文件，否则视为放弃投标。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不见面磋商</w:t>
            </w:r>
          </w:p>
          <w:p>
            <w:pPr>
              <w:pStyle w:val="2"/>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(该项根据实际需求进行调整或删减)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1"/>
              <w:keepNext w:val="0"/>
              <w:keepLines w:val="0"/>
              <w:pageBreakBefore w:val="0"/>
              <w:kinsoku/>
              <w:wordWrap/>
              <w:overflowPunct/>
              <w:topLinePunct w:val="0"/>
              <w:bidi w:val="0"/>
              <w:adjustRightInd/>
              <w:snapToGrid/>
              <w:spacing w:before="0" w:beforeAutospacing="0" w:after="0" w:afterAutospacing="0" w:line="300" w:lineRule="auto"/>
              <w:ind w:left="0"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本项目开评标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造成无法响应或响应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1"/>
                <w:szCs w:val="21"/>
              </w:rPr>
            </w:pPr>
            <w:r>
              <w:rPr>
                <w:rFonts w:hint="eastAsia" w:ascii="宋体" w:hAnsi="宋体" w:eastAsia="宋体" w:cs="宋体"/>
                <w:szCs w:val="21"/>
                <w:lang w:val="en-US" w:eastAsia="zh-CN"/>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磋商</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向响应</w:t>
            </w:r>
            <w:r>
              <w:rPr>
                <w:rFonts w:hint="eastAsia" w:ascii="宋体" w:hAnsi="宋体" w:eastAsia="宋体" w:cs="宋体"/>
                <w:sz w:val="21"/>
                <w:szCs w:val="21"/>
                <w:lang w:val="en-US" w:eastAsia="zh-CN"/>
              </w:rPr>
              <w:t>人发起远程询标，</w:t>
            </w: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人需提前做好准备。</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w:t>
            </w:r>
            <w:r>
              <w:rPr>
                <w:rFonts w:hint="eastAsia" w:ascii="宋体" w:hAnsi="宋体" w:cs="宋体"/>
                <w:sz w:val="21"/>
                <w:szCs w:val="21"/>
                <w:lang w:val="en-US" w:eastAsia="zh-CN"/>
              </w:rPr>
              <w:t>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sz w:val="21"/>
                <w:szCs w:val="21"/>
                <w:lang w:val="en-US" w:eastAsia="zh-CN"/>
              </w:rPr>
              <w:t>“政采云视频讲标系统”目前不支持手机端，</w:t>
            </w:r>
            <w:r>
              <w:rPr>
                <w:rFonts w:hint="eastAsia" w:ascii="宋体" w:hAnsi="宋体" w:cs="宋体"/>
                <w:sz w:val="21"/>
                <w:szCs w:val="21"/>
                <w:lang w:val="en-US" w:eastAsia="zh-CN"/>
              </w:rPr>
              <w:t>响应</w:t>
            </w:r>
            <w:r>
              <w:rPr>
                <w:rFonts w:hint="eastAsia" w:ascii="宋体" w:hAnsi="宋体" w:eastAsia="宋体" w:cs="宋体"/>
                <w:sz w:val="21"/>
                <w:szCs w:val="21"/>
                <w:lang w:val="en-US" w:eastAsia="zh-CN"/>
              </w:rPr>
              <w:t>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2"/>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1.本项目实行电子采购，采用电子响应文件。若供应商参与本项目，自行承担磋商活动一切费用。</w:t>
            </w:r>
          </w:p>
          <w:p>
            <w:pPr>
              <w:pStyle w:val="12"/>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信用信息</w:t>
            </w:r>
          </w:p>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信用中国（网址：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"http://www.creditchina.gov.cn" </w:instrText>
            </w:r>
            <w:r>
              <w:rPr>
                <w:rFonts w:hint="eastAsia" w:ascii="宋体" w:hAnsi="宋体" w:eastAsia="宋体" w:cs="宋体"/>
                <w:sz w:val="21"/>
                <w:szCs w:val="21"/>
              </w:rPr>
              <w:fldChar w:fldCharType="separate"/>
            </w:r>
            <w:r>
              <w:rPr>
                <w:rFonts w:hint="eastAsia" w:ascii="宋体" w:hAnsi="宋体" w:eastAsia="宋体" w:cs="宋体"/>
                <w:color w:val="000000" w:themeColor="text1"/>
                <w:sz w:val="21"/>
                <w:szCs w:val="21"/>
                <w14:textFill>
                  <w14:solidFill>
                    <w14:schemeClr w14:val="tx1"/>
                  </w14:solidFill>
                </w14:textFill>
              </w:rPr>
              <w:t>http://www.creditchina.gov.cn</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中国政府采购网（网址：http://www.ccgp.gov.cn</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根据《政府采购促进中小企业发展管理办法》</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财库〔2020〕46号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文件的规定，</w:t>
            </w:r>
            <w:r>
              <w:rPr>
                <w:rFonts w:hint="eastAsia" w:ascii="宋体" w:hAnsi="宋体" w:eastAsia="宋体" w:cs="宋体"/>
                <w:sz w:val="21"/>
                <w:szCs w:val="21"/>
              </w:rPr>
              <w:t>本项目</w:t>
            </w:r>
            <w:r>
              <w:rPr>
                <w:rFonts w:hint="eastAsia" w:ascii="宋体" w:hAnsi="宋体" w:cs="宋体"/>
                <w:sz w:val="21"/>
                <w:szCs w:val="21"/>
                <w:lang w:eastAsia="zh-CN"/>
              </w:rPr>
              <w:t>（☑</w:t>
            </w:r>
            <w:r>
              <w:rPr>
                <w:rFonts w:hint="eastAsia" w:ascii="宋体" w:hAnsi="宋体" w:eastAsia="宋体" w:cs="宋体"/>
                <w:sz w:val="21"/>
                <w:szCs w:val="21"/>
              </w:rPr>
              <w:t>是 /</w:t>
            </w:r>
            <w:r>
              <w:rPr>
                <w:rFonts w:hint="eastAsia" w:ascii="宋体" w:hAnsi="宋体" w:cs="宋体"/>
                <w:sz w:val="21"/>
                <w:szCs w:val="21"/>
                <w:lang w:eastAsia="zh-CN"/>
              </w:rPr>
              <w:t>□</w:t>
            </w:r>
            <w:r>
              <w:rPr>
                <w:rFonts w:hint="eastAsia" w:ascii="宋体" w:hAnsi="宋体" w:eastAsia="宋体" w:cs="宋体"/>
                <w:sz w:val="21"/>
                <w:szCs w:val="21"/>
              </w:rPr>
              <w:t xml:space="preserve"> 否</w:t>
            </w:r>
            <w:r>
              <w:rPr>
                <w:rFonts w:hint="eastAsia" w:ascii="宋体" w:hAnsi="宋体" w:cs="宋体"/>
                <w:sz w:val="21"/>
                <w:szCs w:val="21"/>
                <w:lang w:eastAsia="zh-CN"/>
              </w:rPr>
              <w:t>）</w:t>
            </w:r>
            <w:r>
              <w:rPr>
                <w:rFonts w:hint="eastAsia" w:ascii="宋体" w:hAnsi="宋体" w:eastAsia="宋体" w:cs="宋体"/>
                <w:sz w:val="21"/>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中小企业</w:t>
            </w:r>
          </w:p>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1.项目属性</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服务类</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2.中小企业划分标准所属行业（具体根据《中小企业划型标准规定》执行）</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采购标的：</w:t>
            </w:r>
            <w:r>
              <w:rPr>
                <w:rFonts w:hint="eastAsia" w:ascii="宋体" w:hAnsi="宋体" w:eastAsia="宋体" w:cs="宋体"/>
                <w:sz w:val="24"/>
                <w:szCs w:val="24"/>
                <w:highlight w:val="none"/>
                <w:u w:val="single"/>
                <w:lang w:val="en-US" w:eastAsia="zh-CN"/>
              </w:rPr>
              <w:t>安保服务项目</w:t>
            </w:r>
            <w:r>
              <w:rPr>
                <w:rFonts w:hint="eastAsia" w:ascii="宋体" w:hAnsi="宋体" w:eastAsia="宋体" w:cs="宋体"/>
                <w:sz w:val="21"/>
                <w:szCs w:val="21"/>
              </w:rPr>
              <w:t>，所属行业：</w:t>
            </w:r>
            <w:r>
              <w:rPr>
                <w:rFonts w:hint="eastAsia" w:asciiTheme="minorEastAsia" w:hAnsiTheme="minorEastAsia" w:eastAsiaTheme="minorEastAsia" w:cstheme="minorEastAsia"/>
                <w:sz w:val="24"/>
                <w:u w:val="single"/>
              </w:rPr>
              <w:t>租赁和商务服务业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响应</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w:t>
            </w:r>
            <w:r>
              <w:rPr>
                <w:rFonts w:hint="eastAsia" w:ascii="宋体" w:hAnsi="宋体" w:eastAsia="宋体" w:cs="宋体"/>
                <w:szCs w:val="21"/>
                <w:lang w:eastAsia="zh-CN"/>
              </w:rPr>
              <w:t>响应</w:t>
            </w:r>
            <w:r>
              <w:rPr>
                <w:rFonts w:hint="eastAsia" w:ascii="宋体" w:hAnsi="宋体" w:eastAsia="宋体" w:cs="宋体"/>
                <w:szCs w:val="21"/>
              </w:rPr>
              <w:t>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带“</w:t>
            </w:r>
            <w:r>
              <w:rPr>
                <w:rFonts w:hint="eastAsia" w:ascii="宋体" w:hAnsi="宋体" w:eastAsia="宋体" w:cs="宋体"/>
                <w:bCs/>
                <w:color w:val="000000" w:themeColor="text1"/>
                <w:sz w:val="21"/>
                <w:szCs w:val="21"/>
                <w14:textFill>
                  <w14:solidFill>
                    <w14:schemeClr w14:val="tx1"/>
                  </w14:solidFill>
                </w14:textFill>
              </w:rPr>
              <w:t>▲”的条款是实质性条款，响应文件须作出实质性响应，否则作无效响应处理。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left="0" w:lef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本磋商文件解释权属于采购人和采购组织机构。</w:t>
            </w:r>
          </w:p>
        </w:tc>
      </w:tr>
    </w:tbl>
    <w:p>
      <w:pPr>
        <w:pStyle w:val="12"/>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二、说 明</w:t>
      </w:r>
    </w:p>
    <w:p>
      <w:pPr>
        <w:pStyle w:val="13"/>
        <w:spacing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w:t>
      </w:r>
      <w:r>
        <w:rPr>
          <w:rFonts w:hint="eastAsia" w:asciiTheme="minorEastAsia" w:hAnsiTheme="minorEastAsia" w:eastAsiaTheme="minorEastAsia"/>
          <w:sz w:val="24"/>
        </w:rPr>
        <w:t>磋商</w:t>
      </w:r>
      <w:r>
        <w:rPr>
          <w:rFonts w:asciiTheme="minorEastAsia" w:hAnsiTheme="minorEastAsia" w:eastAsiaTheme="minorEastAsia"/>
          <w:sz w:val="24"/>
        </w:rPr>
        <w:t>文件依据《中华人民共和国政府采购法》、《中华人民共和国政府采购法实施条例》（国务院令第658号）和</w:t>
      </w:r>
      <w:r>
        <w:rPr>
          <w:rFonts w:hAnsi="宋体"/>
          <w:sz w:val="24"/>
        </w:rPr>
        <w:t>《政府采购竞争性磋商采购方式管理暂行办法》</w:t>
      </w:r>
      <w:r>
        <w:rPr>
          <w:rFonts w:asciiTheme="minorEastAsia" w:hAnsiTheme="minorEastAsia" w:eastAsiaTheme="minorEastAsia"/>
          <w:sz w:val="24"/>
        </w:rPr>
        <w:t>（</w:t>
      </w:r>
      <w:r>
        <w:rPr>
          <w:rFonts w:hAnsi="宋体"/>
          <w:sz w:val="24"/>
        </w:rPr>
        <w:t>财库〔</w:t>
      </w:r>
      <w:r>
        <w:rPr>
          <w:sz w:val="24"/>
        </w:rPr>
        <w:t>2014</w:t>
      </w:r>
      <w:r>
        <w:rPr>
          <w:rFonts w:hAnsi="宋体"/>
          <w:sz w:val="24"/>
        </w:rPr>
        <w:t>〕</w:t>
      </w:r>
      <w:r>
        <w:rPr>
          <w:sz w:val="24"/>
        </w:rPr>
        <w:t>214</w:t>
      </w:r>
      <w:r>
        <w:rPr>
          <w:rFonts w:hAnsi="宋体"/>
          <w:sz w:val="24"/>
        </w:rPr>
        <w:t>号</w:t>
      </w:r>
      <w:r>
        <w:rPr>
          <w:rFonts w:asciiTheme="minorEastAsia" w:hAnsiTheme="minorEastAsia" w:eastAsiaTheme="minorEastAsia"/>
          <w:sz w:val="24"/>
        </w:rPr>
        <w:t>）及国家和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磋商</w:t>
      </w:r>
      <w:r>
        <w:rPr>
          <w:rFonts w:asciiTheme="minorEastAsia" w:hAnsiTheme="minorEastAsia" w:eastAsiaTheme="minorEastAsia"/>
          <w:sz w:val="24"/>
        </w:rPr>
        <w:t>供应商应仔细阅读本项目</w:t>
      </w:r>
      <w:r>
        <w:rPr>
          <w:rFonts w:hint="eastAsia" w:asciiTheme="minorEastAsia" w:hAnsiTheme="minorEastAsia" w:eastAsiaTheme="minorEastAsia"/>
          <w:sz w:val="24"/>
        </w:rPr>
        <w:t>采购</w:t>
      </w:r>
      <w:r>
        <w:rPr>
          <w:rFonts w:asciiTheme="minorEastAsia" w:hAnsiTheme="minorEastAsia" w:eastAsiaTheme="minorEastAsia"/>
          <w:sz w:val="24"/>
        </w:rPr>
        <w:t>公告及</w:t>
      </w:r>
      <w:r>
        <w:rPr>
          <w:rFonts w:hint="eastAsia" w:asciiTheme="minorEastAsia" w:hAnsiTheme="minorEastAsia" w:eastAsiaTheme="minorEastAsia"/>
          <w:sz w:val="24"/>
        </w:rPr>
        <w:t>磋商</w:t>
      </w:r>
      <w:r>
        <w:rPr>
          <w:rFonts w:asciiTheme="minorEastAsia" w:hAnsiTheme="minorEastAsia" w:eastAsiaTheme="minorEastAsia"/>
          <w:sz w:val="24"/>
        </w:rPr>
        <w:t>文件的所有内容（包括变更、补充、澄清以及修改等，均为</w:t>
      </w:r>
      <w:r>
        <w:rPr>
          <w:rFonts w:hint="eastAsia" w:asciiTheme="minorEastAsia" w:hAnsiTheme="minorEastAsia" w:eastAsiaTheme="minorEastAsia"/>
          <w:sz w:val="24"/>
        </w:rPr>
        <w:t>磋商</w:t>
      </w:r>
      <w:r>
        <w:rPr>
          <w:rFonts w:asciiTheme="minorEastAsia" w:hAnsiTheme="minorEastAsia" w:eastAsiaTheme="minorEastAsia"/>
          <w:sz w:val="24"/>
        </w:rPr>
        <w:t>文件的组成部分），按照</w:t>
      </w:r>
      <w:r>
        <w:rPr>
          <w:rFonts w:hint="eastAsia" w:asciiTheme="minorEastAsia" w:hAnsiTheme="minorEastAsia" w:eastAsiaTheme="minorEastAsia"/>
          <w:sz w:val="24"/>
        </w:rPr>
        <w:t>磋商</w:t>
      </w:r>
      <w:r>
        <w:rPr>
          <w:rFonts w:asciiTheme="minorEastAsia" w:hAnsiTheme="minorEastAsia" w:eastAsiaTheme="minorEastAsia"/>
          <w:sz w:val="24"/>
        </w:rPr>
        <w:t>文件要求以及格式编制</w:t>
      </w:r>
      <w:r>
        <w:rPr>
          <w:rFonts w:hint="eastAsia" w:asciiTheme="minorEastAsia" w:hAnsiTheme="minorEastAsia" w:eastAsiaTheme="minorEastAsia"/>
          <w:sz w:val="24"/>
        </w:rPr>
        <w:t>磋商响应</w:t>
      </w:r>
      <w:r>
        <w:rPr>
          <w:rFonts w:asciiTheme="minorEastAsia" w:hAnsiTheme="minorEastAsia" w:eastAsiaTheme="minorEastAsia"/>
          <w:sz w:val="24"/>
        </w:rPr>
        <w:t>文件，并保证其真实性，否则</w:t>
      </w:r>
      <w:r>
        <w:rPr>
          <w:rFonts w:hint="eastAsia"/>
          <w:sz w:val="24"/>
        </w:rPr>
        <w:t>由此引起的一切后果应由</w:t>
      </w:r>
      <w:r>
        <w:rPr>
          <w:rFonts w:hint="eastAsia" w:asciiTheme="minorEastAsia" w:hAnsiTheme="minorEastAsia" w:eastAsiaTheme="minorEastAsia"/>
          <w:sz w:val="24"/>
        </w:rPr>
        <w:t>磋商</w:t>
      </w:r>
      <w:r>
        <w:rPr>
          <w:rFonts w:asciiTheme="minorEastAsia" w:hAnsiTheme="minorEastAsia" w:eastAsiaTheme="minorEastAsia"/>
          <w:sz w:val="24"/>
        </w:rPr>
        <w:t>供应商</w:t>
      </w:r>
      <w:r>
        <w:rPr>
          <w:rFonts w:hint="eastAsia"/>
          <w:sz w:val="24"/>
        </w:rPr>
        <w:t>承担</w:t>
      </w:r>
      <w:r>
        <w:rPr>
          <w:rFonts w:asciiTheme="minorEastAsia" w:hAnsiTheme="minorEastAsia" w:eastAsiaTheme="minorEastAsia"/>
          <w:sz w:val="24"/>
        </w:rPr>
        <w:t>。</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本磋商文件适用于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w:t>
      </w:r>
      <w:r>
        <w:rPr>
          <w:rFonts w:hint="eastAsia" w:ascii="宋体" w:hAnsi="宋体"/>
          <w:sz w:val="24"/>
        </w:rPr>
        <w:t>磋商、</w:t>
      </w:r>
      <w:r>
        <w:rPr>
          <w:rFonts w:hint="eastAsia" w:ascii="宋体" w:hAnsi="宋体"/>
          <w:bCs/>
          <w:sz w:val="24"/>
        </w:rPr>
        <w:t>评审、确定成交供应商</w:t>
      </w:r>
      <w:r>
        <w:rPr>
          <w:rFonts w:hint="eastAsia" w:asciiTheme="minorEastAsia" w:hAnsiTheme="minorEastAsia" w:eastAsiaTheme="minorEastAsia"/>
          <w:sz w:val="24"/>
        </w:rPr>
        <w:t>、验收、合同履约、付款等行为（法律、法规另有规定的，从其规定）。</w:t>
      </w:r>
    </w:p>
    <w:p>
      <w:pPr>
        <w:pStyle w:val="10"/>
        <w:spacing w:line="360" w:lineRule="auto"/>
        <w:ind w:firstLine="480" w:firstLineChars="200"/>
      </w:pPr>
      <w:r>
        <w:t>本</w:t>
      </w:r>
      <w:r>
        <w:rPr>
          <w:rFonts w:hint="eastAsia"/>
        </w:rPr>
        <w:t>磋商</w:t>
      </w:r>
      <w:r>
        <w:t>文件仅适用于本次</w:t>
      </w:r>
      <w:r>
        <w:rPr>
          <w:rFonts w:hint="eastAsia"/>
        </w:rPr>
        <w:t>采购</w:t>
      </w:r>
      <w:r>
        <w:t>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hint="eastAsia" w:asciiTheme="minorEastAsia" w:hAnsiTheme="minorEastAsia" w:eastAsiaTheme="minorEastAsia"/>
          <w:bCs w:val="0"/>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rPr>
        <w:t>采购人：是指依法进行政府采购的国家机关、事业单位和团体组织</w:t>
      </w:r>
      <w:r>
        <w:rPr>
          <w:rFonts w:hint="eastAsia" w:asciiTheme="minorEastAsia" w:hAnsiTheme="minorEastAsia" w:eastAsiaTheme="minorEastAsia"/>
          <w:sz w:val="24"/>
          <w:lang w:eastAsia="zh-CN"/>
        </w:rPr>
        <w:t>；</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w:t>
      </w:r>
      <w:r>
        <w:rPr>
          <w:rFonts w:hint="eastAsia"/>
          <w:bCs w:val="0"/>
          <w:sz w:val="24"/>
          <w:szCs w:val="24"/>
        </w:rPr>
        <w:t>磋商</w:t>
      </w:r>
      <w:r>
        <w:rPr>
          <w:rFonts w:hint="eastAsia"/>
          <w:bCs w:val="0"/>
          <w:sz w:val="24"/>
          <w:szCs w:val="24"/>
          <w:lang w:val="zh-CN"/>
        </w:rPr>
        <w:t>的集中采购机构</w:t>
      </w:r>
      <w:r>
        <w:rPr>
          <w:rFonts w:hint="eastAsia" w:cs="Arial"/>
          <w:bCs w:val="0"/>
          <w:sz w:val="24"/>
          <w:szCs w:val="24"/>
        </w:rPr>
        <w:t>/</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3.供应商：是指向采购人提供货物、工程或者服务的法人、其他组织或者自然人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ascii="宋体" w:hAnsi="宋体"/>
          <w:sz w:val="24"/>
          <w:lang w:val="zh-CN"/>
        </w:rPr>
      </w:pPr>
      <w:r>
        <w:rPr>
          <w:rFonts w:hint="eastAsia" w:ascii="宋体" w:hAnsi="宋体"/>
          <w:sz w:val="24"/>
        </w:rPr>
        <w:t>4.成交</w:t>
      </w:r>
      <w:r>
        <w:rPr>
          <w:rFonts w:hint="eastAsia" w:ascii="宋体" w:hAnsi="宋体"/>
          <w:sz w:val="24"/>
          <w:lang w:val="zh-CN"/>
        </w:rPr>
        <w:t>供应商：是指经</w:t>
      </w:r>
      <w:r>
        <w:rPr>
          <w:rFonts w:hint="eastAsia" w:asciiTheme="minorEastAsia" w:hAnsiTheme="minorEastAsia" w:eastAsiaTheme="minorEastAsia" w:cstheme="minorBidi"/>
          <w:sz w:val="24"/>
        </w:rPr>
        <w:t>磋商小组</w:t>
      </w:r>
      <w:r>
        <w:rPr>
          <w:rFonts w:hint="eastAsia" w:ascii="宋体" w:hAnsi="宋体"/>
          <w:sz w:val="24"/>
          <w:lang w:val="zh-CN"/>
        </w:rPr>
        <w:t>评审确定的对</w:t>
      </w:r>
      <w:r>
        <w:rPr>
          <w:rFonts w:hint="eastAsia" w:ascii="宋体" w:hAnsi="宋体"/>
          <w:sz w:val="24"/>
        </w:rPr>
        <w:t>磋商</w:t>
      </w:r>
      <w:r>
        <w:rPr>
          <w:rFonts w:hint="eastAsia" w:ascii="宋体" w:hAnsi="宋体"/>
          <w:sz w:val="24"/>
          <w:lang w:val="zh-CN"/>
        </w:rPr>
        <w:t>文件作出实质性响应，经采购人按照规定在</w:t>
      </w:r>
      <w:r>
        <w:rPr>
          <w:rFonts w:hint="eastAsia" w:asciiTheme="minorEastAsia" w:hAnsiTheme="minorEastAsia" w:eastAsiaTheme="minorEastAsia" w:cstheme="minorBidi"/>
          <w:sz w:val="24"/>
        </w:rPr>
        <w:t>磋商小组</w:t>
      </w:r>
      <w:r>
        <w:rPr>
          <w:rFonts w:hint="eastAsia" w:ascii="宋体" w:hAnsi="宋体"/>
          <w:sz w:val="24"/>
          <w:lang w:val="zh-CN"/>
        </w:rPr>
        <w:t>推荐的</w:t>
      </w:r>
      <w:r>
        <w:rPr>
          <w:rFonts w:hint="eastAsia" w:ascii="宋体" w:hAnsi="宋体"/>
          <w:sz w:val="24"/>
        </w:rPr>
        <w:t>成交</w:t>
      </w:r>
      <w:r>
        <w:rPr>
          <w:rFonts w:hint="eastAsia" w:ascii="宋体" w:hAnsi="宋体"/>
          <w:sz w:val="24"/>
          <w:lang w:val="zh-CN"/>
        </w:rPr>
        <w:t>候选人中确定的或受采购人委托直接确认的，与采购人签订合同资格的供应商；</w:t>
      </w:r>
    </w:p>
    <w:p>
      <w:pPr>
        <w:pStyle w:val="23"/>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两个或两个以上法人或者其他组织可以组成一个联合体，以一个供应商的身份共同参与磋商。</w:t>
      </w:r>
    </w:p>
    <w:p>
      <w:pPr>
        <w:snapToGrid w:val="0"/>
        <w:spacing w:line="360" w:lineRule="auto"/>
        <w:ind w:firstLine="482" w:firstLineChars="200"/>
        <w:rPr>
          <w:b/>
          <w:bCs/>
          <w:sz w:val="24"/>
        </w:rPr>
      </w:pPr>
      <w:r>
        <w:rPr>
          <w:rFonts w:hint="eastAsia"/>
          <w:b/>
          <w:bCs/>
          <w:sz w:val="24"/>
        </w:rPr>
        <w:t>（四）</w:t>
      </w:r>
      <w:r>
        <w:rPr>
          <w:b/>
          <w:bCs/>
          <w:sz w:val="24"/>
        </w:rPr>
        <w:t>以联合体形式</w:t>
      </w:r>
      <w:r>
        <w:rPr>
          <w:rFonts w:hint="eastAsia"/>
          <w:b/>
          <w:bCs/>
          <w:sz w:val="24"/>
        </w:rPr>
        <w:t>磋商</w:t>
      </w:r>
      <w:r>
        <w:rPr>
          <w:b/>
          <w:bCs/>
          <w:sz w:val="24"/>
        </w:rPr>
        <w:t>的，应符合以下规定</w:t>
      </w:r>
    </w:p>
    <w:p>
      <w:pPr>
        <w:snapToGrid w:val="0"/>
        <w:spacing w:line="360" w:lineRule="auto"/>
        <w:ind w:firstLine="480" w:firstLineChars="200"/>
        <w:rPr>
          <w:rFonts w:hint="eastAsia"/>
          <w:sz w:val="24"/>
          <w:lang w:eastAsia="zh-CN"/>
        </w:rPr>
      </w:pPr>
      <w:r>
        <w:rPr>
          <w:rFonts w:hint="eastAsia" w:asciiTheme="minorEastAsia" w:hAnsiTheme="minorEastAsia" w:eastAsiaTheme="minorEastAsia"/>
          <w:sz w:val="24"/>
        </w:rPr>
        <w:t>1.联</w:t>
      </w:r>
      <w:r>
        <w:rPr>
          <w:sz w:val="24"/>
        </w:rPr>
        <w:t>合体各方应签订联合体协议书，明确联合体牵头人和各方权利义务，并作为</w:t>
      </w:r>
      <w:r>
        <w:rPr>
          <w:rFonts w:hint="eastAsia"/>
          <w:sz w:val="24"/>
        </w:rPr>
        <w:t>磋商响应</w:t>
      </w:r>
      <w:r>
        <w:rPr>
          <w:sz w:val="24"/>
        </w:rPr>
        <w:t>文件组成分部分</w:t>
      </w:r>
      <w:r>
        <w:rPr>
          <w:rFonts w:hint="eastAsia"/>
          <w:sz w:val="24"/>
          <w:lang w:eastAsia="zh-CN"/>
        </w:rPr>
        <w:t>；</w:t>
      </w:r>
    </w:p>
    <w:p>
      <w:pPr>
        <w:snapToGrid w:val="0"/>
        <w:spacing w:line="360" w:lineRule="auto"/>
        <w:ind w:firstLine="480" w:firstLineChars="200"/>
        <w:rPr>
          <w:rFonts w:hint="eastAsia" w:eastAsia="宋体"/>
          <w:sz w:val="24"/>
          <w:lang w:eastAsia="zh-CN"/>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w:t>
      </w:r>
      <w:r>
        <w:rPr>
          <w:rFonts w:hint="eastAsia"/>
          <w:sz w:val="24"/>
        </w:rPr>
        <w:t>响应</w:t>
      </w:r>
      <w:r>
        <w:rPr>
          <w:sz w:val="24"/>
        </w:rPr>
        <w:t>文件中提供联合体各方的相关证明材料</w:t>
      </w:r>
      <w:r>
        <w:rPr>
          <w:rFonts w:hint="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3.联合体成员存在不良信用记录的，视同联合体存在不良信用记录</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4"/>
        </w:rPr>
        <w:t>4.联合体各方中至少应当有一方符合采购人规定的资格要求。由同一资质条件的供应商组成的联合体，应当按照资质等级较低的供应商确定联合体资质等级</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5.联合体各方不得再以自己名义单独参加同一</w:t>
      </w:r>
      <w:r>
        <w:rPr>
          <w:rFonts w:hint="eastAsia" w:ascii="宋体" w:hAnsi="宋体" w:cs="宋体"/>
          <w:sz w:val="24"/>
        </w:rPr>
        <w:t>合同项</w:t>
      </w:r>
      <w:r>
        <w:rPr>
          <w:rFonts w:hint="eastAsia" w:asciiTheme="minorEastAsia" w:hAnsiTheme="minorEastAsia" w:eastAsiaTheme="minorEastAsia"/>
          <w:sz w:val="24"/>
        </w:rPr>
        <w:t>，也不得组成新的联合体参加同一项目</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6.联合体各方应当共同与采购人签订采购合同，就合同约定的事项对采购人承担连带责任</w:t>
      </w:r>
      <w:r>
        <w:rPr>
          <w:rFonts w:hint="eastAsia" w:asciiTheme="minorEastAsia" w:hAnsiTheme="minorEastAsia" w:eastAsiaTheme="minorEastAsia"/>
          <w:sz w:val="24"/>
          <w:lang w:eastAsia="zh-CN"/>
        </w:rPr>
        <w:t>；</w:t>
      </w:r>
    </w:p>
    <w:p>
      <w:pPr>
        <w:snapToGrid w:val="0"/>
        <w:spacing w:line="360" w:lineRule="auto"/>
        <w:ind w:firstLine="480" w:firstLineChars="200"/>
        <w:rPr>
          <w:sz w:val="24"/>
        </w:rPr>
      </w:pPr>
      <w:r>
        <w:rPr>
          <w:rFonts w:hint="eastAsia" w:asciiTheme="minorEastAsia" w:hAnsiTheme="minorEastAsia" w:eastAsiaTheme="minorEastAsia"/>
          <w:sz w:val="24"/>
        </w:rPr>
        <w:t>7.磋商</w:t>
      </w:r>
      <w:r>
        <w:rPr>
          <w:sz w:val="24"/>
        </w:rPr>
        <w:t>时，应以联合体协议中确定的主体方名义</w:t>
      </w:r>
      <w:r>
        <w:rPr>
          <w:rFonts w:hint="eastAsia" w:asciiTheme="minorEastAsia" w:hAnsiTheme="minorEastAsia" w:eastAsiaTheme="minorEastAsia"/>
          <w:sz w:val="24"/>
        </w:rPr>
        <w:t>磋商</w:t>
      </w:r>
      <w:r>
        <w:rPr>
          <w:sz w:val="24"/>
        </w:rPr>
        <w:t>，对联合体各方均具有约束力。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sz w:val="24"/>
        </w:rPr>
      </w:pPr>
      <w:r>
        <w:rPr>
          <w:rFonts w:hint="eastAsia" w:asciiTheme="minorEastAsia" w:hAnsiTheme="minorEastAsia" w:eastAsiaTheme="minorEastAsia"/>
          <w:sz w:val="24"/>
        </w:rPr>
        <w:t>1</w:t>
      </w:r>
      <w:r>
        <w:rPr>
          <w:rFonts w:hint="eastAsia"/>
          <w:sz w:val="24"/>
        </w:rPr>
        <w:t>.磋商响应文件以及供应商与</w:t>
      </w:r>
      <w:r>
        <w:rPr>
          <w:rFonts w:hint="eastAsia"/>
          <w:bCs w:val="0"/>
          <w:sz w:val="24"/>
          <w:szCs w:val="24"/>
          <w:lang w:val="zh-CN"/>
        </w:rPr>
        <w:t>采购组织机构</w:t>
      </w:r>
      <w:r>
        <w:rPr>
          <w:rFonts w:hint="eastAsia"/>
          <w:sz w:val="24"/>
        </w:rPr>
        <w:t>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pStyle w:val="31"/>
        <w:tabs>
          <w:tab w:val="left" w:pos="437"/>
        </w:tabs>
        <w:spacing w:line="360" w:lineRule="auto"/>
        <w:ind w:firstLine="482"/>
        <w:rPr>
          <w:b/>
          <w:bCs/>
          <w:sz w:val="24"/>
          <w:szCs w:val="24"/>
        </w:rPr>
      </w:pPr>
      <w:r>
        <w:rPr>
          <w:rFonts w:hint="eastAsia"/>
          <w:b/>
          <w:bCs/>
          <w:sz w:val="24"/>
          <w:szCs w:val="24"/>
        </w:rPr>
        <w:t>（六）</w:t>
      </w:r>
      <w:r>
        <w:rPr>
          <w:b/>
          <w:bCs/>
          <w:sz w:val="24"/>
          <w:szCs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1.磋商文件规定组织踏勘现场的，采购人按磋商文件规定的时间、地点组织供应商踏勘项目现场。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2.供应商自行承担踏勘现场发生的责任、风险和自身费用。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w:t>
      </w:r>
      <w:r>
        <w:rPr>
          <w:rFonts w:hint="eastAsia"/>
          <w:sz w:val="24"/>
        </w:rPr>
        <w:t>磋商</w:t>
      </w:r>
      <w:r>
        <w:rPr>
          <w:sz w:val="24"/>
        </w:rPr>
        <w:t>文件的修改或不作为</w:t>
      </w:r>
      <w:r>
        <w:rPr>
          <w:rFonts w:hint="eastAsia"/>
          <w:sz w:val="24"/>
        </w:rPr>
        <w:t>供应商</w:t>
      </w:r>
      <w:r>
        <w:rPr>
          <w:sz w:val="24"/>
        </w:rPr>
        <w:t>编制</w:t>
      </w:r>
      <w:r>
        <w:rPr>
          <w:rFonts w:hint="eastAsia"/>
          <w:sz w:val="24"/>
        </w:rPr>
        <w:t>磋商响应</w:t>
      </w:r>
      <w:r>
        <w:rPr>
          <w:sz w:val="24"/>
        </w:rPr>
        <w:t>文件的依据。</w:t>
      </w:r>
    </w:p>
    <w:p>
      <w:pPr>
        <w:pStyle w:val="12"/>
        <w:snapToGrid w:val="0"/>
        <w:spacing w:line="360" w:lineRule="auto"/>
        <w:ind w:firstLine="482" w:firstLineChars="200"/>
        <w:rPr>
          <w:rFonts w:hAnsi="宋体"/>
          <w:b/>
          <w:sz w:val="24"/>
        </w:rPr>
      </w:pPr>
      <w:r>
        <w:rPr>
          <w:rFonts w:hint="eastAsia" w:hAnsi="宋体"/>
          <w:b/>
          <w:sz w:val="24"/>
        </w:rPr>
        <w:t>（七）特别说明</w:t>
      </w:r>
    </w:p>
    <w:p>
      <w:pPr>
        <w:pStyle w:val="12"/>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1.供应商磋商</w:t>
      </w:r>
      <w:r>
        <w:rPr>
          <w:rFonts w:asciiTheme="minorEastAsia" w:hAnsiTheme="minorEastAsia" w:eastAsiaTheme="minorEastAsia"/>
          <w:sz w:val="24"/>
        </w:rPr>
        <w:t>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w:t>
      </w:r>
      <w:r>
        <w:rPr>
          <w:rFonts w:hint="eastAsia" w:asciiTheme="minorEastAsia" w:hAnsiTheme="minorEastAsia" w:eastAsiaTheme="minorEastAsia"/>
          <w:sz w:val="24"/>
        </w:rPr>
        <w:t>供应商磋商</w:t>
      </w:r>
      <w:r>
        <w:rPr>
          <w:rFonts w:asciiTheme="minorEastAsia" w:hAnsiTheme="minorEastAsia" w:eastAsiaTheme="minorEastAsia"/>
          <w:sz w:val="24"/>
        </w:rPr>
        <w:t>所使用的采购项目实施人员必须为本法人员工。</w:t>
      </w:r>
    </w:p>
    <w:p>
      <w:pPr>
        <w:pStyle w:val="31"/>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2.供应商</w:t>
      </w:r>
      <w:r>
        <w:rPr>
          <w:rFonts w:hint="eastAsia" w:asciiTheme="minorEastAsia" w:hAnsiTheme="minorEastAsia" w:eastAsiaTheme="minorEastAsia"/>
          <w:color w:val="000000" w:themeColor="text1"/>
          <w:sz w:val="24"/>
          <w14:textFill>
            <w14:solidFill>
              <w14:schemeClr w14:val="tx1"/>
            </w14:solidFill>
          </w14:textFill>
        </w:rPr>
        <w:t>磋商</w:t>
      </w:r>
      <w:r>
        <w:rPr>
          <w:rFonts w:hint="eastAsia" w:asciiTheme="minorEastAsia" w:hAnsiTheme="minorEastAsia" w:eastAsiaTheme="minorEastAsia" w:cstheme="minorBidi"/>
          <w:color w:val="000000" w:themeColor="text1"/>
          <w:sz w:val="24"/>
          <w14:textFill>
            <w14:solidFill>
              <w14:schemeClr w14:val="tx1"/>
            </w14:solidFill>
          </w14:textFill>
        </w:rPr>
        <w:t>标的除磋商文件中明确规定要求“提供官网截图或相应检测报告的证明材料”以外，所有技术参数描述均以响应文件为准。供应商对</w:t>
      </w:r>
      <w:r>
        <w:rPr>
          <w:rFonts w:hint="eastAsia" w:asciiTheme="minorEastAsia" w:hAnsiTheme="minorEastAsia" w:eastAsiaTheme="minorEastAsia"/>
          <w:color w:val="000000" w:themeColor="text1"/>
          <w:sz w:val="24"/>
          <w14:textFill>
            <w14:solidFill>
              <w14:schemeClr w14:val="tx1"/>
            </w14:solidFill>
          </w14:textFill>
        </w:rPr>
        <w:t>磋商</w:t>
      </w:r>
      <w:r>
        <w:rPr>
          <w:rFonts w:hint="eastAsia" w:asciiTheme="minorEastAsia" w:hAnsiTheme="minorEastAsia" w:eastAsiaTheme="minorEastAsia" w:cstheme="minorBidi"/>
          <w:color w:val="000000" w:themeColor="text1"/>
          <w:sz w:val="24"/>
          <w14:textFill>
            <w14:solidFill>
              <w14:schemeClr w14:val="tx1"/>
            </w14:solidFill>
          </w14:textFill>
        </w:rPr>
        <w:t>标的技术参数的真实性承担法律责任。项目磋商结束后、质疑期限内，如有质疑供应商认为成交供应商成交标的、响应文件技术参数与采购需求存在重大偏离、错误</w:t>
      </w:r>
      <w:r>
        <w:rPr>
          <w:rFonts w:hint="eastAsia" w:asciiTheme="minorEastAsia" w:hAnsiTheme="minorEastAsia" w:eastAsiaTheme="minorEastAsia" w:cstheme="minorBidi"/>
          <w:color w:val="000000" w:themeColor="text1"/>
          <w:sz w:val="24"/>
          <w:lang w:eastAsia="zh-CN"/>
          <w14:textFill>
            <w14:solidFill>
              <w14:schemeClr w14:val="tx1"/>
            </w14:solidFill>
          </w14:textFill>
        </w:rPr>
        <w:t>，甚至</w:t>
      </w:r>
      <w:r>
        <w:rPr>
          <w:rFonts w:hint="eastAsia" w:asciiTheme="minorEastAsia" w:hAnsiTheme="minorEastAsia" w:eastAsiaTheme="minorEastAsia" w:cstheme="minorBidi"/>
          <w:color w:val="000000" w:themeColor="text1"/>
          <w:sz w:val="24"/>
          <w14:textFill>
            <w14:solidFill>
              <w14:schemeClr w14:val="tx1"/>
            </w14:solidFill>
          </w14:textFill>
        </w:rPr>
        <w:t>造假的情况，而采购文件中未明确规定要求“提供官网截图或相应检测报告的证明材料”的，则应提供其他具体有效的证明材料。</w:t>
      </w:r>
    </w:p>
    <w:p>
      <w:pPr>
        <w:pStyle w:val="31"/>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3.本磋商文件中关于电子磋商响应</w:t>
      </w:r>
      <w:r>
        <w:rPr>
          <w:rFonts w:hint="eastAsia" w:asciiTheme="minorEastAsia" w:hAnsiTheme="minorEastAsia" w:eastAsiaTheme="minorEastAsia" w:cstheme="minorBidi"/>
          <w:color w:val="000000" w:themeColor="text1"/>
          <w:sz w:val="24"/>
          <w:lang w:eastAsia="zh-CN"/>
          <w14:textFill>
            <w14:solidFill>
              <w14:schemeClr w14:val="tx1"/>
            </w14:solidFill>
          </w14:textFill>
        </w:rPr>
        <w:t>的</w:t>
      </w:r>
      <w:r>
        <w:rPr>
          <w:rFonts w:hint="eastAsia" w:asciiTheme="minorEastAsia" w:hAnsiTheme="minorEastAsia" w:eastAsiaTheme="minorEastAsia" w:cstheme="minorBidi"/>
          <w:color w:val="000000" w:themeColor="text1"/>
          <w:sz w:val="24"/>
          <w14:textFill>
            <w14:solidFill>
              <w14:schemeClr w14:val="tx1"/>
            </w14:solidFill>
          </w14:textFill>
        </w:rPr>
        <w:t>内容、流程</w:t>
      </w:r>
      <w:r>
        <w:rPr>
          <w:rFonts w:hint="eastAsia" w:asciiTheme="minorEastAsia" w:hAnsiTheme="minorEastAsia" w:eastAsiaTheme="minorEastAsia" w:cstheme="minorBidi"/>
          <w:color w:val="000000" w:themeColor="text1"/>
          <w:sz w:val="24"/>
          <w:lang w:eastAsia="zh-CN"/>
          <w14:textFill>
            <w14:solidFill>
              <w14:schemeClr w14:val="tx1"/>
            </w14:solidFill>
          </w14:textFill>
        </w:rPr>
        <w:t>，</w:t>
      </w:r>
      <w:r>
        <w:rPr>
          <w:rFonts w:hint="eastAsia" w:asciiTheme="minorEastAsia" w:hAnsiTheme="minorEastAsia" w:eastAsiaTheme="minorEastAsia" w:cstheme="minorBidi"/>
          <w:color w:val="000000" w:themeColor="text1"/>
          <w:sz w:val="24"/>
          <w14:textFill>
            <w14:solidFill>
              <w14:schemeClr w14:val="tx1"/>
            </w14:solidFill>
          </w14:textFill>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三、磋商文件</w:t>
      </w:r>
    </w:p>
    <w:p>
      <w:pPr>
        <w:pStyle w:val="31"/>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（一）磋商文件由磋商文件目录所列内容组成。</w:t>
      </w:r>
    </w:p>
    <w:p>
      <w:pPr>
        <w:pStyle w:val="31"/>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（二）供应商在规定的时间内未对磋商文件提出疑问、质疑或要求澄清的，将视其为无异议。</w:t>
      </w:r>
    </w:p>
    <w:p>
      <w:pPr>
        <w:pStyle w:val="31"/>
        <w:snapToGrid w:val="0"/>
        <w:spacing w:line="360" w:lineRule="auto"/>
        <w:ind w:firstLine="48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（三）对磋商文件中描述有歧义或前后不一致的地方，磋商小组有权进行评判，但对同一条款的评判应适用于每个供应商。</w:t>
      </w:r>
    </w:p>
    <w:p>
      <w:pPr>
        <w:pStyle w:val="31"/>
        <w:snapToGri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四）采购组织机构对磋商文件进行必要的澄清更正的，澄清或者修改的内容可能影响磋商文件编制的，于磋商截止时间的5日前在浙江省政府采购网上以更正公告的形式通知各潜在的供应商。不足5日的，采购人或者采购组织机构应当顺延提交响应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四、响应文件</w:t>
      </w:r>
    </w:p>
    <w:p>
      <w:pPr>
        <w:pStyle w:val="2"/>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（一）响应文件的编制</w:t>
      </w:r>
    </w:p>
    <w:p>
      <w:pPr>
        <w:pStyle w:val="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供应商获取磋商文件后，按照采购组织机构的要求提供：磋商响应文件</w:t>
      </w:r>
      <w:r>
        <w:rPr>
          <w:rFonts w:hint="eastAsia" w:asciiTheme="minorEastAsia" w:hAnsiTheme="minorEastAsia" w:eastAsiaTheme="minorEastAsia"/>
          <w:color w:val="000000" w:themeColor="text1"/>
          <w:kern w:val="0"/>
          <w:sz w:val="24"/>
          <w:lang w:val="zh-CN"/>
          <w14:textFill>
            <w14:solidFill>
              <w14:schemeClr w14:val="tx1"/>
            </w14:solidFill>
          </w14:textFill>
        </w:rPr>
        <w:t>【特别提示：如在磋商响应时有要求提供资料原件的，将原件扫描放入</w:t>
      </w:r>
      <w:r>
        <w:rPr>
          <w:rFonts w:hint="eastAsia" w:asciiTheme="minorEastAsia" w:hAnsiTheme="minorEastAsia" w:eastAsiaTheme="minorEastAsia"/>
          <w:color w:val="000000" w:themeColor="text1"/>
          <w:kern w:val="0"/>
          <w:sz w:val="24"/>
          <w14:textFill>
            <w14:solidFill>
              <w14:schemeClr w14:val="tx1"/>
            </w14:solidFill>
          </w14:textFill>
        </w:rPr>
        <w:t>磋商响应</w:t>
      </w:r>
      <w:r>
        <w:rPr>
          <w:rFonts w:hint="eastAsia" w:asciiTheme="minorEastAsia" w:hAnsiTheme="minorEastAsia" w:eastAsiaTheme="minorEastAsia"/>
          <w:color w:val="000000" w:themeColor="text1"/>
          <w:kern w:val="0"/>
          <w:sz w:val="24"/>
          <w:lang w:val="zh-CN"/>
          <w14:textFill>
            <w14:solidFill>
              <w14:schemeClr w14:val="tx1"/>
            </w14:solidFill>
          </w14:textFill>
        </w:rPr>
        <w:t>文件】。</w:t>
      </w:r>
      <w:r>
        <w:rPr>
          <w:rFonts w:hint="eastAsia" w:asciiTheme="minorEastAsia" w:hAnsiTheme="minorEastAsia" w:eastAsiaTheme="minorEastAsia"/>
          <w:bCs/>
          <w:color w:val="000000" w:themeColor="text1"/>
          <w:kern w:val="0"/>
          <w:sz w:val="24"/>
          <w14:textFill>
            <w14:solidFill>
              <w14:schemeClr w14:val="tx1"/>
            </w14:solidFill>
          </w14:textFill>
        </w:rPr>
        <w:t>若参与多标项</w:t>
      </w:r>
      <w:r>
        <w:rPr>
          <w:rFonts w:hint="eastAsia" w:asciiTheme="minorEastAsia" w:hAnsiTheme="minorEastAsia" w:eastAsiaTheme="minorEastAsia"/>
          <w:color w:val="000000" w:themeColor="text1"/>
          <w:kern w:val="0"/>
          <w:sz w:val="24"/>
          <w14:textFill>
            <w14:solidFill>
              <w14:schemeClr w14:val="tx1"/>
            </w14:solidFill>
          </w14:textFill>
        </w:rPr>
        <w:t>磋商响应</w:t>
      </w:r>
      <w:r>
        <w:rPr>
          <w:rFonts w:hint="eastAsia" w:asciiTheme="minorEastAsia" w:hAnsiTheme="minorEastAsia" w:eastAsiaTheme="minorEastAsia"/>
          <w:bCs/>
          <w:color w:val="000000" w:themeColor="text1"/>
          <w:kern w:val="0"/>
          <w:sz w:val="24"/>
          <w14:textFill>
            <w14:solidFill>
              <w14:schemeClr w14:val="tx1"/>
            </w14:solidFill>
          </w14:textFill>
        </w:rPr>
        <w:t>的，则按每个标项分别独立编制磋商响应文件。</w:t>
      </w:r>
    </w:p>
    <w:p>
      <w:pPr>
        <w:snapToGrid w:val="0"/>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宋体" w:hAnsi="宋体"/>
          <w:b/>
          <w:color w:val="000000" w:themeColor="text1"/>
          <w:sz w:val="24"/>
          <w14:textFill>
            <w14:solidFill>
              <w14:schemeClr w14:val="tx1"/>
            </w14:solidFill>
          </w14:textFill>
        </w:rPr>
        <w:t>1.资格证明内容的组成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w:t>
      </w:r>
      <w:r>
        <w:rPr>
          <w:rFonts w:hint="eastAsia" w:asciiTheme="minorEastAsia" w:hAnsiTheme="minorEastAsia" w:eastAsiaTheme="minorEastAsia"/>
          <w:b/>
          <w:sz w:val="24"/>
          <w:szCs w:val="24"/>
          <w:highlight w:val="none"/>
          <w:lang w:val="en-US" w:eastAsia="zh-CN"/>
        </w:rPr>
        <w:t>磋商</w:t>
      </w:r>
      <w:r>
        <w:rPr>
          <w:rFonts w:hint="eastAsia" w:asciiTheme="minorEastAsia" w:hAnsiTheme="minorEastAsia" w:eastAsiaTheme="minorEastAsia"/>
          <w:b/>
          <w:sz w:val="24"/>
          <w:highlight w:val="none"/>
        </w:rPr>
        <w:t>的，联合体各方均应当提供如下资格证明材料。</w:t>
      </w:r>
      <w:r>
        <w:rPr>
          <w:rFonts w:hint="eastAsia" w:ascii="宋体" w:hAnsi="宋体"/>
          <w:b/>
          <w:sz w:val="24"/>
          <w:highlight w:val="none"/>
          <w:lang w:eastAsia="zh-CN"/>
        </w:rPr>
        <w:t>）</w:t>
      </w:r>
    </w:p>
    <w:p>
      <w:pPr>
        <w:pStyle w:val="20"/>
        <w:ind w:left="0" w:leftChars="0" w:firstLine="470"/>
        <w:rPr>
          <w:rStyle w:val="29"/>
          <w:b w:val="0"/>
          <w:color w:val="auto"/>
          <w:highlight w:val="none"/>
          <w:u w:val="none"/>
        </w:rPr>
      </w:pPr>
      <w:r>
        <w:rPr>
          <w:rStyle w:val="29"/>
          <w:rFonts w:hint="eastAsia"/>
          <w:b w:val="0"/>
          <w:color w:val="auto"/>
          <w:highlight w:val="none"/>
          <w:u w:val="none"/>
        </w:rPr>
        <w:t>（1）磋商声明书；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w:t>
      </w:r>
      <w:r>
        <w:rPr>
          <w:rFonts w:hint="eastAsia" w:ascii="宋体" w:hAnsi="宋体" w:cs="宋体"/>
          <w:sz w:val="24"/>
          <w:highlight w:val="none"/>
          <w:lang w:val="en-US" w:eastAsia="zh-CN"/>
        </w:rPr>
        <w:t>磋商</w:t>
      </w:r>
      <w:r>
        <w:rPr>
          <w:rFonts w:hint="eastAsia" w:ascii="宋体" w:hAnsi="宋体" w:cs="宋体"/>
          <w:sz w:val="24"/>
          <w:highlight w:val="none"/>
        </w:rPr>
        <w:t>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以联合体形式磋商时需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形式磋商</w:t>
      </w:r>
      <w:r>
        <w:rPr>
          <w:rFonts w:hint="eastAsia" w:ascii="宋体" w:hAnsi="宋体" w:cs="宋体"/>
          <w:sz w:val="24"/>
          <w:highlight w:val="none"/>
          <w:lang w:eastAsia="zh-CN"/>
        </w:rPr>
        <w:t>时需提供）；</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（4）法人或者其他组织的营业执照等证明文件，自然人的身份证明；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（5）具备</w:t>
      </w:r>
      <w:r>
        <w:rPr>
          <w:rFonts w:hint="eastAsia" w:ascii="宋体" w:hAnsi="宋体" w:eastAsia="宋体" w:cs="宋体"/>
          <w:sz w:val="24"/>
          <w:highlight w:val="none"/>
        </w:rPr>
        <w:t>履行合同所必需的设备和专业技术能力的证明材料</w:t>
      </w:r>
      <w:r>
        <w:rPr>
          <w:rFonts w:hint="eastAsia" w:ascii="宋体" w:hAnsi="宋体" w:eastAsia="宋体" w:cs="宋体"/>
          <w:sz w:val="24"/>
          <w:highlight w:val="none"/>
          <w:lang w:eastAsia="zh-CN"/>
        </w:rPr>
        <w:t>（</w:t>
      </w:r>
      <w:r>
        <w:rPr>
          <w:rFonts w:hint="eastAsia" w:ascii="宋体" w:hAnsi="宋体" w:eastAsia="宋体" w:cs="宋体"/>
          <w:sz w:val="24"/>
          <w:highlight w:val="none"/>
        </w:rPr>
        <w:t>根据项目性质提供</w:t>
      </w:r>
      <w:r>
        <w:rPr>
          <w:rFonts w:hint="eastAsia" w:ascii="宋体" w:hAnsi="宋体" w:eastAsia="宋体" w:cs="宋体"/>
          <w:sz w:val="24"/>
          <w:highlight w:val="none"/>
          <w:lang w:eastAsia="zh-CN"/>
        </w:rPr>
        <w:t>）</w:t>
      </w:r>
      <w:r>
        <w:rPr>
          <w:rFonts w:hint="eastAsia" w:ascii="宋体" w:hAnsi="宋体" w:eastAsia="宋体" w:cs="宋体"/>
          <w:sz w:val="24"/>
          <w:highlight w:val="none"/>
        </w:rPr>
        <w:t>；</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（6）本项目</w:t>
      </w:r>
      <w:r>
        <w:rPr>
          <w:rFonts w:hint="eastAsia" w:ascii="宋体" w:hAnsi="宋体" w:cs="宋体"/>
          <w:sz w:val="24"/>
          <w:highlight w:val="none"/>
          <w:lang w:val="en-US" w:eastAsia="zh-CN"/>
        </w:rPr>
        <w:t>资格审查</w:t>
      </w:r>
      <w:r>
        <w:rPr>
          <w:rFonts w:hint="eastAsia" w:ascii="宋体" w:hAnsi="宋体" w:cs="宋体"/>
          <w:sz w:val="24"/>
          <w:highlight w:val="none"/>
        </w:rPr>
        <w:t>要求的</w:t>
      </w:r>
      <w:r>
        <w:rPr>
          <w:rFonts w:hint="eastAsia" w:ascii="宋体" w:hAnsi="宋体" w:cs="宋体"/>
          <w:sz w:val="24"/>
          <w:highlight w:val="none"/>
          <w:lang w:val="en-US" w:eastAsia="zh-CN"/>
        </w:rPr>
        <w:t>相关</w:t>
      </w:r>
      <w:r>
        <w:rPr>
          <w:rFonts w:hint="eastAsia" w:ascii="宋体" w:hAnsi="宋体" w:cs="宋体"/>
          <w:sz w:val="24"/>
          <w:highlight w:val="none"/>
          <w:lang w:eastAsia="zh-CN"/>
        </w:rPr>
        <w:t>的承诺函（</w:t>
      </w:r>
      <w:r>
        <w:rPr>
          <w:rFonts w:hint="eastAsia" w:ascii="宋体" w:hAnsi="宋体" w:cs="宋体"/>
          <w:sz w:val="24"/>
          <w:highlight w:val="none"/>
          <w:lang w:val="en-US" w:eastAsia="zh-CN"/>
        </w:rPr>
        <w:t>详见第四章磋商-评审程序-资格审查表中要求</w:t>
      </w:r>
      <w:r>
        <w:rPr>
          <w:rFonts w:hint="eastAsia" w:ascii="宋体" w:hAnsi="宋体" w:cs="宋体"/>
          <w:sz w:val="24"/>
          <w:highlight w:val="none"/>
          <w:lang w:eastAsia="zh-CN"/>
        </w:rPr>
        <w:t>）</w:t>
      </w:r>
    </w:p>
    <w:p>
      <w:pPr>
        <w:snapToGrid w:val="0"/>
        <w:spacing w:line="360" w:lineRule="auto"/>
        <w:ind w:firstLine="480" w:firstLineChars="200"/>
        <w:rPr>
          <w:rFonts w:ascii="宋体" w:hAnsi="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eastAsia="zh-CN"/>
        </w:rPr>
        <w:t>）</w:t>
      </w:r>
      <w:r>
        <w:rPr>
          <w:rFonts w:hint="eastAsia" w:ascii="宋体" w:hAnsi="宋体" w:eastAsia="宋体" w:cs="宋体"/>
          <w:sz w:val="24"/>
          <w:highlight w:val="none"/>
        </w:rPr>
        <w:t>提供采购公告中</w:t>
      </w:r>
      <w:r>
        <w:rPr>
          <w:rFonts w:hint="eastAsia" w:ascii="宋体" w:hAnsi="宋体" w:cs="宋体"/>
          <w:sz w:val="24"/>
          <w:highlight w:val="none"/>
        </w:rPr>
        <w:t>符合供应商特定条件的有效资质证书（磋商供应商特定条件中有要求的必须提供），以及需要说明的其他资料。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2.商务</w:t>
      </w:r>
      <w:r>
        <w:rPr>
          <w:rFonts w:hint="eastAsia" w:ascii="宋体" w:hAnsi="宋体"/>
          <w:b/>
          <w:color w:val="000000" w:themeColor="text1"/>
          <w:sz w:val="24"/>
          <w14:textFill>
            <w14:solidFill>
              <w14:schemeClr w14:val="tx1"/>
            </w14:solidFill>
          </w14:textFill>
        </w:rPr>
        <w:t>与技术内容的组成</w:t>
      </w:r>
    </w:p>
    <w:p>
      <w:pPr>
        <w:autoSpaceDE w:val="0"/>
        <w:autoSpaceDN w:val="0"/>
        <w:adjustRightInd w:val="0"/>
        <w:spacing w:line="360" w:lineRule="auto"/>
        <w:ind w:firstLine="426" w:firstLineChars="177"/>
        <w:rPr>
          <w:rFonts w:hint="eastAsia" w:eastAsia="宋体"/>
          <w:color w:val="000000" w:themeColor="text1"/>
          <w:lang w:eastAsia="zh-CN"/>
          <w14:textFill>
            <w14:solidFill>
              <w14:schemeClr w14:val="tx1"/>
            </w14:solidFill>
          </w14:textFill>
        </w:rPr>
      </w:pPr>
      <w:r>
        <w:rPr>
          <w:rFonts w:hint="eastAsia"/>
          <w:b/>
          <w:bCs/>
          <w:color w:val="000000" w:themeColor="text1"/>
          <w:sz w:val="24"/>
          <w14:textFill>
            <w14:solidFill>
              <w14:schemeClr w14:val="tx1"/>
            </w14:solidFill>
          </w14:textFill>
        </w:rPr>
        <w:t>（1）技术方案描述部分</w:t>
      </w:r>
    </w:p>
    <w:p>
      <w:pPr>
        <w:pStyle w:val="2"/>
        <w:widowControl/>
        <w:numPr>
          <w:ilvl w:val="0"/>
          <w:numId w:val="6"/>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14:textFill>
            <w14:solidFill>
              <w14:schemeClr w14:val="tx1"/>
            </w14:solidFill>
          </w14:textFill>
        </w:rPr>
        <w:t>供应商情况介绍（人员与技术力量、经营业绩等）；</w:t>
      </w:r>
    </w:p>
    <w:p>
      <w:pPr>
        <w:pStyle w:val="2"/>
        <w:widowControl/>
        <w:numPr>
          <w:ilvl w:val="0"/>
          <w:numId w:val="6"/>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14:textFill>
            <w14:solidFill>
              <w14:schemeClr w14:val="tx1"/>
            </w14:solidFill>
          </w14:textFill>
        </w:rPr>
        <w:t>项目需求的理解与分析</w:t>
      </w:r>
      <w:r>
        <w:rPr>
          <w:rFonts w:hint="eastAsia" w:ascii="Calibri" w:hAnsi="Calibri" w:cs="Calibri"/>
          <w:color w:val="000000" w:themeColor="text1"/>
          <w:sz w:val="24"/>
          <w:szCs w:val="24"/>
          <w:lang w:eastAsia="zh-CN"/>
          <w14:textFill>
            <w14:solidFill>
              <w14:schemeClr w14:val="tx1"/>
            </w14:solidFill>
          </w14:textFill>
        </w:rPr>
        <w:t>（</w:t>
      </w:r>
      <w:r>
        <w:rPr>
          <w:rFonts w:hint="eastAsia" w:ascii="Calibri" w:hAnsi="Calibri" w:cs="Calibri"/>
          <w:color w:val="000000" w:themeColor="text1"/>
          <w:sz w:val="24"/>
          <w:szCs w:val="24"/>
          <w14:textFill>
            <w14:solidFill>
              <w14:schemeClr w14:val="tx1"/>
            </w14:solidFill>
          </w14:textFill>
        </w:rPr>
        <w:t>供应商对项目现状及需求的理解</w:t>
      </w:r>
      <w:r>
        <w:rPr>
          <w:rFonts w:hint="eastAsia" w:ascii="Calibri" w:hAnsi="Calibri" w:cs="Calibri"/>
          <w:color w:val="000000" w:themeColor="text1"/>
          <w:sz w:val="24"/>
          <w:szCs w:val="24"/>
          <w:lang w:eastAsia="zh-CN"/>
          <w14:textFill>
            <w14:solidFill>
              <w14:schemeClr w14:val="tx1"/>
            </w14:solidFill>
          </w14:textFill>
        </w:rPr>
        <w:t>状况</w:t>
      </w:r>
      <w:r>
        <w:rPr>
          <w:rFonts w:hint="eastAsia" w:ascii="Calibri" w:hAnsi="Calibri" w:cs="Calibri"/>
          <w:color w:val="000000" w:themeColor="text1"/>
          <w:sz w:val="24"/>
          <w:szCs w:val="24"/>
          <w14:textFill>
            <w14:solidFill>
              <w14:schemeClr w14:val="tx1"/>
            </w14:solidFill>
          </w14:textFill>
        </w:rPr>
        <w:t>，对项目现状和需求描述的全面性、准确性、针对性，项目功能设计完备、对系统各组成部分等功能进行准确的分析，对项目重点、难点的把握，解决方案及合理化建议）；</w:t>
      </w:r>
    </w:p>
    <w:p>
      <w:pPr>
        <w:pStyle w:val="2"/>
        <w:widowControl/>
        <w:numPr>
          <w:ilvl w:val="0"/>
          <w:numId w:val="6"/>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14:textFill>
            <w14:solidFill>
              <w14:schemeClr w14:val="tx1"/>
            </w14:solidFill>
          </w14:textFill>
        </w:rPr>
        <w:t>总体设计（技术、服务）方案；</w:t>
      </w:r>
    </w:p>
    <w:p>
      <w:pPr>
        <w:pStyle w:val="2"/>
        <w:widowControl/>
        <w:numPr>
          <w:ilvl w:val="0"/>
          <w:numId w:val="6"/>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14:textFill>
            <w14:solidFill>
              <w14:schemeClr w14:val="tx1"/>
            </w14:solidFill>
          </w14:textFill>
        </w:rPr>
        <w:t>功能设计方案；</w:t>
      </w:r>
    </w:p>
    <w:p>
      <w:pPr>
        <w:pStyle w:val="2"/>
        <w:widowControl/>
        <w:numPr>
          <w:ilvl w:val="0"/>
          <w:numId w:val="6"/>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14:textFill>
            <w14:solidFill>
              <w14:schemeClr w14:val="tx1"/>
            </w14:solidFill>
          </w14:textFill>
        </w:rPr>
        <w:t>质量保证方案；</w:t>
      </w:r>
    </w:p>
    <w:p>
      <w:pPr>
        <w:pStyle w:val="2"/>
        <w:widowControl/>
        <w:numPr>
          <w:ilvl w:val="0"/>
          <w:numId w:val="6"/>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14:textFill>
            <w14:solidFill>
              <w14:schemeClr w14:val="tx1"/>
            </w14:solidFill>
          </w14:textFill>
        </w:rPr>
        <w:t>项目实施方案（包括项目工期、确保项目进行的措施或方案、项目实施进度安排、项目实施人员及项目负责人的资质、类似经验及社保证明等）；</w:t>
      </w:r>
    </w:p>
    <w:p>
      <w:pPr>
        <w:pStyle w:val="2"/>
        <w:widowControl/>
        <w:numPr>
          <w:ilvl w:val="0"/>
          <w:numId w:val="6"/>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lang w:val="en-US" w:eastAsia="zh-CN"/>
          <w14:textFill>
            <w14:solidFill>
              <w14:schemeClr w14:val="tx1"/>
            </w14:solidFill>
          </w14:textFill>
        </w:rPr>
        <w:t>项目分包方案；</w:t>
      </w:r>
    </w:p>
    <w:p>
      <w:pPr>
        <w:pStyle w:val="2"/>
        <w:widowControl/>
        <w:numPr>
          <w:ilvl w:val="0"/>
          <w:numId w:val="6"/>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14:textFill>
            <w14:solidFill>
              <w14:schemeClr w14:val="tx1"/>
            </w14:solidFill>
          </w14:textFill>
        </w:rPr>
        <w:t>技术需求响应表；</w:t>
      </w:r>
    </w:p>
    <w:p>
      <w:pPr>
        <w:pStyle w:val="2"/>
        <w:widowControl/>
        <w:numPr>
          <w:ilvl w:val="0"/>
          <w:numId w:val="6"/>
        </w:numPr>
        <w:adjustRightInd w:val="0"/>
        <w:snapToGrid w:val="0"/>
        <w:spacing w:line="360" w:lineRule="auto"/>
        <w:ind w:firstLine="64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14:textFill>
            <w14:solidFill>
              <w14:schemeClr w14:val="tx1"/>
            </w14:solidFill>
          </w14:textFill>
        </w:rPr>
        <w:t>项目实施人员一览表；</w:t>
      </w:r>
    </w:p>
    <w:p>
      <w:pPr>
        <w:numPr>
          <w:ilvl w:val="0"/>
          <w:numId w:val="6"/>
        </w:numPr>
        <w:spacing w:line="360" w:lineRule="auto"/>
        <w:ind w:firstLine="640"/>
        <w:rPr>
          <w:rFonts w:ascii="Calibri" w:hAnsi="Calibri" w:cs="Calibri"/>
          <w:color w:val="000000" w:themeColor="text1"/>
          <w:sz w:val="24"/>
          <w14:textFill>
            <w14:solidFill>
              <w14:schemeClr w14:val="tx1"/>
            </w14:solidFill>
          </w14:textFill>
        </w:rPr>
      </w:pPr>
      <w:r>
        <w:rPr>
          <w:rFonts w:hint="eastAsia" w:ascii="Calibri" w:hAnsi="Calibri" w:cs="Calibri"/>
          <w:color w:val="000000" w:themeColor="text1"/>
          <w:sz w:val="24"/>
          <w14:textFill>
            <w14:solidFill>
              <w14:schemeClr w14:val="tx1"/>
            </w14:solidFill>
          </w14:textFill>
        </w:rPr>
        <w:t>工程量/原材料、人工费清单（均不含报价）；</w:t>
      </w:r>
    </w:p>
    <w:p>
      <w:pPr>
        <w:numPr>
          <w:ilvl w:val="0"/>
          <w:numId w:val="6"/>
        </w:numPr>
        <w:spacing w:line="360" w:lineRule="auto"/>
        <w:ind w:firstLine="640"/>
        <w:rPr>
          <w:rFonts w:ascii="Calibri" w:hAnsi="Calibri" w:cs="Calibri"/>
          <w:color w:val="000000" w:themeColor="text1"/>
          <w:sz w:val="24"/>
          <w14:textFill>
            <w14:solidFill>
              <w14:schemeClr w14:val="tx1"/>
            </w14:solidFill>
          </w14:textFill>
        </w:rPr>
      </w:pPr>
      <w:r>
        <w:rPr>
          <w:rFonts w:hint="eastAsia" w:ascii="Calibri" w:hAnsi="Calibri" w:cs="Calibri"/>
          <w:color w:val="000000" w:themeColor="text1"/>
          <w:sz w:val="24"/>
          <w14:textFill>
            <w14:solidFill>
              <w14:schemeClr w14:val="tx1"/>
            </w14:solidFill>
          </w14:textFill>
        </w:rPr>
        <w:t>项目负责人资格情况表；</w:t>
      </w:r>
    </w:p>
    <w:p>
      <w:pPr>
        <w:numPr>
          <w:ilvl w:val="0"/>
          <w:numId w:val="6"/>
        </w:numPr>
        <w:spacing w:line="360" w:lineRule="auto"/>
        <w:ind w:firstLine="640"/>
        <w:rPr>
          <w:rFonts w:ascii="Calibri" w:hAnsi="Calibri" w:cs="Calibri"/>
          <w:color w:val="000000" w:themeColor="text1"/>
          <w:sz w:val="24"/>
          <w14:textFill>
            <w14:solidFill>
              <w14:schemeClr w14:val="tx1"/>
            </w14:solidFill>
          </w14:textFill>
        </w:rPr>
      </w:pPr>
      <w:r>
        <w:rPr>
          <w:rFonts w:hint="eastAsia" w:ascii="Calibri" w:hAnsi="Calibri" w:cs="Calibri"/>
          <w:color w:val="000000" w:themeColor="text1"/>
          <w:sz w:val="24"/>
          <w14:textFill>
            <w14:solidFill>
              <w14:schemeClr w14:val="tx1"/>
            </w14:solidFill>
          </w14:textFill>
        </w:rPr>
        <w:t>安装、调试及验收方案（包括项目验收标准和验收方法等）；</w:t>
      </w:r>
    </w:p>
    <w:p>
      <w:pPr>
        <w:numPr>
          <w:ilvl w:val="0"/>
          <w:numId w:val="6"/>
        </w:numPr>
        <w:spacing w:line="360" w:lineRule="auto"/>
        <w:ind w:firstLine="640"/>
        <w:rPr>
          <w:rFonts w:ascii="Calibri" w:hAnsi="Calibri" w:cs="Calibri"/>
          <w:color w:val="000000" w:themeColor="text1"/>
          <w:sz w:val="24"/>
          <w14:textFill>
            <w14:solidFill>
              <w14:schemeClr w14:val="tx1"/>
            </w14:solidFill>
          </w14:textFill>
        </w:rPr>
      </w:pPr>
      <w:r>
        <w:rPr>
          <w:rFonts w:hint="eastAsia" w:ascii="Calibri" w:hAnsi="Calibri" w:cs="Calibri"/>
          <w:color w:val="000000" w:themeColor="text1"/>
          <w:sz w:val="24"/>
          <w14:textFill>
            <w14:solidFill>
              <w14:schemeClr w14:val="tx1"/>
            </w14:solidFill>
          </w14:textFill>
        </w:rPr>
        <w:t>实施服务与保障的能力及方案（包括服务方式、服务网点、技术培训、实施期与运维期服务的内容和措施等）；</w:t>
      </w:r>
    </w:p>
    <w:p>
      <w:pPr>
        <w:numPr>
          <w:ilvl w:val="0"/>
          <w:numId w:val="6"/>
        </w:numPr>
        <w:spacing w:line="360" w:lineRule="auto"/>
        <w:ind w:firstLine="64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供应商需要说明的其他内容（包括可能影响供应商技术性能评分项的各类证明材料）。</w:t>
      </w:r>
    </w:p>
    <w:p>
      <w:pPr>
        <w:autoSpaceDE w:val="0"/>
        <w:autoSpaceDN w:val="0"/>
        <w:adjustRightInd w:val="0"/>
        <w:spacing w:line="360" w:lineRule="auto"/>
        <w:ind w:firstLine="426" w:firstLineChars="177"/>
        <w:rPr>
          <w:rFonts w:hint="eastAsia" w:eastAsia="宋体"/>
          <w:b/>
          <w:bCs/>
          <w:color w:val="000000" w:themeColor="text1"/>
          <w:sz w:val="24"/>
          <w:lang w:eastAsia="zh-CN"/>
          <w14:textFill>
            <w14:solidFill>
              <w14:schemeClr w14:val="tx1"/>
            </w14:solidFill>
          </w14:textFill>
        </w:rPr>
      </w:pPr>
      <w:r>
        <w:rPr>
          <w:rFonts w:hint="eastAsia"/>
          <w:b/>
          <w:bCs/>
          <w:color w:val="000000" w:themeColor="text1"/>
          <w:sz w:val="24"/>
          <w14:textFill>
            <w14:solidFill>
              <w14:schemeClr w14:val="tx1"/>
            </w14:solidFill>
          </w14:textFill>
        </w:rPr>
        <w:t>（2）商务响应及其他部分</w:t>
      </w:r>
    </w:p>
    <w:p>
      <w:pPr>
        <w:numPr>
          <w:ilvl w:val="0"/>
          <w:numId w:val="7"/>
        </w:numPr>
        <w:autoSpaceDE w:val="0"/>
        <w:autoSpaceDN w:val="0"/>
        <w:adjustRightInd w:val="0"/>
        <w:spacing w:line="360" w:lineRule="auto"/>
        <w:ind w:firstLine="640"/>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证书一览表（</w:t>
      </w:r>
      <w:r>
        <w:rPr>
          <w:rFonts w:hint="eastAsia" w:asciiTheme="minorEastAsia" w:hAnsiTheme="minorEastAsia" w:eastAsiaTheme="minorEastAsia"/>
          <w:color w:val="000000" w:themeColor="text1"/>
          <w:sz w:val="24"/>
          <w14:textFill>
            <w14:solidFill>
              <w14:schemeClr w14:val="tx1"/>
            </w14:solidFill>
          </w14:textFill>
        </w:rPr>
        <w:t>与本项目相关</w:t>
      </w:r>
      <w:r>
        <w:rPr>
          <w:rFonts w:asciiTheme="minorEastAsia" w:hAnsiTheme="minorEastAsia" w:eastAsiaTheme="minorEastAsia"/>
          <w:color w:val="000000" w:themeColor="text1"/>
          <w:kern w:val="0"/>
          <w:sz w:val="24"/>
          <w14:textFill>
            <w14:solidFill>
              <w14:schemeClr w14:val="tx1"/>
            </w14:solidFill>
          </w14:textFill>
        </w:rPr>
        <w:t>的认证证书</w:t>
      </w:r>
      <w:r>
        <w:rPr>
          <w:rFonts w:hint="eastAsia" w:asciiTheme="minorEastAsia" w:hAnsiTheme="minorEastAsia" w:eastAsiaTheme="minorEastAsia"/>
          <w:color w:val="000000" w:themeColor="text1"/>
          <w:kern w:val="0"/>
          <w:sz w:val="24"/>
          <w14:textFill>
            <w14:solidFill>
              <w14:schemeClr w14:val="tx1"/>
            </w14:solidFill>
          </w14:textFill>
        </w:rPr>
        <w:t>或文件</w:t>
      </w:r>
      <w:r>
        <w:rPr>
          <w:rFonts w:hint="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w:t>
      </w:r>
    </w:p>
    <w:p>
      <w:pPr>
        <w:pStyle w:val="2"/>
        <w:widowControl/>
        <w:numPr>
          <w:ilvl w:val="0"/>
          <w:numId w:val="7"/>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近三年来类似项目的成功案例（供应商类似项目实施情况一览表、合同及其相应的发票、用户验收报告等）；</w:t>
      </w:r>
    </w:p>
    <w:p>
      <w:pPr>
        <w:pStyle w:val="2"/>
        <w:widowControl/>
        <w:numPr>
          <w:ilvl w:val="0"/>
          <w:numId w:val="7"/>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3.报价内容的组成</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（1）首次</w:t>
      </w:r>
      <w:r>
        <w:rPr>
          <w:rFonts w:hint="eastAsia" w:asciiTheme="minorEastAsia" w:hAnsiTheme="minorEastAsia" w:eastAsiaTheme="minorEastAsia"/>
          <w:color w:val="000000" w:themeColor="text1"/>
          <w:kern w:val="0"/>
          <w:sz w:val="24"/>
          <w:lang w:val="zh-CN"/>
          <w14:textFill>
            <w14:solidFill>
              <w14:schemeClr w14:val="tx1"/>
            </w14:solidFill>
          </w14:textFill>
        </w:rPr>
        <w:t>报价</w:t>
      </w:r>
      <w:r>
        <w:rPr>
          <w:rFonts w:hint="eastAsia" w:asciiTheme="minorEastAsia" w:hAnsiTheme="minorEastAsia" w:eastAsiaTheme="minorEastAsia"/>
          <w:color w:val="000000" w:themeColor="text1"/>
          <w:kern w:val="0"/>
          <w:sz w:val="24"/>
          <w14:textFill>
            <w14:solidFill>
              <w14:schemeClr w14:val="tx1"/>
            </w14:solidFill>
          </w14:textFill>
        </w:rPr>
        <w:t>一览表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val="en-GB"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（3）中小企业等声明函、</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残疾人福利性单位声明函、监狱企业声明函</w:t>
      </w:r>
      <w:r>
        <w:rPr>
          <w:rFonts w:hint="eastAsia" w:asciiTheme="minorEastAsia" w:hAnsiTheme="minorEastAsia" w:eastAsiaTheme="minorEastAsia"/>
          <w:color w:val="000000" w:themeColor="text1"/>
          <w:kern w:val="0"/>
          <w:sz w:val="24"/>
          <w:lang w:val="en-GB"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（4）针对报价供应商认为其他需要说明的</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pStyle w:val="2"/>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（二）报价</w:t>
      </w:r>
    </w:p>
    <w:p>
      <w:pPr>
        <w:pStyle w:val="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1.供应商应按照采购需求内容、责任范围以及合同条款进行报价。并按“首次报价一览表”和“报价明细表”规定的格式报出总价和分项价格。总价中不得包含磋商文件要求以外的内容，否则，在评审时不予核减。</w:t>
      </w:r>
    </w:p>
    <w:p>
      <w:pPr>
        <w:pStyle w:val="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2.磋商报价包括本项目采购需求和投入使用的所有费用，包括但不限于主件、标准附件、备品备件、施工、服务、专用工具、安装、调试、检验、培训、运输、保险、税款等。</w:t>
      </w:r>
    </w:p>
    <w:p>
      <w:pPr>
        <w:pStyle w:val="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3.磋商报价不得为选择性报价和附有条件的报价。</w:t>
      </w:r>
    </w:p>
    <w:p>
      <w:pPr>
        <w:pStyle w:val="2"/>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（三）响应文件的有效期</w:t>
      </w:r>
    </w:p>
    <w:p>
      <w:pPr>
        <w:pStyle w:val="2"/>
        <w:spacing w:line="360" w:lineRule="auto"/>
        <w:ind w:firstLine="480" w:firstLineChars="200"/>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14:textFill>
            <w14:solidFill>
              <w14:schemeClr w14:val="tx1"/>
            </w14:solidFill>
          </w14:textFill>
        </w:rPr>
        <w:t>1.响应文件有效期为磋商</w:t>
      </w:r>
      <w:r>
        <w:rPr>
          <w:rFonts w:hint="eastAsia" w:ascii="宋体" w:hAnsi="宋体"/>
          <w:color w:val="000000" w:themeColor="text1"/>
          <w:sz w:val="24"/>
          <w:lang w:val="en-GB"/>
          <w14:textFill>
            <w14:solidFill>
              <w14:schemeClr w14:val="tx1"/>
            </w14:solidFill>
          </w14:textFill>
        </w:rPr>
        <w:t>截止日起90天。</w:t>
      </w:r>
    </w:p>
    <w:p>
      <w:pPr>
        <w:pStyle w:val="2"/>
        <w:spacing w:line="360" w:lineRule="auto"/>
        <w:ind w:firstLine="480" w:firstLineChars="200"/>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lang w:val="en-GB"/>
          <w14:textFill>
            <w14:solidFill>
              <w14:schemeClr w14:val="tx1"/>
            </w14:solidFill>
          </w14:textFill>
        </w:rPr>
        <w:t>在特殊情况下，采购人可与</w:t>
      </w: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lang w:val="en-GB"/>
          <w14:textFill>
            <w14:solidFill>
              <w14:schemeClr w14:val="tx1"/>
            </w14:solidFill>
          </w14:textFill>
        </w:rPr>
        <w:t>协商延长</w:t>
      </w:r>
      <w:r>
        <w:rPr>
          <w:rFonts w:hint="eastAsia" w:ascii="宋体" w:hAnsi="宋体"/>
          <w:color w:val="000000" w:themeColor="text1"/>
          <w:sz w:val="24"/>
          <w14:textFill>
            <w14:solidFill>
              <w14:schemeClr w14:val="tx1"/>
            </w14:solidFill>
          </w14:textFill>
        </w:rPr>
        <w:t>响应</w:t>
      </w:r>
      <w:r>
        <w:rPr>
          <w:rFonts w:hint="eastAsia" w:ascii="宋体" w:hAnsi="宋体"/>
          <w:color w:val="000000" w:themeColor="text1"/>
          <w:sz w:val="24"/>
          <w:lang w:val="en-GB"/>
          <w14:textFill>
            <w14:solidFill>
              <w14:schemeClr w14:val="tx1"/>
            </w14:solidFill>
          </w14:textFill>
        </w:rPr>
        <w:t>文件的有效期。</w:t>
      </w:r>
    </w:p>
    <w:p>
      <w:pPr>
        <w:snapToGrid w:val="0"/>
        <w:spacing w:line="360" w:lineRule="auto"/>
        <w:ind w:firstLine="480" w:firstLineChars="200"/>
        <w:outlineLvl w:val="0"/>
        <w:rPr>
          <w:rFonts w:asciiTheme="minorEastAsia" w:hAnsiTheme="minorEastAsia" w:eastAsiaTheme="minorEastAsia"/>
          <w:color w:val="000000" w:themeColor="text1"/>
          <w:sz w:val="24"/>
          <w14:textFill>
            <w14:solidFill>
              <w14:schemeClr w14:val="tx1"/>
            </w14:solidFill>
          </w14:textFill>
        </w:rPr>
      </w:pPr>
      <w:bookmarkStart w:id="33" w:name="_Toc8754"/>
      <w:r>
        <w:rPr>
          <w:rFonts w:hint="eastAsia" w:ascii="宋体" w:hAnsi="宋体"/>
          <w:color w:val="000000" w:themeColor="text1"/>
          <w:sz w:val="24"/>
          <w14:textFill>
            <w14:solidFill>
              <w14:schemeClr w14:val="tx1"/>
            </w14:solidFill>
          </w14:textFill>
        </w:rPr>
        <w:t>3.成交供应商</w:t>
      </w:r>
      <w:r>
        <w:rPr>
          <w:rFonts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color w:val="000000" w:themeColor="text1"/>
          <w:sz w:val="24"/>
          <w14:textFill>
            <w14:solidFill>
              <w14:schemeClr w14:val="tx1"/>
            </w14:solidFill>
          </w14:textFill>
        </w:rPr>
        <w:t>磋商响应文件</w:t>
      </w:r>
      <w:r>
        <w:rPr>
          <w:rFonts w:asciiTheme="minorEastAsia" w:hAnsiTheme="minorEastAsia" w:eastAsiaTheme="minorEastAsia"/>
          <w:color w:val="000000" w:themeColor="text1"/>
          <w:sz w:val="24"/>
          <w14:textFill>
            <w14:solidFill>
              <w14:schemeClr w14:val="tx1"/>
            </w14:solidFill>
          </w14:textFill>
        </w:rPr>
        <w:t>自</w:t>
      </w:r>
      <w:r>
        <w:rPr>
          <w:rFonts w:hint="eastAsia" w:asciiTheme="minorEastAsia" w:hAnsiTheme="minorEastAsia" w:eastAsiaTheme="minorEastAsia"/>
          <w:color w:val="000000" w:themeColor="text1"/>
          <w:kern w:val="0"/>
          <w:sz w:val="24"/>
          <w14:textFill>
            <w14:solidFill>
              <w14:schemeClr w14:val="tx1"/>
            </w14:solidFill>
          </w14:textFill>
        </w:rPr>
        <w:t>磋商</w:t>
      </w:r>
      <w:r>
        <w:rPr>
          <w:rFonts w:asciiTheme="minorEastAsia" w:hAnsiTheme="minorEastAsia" w:eastAsiaTheme="minorEastAsia"/>
          <w:color w:val="000000" w:themeColor="text1"/>
          <w:sz w:val="24"/>
          <w14:textFill>
            <w14:solidFill>
              <w14:schemeClr w14:val="tx1"/>
            </w14:solidFill>
          </w14:textFill>
        </w:rPr>
        <w:t>之日起至合同履行完毕均应保持有效。</w:t>
      </w:r>
      <w:bookmarkEnd w:id="33"/>
    </w:p>
    <w:p>
      <w:pPr>
        <w:snapToGrid w:val="0"/>
        <w:spacing w:line="360" w:lineRule="auto"/>
        <w:ind w:firstLine="482" w:firstLineChars="200"/>
        <w:outlineLvl w:val="0"/>
        <w:rPr>
          <w:rFonts w:asciiTheme="minorEastAsia" w:hAnsiTheme="minorEastAsia" w:eastAsiaTheme="minorEastAsia"/>
          <w:b/>
          <w:color w:val="000000" w:themeColor="text1"/>
          <w:kern w:val="0"/>
          <w:sz w:val="24"/>
          <w14:textFill>
            <w14:solidFill>
              <w14:schemeClr w14:val="tx1"/>
            </w14:solidFill>
          </w14:textFill>
        </w:rPr>
      </w:pPr>
      <w:bookmarkStart w:id="34" w:name="_Toc14235"/>
      <w:r>
        <w:rPr>
          <w:rFonts w:hint="eastAsia" w:asciiTheme="minorEastAsia" w:hAnsiTheme="minorEastAsia" w:eastAsiaTheme="minorEastAsia"/>
          <w:b/>
          <w:color w:val="000000" w:themeColor="text1"/>
          <w:kern w:val="0"/>
          <w:sz w:val="24"/>
          <w14:textFill>
            <w14:solidFill>
              <w14:schemeClr w14:val="tx1"/>
            </w14:solidFill>
          </w14:textFill>
        </w:rPr>
        <w:t>（四）响应文件的签署</w:t>
      </w:r>
      <w:bookmarkEnd w:id="34"/>
    </w:p>
    <w:p>
      <w:pPr>
        <w:pStyle w:val="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color w:val="000000" w:themeColor="text1"/>
          <w:kern w:val="0"/>
          <w:sz w:val="24"/>
          <w14:textFill>
            <w14:solidFill>
              <w14:schemeClr w14:val="tx1"/>
            </w14:solidFill>
          </w14:textFill>
        </w:rPr>
        <w:t>2.响应文件中所有的插字、涂改和增删，必须由法定代表人或经其正式授权的代表签字或盖章才有效。</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3.响应文件中要求加盖公章处，可使用有效安全的电子签章替代。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（五）</w:t>
      </w:r>
      <w:r>
        <w:rPr>
          <w:rFonts w:hint="eastAsia" w:asciiTheme="minorEastAsia" w:hAnsiTheme="minorEastAsia" w:eastAsiaTheme="minorEastAsia"/>
          <w:b/>
          <w:color w:val="000000" w:themeColor="text1"/>
          <w:kern w:val="0"/>
          <w:sz w:val="24"/>
          <w14:textFill>
            <w14:solidFill>
              <w14:schemeClr w14:val="tx1"/>
            </w14:solidFill>
          </w14:textFill>
        </w:rPr>
        <w:t>响应</w:t>
      </w:r>
      <w:r>
        <w:rPr>
          <w:rFonts w:hint="eastAsia" w:asciiTheme="minorEastAsia" w:hAnsiTheme="minorEastAsia" w:eastAsiaTheme="minorEastAsia"/>
          <w:b/>
          <w:bCs/>
          <w:color w:val="000000" w:themeColor="text1"/>
          <w:sz w:val="24"/>
          <w14:textFill>
            <w14:solidFill>
              <w14:schemeClr w14:val="tx1"/>
            </w14:solidFill>
          </w14:textFill>
        </w:rPr>
        <w:t>文件</w:t>
      </w:r>
      <w:r>
        <w:rPr>
          <w:rFonts w:hint="eastAsia" w:asciiTheme="minorEastAsia" w:hAnsiTheme="minorEastAsia"/>
          <w:b/>
          <w:bCs/>
          <w:color w:val="000000" w:themeColor="text1"/>
          <w:sz w:val="24"/>
          <w14:textFill>
            <w14:solidFill>
              <w14:schemeClr w14:val="tx1"/>
            </w14:solidFill>
          </w14:textFill>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按照前附表要求提交，</w:t>
      </w:r>
      <w:r>
        <w:rPr>
          <w:rFonts w:hint="eastAsia" w:asciiTheme="minorEastAsia" w:hAnsiTheme="minorEastAsia" w:eastAsiaTheme="minorEastAsia"/>
          <w:color w:val="000000" w:themeColor="text1"/>
          <w:kern w:val="0"/>
          <w:sz w:val="24"/>
          <w14:textFill>
            <w14:solidFill>
              <w14:schemeClr w14:val="tx1"/>
            </w14:solidFill>
          </w14:textFill>
        </w:rPr>
        <w:t>如采购组织机构</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顺延</w:t>
      </w:r>
      <w:r>
        <w:rPr>
          <w:rFonts w:hint="eastAsia" w:asciiTheme="minorEastAsia" w:hAnsiTheme="minorEastAsia" w:eastAsiaTheme="minorEastAsia"/>
          <w:color w:val="000000" w:themeColor="text1"/>
          <w:kern w:val="0"/>
          <w:sz w:val="24"/>
          <w14:textFill>
            <w14:solidFill>
              <w14:schemeClr w14:val="tx1"/>
            </w14:solidFill>
          </w14:textFill>
        </w:rPr>
        <w:t>截止时间和磋商时间，采购组织机构和供应商的权利和义务将受到新的截止时间和磋商时间的约束。</w:t>
      </w:r>
    </w:p>
    <w:p>
      <w:pPr>
        <w:pStyle w:val="2"/>
        <w:spacing w:line="360" w:lineRule="auto"/>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（六）演示</w:t>
      </w:r>
    </w:p>
    <w:p>
      <w:pPr>
        <w:pStyle w:val="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bCs/>
          <w:color w:val="000000" w:themeColor="text1"/>
          <w:kern w:val="0"/>
          <w:sz w:val="24"/>
          <w14:textFill>
            <w14:solidFill>
              <w14:schemeClr w14:val="tx1"/>
            </w14:solidFill>
          </w14:textFill>
        </w:rPr>
        <w:t>若需要演示的，供应商应提前做好演示准备（包括演示设备）。</w:t>
      </w:r>
    </w:p>
    <w:p>
      <w:pPr>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五</w:t>
      </w:r>
      <w:r>
        <w:rPr>
          <w:rFonts w:hint="eastAsia" w:asciiTheme="minorEastAsia" w:hAnsiTheme="minorEastAsia" w:eastAsiaTheme="minorEastAsia"/>
          <w:b/>
          <w:color w:val="000000" w:themeColor="text1"/>
          <w:kern w:val="0"/>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磋商</w:t>
      </w:r>
      <w:r>
        <w:rPr>
          <w:rFonts w:asciiTheme="minorEastAsia" w:hAnsiTheme="minorEastAsia" w:eastAsiaTheme="minorEastAsia"/>
          <w:b/>
          <w:color w:val="000000" w:themeColor="text1"/>
          <w:sz w:val="24"/>
          <w14:textFill>
            <w14:solidFill>
              <w14:schemeClr w14:val="tx1"/>
            </w14:solidFill>
          </w14:textFill>
        </w:rPr>
        <w:t>程序</w:t>
      </w:r>
    </w:p>
    <w:p>
      <w:pPr>
        <w:pStyle w:val="2"/>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（一）磋商开始时间到后，主持人准时组织磋商；</w:t>
      </w:r>
    </w:p>
    <w:p>
      <w:pPr>
        <w:pStyle w:val="2"/>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（二）宣布采购组织机构工作人员；</w:t>
      </w:r>
    </w:p>
    <w:p>
      <w:pPr>
        <w:pStyle w:val="2"/>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（三）供应商登录政采云平台，用“项目采购-开标评标”功能对响应文件进行在线解密。在线解密</w:t>
      </w:r>
      <w:r>
        <w:rPr>
          <w:rFonts w:hint="eastAsia" w:ascii="宋体" w:hAnsi="宋体" w:cs="宋体"/>
          <w:bCs/>
          <w:color w:val="000000" w:themeColor="text1"/>
          <w:kern w:val="0"/>
          <w:sz w:val="24"/>
          <w:szCs w:val="24"/>
          <w14:textFill>
            <w14:solidFill>
              <w14:schemeClr w14:val="tx1"/>
            </w14:solidFill>
          </w14:textFill>
        </w:rPr>
        <w:t>响应文件</w:t>
      </w:r>
      <w:r>
        <w:rPr>
          <w:rFonts w:hint="eastAsia" w:ascii="宋体" w:hAnsi="宋体" w:cs="宋体"/>
          <w:color w:val="000000" w:themeColor="text1"/>
          <w:sz w:val="24"/>
          <w:szCs w:val="24"/>
          <w14:textFill>
            <w14:solidFill>
              <w14:schemeClr w14:val="tx1"/>
            </w14:solidFill>
          </w14:textFill>
        </w:rPr>
        <w:t>时间为磋商时间起半个小时内；</w:t>
      </w:r>
    </w:p>
    <w:p>
      <w:pPr>
        <w:pStyle w:val="12"/>
        <w:snapToGrid w:val="0"/>
        <w:spacing w:line="360" w:lineRule="auto"/>
        <w:ind w:firstLine="480" w:firstLineChars="200"/>
        <w:outlineLvl w:val="1"/>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（四）磋商(详见第四章)；</w:t>
      </w:r>
    </w:p>
    <w:p>
      <w:pPr>
        <w:pStyle w:val="1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（五）磋商结果公告。</w:t>
      </w:r>
    </w:p>
    <w:p>
      <w:pPr>
        <w:pStyle w:val="2"/>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六</w:t>
      </w:r>
      <w:r>
        <w:rPr>
          <w:rFonts w:hint="eastAsia"/>
          <w:b/>
          <w:bCs/>
          <w:color w:val="000000" w:themeColor="text1"/>
          <w:sz w:val="24"/>
          <w:szCs w:val="24"/>
          <w14:textFill>
            <w14:solidFill>
              <w14:schemeClr w14:val="tx1"/>
            </w14:solidFill>
          </w14:textFill>
        </w:rPr>
        <w:t>、磋商异议</w:t>
      </w:r>
    </w:p>
    <w:p>
      <w:pPr>
        <w:pStyle w:val="2"/>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供应商代表对磋商过程和磋商记录有疑义，以及认为采购人、采购</w:t>
      </w:r>
      <w:r>
        <w:rPr>
          <w:rFonts w:hint="eastAsia" w:asciiTheme="minorEastAsia" w:hAnsiTheme="minorEastAsia" w:eastAsiaTheme="minorEastAsia" w:cstheme="minorBidi"/>
          <w:color w:val="000000" w:themeColor="text1"/>
          <w:sz w:val="24"/>
          <w:szCs w:val="24"/>
          <w14:textFill>
            <w14:solidFill>
              <w14:schemeClr w14:val="tx1"/>
            </w14:solidFill>
          </w14:textFill>
        </w:rPr>
        <w:t>组织</w:t>
      </w:r>
      <w:r>
        <w:rPr>
          <w:rFonts w:hint="eastAsia"/>
          <w:color w:val="000000" w:themeColor="text1"/>
          <w:sz w:val="24"/>
          <w:szCs w:val="24"/>
          <w14:textFill>
            <w14:solidFill>
              <w14:schemeClr w14:val="tx1"/>
            </w14:solidFill>
          </w14:textFill>
        </w:rPr>
        <w:t>机构相关工作人员有需要回避的情形的，应当场提出询问或者回避申请，磋商会议结束后不再接受相关询问、质疑或者回避申请。</w:t>
      </w:r>
    </w:p>
    <w:p>
      <w:pPr>
        <w:pStyle w:val="21"/>
        <w:spacing w:before="0" w:beforeAutospacing="0" w:after="0" w:afterAutospacing="0" w:line="360" w:lineRule="auto"/>
        <w:ind w:firstLine="482" w:firstLineChars="200"/>
        <w:jc w:val="both"/>
        <w:rPr>
          <w:rFonts w:hint="default" w:asciiTheme="minorEastAsia" w:hAnsi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lang w:val="en-US" w:eastAsia="zh-CN"/>
          <w14:textFill>
            <w14:solidFill>
              <w14:schemeClr w14:val="tx1"/>
            </w14:solidFill>
          </w14:textFill>
        </w:rPr>
        <w:t>七</w:t>
      </w:r>
      <w:r>
        <w:rPr>
          <w:rFonts w:asciiTheme="minorEastAsia" w:hAnsiTheme="minorEastAsia" w:eastAsiaTheme="minorEastAsia"/>
          <w:b/>
          <w:color w:val="000000" w:themeColor="text1"/>
          <w14:textFill>
            <w14:solidFill>
              <w14:schemeClr w14:val="tx1"/>
            </w14:solidFill>
          </w14:textFill>
        </w:rPr>
        <w:t>、</w:t>
      </w:r>
      <w:r>
        <w:rPr>
          <w:b/>
          <w:color w:val="000000" w:themeColor="text1"/>
          <w14:textFill>
            <w14:solidFill>
              <w14:schemeClr w14:val="tx1"/>
            </w14:solidFill>
          </w14:textFill>
        </w:rPr>
        <w:t>磋商结果确定</w:t>
      </w:r>
    </w:p>
    <w:p>
      <w:pPr>
        <w:pStyle w:val="21"/>
        <w:spacing w:before="0" w:beforeAutospacing="0" w:after="0" w:afterAutospacing="0" w:line="360" w:lineRule="auto"/>
        <w:ind w:firstLine="482" w:firstLineChars="200"/>
        <w:jc w:val="both"/>
        <w:rPr>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（一）</w:t>
      </w:r>
      <w:r>
        <w:rPr>
          <w:b/>
          <w:bCs/>
          <w:color w:val="000000" w:themeColor="text1"/>
          <w14:textFill>
            <w14:solidFill>
              <w14:schemeClr w14:val="tx1"/>
            </w14:solidFill>
          </w14:textFill>
        </w:rPr>
        <w:t>确定成交供应商</w:t>
      </w:r>
    </w:p>
    <w:p>
      <w:pPr>
        <w:pStyle w:val="21"/>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磋商小组根据采购单位的</w:t>
      </w:r>
      <w:r>
        <w:rPr>
          <w:color w:val="000000" w:themeColor="text1"/>
          <w14:textFill>
            <w14:solidFill>
              <w14:schemeClr w14:val="tx1"/>
            </w14:solidFill>
          </w14:textFill>
        </w:rPr>
        <w:t>《授权意见确认书》</w:t>
      </w:r>
      <w:r>
        <w:rPr>
          <w:rFonts w:asciiTheme="minorEastAsia" w:hAnsiTheme="minorEastAsia" w:eastAsiaTheme="minorEastAsia"/>
          <w:color w:val="000000" w:themeColor="text1"/>
          <w14:textFill>
            <w14:solidFill>
              <w14:schemeClr w14:val="tx1"/>
            </w14:solidFill>
          </w14:textFill>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numPr>
          <w:ilvl w:val="0"/>
          <w:numId w:val="8"/>
        </w:numPr>
        <w:spacing w:line="360" w:lineRule="auto"/>
        <w:ind w:firstLine="482" w:firstLineChars="200"/>
        <w:rPr>
          <w:rFonts w:hint="eastAsia"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发布成交结果公告</w:t>
      </w:r>
    </w:p>
    <w:p>
      <w:pPr>
        <w:numPr>
          <w:ilvl w:val="0"/>
          <w:numId w:val="0"/>
        </w:num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采购组织机构自成交供应商</w:t>
      </w:r>
      <w:r>
        <w:rPr>
          <w:rFonts w:ascii="宋体" w:hAnsi="宋体"/>
          <w:color w:val="000000" w:themeColor="text1"/>
          <w:kern w:val="0"/>
          <w:sz w:val="24"/>
          <w14:textFill>
            <w14:solidFill>
              <w14:schemeClr w14:val="tx1"/>
            </w14:solidFill>
          </w14:textFill>
        </w:rPr>
        <w:t>确定</w:t>
      </w:r>
      <w:r>
        <w:rPr>
          <w:rFonts w:hint="eastAsia" w:ascii="宋体" w:hAnsi="宋体"/>
          <w:color w:val="000000" w:themeColor="text1"/>
          <w:kern w:val="0"/>
          <w:sz w:val="24"/>
          <w14:textFill>
            <w14:solidFill>
              <w14:schemeClr w14:val="tx1"/>
            </w14:solidFill>
          </w14:textFill>
        </w:rPr>
        <w:t>之日起</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w:t>
      </w:r>
      <w:r>
        <w:rPr>
          <w:rFonts w:hint="eastAsia" w:ascii="宋体" w:hAnsi="宋体"/>
          <w:color w:val="000000" w:themeColor="text1"/>
          <w:kern w:val="0"/>
          <w:sz w:val="24"/>
          <w14:textFill>
            <w14:solidFill>
              <w14:schemeClr w14:val="tx1"/>
            </w14:solidFill>
          </w14:textFill>
        </w:rPr>
        <w:t>浙江</w:t>
      </w:r>
      <w:r>
        <w:rPr>
          <w:rFonts w:ascii="宋体" w:hAnsi="宋体"/>
          <w:color w:val="000000" w:themeColor="text1"/>
          <w:kern w:val="0"/>
          <w:sz w:val="24"/>
          <w14:textFill>
            <w14:solidFill>
              <w14:schemeClr w14:val="tx1"/>
            </w14:solidFill>
          </w14:textFill>
        </w:rPr>
        <w:t>省</w:t>
      </w:r>
      <w:r>
        <w:rPr>
          <w:rFonts w:hint="eastAsia" w:ascii="宋体" w:hAnsi="宋体"/>
          <w:color w:val="000000" w:themeColor="text1"/>
          <w:kern w:val="0"/>
          <w:sz w:val="24"/>
          <w14:textFill>
            <w14:solidFill>
              <w14:schemeClr w14:val="tx1"/>
            </w14:solidFill>
          </w14:textFill>
        </w:rPr>
        <w:t>政府采购</w:t>
      </w:r>
      <w:r>
        <w:rPr>
          <w:rFonts w:ascii="宋体" w:hAnsi="宋体"/>
          <w:color w:val="000000" w:themeColor="text1"/>
          <w:kern w:val="0"/>
          <w:sz w:val="24"/>
          <w14:textFill>
            <w14:solidFill>
              <w14:schemeClr w14:val="tx1"/>
            </w14:solidFill>
          </w14:textFill>
        </w:rPr>
        <w:t>网</w:t>
      </w:r>
      <w:r>
        <w:rPr>
          <w:rFonts w:hint="eastAsia" w:ascii="宋体" w:hAnsi="宋体"/>
          <w:color w:val="000000" w:themeColor="text1"/>
          <w:kern w:val="0"/>
          <w:sz w:val="24"/>
          <w14:textFill>
            <w14:solidFill>
              <w14:schemeClr w14:val="tx1"/>
            </w14:solidFill>
          </w14:textFill>
        </w:rPr>
        <w:t>和台州市公共资源交易网上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成交结果，成交</w:t>
      </w:r>
      <w:r>
        <w:rPr>
          <w:color w:val="000000" w:themeColor="text1"/>
          <w:sz w:val="24"/>
          <w14:textFill>
            <w14:solidFill>
              <w14:schemeClr w14:val="tx1"/>
            </w14:solidFill>
          </w14:textFill>
        </w:rPr>
        <w:t>结果公告期为 1 个工作日</w:t>
      </w:r>
      <w:r>
        <w:rPr>
          <w:rFonts w:hint="eastAsia" w:ascii="宋体" w:hAnsi="宋体"/>
          <w:color w:val="000000" w:themeColor="text1"/>
          <w:kern w:val="0"/>
          <w:sz w:val="24"/>
          <w14:textFill>
            <w14:solidFill>
              <w14:schemeClr w14:val="tx1"/>
            </w14:solidFill>
          </w14:textFill>
        </w:rPr>
        <w:t>。</w:t>
      </w:r>
    </w:p>
    <w:p>
      <w:pPr>
        <w:pStyle w:val="9"/>
        <w:numPr>
          <w:ilvl w:val="0"/>
          <w:numId w:val="8"/>
        </w:numPr>
        <w:spacing w:line="360" w:lineRule="auto"/>
        <w:ind w:left="0" w:leftChars="0" w:firstLine="482" w:firstLineChars="200"/>
        <w:jc w:val="both"/>
        <w:rPr>
          <w:rFonts w:hint="eastAsia"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发放成交通知书</w:t>
      </w:r>
    </w:p>
    <w:p>
      <w:pPr>
        <w:pStyle w:val="9"/>
        <w:numPr>
          <w:ilvl w:val="0"/>
          <w:numId w:val="0"/>
        </w:numPr>
        <w:spacing w:line="360" w:lineRule="auto"/>
        <w:ind w:left="0" w:leftChars="0" w:firstLine="420" w:firstLineChars="175"/>
        <w:jc w:val="both"/>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采购组织机构在发布成交结果公告的同时，</w:t>
      </w:r>
      <w:r>
        <w:rPr>
          <w:rFonts w:hint="eastAsia"/>
          <w:color w:val="000000" w:themeColor="text1"/>
          <w:sz w:val="24"/>
          <w14:textFill>
            <w14:solidFill>
              <w14:schemeClr w14:val="tx1"/>
            </w14:solidFill>
          </w14:textFill>
        </w:rPr>
        <w:t>通过政采云平台向成交供应商发放成交通知书</w:t>
      </w:r>
      <w:r>
        <w:rPr>
          <w:rFonts w:hint="eastAsia" w:ascii="宋体" w:hAnsi="宋体"/>
          <w:color w:val="000000" w:themeColor="text1"/>
          <w:kern w:val="0"/>
          <w:sz w:val="24"/>
          <w14:textFill>
            <w14:solidFill>
              <w14:schemeClr w14:val="tx1"/>
            </w14:solidFill>
          </w14:textFill>
        </w:rPr>
        <w:t>。</w:t>
      </w:r>
    </w:p>
    <w:p>
      <w:pPr>
        <w:spacing w:line="360" w:lineRule="auto"/>
        <w:ind w:firstLine="482" w:firstLineChars="200"/>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八</w:t>
      </w:r>
      <w:r>
        <w:rPr>
          <w:rFonts w:asciiTheme="minorEastAsia" w:hAnsiTheme="minorEastAsia" w:eastAsiaTheme="minorEastAsia"/>
          <w:b/>
          <w:color w:val="000000" w:themeColor="text1"/>
          <w:sz w:val="24"/>
          <w14:textFill>
            <w14:solidFill>
              <w14:schemeClr w14:val="tx1"/>
            </w14:solidFill>
          </w14:textFill>
        </w:rPr>
        <w:t>、</w:t>
      </w:r>
      <w:r>
        <w:rPr>
          <w:rFonts w:hint="eastAsia" w:ascii="宋体" w:hAnsi="宋体"/>
          <w:b/>
          <w:color w:val="000000" w:themeColor="text1"/>
          <w:kern w:val="0"/>
          <w:sz w:val="24"/>
          <w14:textFill>
            <w14:solidFill>
              <w14:schemeClr w14:val="tx1"/>
            </w14:solidFill>
          </w14:textFill>
        </w:rPr>
        <w:t>合同签订及公告</w:t>
      </w:r>
    </w:p>
    <w:p>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（一）签订合同</w:t>
      </w:r>
    </w:p>
    <w:p>
      <w:pPr>
        <w:pStyle w:val="21"/>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21"/>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2.采购人不得向成交供应商提出任何不合理的要求作为签订合同的条件。</w:t>
      </w:r>
    </w:p>
    <w:p>
      <w:pPr>
        <w:pStyle w:val="21"/>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3.成交供应商无故拖延、拒签合同的，将取消成交资格。</w:t>
      </w:r>
    </w:p>
    <w:p>
      <w:pPr>
        <w:pStyle w:val="21"/>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21"/>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5.询问或者质疑事项可能影响成交结果的，采购人应当暂停签订合同，已经签订合同的，应当中止履行合同。</w:t>
      </w:r>
    </w:p>
    <w:p>
      <w:pPr>
        <w:pStyle w:val="21"/>
        <w:spacing w:before="0" w:beforeAutospacing="0" w:after="0" w:afterAutospacing="0" w:line="360" w:lineRule="auto"/>
        <w:ind w:firstLine="482" w:firstLineChars="200"/>
        <w:jc w:val="both"/>
        <w:rPr>
          <w:rFonts w:hint="default" w:cs="仿宋_GB2312"/>
          <w:b/>
          <w:color w:val="000000" w:themeColor="text1"/>
          <w14:textFill>
            <w14:solidFill>
              <w14:schemeClr w14:val="tx1"/>
            </w14:solidFill>
          </w14:textFill>
        </w:rPr>
      </w:pPr>
      <w:r>
        <w:rPr>
          <w:b/>
          <w:color w:val="000000" w:themeColor="text1"/>
          <w14:textFill>
            <w14:solidFill>
              <w14:schemeClr w14:val="tx1"/>
            </w14:solidFill>
          </w14:textFill>
        </w:rPr>
        <w:t>（二）合同公告及备案</w:t>
      </w:r>
    </w:p>
    <w:p>
      <w:pPr>
        <w:pStyle w:val="11"/>
        <w:spacing w:after="0" w:line="360" w:lineRule="auto"/>
        <w:ind w:left="0" w:leftChars="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1.采购人应当自政府采购合同签订之日起2个工作日内，</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sz w:val="24"/>
          <w14:textFill>
            <w14:solidFill>
              <w14:schemeClr w14:val="tx1"/>
            </w14:solidFill>
          </w14:textFill>
        </w:rPr>
        <w:t>。</w:t>
      </w:r>
    </w:p>
    <w:p>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2.采购人应当自政府采购合同签订之日起7个工作日内，</w:t>
      </w:r>
      <w:r>
        <w:rPr>
          <w:rFonts w:hint="eastAsia"/>
          <w:color w:val="000000" w:themeColor="text1"/>
          <w:sz w:val="24"/>
          <w14:textFill>
            <w14:solidFill>
              <w14:schemeClr w14:val="tx1"/>
            </w14:solidFill>
          </w14:textFill>
        </w:rPr>
        <w:t>将合同通过政采云平台提交至</w:t>
      </w:r>
      <w:r>
        <w:rPr>
          <w:rFonts w:hint="eastAsia" w:ascii="宋体" w:hAnsi="宋体"/>
          <w:color w:val="000000" w:themeColor="text1"/>
          <w:sz w:val="24"/>
          <w14:textFill>
            <w14:solidFill>
              <w14:schemeClr w14:val="tx1"/>
            </w14:solidFill>
          </w14:textFill>
        </w:rPr>
        <w:t>同级人民政府财政部门备案存档。</w:t>
      </w:r>
    </w:p>
    <w:p>
      <w:pPr>
        <w:pStyle w:val="9"/>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九</w:t>
      </w:r>
      <w:r>
        <w:rPr>
          <w:rFonts w:hint="eastAsia" w:ascii="宋体" w:hAnsi="宋体"/>
          <w:b/>
          <w:bCs/>
          <w:color w:val="000000" w:themeColor="text1"/>
          <w:sz w:val="24"/>
          <w14:textFill>
            <w14:solidFill>
              <w14:schemeClr w14:val="tx1"/>
            </w14:solidFill>
          </w14:textFill>
        </w:rPr>
        <w:t>、询问、质疑与投诉</w:t>
      </w:r>
    </w:p>
    <w:p>
      <w:pPr>
        <w:pStyle w:val="9"/>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（一）询问</w:t>
      </w:r>
    </w:p>
    <w:p>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磋商供应商对政府采购活动事项（磋商文件、采购过程和成交结果）有疑问的，可以向采购人或采购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机构提出询问，采购人或采购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机构将及时作出答复，但答复的内容不涉及商业秘密。询问可以口头方式提出，也可以书面方式提出。联系方式见第一章“磋商邀请”中“采购人、采购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机构的名称、地址和联系方式”。</w:t>
      </w:r>
    </w:p>
    <w:p>
      <w:pPr>
        <w:pStyle w:val="9"/>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（二）质疑</w:t>
      </w:r>
    </w:p>
    <w:p>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1.报名本项目的供应商认为磋商文件、采购过程和成交结果使自己的权益受到损害的，通过政采云平台的质疑系统一次性向采购人或采购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机构书面提出质疑：</w:t>
      </w:r>
    </w:p>
    <w:p>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（1）供应商认为磋商文件的内容损害其权益的，应当自获取之日起（获取截止日之后收到磋商文件的，以获取截止日为准）7个工作日内提出质疑；</w:t>
      </w:r>
    </w:p>
    <w:p>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（2）供应商对采购过程提出质疑的，应当在各采购程序环节结束之日起7个工作日内提出质疑；</w:t>
      </w:r>
    </w:p>
    <w:p>
      <w:pPr>
        <w:pStyle w:val="9"/>
        <w:spacing w:line="360" w:lineRule="auto"/>
        <w:ind w:firstLine="480" w:firstLineChars="200"/>
        <w:jc w:val="both"/>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（3）供应商对成交结果提出质疑的，应当在成交结果公告期限届满之日起7个工作日内提出质疑</w:t>
      </w:r>
      <w:r>
        <w:rPr>
          <w:rFonts w:hint="eastAsia" w:ascii="宋体" w:hAnsi="宋体"/>
          <w:color w:val="000000" w:themeColor="text1"/>
          <w:sz w:val="24"/>
          <w:lang w:eastAsia="zh-CN"/>
          <w14:textFill>
            <w14:solidFill>
              <w14:schemeClr w14:val="tx1"/>
            </w14:solidFill>
          </w14:textFill>
        </w:rPr>
        <w:t>。</w:t>
      </w:r>
    </w:p>
    <w:p>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2.采购人或采购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机构在收到磋商供应商的书面质疑后7个工作日内作出答复，并以书面形式通知质疑磋商供应商和其他有关磋商供应商，但答复内容不涉及商业秘密。</w:t>
      </w:r>
    </w:p>
    <w:p>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（三）投诉</w:t>
      </w:r>
    </w:p>
    <w:p>
      <w:pPr>
        <w:pStyle w:val="9"/>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磋商供应商对采购人或采购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机构的质疑答复不满意或在规定时间内未得到答复的，可以在答复期满后15个工作日内，向同级政府采购监督管理机构投诉。</w:t>
      </w:r>
    </w:p>
    <w:p>
      <w:pPr>
        <w:pStyle w:val="9"/>
        <w:spacing w:line="360" w:lineRule="auto"/>
        <w:ind w:firstLine="480" w:firstLineChars="200"/>
        <w:jc w:val="both"/>
        <w:rPr>
          <w:rFonts w:ascii="宋体" w:hAnsi="宋体"/>
          <w:color w:val="000000" w:themeColor="text1"/>
          <w:sz w:val="24"/>
          <w14:textFill>
            <w14:solidFill>
              <w14:schemeClr w14:val="tx1"/>
            </w14:solidFill>
          </w14:textFill>
        </w:rPr>
      </w:pPr>
    </w:p>
    <w:p>
      <w:pPr>
        <w:pStyle w:val="9"/>
        <w:spacing w:line="360" w:lineRule="auto"/>
        <w:ind w:firstLine="480" w:firstLineChars="200"/>
        <w:jc w:val="both"/>
        <w:rPr>
          <w:rFonts w:ascii="宋体" w:hAnsi="宋体"/>
          <w:color w:val="000000" w:themeColor="text1"/>
          <w:sz w:val="24"/>
          <w14:textFill>
            <w14:solidFill>
              <w14:schemeClr w14:val="tx1"/>
            </w14:solidFill>
          </w14:textFill>
        </w:rPr>
      </w:pPr>
    </w:p>
    <w:p>
      <w:pPr>
        <w:pStyle w:val="9"/>
        <w:spacing w:line="360" w:lineRule="auto"/>
        <w:ind w:firstLine="723" w:firstLineChars="200"/>
        <w:jc w:val="both"/>
        <w:rPr>
          <w:rFonts w:asciiTheme="minorEastAsia" w:hAnsiTheme="minorEastAsia" w:eastAsiaTheme="minorEastAsia"/>
          <w:b/>
          <w:color w:val="000000" w:themeColor="text1"/>
          <w:sz w:val="36"/>
          <w:szCs w:val="36"/>
          <w14:textFill>
            <w14:solidFill>
              <w14:schemeClr w14:val="tx1"/>
            </w14:solidFill>
          </w14:textFill>
        </w:rPr>
      </w:pPr>
    </w:p>
    <w:p>
      <w:pPr>
        <w:pStyle w:val="9"/>
        <w:spacing w:line="360" w:lineRule="auto"/>
        <w:ind w:firstLine="723" w:firstLineChars="200"/>
        <w:jc w:val="both"/>
        <w:rPr>
          <w:rFonts w:asciiTheme="minorEastAsia" w:hAnsiTheme="minorEastAsia" w:eastAsiaTheme="minorEastAsia"/>
          <w:b/>
          <w:color w:val="000000" w:themeColor="text1"/>
          <w:sz w:val="36"/>
          <w:szCs w:val="36"/>
          <w14:textFill>
            <w14:solidFill>
              <w14:schemeClr w14:val="tx1"/>
            </w14:solidFill>
          </w14:textFill>
        </w:rPr>
      </w:pPr>
    </w:p>
    <w:p>
      <w:pPr>
        <w:pStyle w:val="9"/>
        <w:spacing w:line="360" w:lineRule="auto"/>
        <w:ind w:firstLine="723" w:firstLineChars="200"/>
        <w:jc w:val="both"/>
        <w:rPr>
          <w:rFonts w:asciiTheme="minorEastAsia" w:hAnsiTheme="minorEastAsia" w:eastAsiaTheme="minorEastAsia"/>
          <w:b/>
          <w:color w:val="000000" w:themeColor="text1"/>
          <w:sz w:val="36"/>
          <w:szCs w:val="36"/>
          <w14:textFill>
            <w14:solidFill>
              <w14:schemeClr w14:val="tx1"/>
            </w14:solidFill>
          </w14:textFill>
        </w:rPr>
      </w:pPr>
    </w:p>
    <w:p>
      <w:pPr>
        <w:pStyle w:val="9"/>
        <w:spacing w:line="360" w:lineRule="auto"/>
        <w:ind w:firstLine="723" w:firstLineChars="200"/>
        <w:jc w:val="both"/>
        <w:rPr>
          <w:rFonts w:asciiTheme="minorEastAsia" w:hAnsiTheme="minorEastAsia" w:eastAsiaTheme="minorEastAsia"/>
          <w:b/>
          <w:color w:val="000000" w:themeColor="text1"/>
          <w:sz w:val="36"/>
          <w:szCs w:val="36"/>
          <w14:textFill>
            <w14:solidFill>
              <w14:schemeClr w14:val="tx1"/>
            </w14:solidFill>
          </w14:textFill>
        </w:rPr>
      </w:pPr>
    </w:p>
    <w:p>
      <w:pPr>
        <w:rPr>
          <w:rFonts w:asciiTheme="minorEastAsia" w:hAnsiTheme="minorEastAsia" w:eastAsiaTheme="minorEastAsia"/>
          <w:b/>
          <w:color w:val="000000" w:themeColor="text1"/>
          <w:sz w:val="36"/>
          <w:szCs w:val="36"/>
          <w14:textFill>
            <w14:solidFill>
              <w14:schemeClr w14:val="tx1"/>
            </w14:solidFill>
          </w14:textFill>
        </w:rPr>
      </w:pPr>
      <w:r>
        <w:rPr>
          <w:rFonts w:asciiTheme="minorEastAsia" w:hAnsiTheme="minorEastAsia" w:eastAsiaTheme="minorEastAsia"/>
          <w:b/>
          <w:color w:val="000000" w:themeColor="text1"/>
          <w:sz w:val="36"/>
          <w:szCs w:val="36"/>
          <w14:textFill>
            <w14:solidFill>
              <w14:schemeClr w14:val="tx1"/>
            </w14:solidFill>
          </w14:textFill>
        </w:rPr>
        <w:br w:type="page"/>
      </w:r>
    </w:p>
    <w:p>
      <w:pPr>
        <w:numPr>
          <w:ilvl w:val="0"/>
          <w:numId w:val="4"/>
        </w:numPr>
        <w:spacing w:line="360" w:lineRule="auto"/>
        <w:jc w:val="center"/>
        <w:outlineLvl w:val="0"/>
        <w:rPr>
          <w:rFonts w:asciiTheme="minorEastAsia" w:hAnsiTheme="minorEastAsia" w:eastAsiaTheme="minorEastAsia"/>
          <w:b/>
          <w:sz w:val="36"/>
          <w:szCs w:val="36"/>
        </w:rPr>
      </w:pPr>
      <w:bookmarkStart w:id="35" w:name="_Toc29935"/>
      <w:r>
        <w:rPr>
          <w:rFonts w:hint="eastAsia" w:asciiTheme="minorEastAsia" w:hAnsiTheme="minorEastAsia" w:eastAsiaTheme="minorEastAsia"/>
          <w:b/>
          <w:sz w:val="36"/>
          <w:szCs w:val="36"/>
        </w:rPr>
        <w:t>项目需求</w:t>
      </w:r>
      <w:bookmarkEnd w:id="35"/>
    </w:p>
    <w:p>
      <w:pPr>
        <w:pStyle w:val="3"/>
        <w:numPr>
          <w:ilvl w:val="0"/>
          <w:numId w:val="0"/>
        </w:numPr>
        <w:spacing w:line="360" w:lineRule="auto"/>
        <w:ind w:left="425" w:leftChars="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一、项目一览表</w:t>
      </w:r>
    </w:p>
    <w:p>
      <w:pPr>
        <w:tabs>
          <w:tab w:val="left" w:pos="8280"/>
        </w:tabs>
        <w:autoSpaceDE w:val="0"/>
        <w:autoSpaceDN w:val="0"/>
        <w:adjustRightInd w:val="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本次磋商共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个标项，具体内容如下表：</w:t>
      </w:r>
    </w:p>
    <w:tbl>
      <w:tblPr>
        <w:tblStyle w:val="24"/>
        <w:tblpPr w:leftFromText="181" w:rightFromText="181" w:bottomFromText="170" w:vertAnchor="text" w:tblpXSpec="center" w:tblpY="1"/>
        <w:tblOverlap w:val="never"/>
        <w:tblW w:w="7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4"/>
                <w:szCs w:val="24"/>
              </w:rPr>
            </w:pPr>
          </w:p>
          <w:p>
            <w:pPr>
              <w:tabs>
                <w:tab w:val="left" w:pos="8280"/>
              </w:tabs>
              <w:autoSpaceDE w:val="0"/>
              <w:autoSpaceDN w:val="0"/>
              <w:adjustRightInd w:val="0"/>
              <w:jc w:val="center"/>
              <w:rPr>
                <w:rFonts w:hint="eastAsia" w:asciiTheme="minorEastAsia" w:hAnsiTheme="minorEastAsia" w:eastAsiaTheme="minorEastAsia" w:cstheme="minorEastAsia"/>
                <w:b/>
                <w:sz w:val="24"/>
                <w:szCs w:val="24"/>
              </w:rPr>
            </w:pPr>
          </w:p>
        </w:tc>
        <w:tc>
          <w:tcPr>
            <w:tcW w:w="1477"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项目名称</w:t>
            </w:r>
          </w:p>
        </w:tc>
        <w:tc>
          <w:tcPr>
            <w:tcW w:w="1991"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简要技术要求</w:t>
            </w:r>
          </w:p>
        </w:tc>
        <w:tc>
          <w:tcPr>
            <w:tcW w:w="1099"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852"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单位</w:t>
            </w:r>
          </w:p>
        </w:tc>
        <w:tc>
          <w:tcPr>
            <w:tcW w:w="1696"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总预算（万元）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82"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477"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sz w:val="24"/>
                <w:szCs w:val="24"/>
                <w:highlight w:val="none"/>
                <w:lang w:eastAsia="zh-CN"/>
              </w:rPr>
              <w:t>台州市中级人民法院</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安保项目</w:t>
            </w:r>
          </w:p>
        </w:tc>
        <w:tc>
          <w:tcPr>
            <w:tcW w:w="1991"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详见技术需求</w:t>
            </w:r>
          </w:p>
        </w:tc>
        <w:tc>
          <w:tcPr>
            <w:tcW w:w="1099"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w:t>
            </w:r>
          </w:p>
        </w:tc>
        <w:tc>
          <w:tcPr>
            <w:tcW w:w="852"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项</w:t>
            </w:r>
          </w:p>
        </w:tc>
        <w:tc>
          <w:tcPr>
            <w:tcW w:w="1696" w:type="dxa"/>
            <w:vAlign w:val="center"/>
          </w:tcPr>
          <w:p>
            <w:pPr>
              <w:tabs>
                <w:tab w:val="left" w:pos="8280"/>
              </w:tabs>
              <w:autoSpaceDE w:val="0"/>
              <w:autoSpaceDN w:val="0"/>
              <w:adjustRightInd w:val="0"/>
              <w:jc w:val="center"/>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sz w:val="24"/>
                <w:szCs w:val="24"/>
                <w:highlight w:val="none"/>
                <w:lang w:val="en-US" w:eastAsia="zh-CN"/>
              </w:rPr>
              <w:t>95.60</w:t>
            </w:r>
          </w:p>
        </w:tc>
      </w:tr>
    </w:tbl>
    <w:p>
      <w:pPr>
        <w:pStyle w:val="54"/>
        <w:pageBreakBefore w:val="0"/>
        <w:numPr>
          <w:ilvl w:val="0"/>
          <w:numId w:val="9"/>
        </w:numPr>
        <w:kinsoku/>
        <w:wordWrap/>
        <w:overflowPunct/>
        <w:topLinePunct w:val="0"/>
        <w:bidi w:val="0"/>
        <w:spacing w:line="360" w:lineRule="auto"/>
        <w:ind w:firstLine="480"/>
        <w:rPr>
          <w:rFonts w:hint="eastAsia" w:ascii="仿宋_GB2312" w:hAnsi="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服务</w:t>
      </w:r>
      <w:r>
        <w:rPr>
          <w:rFonts w:hint="eastAsia" w:ascii="仿宋_GB2312" w:hAnsi="仿宋_GB2312" w:cs="仿宋_GB2312"/>
          <w:b/>
          <w:bCs/>
          <w:color w:val="auto"/>
          <w:sz w:val="28"/>
          <w:szCs w:val="28"/>
          <w:highlight w:val="none"/>
          <w:lang w:val="en-US" w:eastAsia="zh-CN"/>
        </w:rPr>
        <w:t>需求：</w:t>
      </w:r>
    </w:p>
    <w:p>
      <w:pPr>
        <w:widowControl/>
        <w:shd w:val="clear" w:color="auto" w:fill="FFFFFF"/>
        <w:spacing w:after="150" w:line="375" w:lineRule="atLeast"/>
        <w:jc w:val="left"/>
        <w:rPr>
          <w:rFonts w:ascii="宋体" w:hAnsi="宋体" w:cs="Arial"/>
          <w:b/>
          <w:kern w:val="0"/>
          <w:sz w:val="24"/>
        </w:rPr>
      </w:pPr>
      <w:r>
        <w:rPr>
          <w:rFonts w:hint="eastAsia" w:hAnsi="宋体" w:cs="Arial"/>
          <w:sz w:val="24"/>
          <w:lang w:eastAsia="zh-CN"/>
        </w:rPr>
        <w:t>　　　</w:t>
      </w:r>
      <w:r>
        <w:rPr>
          <w:rFonts w:hint="eastAsia" w:ascii="宋体" w:hAnsi="宋体" w:cs="Arial"/>
          <w:b/>
          <w:kern w:val="0"/>
          <w:sz w:val="24"/>
        </w:rPr>
        <w:t>安保服务标准</w:t>
      </w:r>
    </w:p>
    <w:p>
      <w:pPr>
        <w:spacing w:line="360" w:lineRule="auto"/>
        <w:rPr>
          <w:rFonts w:ascii="宋体" w:hAnsi="宋体" w:eastAsia="宋体" w:cs="宋体"/>
          <w:b/>
          <w:sz w:val="24"/>
        </w:rPr>
      </w:pPr>
      <w:r>
        <w:rPr>
          <w:rFonts w:hint="eastAsia" w:ascii="宋体" w:hAnsi="宋体" w:eastAsia="宋体" w:cs="宋体"/>
          <w:b/>
          <w:sz w:val="24"/>
        </w:rPr>
        <w:t>（一）</w:t>
      </w:r>
      <w:r>
        <w:rPr>
          <w:rFonts w:hint="eastAsia" w:ascii="宋体" w:hAnsi="宋体" w:eastAsia="宋体" w:cs="宋体"/>
          <w:b/>
          <w:sz w:val="24"/>
          <w:lang w:eastAsia="zh-CN"/>
        </w:rPr>
        <w:t>安保</w:t>
      </w:r>
      <w:r>
        <w:rPr>
          <w:rFonts w:hint="eastAsia" w:ascii="宋体" w:hAnsi="宋体" w:eastAsia="宋体" w:cs="宋体"/>
          <w:b/>
          <w:sz w:val="24"/>
        </w:rPr>
        <w:t>基本要求</w:t>
      </w:r>
    </w:p>
    <w:p>
      <w:pPr>
        <w:spacing w:line="360" w:lineRule="auto"/>
        <w:ind w:firstLine="480" w:firstLineChars="200"/>
        <w:rPr>
          <w:rFonts w:ascii="宋体" w:hAnsi="宋体" w:eastAsia="宋体" w:cs="宋体"/>
          <w:sz w:val="24"/>
        </w:rPr>
      </w:pPr>
      <w:r>
        <w:rPr>
          <w:rFonts w:hint="eastAsia" w:ascii="宋体" w:hAnsi="宋体" w:eastAsia="宋体" w:cs="宋体"/>
          <w:sz w:val="24"/>
          <w:lang w:eastAsia="zh-CN"/>
        </w:rPr>
        <w:t>成交供应商</w:t>
      </w:r>
      <w:r>
        <w:rPr>
          <w:rFonts w:hint="eastAsia" w:ascii="宋体" w:hAnsi="宋体" w:eastAsia="宋体" w:cs="宋体"/>
          <w:sz w:val="24"/>
        </w:rPr>
        <w:t>应当立足法院实际特点，充足配备安保人员，提供包括出入人员身份查验登记和人身物品安全检查、出入车辆管理、禁止闲杂人员进入办公区等敏感区域、昼夜值班巡逻守卫、预防和处置突发事件、收发等服务，确保</w:t>
      </w:r>
      <w:r>
        <w:rPr>
          <w:rFonts w:hint="eastAsia" w:ascii="宋体" w:hAnsi="宋体" w:eastAsia="宋体" w:cs="宋体"/>
          <w:sz w:val="24"/>
          <w:lang w:eastAsia="zh-CN"/>
        </w:rPr>
        <w:t>采购人</w:t>
      </w:r>
      <w:r>
        <w:rPr>
          <w:rFonts w:hint="eastAsia" w:ascii="宋体" w:hAnsi="宋体" w:eastAsia="宋体" w:cs="宋体"/>
          <w:sz w:val="24"/>
        </w:rPr>
        <w:t>正常的工作秩序和人身财产安全。</w:t>
      </w:r>
    </w:p>
    <w:p>
      <w:pPr>
        <w:spacing w:line="360" w:lineRule="auto"/>
        <w:rPr>
          <w:rFonts w:ascii="宋体" w:hAnsi="宋体" w:eastAsia="宋体" w:cs="宋体"/>
          <w:b/>
          <w:sz w:val="24"/>
        </w:rPr>
      </w:pPr>
      <w:r>
        <w:rPr>
          <w:rFonts w:hint="eastAsia" w:ascii="宋体" w:hAnsi="宋体" w:eastAsia="宋体" w:cs="宋体"/>
          <w:b/>
          <w:sz w:val="24"/>
        </w:rPr>
        <w:t>（二）安保队伍建制要求</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1</w:t>
      </w:r>
      <w:r>
        <w:rPr>
          <w:rFonts w:hint="eastAsia" w:ascii="宋体" w:hAnsi="宋体" w:eastAsia="宋体" w:cs="宋体"/>
          <w:color w:val="000000" w:themeColor="text1"/>
          <w:sz w:val="24"/>
          <w14:textFill>
            <w14:solidFill>
              <w14:schemeClr w14:val="tx1"/>
            </w14:solidFill>
          </w14:textFill>
        </w:rPr>
        <w:t>、安保人员基本条件</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安保人员15名，其中女性3-4名。</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安保人员须经过正规的安保培训，</w:t>
      </w:r>
      <w:r>
        <w:rPr>
          <w:rFonts w:hint="eastAsia" w:ascii="宋体" w:hAnsi="宋体" w:cs="宋体"/>
          <w:color w:val="000000" w:themeColor="text1"/>
          <w:sz w:val="24"/>
          <w:lang w:eastAsia="zh-CN"/>
          <w14:textFill>
            <w14:solidFill>
              <w14:schemeClr w14:val="tx1"/>
            </w14:solidFill>
          </w14:textFill>
        </w:rPr>
        <w:t>全员</w:t>
      </w:r>
      <w:r>
        <w:rPr>
          <w:rFonts w:hint="eastAsia" w:ascii="宋体" w:hAnsi="宋体" w:eastAsia="宋体" w:cs="宋体"/>
          <w:color w:val="000000" w:themeColor="text1"/>
          <w:sz w:val="24"/>
          <w14:textFill>
            <w14:solidFill>
              <w14:schemeClr w14:val="tx1"/>
            </w14:solidFill>
          </w14:textFill>
        </w:rPr>
        <w:t>取得相关安保上岗证件。</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安保人员年龄在20-40周岁，具有高中以上学历（有突出才能的可放宽至初中以上），其中男性安保人员身高须达到1.70米以上，女性安保人员身高须达到1.60米以上。台州本地户籍人员和部队退伍人员占比均不低于40%。</w:t>
      </w:r>
    </w:p>
    <w:p>
      <w:pPr>
        <w:spacing w:line="360" w:lineRule="auto"/>
        <w:rPr>
          <w:rFonts w:ascii="宋体" w:hAnsi="宋体" w:eastAsia="宋体" w:cs="宋体"/>
          <w:sz w:val="24"/>
        </w:rPr>
      </w:pPr>
      <w:r>
        <w:rPr>
          <w:rFonts w:hint="eastAsia" w:ascii="宋体" w:hAnsi="宋体" w:eastAsia="宋体" w:cs="宋体"/>
          <w:sz w:val="24"/>
        </w:rPr>
        <w:t>（4）安保人员须品貌端正、政历清白、爱岗敬业；须持有公安部门出具的无不良记录证明，并经</w:t>
      </w:r>
      <w:r>
        <w:rPr>
          <w:rFonts w:hint="eastAsia" w:ascii="宋体" w:hAnsi="宋体" w:eastAsia="宋体" w:cs="宋体"/>
          <w:sz w:val="24"/>
          <w:lang w:eastAsia="zh-CN"/>
        </w:rPr>
        <w:t>采购人</w:t>
      </w:r>
      <w:r>
        <w:rPr>
          <w:rFonts w:hint="eastAsia" w:ascii="宋体" w:hAnsi="宋体" w:eastAsia="宋体" w:cs="宋体"/>
          <w:sz w:val="24"/>
        </w:rPr>
        <w:t>审核通过方可上岗。</w:t>
      </w:r>
    </w:p>
    <w:p>
      <w:pPr>
        <w:numPr>
          <w:ilvl w:val="0"/>
          <w:numId w:val="0"/>
        </w:num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sz w:val="24"/>
        </w:rPr>
        <w:t>（5）安保队伍须配备具有安保工作经验和组织协调能力的台州本地户籍</w:t>
      </w:r>
      <w:r>
        <w:rPr>
          <w:rFonts w:hint="eastAsia" w:ascii="宋体" w:hAnsi="宋体" w:cs="宋体"/>
          <w:sz w:val="24"/>
          <w:lang w:eastAsia="zh-CN"/>
        </w:rPr>
        <w:t>项目负责人</w:t>
      </w:r>
      <w:r>
        <w:rPr>
          <w:rFonts w:hint="eastAsia" w:ascii="宋体" w:hAnsi="宋体" w:eastAsia="宋体" w:cs="宋体"/>
          <w:sz w:val="24"/>
        </w:rPr>
        <w:t>1名，负责日常安保事务管理工作</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项目负责人</w:t>
      </w:r>
      <w:r>
        <w:rPr>
          <w:rFonts w:hint="eastAsia" w:ascii="宋体" w:hAnsi="宋体" w:eastAsia="宋体" w:cs="宋体"/>
          <w:color w:val="000000" w:themeColor="text1"/>
          <w:sz w:val="24"/>
          <w:lang w:eastAsia="zh-CN"/>
          <w14:textFill>
            <w14:solidFill>
              <w14:schemeClr w14:val="tx1"/>
            </w14:solidFill>
          </w14:textFill>
        </w:rPr>
        <w:t>需</w:t>
      </w:r>
      <w:r>
        <w:rPr>
          <w:rFonts w:hint="eastAsia" w:ascii="宋体" w:hAnsi="宋体" w:eastAsia="宋体" w:cs="宋体"/>
          <w:color w:val="000000" w:themeColor="text1"/>
          <w:sz w:val="24"/>
          <w:lang w:val="en-US" w:eastAsia="zh-CN"/>
          <w14:textFill>
            <w14:solidFill>
              <w14:schemeClr w14:val="tx1"/>
            </w14:solidFill>
          </w14:textFill>
        </w:rPr>
        <w:t>从事安保管理3年及以上工作经验，具有消防设施操作员职业资格证书，具有一级保安师职称，具有退伍证，获得省级安保服务有关荣誉证书。</w:t>
      </w:r>
    </w:p>
    <w:p>
      <w:pPr>
        <w:numPr>
          <w:ilvl w:val="0"/>
          <w:numId w:val="0"/>
        </w:numPr>
        <w:spacing w:line="360" w:lineRule="auto"/>
        <w:rPr>
          <w:rFonts w:hint="eastAsia"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（6）安保岗及人数配备：审判法庭、诉讼服务中心各4名，其中安检员2名（至少1名为女性）、X光机值机员1名，以上两类人员要求具有1年以上从业经验；西门及院落3名；夜班3名，</w:t>
      </w:r>
      <w:r>
        <w:rPr>
          <w:rFonts w:hint="eastAsia" w:ascii="宋体" w:hAnsi="宋体" w:cs="宋体"/>
          <w:sz w:val="24"/>
          <w:lang w:eastAsia="zh-CN"/>
        </w:rPr>
        <w:t>项目负责人</w:t>
      </w:r>
      <w:r>
        <w:rPr>
          <w:rFonts w:hint="eastAsia" w:ascii="宋体" w:hAnsi="宋体" w:eastAsia="宋体" w:cs="宋体"/>
          <w:sz w:val="24"/>
        </w:rPr>
        <w:t>1名</w:t>
      </w:r>
      <w:r>
        <w:rPr>
          <w:rFonts w:hint="eastAsia" w:ascii="宋体" w:hAnsi="宋体" w:cs="宋体"/>
          <w:sz w:val="24"/>
          <w:lang w:val="en-US" w:eastAsia="zh-CN"/>
        </w:rPr>
        <w:t>,</w:t>
      </w:r>
      <w:r>
        <w:rPr>
          <w:rFonts w:hint="eastAsia" w:ascii="宋体" w:hAnsi="宋体" w:eastAsia="宋体" w:cs="宋体"/>
          <w:sz w:val="24"/>
        </w:rPr>
        <w:t>各安检岗应指定负责人1名。</w:t>
      </w:r>
    </w:p>
    <w:p>
      <w:pPr>
        <w:spacing w:line="360" w:lineRule="auto"/>
        <w:rPr>
          <w:rFonts w:ascii="宋体" w:hAnsi="宋体" w:eastAsia="宋体" w:cs="宋体"/>
          <w:sz w:val="24"/>
        </w:rPr>
      </w:pPr>
      <w:r>
        <w:rPr>
          <w:rFonts w:hint="eastAsia" w:ascii="宋体" w:hAnsi="宋体" w:eastAsia="宋体" w:cs="宋体"/>
          <w:sz w:val="24"/>
        </w:rPr>
        <w:t>（7）安保人员食宿自理，可搭伙。</w:t>
      </w:r>
    </w:p>
    <w:p>
      <w:pPr>
        <w:spacing w:line="360" w:lineRule="auto"/>
        <w:rPr>
          <w:rFonts w:ascii="宋体" w:hAnsi="宋体" w:eastAsia="宋体" w:cs="宋体"/>
          <w:sz w:val="24"/>
        </w:rPr>
      </w:pPr>
      <w:r>
        <w:rPr>
          <w:rFonts w:hint="eastAsia" w:ascii="宋体" w:hAnsi="宋体" w:eastAsia="宋体" w:cs="宋体"/>
          <w:sz w:val="24"/>
        </w:rPr>
        <w:t>2、安保人员履职要求</w:t>
      </w:r>
    </w:p>
    <w:p>
      <w:pPr>
        <w:spacing w:line="360" w:lineRule="auto"/>
        <w:rPr>
          <w:rFonts w:ascii="宋体" w:hAnsi="宋体" w:eastAsia="宋体" w:cs="宋体"/>
          <w:sz w:val="24"/>
        </w:rPr>
      </w:pPr>
      <w:r>
        <w:rPr>
          <w:rFonts w:hint="eastAsia" w:ascii="宋体" w:hAnsi="宋体" w:eastAsia="宋体" w:cs="宋体"/>
          <w:sz w:val="24"/>
        </w:rPr>
        <w:t>（1）所有安保人员要了解</w:t>
      </w:r>
      <w:r>
        <w:rPr>
          <w:rFonts w:hint="eastAsia" w:ascii="宋体" w:hAnsi="宋体" w:eastAsia="宋体" w:cs="宋体"/>
          <w:sz w:val="24"/>
          <w:lang w:eastAsia="zh-CN"/>
        </w:rPr>
        <w:t>采购人</w:t>
      </w:r>
      <w:r>
        <w:rPr>
          <w:rFonts w:hint="eastAsia" w:ascii="宋体" w:hAnsi="宋体" w:eastAsia="宋体" w:cs="宋体"/>
          <w:sz w:val="24"/>
        </w:rPr>
        <w:t>对于安全保卫的特殊要求，明确自身职责所在，熟悉自己管理范围的基本情况，熟练使用相关器械与设备。</w:t>
      </w:r>
    </w:p>
    <w:p>
      <w:pPr>
        <w:spacing w:line="360" w:lineRule="auto"/>
        <w:rPr>
          <w:rFonts w:ascii="宋体" w:hAnsi="宋体" w:eastAsia="宋体" w:cs="宋体"/>
          <w:sz w:val="24"/>
        </w:rPr>
      </w:pPr>
      <w:r>
        <w:rPr>
          <w:rFonts w:hint="eastAsia" w:ascii="宋体" w:hAnsi="宋体" w:eastAsia="宋体" w:cs="宋体"/>
          <w:sz w:val="24"/>
        </w:rPr>
        <w:t>（2）各安保岗负责各自辖区范围内的巡查任务，办公大楼的巡查任务由</w:t>
      </w:r>
      <w:r>
        <w:rPr>
          <w:rFonts w:hint="eastAsia" w:ascii="宋体" w:hAnsi="宋体" w:cs="宋体"/>
          <w:sz w:val="24"/>
          <w:lang w:eastAsia="zh-CN"/>
        </w:rPr>
        <w:t>项目负责人</w:t>
      </w:r>
      <w:r>
        <w:rPr>
          <w:rFonts w:hint="eastAsia" w:ascii="宋体" w:hAnsi="宋体" w:eastAsia="宋体" w:cs="宋体"/>
          <w:sz w:val="24"/>
        </w:rPr>
        <w:t>搭配1名安保人员执行，夜间巡查任务由夜班安保人员执行，节假日等特殊时段巡查任务由</w:t>
      </w:r>
      <w:r>
        <w:rPr>
          <w:rFonts w:hint="eastAsia" w:ascii="宋体" w:hAnsi="宋体" w:cs="宋体"/>
          <w:sz w:val="24"/>
          <w:lang w:eastAsia="zh-CN"/>
        </w:rPr>
        <w:t>项目负责人</w:t>
      </w:r>
      <w:r>
        <w:rPr>
          <w:rFonts w:hint="eastAsia" w:ascii="宋体" w:hAnsi="宋体" w:eastAsia="宋体" w:cs="宋体"/>
          <w:sz w:val="24"/>
        </w:rPr>
        <w:t>指定专人执行。巡查按规定时间错峰进行，可不制定固定的巡查路线，但要保证在巡查中不留死角，巡查过程中发现物资毁损、消防报警时、应及时向资产、消防管理部门报告。并及时做好巡查登记。</w:t>
      </w:r>
    </w:p>
    <w:p>
      <w:pPr>
        <w:spacing w:line="360" w:lineRule="auto"/>
        <w:rPr>
          <w:rFonts w:ascii="宋体" w:hAnsi="宋体" w:eastAsia="宋体" w:cs="宋体"/>
          <w:sz w:val="24"/>
        </w:rPr>
      </w:pPr>
      <w:r>
        <w:rPr>
          <w:rFonts w:hint="eastAsia" w:ascii="宋体" w:hAnsi="宋体" w:eastAsia="宋体" w:cs="宋体"/>
          <w:sz w:val="24"/>
        </w:rPr>
        <w:t>（3）审判法庭、诉讼服务中心的安保人员须认真做好来院人员身份查验登记，熟练掌握各类安检设备的使用方法，准确辨认出X光机显示的管制、限制及其他不宜带入法院的物品，熟练掌握手工安检、箱包查验等技能，并了解正确有效的处置管制、限制等物品的程序与方法，及时有效处理突发事件。</w:t>
      </w:r>
    </w:p>
    <w:p>
      <w:pPr>
        <w:spacing w:line="360" w:lineRule="auto"/>
        <w:rPr>
          <w:rFonts w:ascii="宋体" w:hAnsi="宋体" w:eastAsia="宋体" w:cs="宋体"/>
          <w:sz w:val="24"/>
        </w:rPr>
      </w:pPr>
      <w:r>
        <w:rPr>
          <w:rFonts w:hint="eastAsia" w:ascii="宋体" w:hAnsi="宋体" w:eastAsia="宋体" w:cs="宋体"/>
          <w:sz w:val="24"/>
        </w:rPr>
        <w:t>（4）西门及院落安保人员须认真做好来院人员身份查验登记及联系和收发等工作；认真核查进入院落的车辆信息，严禁未办理手续的外来车辆入院；定时检查车辆的停放情况，发现乱停放的车辆应及时通知相关人员；发现车库等设施出现故障损坏的，应及时报告相关部门；及时有效处理突发事件。</w:t>
      </w:r>
    </w:p>
    <w:p>
      <w:pPr>
        <w:spacing w:line="360" w:lineRule="auto"/>
        <w:rPr>
          <w:rFonts w:ascii="宋体" w:hAnsi="宋体" w:eastAsia="宋体" w:cs="宋体"/>
          <w:sz w:val="24"/>
        </w:rPr>
      </w:pPr>
      <w:r>
        <w:rPr>
          <w:rFonts w:hint="eastAsia" w:ascii="宋体" w:hAnsi="宋体" w:eastAsia="宋体" w:cs="宋体"/>
          <w:sz w:val="24"/>
        </w:rPr>
        <w:t>（5）各安保岗均应及时、详细地做好登记工作，并由在岗安保人员与值班司法警察签字确认。所有安保人员须定期组织学习相关的法律法规，熟悉突发事件的处置预案，明确自己在处置环节应做的工作。</w:t>
      </w:r>
    </w:p>
    <w:p>
      <w:pPr>
        <w:spacing w:line="360" w:lineRule="auto"/>
        <w:rPr>
          <w:rFonts w:ascii="宋体" w:hAnsi="宋体" w:eastAsia="宋体" w:cs="宋体"/>
          <w:sz w:val="24"/>
        </w:rPr>
      </w:pPr>
      <w:r>
        <w:rPr>
          <w:rFonts w:hint="eastAsia" w:ascii="宋体" w:hAnsi="宋体" w:eastAsia="宋体" w:cs="宋体"/>
          <w:sz w:val="24"/>
        </w:rPr>
        <w:t>（6）安保人员须仪表整洁，规范着装，佩戴武装腰带，携带必要的安保设备。其中安保设备由</w:t>
      </w:r>
      <w:r>
        <w:rPr>
          <w:rFonts w:hint="eastAsia" w:ascii="宋体" w:hAnsi="宋体" w:eastAsia="宋体" w:cs="宋体"/>
          <w:sz w:val="24"/>
          <w:lang w:eastAsia="zh-CN"/>
        </w:rPr>
        <w:t>采购人</w:t>
      </w:r>
      <w:r>
        <w:rPr>
          <w:rFonts w:hint="eastAsia" w:ascii="宋体" w:hAnsi="宋体" w:eastAsia="宋体" w:cs="宋体"/>
          <w:sz w:val="24"/>
        </w:rPr>
        <w:t>提供，服装款式须经</w:t>
      </w:r>
      <w:r>
        <w:rPr>
          <w:rFonts w:hint="eastAsia" w:ascii="宋体" w:hAnsi="宋体" w:eastAsia="宋体" w:cs="宋体"/>
          <w:sz w:val="24"/>
          <w:lang w:eastAsia="zh-CN"/>
        </w:rPr>
        <w:t>采购人</w:t>
      </w:r>
      <w:r>
        <w:rPr>
          <w:rFonts w:hint="eastAsia" w:ascii="宋体" w:hAnsi="宋体" w:eastAsia="宋体" w:cs="宋体"/>
          <w:sz w:val="24"/>
        </w:rPr>
        <w:t>认可。</w:t>
      </w:r>
    </w:p>
    <w:p>
      <w:pPr>
        <w:spacing w:line="360" w:lineRule="auto"/>
        <w:rPr>
          <w:rFonts w:ascii="宋体" w:hAnsi="宋体" w:eastAsia="宋体" w:cs="宋体"/>
          <w:sz w:val="24"/>
        </w:rPr>
      </w:pPr>
      <w:r>
        <w:rPr>
          <w:rFonts w:hint="eastAsia" w:ascii="宋体" w:hAnsi="宋体" w:eastAsia="宋体" w:cs="宋体"/>
          <w:sz w:val="24"/>
        </w:rPr>
        <w:t>（7）安保人员执勤时必须精神饱满，热情接待，文明礼貌；不得迟到早退，擅自离岗，不抽烟、不喝酒，不随意聊天，不玩手机。</w:t>
      </w:r>
    </w:p>
    <w:p>
      <w:pPr>
        <w:spacing w:line="360" w:lineRule="auto"/>
        <w:rPr>
          <w:rFonts w:ascii="宋体" w:hAnsi="宋体" w:eastAsia="宋体" w:cs="宋体"/>
          <w:sz w:val="24"/>
        </w:rPr>
      </w:pPr>
      <w:r>
        <w:rPr>
          <w:rFonts w:hint="eastAsia" w:ascii="宋体" w:hAnsi="宋体" w:eastAsia="宋体" w:cs="宋体"/>
          <w:sz w:val="24"/>
        </w:rPr>
        <w:t>（8）如工作需要，必须服从</w:t>
      </w:r>
      <w:r>
        <w:rPr>
          <w:rFonts w:hint="eastAsia" w:ascii="宋体" w:hAnsi="宋体" w:eastAsia="宋体" w:cs="宋体"/>
          <w:sz w:val="24"/>
          <w:lang w:eastAsia="zh-CN"/>
        </w:rPr>
        <w:t>采购人</w:t>
      </w:r>
      <w:r>
        <w:rPr>
          <w:rFonts w:hint="eastAsia" w:ascii="宋体" w:hAnsi="宋体" w:eastAsia="宋体" w:cs="宋体"/>
          <w:sz w:val="24"/>
        </w:rPr>
        <w:t>做出的相关班次、人员、时间的调整。</w:t>
      </w:r>
    </w:p>
    <w:p>
      <w:pPr>
        <w:spacing w:line="360" w:lineRule="auto"/>
        <w:rPr>
          <w:rFonts w:ascii="宋体" w:hAnsi="宋体" w:eastAsia="宋体" w:cs="宋体"/>
          <w:sz w:val="24"/>
        </w:rPr>
      </w:pPr>
      <w:r>
        <w:rPr>
          <w:rFonts w:hint="eastAsia" w:ascii="宋体" w:hAnsi="宋体" w:eastAsia="宋体" w:cs="宋体"/>
          <w:sz w:val="24"/>
        </w:rPr>
        <w:t>（9）执行</w:t>
      </w:r>
      <w:r>
        <w:rPr>
          <w:rFonts w:hint="eastAsia" w:ascii="宋体" w:hAnsi="宋体" w:eastAsia="宋体" w:cs="宋体"/>
          <w:sz w:val="24"/>
          <w:lang w:eastAsia="zh-CN"/>
        </w:rPr>
        <w:t>采购人</w:t>
      </w:r>
      <w:r>
        <w:rPr>
          <w:rFonts w:hint="eastAsia" w:ascii="宋体" w:hAnsi="宋体" w:eastAsia="宋体" w:cs="宋体"/>
          <w:sz w:val="24"/>
        </w:rPr>
        <w:t>根据工作需要制定的其他各项具体规定，完成</w:t>
      </w:r>
      <w:r>
        <w:rPr>
          <w:rFonts w:hint="eastAsia" w:ascii="宋体" w:hAnsi="宋体" w:eastAsia="宋体" w:cs="宋体"/>
          <w:sz w:val="24"/>
          <w:lang w:eastAsia="zh-CN"/>
        </w:rPr>
        <w:t>采购人</w:t>
      </w:r>
      <w:r>
        <w:rPr>
          <w:rFonts w:hint="eastAsia" w:ascii="宋体" w:hAnsi="宋体" w:eastAsia="宋体" w:cs="宋体"/>
          <w:sz w:val="24"/>
        </w:rPr>
        <w:t>交待的其他安全保卫任务。</w:t>
      </w:r>
    </w:p>
    <w:p>
      <w:pPr>
        <w:spacing w:line="360" w:lineRule="auto"/>
        <w:rPr>
          <w:rFonts w:ascii="宋体" w:hAnsi="宋体" w:eastAsia="宋体" w:cs="宋体"/>
          <w:b/>
          <w:sz w:val="24"/>
        </w:rPr>
      </w:pPr>
      <w:r>
        <w:rPr>
          <w:rFonts w:hint="eastAsia" w:ascii="宋体" w:hAnsi="宋体" w:eastAsia="宋体" w:cs="宋体"/>
          <w:b/>
          <w:sz w:val="24"/>
        </w:rPr>
        <w:t>（三）管理模式及责任</w:t>
      </w:r>
    </w:p>
    <w:p>
      <w:pPr>
        <w:spacing w:line="360" w:lineRule="auto"/>
        <w:rPr>
          <w:rFonts w:ascii="宋体" w:hAnsi="宋体" w:eastAsia="宋体" w:cs="宋体"/>
          <w:sz w:val="24"/>
        </w:rPr>
      </w:pPr>
      <w:r>
        <w:rPr>
          <w:rFonts w:hint="eastAsia" w:ascii="宋体" w:hAnsi="宋体" w:eastAsia="宋体" w:cs="宋体"/>
          <w:sz w:val="24"/>
          <w:lang w:eastAsia="zh-CN"/>
        </w:rPr>
        <w:t>成交供应商</w:t>
      </w:r>
      <w:r>
        <w:rPr>
          <w:rFonts w:hint="eastAsia" w:ascii="宋体" w:hAnsi="宋体" w:eastAsia="宋体" w:cs="宋体"/>
          <w:sz w:val="24"/>
        </w:rPr>
        <w:t>全面担负</w:t>
      </w:r>
      <w:r>
        <w:rPr>
          <w:rFonts w:hint="eastAsia" w:ascii="宋体" w:hAnsi="宋体" w:eastAsia="宋体" w:cs="宋体"/>
          <w:sz w:val="24"/>
          <w:lang w:eastAsia="zh-CN"/>
        </w:rPr>
        <w:t>采购人</w:t>
      </w:r>
      <w:r>
        <w:rPr>
          <w:rFonts w:hint="eastAsia" w:ascii="宋体" w:hAnsi="宋体" w:eastAsia="宋体" w:cs="宋体"/>
          <w:sz w:val="24"/>
        </w:rPr>
        <w:t>的安保工作及相关安保责任，</w:t>
      </w:r>
      <w:r>
        <w:rPr>
          <w:rFonts w:hint="eastAsia" w:ascii="宋体" w:hAnsi="宋体" w:eastAsia="宋体" w:cs="宋体"/>
          <w:sz w:val="24"/>
          <w:lang w:eastAsia="zh-CN"/>
        </w:rPr>
        <w:t>采购人</w:t>
      </w:r>
      <w:r>
        <w:rPr>
          <w:rFonts w:hint="eastAsia" w:ascii="宋体" w:hAnsi="宋体" w:eastAsia="宋体" w:cs="宋体"/>
          <w:sz w:val="24"/>
        </w:rPr>
        <w:t>负责安保工作的检查、指导、监督等工作。如果</w:t>
      </w:r>
      <w:r>
        <w:rPr>
          <w:rFonts w:hint="eastAsia" w:ascii="宋体" w:hAnsi="宋体" w:eastAsia="宋体" w:cs="宋体"/>
          <w:sz w:val="24"/>
          <w:lang w:eastAsia="zh-CN"/>
        </w:rPr>
        <w:t>采购人</w:t>
      </w:r>
      <w:r>
        <w:rPr>
          <w:rFonts w:hint="eastAsia" w:ascii="宋体" w:hAnsi="宋体" w:eastAsia="宋体" w:cs="宋体"/>
          <w:sz w:val="24"/>
        </w:rPr>
        <w:t>在工作中发现</w:t>
      </w:r>
      <w:r>
        <w:rPr>
          <w:rFonts w:hint="eastAsia" w:ascii="宋体" w:hAnsi="宋体" w:eastAsia="宋体" w:cs="宋体"/>
          <w:sz w:val="24"/>
          <w:lang w:eastAsia="zh-CN"/>
        </w:rPr>
        <w:t>成交供应商</w:t>
      </w:r>
      <w:r>
        <w:rPr>
          <w:rFonts w:hint="eastAsia" w:ascii="宋体" w:hAnsi="宋体" w:eastAsia="宋体" w:cs="宋体"/>
          <w:sz w:val="24"/>
        </w:rPr>
        <w:t>派驻的安保人员有下列情形之一，将按规定在每月应支付的经费中予以扣减。</w:t>
      </w:r>
    </w:p>
    <w:p>
      <w:pPr>
        <w:spacing w:line="312" w:lineRule="auto"/>
        <w:rPr>
          <w:rFonts w:ascii="宋体" w:hAnsi="宋体" w:eastAsia="宋体" w:cs="宋体"/>
          <w:sz w:val="24"/>
        </w:rPr>
      </w:pPr>
      <w:r>
        <w:rPr>
          <w:rFonts w:hint="eastAsia" w:ascii="宋体" w:hAnsi="宋体" w:eastAsia="宋体" w:cs="宋体"/>
          <w:sz w:val="24"/>
        </w:rPr>
        <w:t>1、人为造成</w:t>
      </w:r>
      <w:r>
        <w:rPr>
          <w:rFonts w:hint="eastAsia" w:ascii="宋体" w:hAnsi="宋体" w:eastAsia="宋体" w:cs="宋体"/>
          <w:sz w:val="24"/>
          <w:lang w:eastAsia="zh-CN"/>
        </w:rPr>
        <w:t>采购人</w:t>
      </w:r>
      <w:r>
        <w:rPr>
          <w:rFonts w:hint="eastAsia" w:ascii="宋体" w:hAnsi="宋体" w:eastAsia="宋体" w:cs="宋体"/>
          <w:sz w:val="24"/>
        </w:rPr>
        <w:t>物品设施灭失或损坏的，照价赔偿。</w:t>
      </w:r>
    </w:p>
    <w:p>
      <w:pPr>
        <w:spacing w:line="312" w:lineRule="auto"/>
        <w:rPr>
          <w:rFonts w:ascii="宋体" w:hAnsi="宋体" w:eastAsia="宋体" w:cs="宋体"/>
          <w:sz w:val="24"/>
        </w:rPr>
      </w:pPr>
      <w:r>
        <w:rPr>
          <w:rFonts w:hint="eastAsia" w:ascii="宋体" w:hAnsi="宋体" w:eastAsia="宋体" w:cs="宋体"/>
          <w:sz w:val="24"/>
        </w:rPr>
        <w:t>2、首次派驻的安保人员数量不足或安保人员离职后未及时补充的，每缺岗一天（含一天）扣150元。</w:t>
      </w:r>
    </w:p>
    <w:p>
      <w:pPr>
        <w:spacing w:line="312" w:lineRule="auto"/>
        <w:rPr>
          <w:rFonts w:ascii="宋体" w:hAnsi="宋体" w:eastAsia="宋体" w:cs="宋体"/>
          <w:sz w:val="24"/>
        </w:rPr>
      </w:pPr>
      <w:r>
        <w:rPr>
          <w:rFonts w:hint="eastAsia" w:ascii="宋体" w:hAnsi="宋体" w:eastAsia="宋体" w:cs="宋体"/>
          <w:sz w:val="24"/>
        </w:rPr>
        <w:t>3、对安保人员有以下违反工作纪律行为的，每次扣100元：</w:t>
      </w:r>
    </w:p>
    <w:p>
      <w:pPr>
        <w:spacing w:line="312" w:lineRule="auto"/>
        <w:rPr>
          <w:rFonts w:ascii="宋体" w:hAnsi="宋体" w:eastAsia="宋体" w:cs="宋体"/>
          <w:sz w:val="24"/>
        </w:rPr>
      </w:pPr>
      <w:r>
        <w:rPr>
          <w:rFonts w:hint="eastAsia" w:ascii="宋体" w:hAnsi="宋体" w:eastAsia="宋体" w:cs="宋体"/>
          <w:sz w:val="24"/>
        </w:rPr>
        <w:t>（1）值勤时与他人发生打架的；</w:t>
      </w:r>
    </w:p>
    <w:p>
      <w:pPr>
        <w:spacing w:line="312" w:lineRule="auto"/>
        <w:rPr>
          <w:rFonts w:ascii="宋体" w:hAnsi="宋体" w:eastAsia="宋体" w:cs="宋体"/>
          <w:sz w:val="24"/>
        </w:rPr>
      </w:pPr>
      <w:r>
        <w:rPr>
          <w:rFonts w:hint="eastAsia" w:ascii="宋体" w:hAnsi="宋体" w:eastAsia="宋体" w:cs="宋体"/>
          <w:sz w:val="24"/>
        </w:rPr>
        <w:t>（2）安检过程中未检出管制物品的；</w:t>
      </w:r>
    </w:p>
    <w:p>
      <w:pPr>
        <w:spacing w:line="312" w:lineRule="auto"/>
        <w:rPr>
          <w:rFonts w:ascii="宋体" w:hAnsi="宋体" w:eastAsia="宋体" w:cs="宋体"/>
          <w:sz w:val="24"/>
        </w:rPr>
      </w:pPr>
      <w:r>
        <w:rPr>
          <w:rFonts w:hint="eastAsia" w:ascii="宋体" w:hAnsi="宋体" w:eastAsia="宋体" w:cs="宋体"/>
          <w:sz w:val="24"/>
        </w:rPr>
        <w:t>（3）夜班执勤过程中睡觉的；</w:t>
      </w:r>
    </w:p>
    <w:p>
      <w:pPr>
        <w:spacing w:line="312" w:lineRule="auto"/>
        <w:rPr>
          <w:rFonts w:ascii="宋体" w:hAnsi="宋体" w:eastAsia="宋体" w:cs="宋体"/>
          <w:sz w:val="24"/>
        </w:rPr>
      </w:pPr>
      <w:r>
        <w:rPr>
          <w:rFonts w:hint="eastAsia" w:ascii="宋体" w:hAnsi="宋体" w:eastAsia="宋体" w:cs="宋体"/>
          <w:sz w:val="24"/>
        </w:rPr>
        <w:t>（4）发生重大突发情况未及时汇报的；</w:t>
      </w:r>
    </w:p>
    <w:p>
      <w:pPr>
        <w:spacing w:line="312" w:lineRule="auto"/>
        <w:rPr>
          <w:rFonts w:ascii="宋体" w:hAnsi="宋体" w:eastAsia="宋体" w:cs="宋体"/>
          <w:sz w:val="24"/>
        </w:rPr>
      </w:pPr>
      <w:r>
        <w:rPr>
          <w:rFonts w:hint="eastAsia" w:ascii="宋体" w:hAnsi="宋体" w:eastAsia="宋体" w:cs="宋体"/>
          <w:sz w:val="24"/>
        </w:rPr>
        <w:t>（5）无故缺岗半天以上的；</w:t>
      </w:r>
    </w:p>
    <w:p>
      <w:pPr>
        <w:spacing w:line="312" w:lineRule="auto"/>
        <w:rPr>
          <w:rFonts w:ascii="宋体" w:hAnsi="宋体" w:eastAsia="宋体" w:cs="宋体"/>
          <w:sz w:val="24"/>
        </w:rPr>
      </w:pPr>
      <w:r>
        <w:rPr>
          <w:rFonts w:hint="eastAsia" w:ascii="宋体" w:hAnsi="宋体" w:eastAsia="宋体" w:cs="宋体"/>
          <w:sz w:val="24"/>
        </w:rPr>
        <w:t>（6）饮酒后上班的；</w:t>
      </w:r>
    </w:p>
    <w:p>
      <w:pPr>
        <w:spacing w:line="312" w:lineRule="auto"/>
        <w:rPr>
          <w:rFonts w:ascii="宋体" w:hAnsi="宋体" w:eastAsia="宋体" w:cs="宋体"/>
          <w:sz w:val="24"/>
        </w:rPr>
      </w:pPr>
      <w:r>
        <w:rPr>
          <w:rFonts w:hint="eastAsia" w:ascii="宋体" w:hAnsi="宋体" w:eastAsia="宋体" w:cs="宋体"/>
          <w:sz w:val="24"/>
        </w:rPr>
        <w:t>（7）不接受</w:t>
      </w:r>
      <w:r>
        <w:rPr>
          <w:rFonts w:hint="eastAsia" w:ascii="宋体" w:hAnsi="宋体" w:eastAsia="宋体" w:cs="宋体"/>
          <w:sz w:val="24"/>
          <w:lang w:eastAsia="zh-CN"/>
        </w:rPr>
        <w:t>采购人</w:t>
      </w:r>
      <w:r>
        <w:rPr>
          <w:rFonts w:hint="eastAsia" w:ascii="宋体" w:hAnsi="宋体" w:eastAsia="宋体" w:cs="宋体"/>
          <w:sz w:val="24"/>
        </w:rPr>
        <w:t>交办的任务的；</w:t>
      </w:r>
    </w:p>
    <w:p>
      <w:pPr>
        <w:spacing w:line="312" w:lineRule="auto"/>
        <w:rPr>
          <w:rFonts w:ascii="宋体" w:hAnsi="宋体" w:eastAsia="宋体" w:cs="宋体"/>
          <w:sz w:val="24"/>
        </w:rPr>
      </w:pPr>
      <w:r>
        <w:rPr>
          <w:rFonts w:hint="eastAsia" w:ascii="宋体" w:hAnsi="宋体" w:eastAsia="宋体" w:cs="宋体"/>
          <w:sz w:val="24"/>
        </w:rPr>
        <w:t>（8）其它</w:t>
      </w:r>
      <w:r>
        <w:rPr>
          <w:rFonts w:hint="eastAsia" w:ascii="宋体" w:hAnsi="宋体" w:eastAsia="宋体" w:cs="宋体"/>
          <w:sz w:val="24"/>
          <w:lang w:eastAsia="zh-CN"/>
        </w:rPr>
        <w:t>采购人</w:t>
      </w:r>
      <w:r>
        <w:rPr>
          <w:rFonts w:hint="eastAsia" w:ascii="宋体" w:hAnsi="宋体" w:eastAsia="宋体" w:cs="宋体"/>
          <w:sz w:val="24"/>
        </w:rPr>
        <w:t>认为需要处理的。</w:t>
      </w:r>
    </w:p>
    <w:p>
      <w:pPr>
        <w:spacing w:line="312" w:lineRule="auto"/>
        <w:rPr>
          <w:rFonts w:ascii="宋体" w:hAnsi="宋体" w:eastAsia="宋体" w:cs="宋体"/>
          <w:sz w:val="24"/>
        </w:rPr>
      </w:pPr>
      <w:r>
        <w:rPr>
          <w:rFonts w:hint="eastAsia" w:ascii="宋体" w:hAnsi="宋体" w:eastAsia="宋体" w:cs="宋体"/>
          <w:sz w:val="24"/>
        </w:rPr>
        <w:t>4、对安保人员有以下违反工作纪律行为的，每次扣50元：</w:t>
      </w:r>
    </w:p>
    <w:p>
      <w:pPr>
        <w:spacing w:line="312" w:lineRule="auto"/>
        <w:rPr>
          <w:rFonts w:ascii="宋体" w:hAnsi="宋体" w:eastAsia="宋体" w:cs="宋体"/>
          <w:sz w:val="24"/>
        </w:rPr>
      </w:pPr>
      <w:r>
        <w:rPr>
          <w:rFonts w:hint="eastAsia" w:ascii="宋体" w:hAnsi="宋体" w:eastAsia="宋体" w:cs="宋体"/>
          <w:sz w:val="24"/>
        </w:rPr>
        <w:t>（1）值勤时与他人发生吵架的；</w:t>
      </w:r>
    </w:p>
    <w:p>
      <w:pPr>
        <w:spacing w:line="312" w:lineRule="auto"/>
        <w:rPr>
          <w:rFonts w:ascii="宋体" w:hAnsi="宋体" w:eastAsia="宋体" w:cs="宋体"/>
          <w:sz w:val="24"/>
        </w:rPr>
      </w:pPr>
      <w:r>
        <w:rPr>
          <w:rFonts w:hint="eastAsia" w:ascii="宋体" w:hAnsi="宋体" w:eastAsia="宋体" w:cs="宋体"/>
          <w:sz w:val="24"/>
        </w:rPr>
        <w:t>（2）安检过程中未检出限制物品的；</w:t>
      </w:r>
    </w:p>
    <w:p>
      <w:pPr>
        <w:spacing w:line="312" w:lineRule="auto"/>
        <w:rPr>
          <w:rFonts w:ascii="宋体" w:hAnsi="宋体" w:eastAsia="宋体" w:cs="宋体"/>
          <w:sz w:val="24"/>
        </w:rPr>
      </w:pPr>
      <w:r>
        <w:rPr>
          <w:rFonts w:hint="eastAsia" w:ascii="宋体" w:hAnsi="宋体" w:eastAsia="宋体" w:cs="宋体"/>
          <w:sz w:val="24"/>
        </w:rPr>
        <w:t>（3）未按规定对来院人员进行身份查验登记或登记不清的；</w:t>
      </w:r>
    </w:p>
    <w:p>
      <w:pPr>
        <w:spacing w:line="312" w:lineRule="auto"/>
        <w:rPr>
          <w:rFonts w:ascii="宋体" w:hAnsi="宋体" w:eastAsia="宋体" w:cs="宋体"/>
          <w:sz w:val="24"/>
        </w:rPr>
      </w:pPr>
      <w:r>
        <w:rPr>
          <w:rFonts w:hint="eastAsia" w:ascii="宋体" w:hAnsi="宋体" w:eastAsia="宋体" w:cs="宋体"/>
          <w:sz w:val="24"/>
        </w:rPr>
        <w:t>（4）在未完成交接班的情况下下班的；</w:t>
      </w:r>
    </w:p>
    <w:p>
      <w:pPr>
        <w:spacing w:line="312" w:lineRule="auto"/>
        <w:rPr>
          <w:rFonts w:ascii="宋体" w:hAnsi="宋体" w:eastAsia="宋体" w:cs="宋体"/>
          <w:sz w:val="24"/>
        </w:rPr>
      </w:pPr>
      <w:r>
        <w:rPr>
          <w:rFonts w:hint="eastAsia" w:ascii="宋体" w:hAnsi="宋体" w:eastAsia="宋体" w:cs="宋体"/>
          <w:sz w:val="24"/>
        </w:rPr>
        <w:t>（5）脱岗的；</w:t>
      </w:r>
    </w:p>
    <w:p>
      <w:pPr>
        <w:spacing w:line="312" w:lineRule="auto"/>
        <w:rPr>
          <w:rFonts w:ascii="宋体" w:hAnsi="宋体" w:eastAsia="宋体" w:cs="宋体"/>
          <w:sz w:val="24"/>
        </w:rPr>
      </w:pPr>
      <w:r>
        <w:rPr>
          <w:rFonts w:hint="eastAsia" w:ascii="宋体" w:hAnsi="宋体" w:eastAsia="宋体" w:cs="宋体"/>
          <w:sz w:val="24"/>
        </w:rPr>
        <w:t>（6）未按要求着装的；</w:t>
      </w:r>
    </w:p>
    <w:p>
      <w:pPr>
        <w:spacing w:line="312" w:lineRule="auto"/>
        <w:rPr>
          <w:rFonts w:ascii="宋体" w:hAnsi="宋体" w:eastAsia="宋体" w:cs="宋体"/>
          <w:sz w:val="24"/>
        </w:rPr>
      </w:pPr>
      <w:r>
        <w:rPr>
          <w:rFonts w:hint="eastAsia" w:ascii="宋体" w:hAnsi="宋体" w:eastAsia="宋体" w:cs="宋体"/>
          <w:sz w:val="24"/>
        </w:rPr>
        <w:t>（7）在岗位上抽烟或吃东西或玩手机的；</w:t>
      </w:r>
    </w:p>
    <w:p>
      <w:pPr>
        <w:spacing w:line="312" w:lineRule="auto"/>
        <w:rPr>
          <w:rFonts w:ascii="宋体" w:hAnsi="宋体" w:eastAsia="宋体" w:cs="宋体"/>
          <w:sz w:val="24"/>
        </w:rPr>
      </w:pPr>
      <w:r>
        <w:rPr>
          <w:rFonts w:hint="eastAsia" w:ascii="宋体" w:hAnsi="宋体" w:eastAsia="宋体" w:cs="宋体"/>
          <w:sz w:val="24"/>
        </w:rPr>
        <w:t>（8）工作场所不整洁的；</w:t>
      </w:r>
    </w:p>
    <w:p>
      <w:pPr>
        <w:spacing w:line="312" w:lineRule="auto"/>
        <w:rPr>
          <w:rFonts w:ascii="宋体" w:hAnsi="宋体" w:eastAsia="宋体" w:cs="宋体"/>
          <w:sz w:val="24"/>
        </w:rPr>
      </w:pPr>
      <w:r>
        <w:rPr>
          <w:rFonts w:hint="eastAsia" w:ascii="宋体" w:hAnsi="宋体" w:eastAsia="宋体" w:cs="宋体"/>
          <w:sz w:val="24"/>
        </w:rPr>
        <w:t>（9）其它</w:t>
      </w:r>
      <w:r>
        <w:rPr>
          <w:rFonts w:hint="eastAsia" w:ascii="宋体" w:hAnsi="宋体" w:eastAsia="宋体" w:cs="宋体"/>
          <w:sz w:val="24"/>
          <w:lang w:eastAsia="zh-CN"/>
        </w:rPr>
        <w:t>采购人</w:t>
      </w:r>
      <w:r>
        <w:rPr>
          <w:rFonts w:hint="eastAsia" w:ascii="宋体" w:hAnsi="宋体" w:eastAsia="宋体" w:cs="宋体"/>
          <w:sz w:val="24"/>
        </w:rPr>
        <w:t>认为需要处理的。</w:t>
      </w:r>
    </w:p>
    <w:p>
      <w:pPr>
        <w:spacing w:line="360" w:lineRule="auto"/>
        <w:rPr>
          <w:rFonts w:ascii="宋体" w:hAnsi="宋体" w:cs="宋体"/>
          <w:sz w:val="24"/>
        </w:rPr>
      </w:pPr>
      <w:r>
        <w:rPr>
          <w:rFonts w:hint="eastAsia" w:ascii="宋体" w:hAnsi="宋体" w:eastAsia="宋体" w:cs="宋体"/>
          <w:sz w:val="24"/>
        </w:rPr>
        <w:t>上述违规行为一经发现，</w:t>
      </w:r>
      <w:r>
        <w:rPr>
          <w:rFonts w:hint="eastAsia" w:ascii="宋体" w:hAnsi="宋体" w:eastAsia="宋体" w:cs="宋体"/>
          <w:sz w:val="24"/>
          <w:lang w:eastAsia="zh-CN"/>
        </w:rPr>
        <w:t>采购人</w:t>
      </w:r>
      <w:r>
        <w:rPr>
          <w:rFonts w:hint="eastAsia" w:ascii="宋体" w:hAnsi="宋体" w:eastAsia="宋体" w:cs="宋体"/>
          <w:sz w:val="24"/>
        </w:rPr>
        <w:t>将及时抄送</w:t>
      </w:r>
      <w:r>
        <w:rPr>
          <w:rFonts w:hint="eastAsia" w:ascii="宋体" w:hAnsi="宋体" w:eastAsia="宋体" w:cs="宋体"/>
          <w:sz w:val="24"/>
          <w:lang w:eastAsia="zh-CN"/>
        </w:rPr>
        <w:t>成交供应商</w:t>
      </w:r>
      <w:r>
        <w:rPr>
          <w:rFonts w:hint="eastAsia" w:ascii="宋体" w:hAnsi="宋体" w:eastAsia="宋体" w:cs="宋体"/>
          <w:sz w:val="24"/>
        </w:rPr>
        <w:t>，并于每月月底汇总以便结算。对于违规行为严重的安保人员，</w:t>
      </w:r>
      <w:r>
        <w:rPr>
          <w:rFonts w:hint="eastAsia" w:ascii="宋体" w:hAnsi="宋体" w:eastAsia="宋体" w:cs="宋体"/>
          <w:sz w:val="24"/>
          <w:lang w:eastAsia="zh-CN"/>
        </w:rPr>
        <w:t>采购人</w:t>
      </w:r>
      <w:r>
        <w:rPr>
          <w:rFonts w:hint="eastAsia" w:ascii="宋体" w:hAnsi="宋体" w:eastAsia="宋体" w:cs="宋体"/>
          <w:sz w:val="24"/>
        </w:rPr>
        <w:t>建议</w:t>
      </w:r>
      <w:r>
        <w:rPr>
          <w:rFonts w:hint="eastAsia" w:ascii="宋体" w:hAnsi="宋体" w:eastAsia="宋体" w:cs="宋体"/>
          <w:sz w:val="24"/>
          <w:lang w:eastAsia="zh-CN"/>
        </w:rPr>
        <w:t>成交供应商</w:t>
      </w:r>
      <w:r>
        <w:rPr>
          <w:rFonts w:hint="eastAsia" w:ascii="宋体" w:hAnsi="宋体" w:eastAsia="宋体" w:cs="宋体"/>
          <w:sz w:val="24"/>
        </w:rPr>
        <w:t>予以调换的，</w:t>
      </w:r>
      <w:r>
        <w:rPr>
          <w:rFonts w:hint="eastAsia" w:ascii="宋体" w:hAnsi="宋体" w:eastAsia="宋体" w:cs="宋体"/>
          <w:sz w:val="24"/>
          <w:lang w:eastAsia="zh-CN"/>
        </w:rPr>
        <w:t>成交供应商</w:t>
      </w:r>
      <w:r>
        <w:rPr>
          <w:rFonts w:hint="eastAsia" w:ascii="宋体" w:hAnsi="宋体" w:eastAsia="宋体" w:cs="宋体"/>
          <w:sz w:val="24"/>
        </w:rPr>
        <w:t>应予执行。</w:t>
      </w:r>
    </w:p>
    <w:p>
      <w:pPr>
        <w:widowControl/>
        <w:shd w:val="clear" w:color="auto" w:fill="FFFFFF"/>
        <w:spacing w:after="150" w:line="375" w:lineRule="atLeast"/>
        <w:jc w:val="left"/>
        <w:rPr>
          <w:rFonts w:ascii="宋体" w:hAnsi="宋体" w:cs="Arial"/>
          <w:b/>
          <w:kern w:val="0"/>
          <w:sz w:val="24"/>
        </w:rPr>
      </w:pPr>
      <w:r>
        <w:rPr>
          <w:rFonts w:hint="eastAsia" w:ascii="宋体" w:hAnsi="宋体" w:cs="Arial"/>
          <w:b/>
          <w:kern w:val="0"/>
          <w:sz w:val="24"/>
          <w:lang w:eastAsia="zh-CN"/>
        </w:rPr>
        <w:t>（四）</w:t>
      </w:r>
      <w:r>
        <w:rPr>
          <w:rFonts w:hint="eastAsia" w:ascii="宋体" w:hAnsi="宋体" w:cs="Arial"/>
          <w:b/>
          <w:kern w:val="0"/>
          <w:sz w:val="24"/>
        </w:rPr>
        <w:t>责任和义务</w:t>
      </w:r>
    </w:p>
    <w:p>
      <w:pPr>
        <w:pStyle w:val="21"/>
        <w:shd w:val="clear" w:color="auto" w:fill="FFFFFF"/>
        <w:spacing w:after="150" w:line="375" w:lineRule="atLeast"/>
        <w:rPr>
          <w:rFonts w:cs="Arial"/>
        </w:rPr>
      </w:pPr>
      <w:r>
        <w:rPr>
          <w:rFonts w:hint="eastAsia" w:cs="Arial"/>
        </w:rPr>
        <w:t>（1）</w:t>
      </w:r>
      <w:r>
        <w:rPr>
          <w:rFonts w:hint="eastAsia" w:cs="Arial"/>
          <w:lang w:eastAsia="zh-CN"/>
        </w:rPr>
        <w:t>成交供应商</w:t>
      </w:r>
      <w:r>
        <w:rPr>
          <w:rFonts w:hint="eastAsia" w:cs="Arial"/>
        </w:rPr>
        <w:t>必须按照岗位设置要求，配齐相关服务人员；</w:t>
      </w:r>
    </w:p>
    <w:p>
      <w:pPr>
        <w:pStyle w:val="21"/>
        <w:shd w:val="clear" w:color="auto" w:fill="FFFFFF"/>
        <w:spacing w:after="150" w:line="375" w:lineRule="atLeast"/>
        <w:rPr>
          <w:rFonts w:cs="Arial"/>
        </w:rPr>
      </w:pPr>
      <w:r>
        <w:rPr>
          <w:rFonts w:hint="eastAsia" w:cs="Arial"/>
        </w:rPr>
        <w:t>（2）</w:t>
      </w:r>
      <w:r>
        <w:rPr>
          <w:rFonts w:hint="eastAsia" w:cs="Arial"/>
          <w:lang w:eastAsia="zh-CN"/>
        </w:rPr>
        <w:t>成交供应商</w:t>
      </w:r>
      <w:r>
        <w:rPr>
          <w:rFonts w:hint="eastAsia" w:cs="Arial"/>
        </w:rPr>
        <w:t>必须建立各类工作岗位巡查制度、质量安全检查制度、员工健康责任制度、消防安全首问责任制度等相关工作制度；</w:t>
      </w:r>
    </w:p>
    <w:p>
      <w:pPr>
        <w:pStyle w:val="21"/>
        <w:shd w:val="clear" w:color="auto" w:fill="FFFFFF"/>
        <w:spacing w:after="150" w:line="375" w:lineRule="atLeast"/>
        <w:rPr>
          <w:rFonts w:cs="Arial"/>
        </w:rPr>
      </w:pPr>
      <w:r>
        <w:rPr>
          <w:rFonts w:hint="eastAsia" w:cs="Arial"/>
        </w:rPr>
        <w:t>（3）</w:t>
      </w:r>
      <w:r>
        <w:rPr>
          <w:rFonts w:hint="eastAsia" w:cs="Arial"/>
          <w:lang w:eastAsia="zh-CN"/>
        </w:rPr>
        <w:t>成交供应商</w:t>
      </w:r>
      <w:r>
        <w:rPr>
          <w:rFonts w:hint="eastAsia" w:cs="Arial"/>
        </w:rPr>
        <w:t>工作人员需爱护</w:t>
      </w:r>
      <w:r>
        <w:rPr>
          <w:rFonts w:hint="eastAsia" w:cs="Arial"/>
          <w:lang w:eastAsia="zh-CN"/>
        </w:rPr>
        <w:t>采购人</w:t>
      </w:r>
      <w:r>
        <w:rPr>
          <w:rFonts w:hint="eastAsia" w:cs="Arial"/>
        </w:rPr>
        <w:t>的现有各类设施，如发现有意损坏或破坏</w:t>
      </w:r>
      <w:r>
        <w:rPr>
          <w:rFonts w:hint="eastAsia" w:cs="Arial"/>
          <w:lang w:eastAsia="zh-CN"/>
        </w:rPr>
        <w:t>采购人</w:t>
      </w:r>
      <w:r>
        <w:rPr>
          <w:rFonts w:hint="eastAsia" w:cs="Arial"/>
        </w:rPr>
        <w:t>的现有各类设备设施，将按照原价赔偿；</w:t>
      </w:r>
    </w:p>
    <w:p>
      <w:pPr>
        <w:pStyle w:val="21"/>
        <w:shd w:val="clear" w:color="auto" w:fill="FFFFFF"/>
        <w:spacing w:after="150" w:line="375" w:lineRule="atLeast"/>
        <w:rPr>
          <w:rFonts w:cs="Arial"/>
        </w:rPr>
      </w:pPr>
      <w:r>
        <w:rPr>
          <w:rFonts w:hint="eastAsia" w:cs="Arial"/>
        </w:rPr>
        <w:t>（4）</w:t>
      </w:r>
      <w:r>
        <w:rPr>
          <w:rFonts w:hint="eastAsia" w:cs="Arial"/>
          <w:lang w:eastAsia="zh-CN"/>
        </w:rPr>
        <w:t>成交供应商</w:t>
      </w:r>
      <w:r>
        <w:rPr>
          <w:rFonts w:hint="eastAsia" w:cs="Arial"/>
        </w:rPr>
        <w:t>需根据</w:t>
      </w:r>
      <w:r>
        <w:rPr>
          <w:rFonts w:hint="eastAsia" w:cs="Arial"/>
          <w:lang w:eastAsia="zh-CN"/>
        </w:rPr>
        <w:t>采购人</w:t>
      </w:r>
      <w:r>
        <w:rPr>
          <w:rFonts w:hint="eastAsia" w:cs="Arial"/>
        </w:rPr>
        <w:t>临时要求提供磋商文件外的适宜服务内容；</w:t>
      </w:r>
    </w:p>
    <w:p>
      <w:pPr>
        <w:pStyle w:val="21"/>
        <w:shd w:val="clear" w:color="auto" w:fill="FFFFFF"/>
        <w:spacing w:before="0" w:beforeAutospacing="0" w:after="150" w:afterAutospacing="0" w:line="375" w:lineRule="atLeast"/>
        <w:rPr>
          <w:rFonts w:cs="Arial"/>
        </w:rPr>
      </w:pPr>
      <w:r>
        <w:rPr>
          <w:rFonts w:hint="eastAsia" w:cs="Arial"/>
        </w:rPr>
        <w:t>（5）</w:t>
      </w:r>
      <w:r>
        <w:rPr>
          <w:rFonts w:hint="eastAsia" w:cs="Arial"/>
          <w:lang w:eastAsia="zh-CN"/>
        </w:rPr>
        <w:t>成交供应商</w:t>
      </w:r>
      <w:r>
        <w:rPr>
          <w:rFonts w:hint="eastAsia" w:cs="Arial"/>
        </w:rPr>
        <w:t>人员缺编时须在3日内及时补齐相关岗位人员。</w:t>
      </w:r>
    </w:p>
    <w:p>
      <w:pPr>
        <w:pStyle w:val="21"/>
        <w:shd w:val="clear" w:color="auto" w:fill="FFFFFF"/>
        <w:spacing w:before="0" w:beforeAutospacing="0" w:after="150" w:afterAutospacing="0" w:line="375" w:lineRule="atLeast"/>
        <w:rPr>
          <w:rFonts w:cs="Arial"/>
          <w:b/>
        </w:rPr>
      </w:pPr>
      <w:r>
        <w:rPr>
          <w:rFonts w:hint="eastAsia" w:cs="Arial"/>
          <w:b/>
          <w:lang w:eastAsia="zh-CN"/>
        </w:rPr>
        <w:t>（五）</w:t>
      </w:r>
      <w:r>
        <w:rPr>
          <w:rFonts w:hint="eastAsia" w:cs="Arial"/>
          <w:b/>
        </w:rPr>
        <w:t>违章处理规定：</w:t>
      </w:r>
    </w:p>
    <w:p>
      <w:pPr>
        <w:spacing w:line="360" w:lineRule="auto"/>
        <w:ind w:firstLine="480" w:firstLineChars="200"/>
        <w:rPr>
          <w:rFonts w:ascii="宋体" w:hAnsi="宋体" w:eastAsia="宋体" w:cs="宋体"/>
          <w:color w:val="000000"/>
          <w:sz w:val="24"/>
          <w:u w:val="single"/>
        </w:rPr>
      </w:pPr>
      <w:r>
        <w:rPr>
          <w:rFonts w:hint="eastAsia" w:ascii="宋体" w:hAnsi="宋体" w:eastAsia="宋体" w:cs="宋体"/>
          <w:color w:val="000000"/>
          <w:sz w:val="24"/>
        </w:rPr>
        <w:t>（1）未经</w:t>
      </w:r>
      <w:r>
        <w:rPr>
          <w:rFonts w:hint="eastAsia" w:ascii="宋体" w:hAnsi="宋体" w:eastAsia="宋体" w:cs="宋体"/>
          <w:color w:val="000000"/>
          <w:sz w:val="24"/>
          <w:lang w:eastAsia="zh-CN"/>
        </w:rPr>
        <w:t>采购人</w:t>
      </w:r>
      <w:r>
        <w:rPr>
          <w:rFonts w:hint="eastAsia" w:ascii="宋体" w:hAnsi="宋体" w:eastAsia="宋体" w:cs="宋体"/>
          <w:color w:val="000000"/>
          <w:sz w:val="24"/>
        </w:rPr>
        <w:t>同意，</w:t>
      </w:r>
      <w:r>
        <w:rPr>
          <w:rFonts w:hint="eastAsia" w:ascii="宋体" w:hAnsi="宋体" w:eastAsia="宋体" w:cs="宋体"/>
          <w:color w:val="000000"/>
          <w:sz w:val="24"/>
          <w:lang w:eastAsia="zh-CN"/>
        </w:rPr>
        <w:t>成交供应商</w:t>
      </w:r>
      <w:r>
        <w:rPr>
          <w:rFonts w:hint="eastAsia" w:ascii="宋体" w:hAnsi="宋体" w:eastAsia="宋体" w:cs="宋体"/>
          <w:color w:val="000000"/>
          <w:sz w:val="24"/>
        </w:rPr>
        <w:t>无权在承包区域内从事任何广告活动或类似宣传，如有违反，</w:t>
      </w:r>
      <w:r>
        <w:rPr>
          <w:rFonts w:hint="eastAsia" w:ascii="宋体" w:hAnsi="宋体" w:eastAsia="宋体" w:cs="宋体"/>
          <w:color w:val="000000"/>
          <w:sz w:val="24"/>
          <w:lang w:eastAsia="zh-CN"/>
        </w:rPr>
        <w:t>采购人</w:t>
      </w:r>
      <w:r>
        <w:rPr>
          <w:rFonts w:hint="eastAsia" w:ascii="宋体" w:hAnsi="宋体" w:eastAsia="宋体" w:cs="宋体"/>
          <w:color w:val="000000"/>
          <w:sz w:val="24"/>
        </w:rPr>
        <w:t>有权依照广告法和</w:t>
      </w:r>
      <w:r>
        <w:rPr>
          <w:rFonts w:hint="eastAsia" w:ascii="宋体" w:hAnsi="宋体" w:eastAsia="宋体" w:cs="宋体"/>
          <w:color w:val="000000"/>
          <w:sz w:val="24"/>
          <w:lang w:eastAsia="zh-CN"/>
        </w:rPr>
        <w:t>采购人</w:t>
      </w:r>
      <w:r>
        <w:rPr>
          <w:rFonts w:hint="eastAsia" w:ascii="宋体" w:hAnsi="宋体" w:eastAsia="宋体" w:cs="宋体"/>
          <w:color w:val="000000"/>
          <w:sz w:val="24"/>
        </w:rPr>
        <w:t>相关的规定责令</w:t>
      </w:r>
      <w:r>
        <w:rPr>
          <w:rFonts w:hint="eastAsia" w:ascii="宋体" w:hAnsi="宋体" w:eastAsia="宋体" w:cs="宋体"/>
          <w:color w:val="000000"/>
          <w:sz w:val="24"/>
          <w:lang w:eastAsia="zh-CN"/>
        </w:rPr>
        <w:t>成交供应商</w:t>
      </w:r>
      <w:r>
        <w:rPr>
          <w:rFonts w:hint="eastAsia" w:ascii="宋体" w:hAnsi="宋体" w:eastAsia="宋体" w:cs="宋体"/>
          <w:color w:val="000000"/>
          <w:sz w:val="24"/>
        </w:rPr>
        <w:t>限期改正，并对其进行处罚；但</w:t>
      </w:r>
      <w:r>
        <w:rPr>
          <w:rFonts w:hint="eastAsia" w:ascii="宋体" w:hAnsi="宋体" w:eastAsia="宋体" w:cs="宋体"/>
          <w:color w:val="000000"/>
          <w:sz w:val="24"/>
          <w:lang w:eastAsia="zh-CN"/>
        </w:rPr>
        <w:t>成交供应商</w:t>
      </w:r>
      <w:r>
        <w:rPr>
          <w:rFonts w:hint="eastAsia" w:ascii="宋体" w:hAnsi="宋体" w:eastAsia="宋体" w:cs="宋体"/>
          <w:color w:val="000000"/>
          <w:sz w:val="24"/>
        </w:rPr>
        <w:t>在该区域发布的广告、宣传保证不影响</w:t>
      </w:r>
      <w:r>
        <w:rPr>
          <w:rFonts w:hint="eastAsia" w:ascii="宋体" w:hAnsi="宋体" w:eastAsia="宋体" w:cs="宋体"/>
          <w:color w:val="000000"/>
          <w:sz w:val="24"/>
          <w:lang w:eastAsia="zh-CN"/>
        </w:rPr>
        <w:t>采购人</w:t>
      </w:r>
      <w:r>
        <w:rPr>
          <w:rFonts w:hint="eastAsia" w:ascii="宋体" w:hAnsi="宋体" w:eastAsia="宋体" w:cs="宋体"/>
          <w:color w:val="000000"/>
          <w:sz w:val="24"/>
        </w:rPr>
        <w:t>的正常工作。</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eastAsia="zh-CN"/>
        </w:rPr>
        <w:t>成交供应商</w:t>
      </w:r>
      <w:r>
        <w:rPr>
          <w:rFonts w:hint="eastAsia" w:ascii="宋体" w:hAnsi="宋体" w:eastAsia="宋体" w:cs="宋体"/>
          <w:color w:val="000000"/>
          <w:sz w:val="24"/>
        </w:rPr>
        <w:t>不得以</w:t>
      </w:r>
      <w:r>
        <w:rPr>
          <w:rFonts w:hint="eastAsia" w:ascii="宋体" w:hAnsi="宋体" w:eastAsia="宋体" w:cs="宋体"/>
          <w:color w:val="000000"/>
          <w:sz w:val="24"/>
          <w:lang w:eastAsia="zh-CN"/>
        </w:rPr>
        <w:t>采购人</w:t>
      </w:r>
      <w:r>
        <w:rPr>
          <w:rFonts w:hint="eastAsia" w:ascii="宋体" w:hAnsi="宋体" w:eastAsia="宋体" w:cs="宋体"/>
          <w:color w:val="000000"/>
          <w:sz w:val="24"/>
        </w:rPr>
        <w:t>的名义从事任何经济活动，若有违反，由此发生的一切债权、债务均由</w:t>
      </w:r>
      <w:r>
        <w:rPr>
          <w:rFonts w:hint="eastAsia" w:ascii="宋体" w:hAnsi="宋体" w:eastAsia="宋体" w:cs="宋体"/>
          <w:color w:val="000000"/>
          <w:sz w:val="24"/>
          <w:lang w:eastAsia="zh-CN"/>
        </w:rPr>
        <w:t>成交供应商</w:t>
      </w:r>
      <w:r>
        <w:rPr>
          <w:rFonts w:hint="eastAsia" w:ascii="宋体" w:hAnsi="宋体" w:eastAsia="宋体" w:cs="宋体"/>
          <w:color w:val="000000"/>
          <w:sz w:val="24"/>
        </w:rPr>
        <w:t>承担，一律与</w:t>
      </w:r>
      <w:r>
        <w:rPr>
          <w:rFonts w:hint="eastAsia" w:ascii="宋体" w:hAnsi="宋体" w:eastAsia="宋体" w:cs="宋体"/>
          <w:color w:val="000000"/>
          <w:sz w:val="24"/>
          <w:lang w:eastAsia="zh-CN"/>
        </w:rPr>
        <w:t>采购人</w:t>
      </w:r>
      <w:r>
        <w:rPr>
          <w:rFonts w:hint="eastAsia" w:ascii="宋体" w:hAnsi="宋体" w:eastAsia="宋体" w:cs="宋体"/>
          <w:color w:val="000000"/>
          <w:sz w:val="24"/>
        </w:rPr>
        <w:t>无关。</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eastAsia="zh-CN"/>
        </w:rPr>
        <w:t>采购人</w:t>
      </w:r>
      <w:r>
        <w:rPr>
          <w:rFonts w:hint="eastAsia" w:ascii="宋体" w:hAnsi="宋体" w:eastAsia="宋体" w:cs="宋体"/>
          <w:color w:val="000000"/>
          <w:sz w:val="24"/>
        </w:rPr>
        <w:t>根据有关标准会同</w:t>
      </w:r>
      <w:r>
        <w:rPr>
          <w:rFonts w:hint="eastAsia" w:ascii="宋体" w:hAnsi="宋体" w:eastAsia="宋体" w:cs="宋体"/>
          <w:color w:val="000000"/>
          <w:sz w:val="24"/>
          <w:lang w:eastAsia="zh-CN"/>
        </w:rPr>
        <w:t>成交供应商</w:t>
      </w:r>
      <w:r>
        <w:rPr>
          <w:rFonts w:hint="eastAsia" w:ascii="宋体" w:hAnsi="宋体" w:eastAsia="宋体" w:cs="宋体"/>
          <w:color w:val="000000"/>
          <w:sz w:val="24"/>
        </w:rPr>
        <w:t>对安保服务内容定期进行检查考核，考核结果不符合有关标准的，责令</w:t>
      </w:r>
      <w:r>
        <w:rPr>
          <w:rFonts w:hint="eastAsia" w:ascii="宋体" w:hAnsi="宋体" w:eastAsia="宋体" w:cs="宋体"/>
          <w:color w:val="000000"/>
          <w:sz w:val="24"/>
          <w:lang w:eastAsia="zh-CN"/>
        </w:rPr>
        <w:t>成交供应商</w:t>
      </w:r>
      <w:r>
        <w:rPr>
          <w:rFonts w:hint="eastAsia" w:ascii="宋体" w:hAnsi="宋体" w:eastAsia="宋体" w:cs="宋体"/>
          <w:color w:val="000000"/>
          <w:sz w:val="24"/>
        </w:rPr>
        <w:t>在规定期限内整改，拒不改正，</w:t>
      </w:r>
      <w:r>
        <w:rPr>
          <w:rFonts w:hint="eastAsia" w:ascii="宋体" w:hAnsi="宋体" w:eastAsia="宋体" w:cs="宋体"/>
          <w:color w:val="000000"/>
          <w:sz w:val="24"/>
          <w:lang w:eastAsia="zh-CN"/>
        </w:rPr>
        <w:t>采购人</w:t>
      </w:r>
      <w:r>
        <w:rPr>
          <w:rFonts w:hint="eastAsia" w:ascii="宋体" w:hAnsi="宋体" w:eastAsia="宋体" w:cs="宋体"/>
          <w:color w:val="000000"/>
          <w:sz w:val="24"/>
        </w:rPr>
        <w:t>有权解除合同。</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（4）成交供应商在磋商响应文件中需要明确安保人员的名字、职称，成交后未经采购人同意不得更换人员，否则采购人有权解除采购合同。</w:t>
      </w:r>
    </w:p>
    <w:p>
      <w:pPr>
        <w:spacing w:line="360" w:lineRule="auto"/>
        <w:ind w:firstLine="480" w:firstLineChars="200"/>
        <w:rPr>
          <w:rFonts w:hint="eastAsia" w:ascii="宋体" w:hAnsi="宋体" w:cs="仿宋"/>
          <w:b/>
          <w:bCs/>
          <w:color w:val="000000"/>
          <w:sz w:val="28"/>
          <w:szCs w:val="28"/>
        </w:rPr>
      </w:pPr>
      <w:r>
        <w:rPr>
          <w:rFonts w:hint="eastAsia" w:ascii="宋体" w:hAnsi="宋体" w:eastAsia="宋体" w:cs="宋体"/>
          <w:color w:val="000000"/>
          <w:sz w:val="24"/>
          <w:lang w:val="en-US" w:eastAsia="zh-CN"/>
        </w:rPr>
        <w:t>（5）成交供应商工作人员在巡查过程中，发现资产毁损或消防报警未及时处理及向资产管理部门报告并造成损失的采购人有权解除合同。</w:t>
      </w:r>
    </w:p>
    <w:p>
      <w:pPr>
        <w:pStyle w:val="12"/>
        <w:snapToGrid w:val="0"/>
        <w:spacing w:before="120" w:after="120" w:line="360" w:lineRule="auto"/>
        <w:ind w:left="412" w:hanging="481" w:hangingChars="171"/>
        <w:rPr>
          <w:rFonts w:hint="eastAsia" w:hAnsi="宋体"/>
          <w:b/>
          <w:sz w:val="24"/>
          <w:lang w:eastAsia="zh-CN"/>
        </w:rPr>
      </w:pPr>
      <w:r>
        <w:rPr>
          <w:rFonts w:hint="eastAsia" w:ascii="宋体" w:hAnsi="宋体" w:cs="仿宋"/>
          <w:b/>
          <w:bCs/>
          <w:color w:val="000000"/>
          <w:sz w:val="28"/>
          <w:szCs w:val="28"/>
          <w:lang w:eastAsia="zh-CN"/>
        </w:rPr>
        <w:t>　（六）</w:t>
      </w:r>
      <w:r>
        <w:rPr>
          <w:rFonts w:hint="eastAsia" w:hAnsi="宋体"/>
          <w:b/>
          <w:sz w:val="24"/>
          <w:lang w:eastAsia="zh-CN"/>
        </w:rPr>
        <w:t>其他说明</w:t>
      </w:r>
    </w:p>
    <w:p>
      <w:pPr>
        <w:pStyle w:val="2"/>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安保</w:t>
      </w:r>
      <w:r>
        <w:rPr>
          <w:rFonts w:hint="eastAsia" w:ascii="宋体" w:hAnsi="宋体" w:eastAsia="宋体" w:cs="宋体"/>
          <w:color w:val="000000" w:themeColor="text1"/>
          <w:kern w:val="2"/>
          <w:sz w:val="24"/>
          <w:szCs w:val="24"/>
          <w:lang w:val="en" w:eastAsia="zh-CN" w:bidi="ar-SA"/>
          <w14:textFill>
            <w14:solidFill>
              <w14:schemeClr w14:val="tx1"/>
            </w14:solidFill>
          </w14:textFill>
        </w:rPr>
        <w:t>人员需在业主单位就餐的，需向业主单位缴纳每人３５０元／月。</w:t>
      </w:r>
    </w:p>
    <w:p>
      <w:pPr>
        <w:pStyle w:val="2"/>
        <w:rPr>
          <w:rFonts w:hint="eastAsia" w:ascii="宋体" w:hAnsi="宋体" w:eastAsia="宋体" w:cs="宋体"/>
          <w:color w:val="000000"/>
          <w:kern w:val="2"/>
          <w:sz w:val="24"/>
          <w:szCs w:val="24"/>
          <w:lang w:val="en-US" w:eastAsia="zh-CN" w:bidi="ar-SA"/>
        </w:rPr>
      </w:pPr>
    </w:p>
    <w:p>
      <w:pPr>
        <w:pStyle w:val="3"/>
        <w:numPr>
          <w:ilvl w:val="0"/>
          <w:numId w:val="9"/>
        </w:numPr>
        <w:bidi w:val="0"/>
        <w:spacing w:line="360" w:lineRule="auto"/>
        <w:ind w:left="0" w:leftChars="0" w:firstLine="562" w:firstLineChars="200"/>
        <w:jc w:val="both"/>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商务条款</w:t>
      </w:r>
    </w:p>
    <w:p>
      <w:pPr>
        <w:pStyle w:val="12"/>
        <w:snapToGrid w:val="0"/>
        <w:spacing w:before="120" w:after="120" w:line="360" w:lineRule="auto"/>
        <w:rPr>
          <w:rFonts w:hint="eastAsia" w:hAnsi="宋体"/>
          <w:sz w:val="24"/>
          <w:lang w:eastAsia="zh-CN"/>
        </w:rPr>
      </w:pPr>
      <w:r>
        <w:rPr>
          <w:rFonts w:hint="eastAsia" w:hAnsi="宋体"/>
          <w:sz w:val="24"/>
          <w:lang w:val="en-US" w:eastAsia="zh-CN"/>
        </w:rPr>
        <w:t>1、</w:t>
      </w:r>
      <w:r>
        <w:rPr>
          <w:rFonts w:hint="eastAsia" w:hAnsi="宋体"/>
          <w:sz w:val="24"/>
          <w:lang w:eastAsia="zh-CN"/>
        </w:rPr>
        <w:t>服务期:服务时间</w:t>
      </w:r>
      <w:r>
        <w:rPr>
          <w:rFonts w:hint="eastAsia" w:hAnsi="宋体"/>
          <w:sz w:val="24"/>
          <w:lang w:val="en-US" w:eastAsia="zh-CN"/>
        </w:rPr>
        <w:t>1</w:t>
      </w:r>
      <w:r>
        <w:rPr>
          <w:rFonts w:hint="eastAsia" w:hAnsi="宋体"/>
          <w:sz w:val="24"/>
          <w:lang w:eastAsia="zh-CN"/>
        </w:rPr>
        <w:t>年，具体日期以合同签订时间为准。</w:t>
      </w:r>
    </w:p>
    <w:p>
      <w:pPr>
        <w:pStyle w:val="12"/>
        <w:snapToGrid w:val="0"/>
        <w:spacing w:before="120" w:after="120" w:line="360" w:lineRule="auto"/>
        <w:rPr>
          <w:rFonts w:hint="eastAsia" w:hAnsi="宋体"/>
          <w:sz w:val="24"/>
          <w:lang w:eastAsia="zh-CN"/>
        </w:rPr>
      </w:pPr>
      <w:r>
        <w:rPr>
          <w:rFonts w:hint="eastAsia" w:hAnsi="宋体"/>
          <w:sz w:val="24"/>
          <w:lang w:eastAsia="zh-CN"/>
        </w:rPr>
        <w:t>成交供应商须在签订合同后5天内，将安保服务人员按要求到服务范围，并且正常运作。</w:t>
      </w:r>
    </w:p>
    <w:p>
      <w:pPr>
        <w:pStyle w:val="12"/>
        <w:snapToGrid w:val="0"/>
        <w:spacing w:before="120" w:after="120" w:line="360" w:lineRule="auto"/>
        <w:rPr>
          <w:rFonts w:hint="eastAsia" w:hAnsi="宋体"/>
          <w:sz w:val="24"/>
          <w:lang w:val="en-US" w:eastAsia="zh-CN"/>
        </w:rPr>
      </w:pPr>
      <w:r>
        <w:rPr>
          <w:rFonts w:hint="eastAsia" w:hAnsi="宋体"/>
          <w:sz w:val="24"/>
          <w:lang w:eastAsia="zh-CN"/>
        </w:rPr>
        <w:t>2、服务地点：台州市中级人民法院</w:t>
      </w:r>
    </w:p>
    <w:p>
      <w:pPr>
        <w:pStyle w:val="12"/>
        <w:snapToGrid w:val="0"/>
        <w:spacing w:before="120" w:after="120" w:line="360" w:lineRule="auto"/>
        <w:rPr>
          <w:rFonts w:hint="eastAsia" w:hAnsi="宋体"/>
          <w:sz w:val="24"/>
          <w:lang w:eastAsia="zh-CN"/>
        </w:rPr>
      </w:pPr>
      <w:r>
        <w:rPr>
          <w:rFonts w:hint="eastAsia" w:hAnsi="宋体"/>
          <w:sz w:val="24"/>
          <w:lang w:eastAsia="zh-CN"/>
        </w:rPr>
        <w:t>3、付款条件：</w:t>
      </w:r>
    </w:p>
    <w:p>
      <w:pPr>
        <w:pStyle w:val="12"/>
        <w:snapToGrid w:val="0"/>
        <w:spacing w:before="120" w:after="120" w:line="360" w:lineRule="auto"/>
        <w:rPr>
          <w:rFonts w:hint="eastAsia" w:hAnsi="宋体"/>
          <w:sz w:val="24"/>
          <w:lang w:eastAsia="zh-CN"/>
        </w:rPr>
      </w:pPr>
      <w:r>
        <w:rPr>
          <w:rFonts w:hint="default" w:hAnsi="宋体"/>
          <w:sz w:val="24"/>
          <w:lang w:val="en-US" w:eastAsia="zh-CN"/>
        </w:rPr>
        <w:t>①</w:t>
      </w:r>
      <w:r>
        <w:rPr>
          <w:rFonts w:hint="eastAsia" w:hAnsi="宋体"/>
          <w:sz w:val="24"/>
          <w:lang w:eastAsia="zh-CN"/>
        </w:rPr>
        <w:t>按成交单位年总额的成交价签订合同,合同生效后按月支付管理服务费，采购人在每个月结束后收到成交供应商开具的正式发票15日内支付上个月的管理服务费。</w:t>
      </w:r>
    </w:p>
    <w:p>
      <w:pPr>
        <w:pStyle w:val="12"/>
        <w:snapToGrid w:val="0"/>
        <w:spacing w:before="120" w:after="120" w:line="360" w:lineRule="auto"/>
        <w:rPr>
          <w:rFonts w:hint="eastAsia" w:hAnsi="宋体"/>
          <w:sz w:val="24"/>
          <w:lang w:eastAsia="zh-CN"/>
        </w:rPr>
      </w:pPr>
      <w:r>
        <w:rPr>
          <w:rFonts w:hint="default" w:hAnsi="宋体"/>
          <w:sz w:val="24"/>
          <w:lang w:eastAsia="zh-CN"/>
        </w:rPr>
        <w:t>②</w:t>
      </w:r>
      <w:r>
        <w:rPr>
          <w:rFonts w:hint="eastAsia" w:hAnsi="宋体"/>
          <w:sz w:val="24"/>
          <w:lang w:eastAsia="zh-CN"/>
        </w:rPr>
        <w:t>每月评分在90分以上（含90分）的为合格。80-90分的每次扣罚本项目本月服务费10%，70-79分每次扣罚本项目本月服务费20%，60-69分每次扣罚本项目本月服务费30%，如连续两次评分合计在70分以下，采购人有权直接终止服务合同。</w:t>
      </w:r>
    </w:p>
    <w:p>
      <w:pPr>
        <w:spacing w:line="600" w:lineRule="auto"/>
        <w:jc w:val="center"/>
        <w:rPr>
          <w:rFonts w:hint="eastAsia" w:ascii="宋体" w:hAnsi="宋体" w:cs="仿宋"/>
          <w:b/>
          <w:bCs/>
          <w:color w:val="000000"/>
          <w:sz w:val="28"/>
          <w:szCs w:val="28"/>
        </w:rPr>
      </w:pPr>
    </w:p>
    <w:p>
      <w:pPr>
        <w:spacing w:line="600" w:lineRule="auto"/>
        <w:jc w:val="center"/>
        <w:rPr>
          <w:rFonts w:hint="eastAsia" w:ascii="宋体" w:hAnsi="宋体" w:cs="仿宋"/>
          <w:b/>
          <w:bCs/>
          <w:color w:val="000000"/>
          <w:sz w:val="28"/>
          <w:szCs w:val="28"/>
        </w:rPr>
      </w:pPr>
    </w:p>
    <w:p>
      <w:pPr>
        <w:spacing w:line="600" w:lineRule="auto"/>
        <w:jc w:val="center"/>
        <w:rPr>
          <w:rFonts w:hint="eastAsia" w:ascii="宋体" w:hAnsi="宋体" w:cs="仿宋"/>
          <w:b/>
          <w:bCs/>
          <w:color w:val="000000"/>
          <w:sz w:val="28"/>
          <w:szCs w:val="28"/>
        </w:rPr>
      </w:pPr>
    </w:p>
    <w:p>
      <w:pPr>
        <w:spacing w:line="600" w:lineRule="auto"/>
        <w:jc w:val="center"/>
        <w:rPr>
          <w:rFonts w:hint="eastAsia" w:ascii="宋体" w:hAnsi="宋体" w:cs="仿宋"/>
          <w:b/>
          <w:bCs/>
          <w:color w:val="000000"/>
          <w:sz w:val="28"/>
          <w:szCs w:val="28"/>
        </w:rPr>
      </w:pPr>
    </w:p>
    <w:p>
      <w:pPr>
        <w:spacing w:line="600" w:lineRule="auto"/>
        <w:jc w:val="center"/>
        <w:rPr>
          <w:rFonts w:hint="eastAsia" w:ascii="宋体" w:hAnsi="宋体" w:cs="仿宋"/>
          <w:b/>
          <w:bCs/>
          <w:color w:val="000000"/>
          <w:sz w:val="28"/>
          <w:szCs w:val="28"/>
        </w:rPr>
      </w:pPr>
    </w:p>
    <w:p>
      <w:pPr>
        <w:spacing w:line="600" w:lineRule="auto"/>
        <w:jc w:val="center"/>
        <w:rPr>
          <w:rFonts w:hint="eastAsia" w:ascii="宋体" w:hAnsi="宋体" w:cs="仿宋"/>
          <w:b/>
          <w:bCs/>
          <w:color w:val="000000"/>
          <w:sz w:val="28"/>
          <w:szCs w:val="28"/>
        </w:rPr>
      </w:pPr>
    </w:p>
    <w:p>
      <w:pPr>
        <w:spacing w:line="600" w:lineRule="auto"/>
        <w:jc w:val="center"/>
        <w:rPr>
          <w:rFonts w:hint="eastAsia" w:ascii="宋体" w:hAnsi="宋体" w:cs="仿宋"/>
          <w:b/>
          <w:bCs/>
          <w:color w:val="000000"/>
          <w:sz w:val="28"/>
          <w:szCs w:val="28"/>
        </w:rPr>
      </w:pPr>
    </w:p>
    <w:p>
      <w:pPr>
        <w:spacing w:line="600" w:lineRule="auto"/>
        <w:jc w:val="center"/>
        <w:rPr>
          <w:rFonts w:hint="eastAsia" w:ascii="宋体" w:hAnsi="宋体" w:cs="仿宋"/>
          <w:b/>
          <w:bCs/>
          <w:color w:val="000000"/>
          <w:sz w:val="28"/>
          <w:szCs w:val="28"/>
        </w:rPr>
      </w:pPr>
    </w:p>
    <w:p>
      <w:pPr>
        <w:spacing w:line="600" w:lineRule="auto"/>
        <w:jc w:val="center"/>
        <w:rPr>
          <w:rFonts w:hint="eastAsia" w:ascii="宋体" w:hAnsi="宋体" w:cs="仿宋"/>
          <w:b/>
          <w:bCs/>
          <w:color w:val="000000"/>
          <w:sz w:val="28"/>
          <w:szCs w:val="28"/>
        </w:rPr>
      </w:pPr>
    </w:p>
    <w:p>
      <w:pPr>
        <w:spacing w:line="600" w:lineRule="auto"/>
        <w:jc w:val="center"/>
        <w:rPr>
          <w:rFonts w:hint="eastAsia" w:ascii="宋体" w:hAnsi="宋体" w:cs="仿宋"/>
          <w:b/>
          <w:bCs/>
          <w:color w:val="000000"/>
          <w:sz w:val="28"/>
          <w:szCs w:val="28"/>
        </w:rPr>
      </w:pPr>
    </w:p>
    <w:p>
      <w:pPr>
        <w:spacing w:line="600" w:lineRule="auto"/>
        <w:jc w:val="center"/>
        <w:rPr>
          <w:rFonts w:hint="eastAsia" w:ascii="宋体" w:hAnsi="宋体" w:cs="仿宋"/>
          <w:b/>
          <w:bCs/>
          <w:color w:val="000000"/>
          <w:sz w:val="28"/>
          <w:szCs w:val="28"/>
        </w:rPr>
      </w:pPr>
    </w:p>
    <w:p>
      <w:pPr>
        <w:spacing w:line="600" w:lineRule="auto"/>
        <w:jc w:val="center"/>
        <w:rPr>
          <w:rFonts w:ascii="宋体" w:hAnsi="宋体" w:cs="Times New Roman"/>
          <w:b/>
          <w:bCs/>
          <w:color w:val="000000"/>
          <w:sz w:val="28"/>
          <w:szCs w:val="28"/>
        </w:rPr>
      </w:pPr>
      <w:r>
        <w:rPr>
          <w:rFonts w:hint="eastAsia" w:ascii="宋体" w:hAnsi="宋体" w:cs="仿宋"/>
          <w:b/>
          <w:bCs/>
          <w:color w:val="000000"/>
          <w:sz w:val="28"/>
          <w:szCs w:val="28"/>
        </w:rPr>
        <w:t>保安服务考核评分表</w:t>
      </w:r>
    </w:p>
    <w:tbl>
      <w:tblPr>
        <w:tblStyle w:val="24"/>
        <w:tblW w:w="10380" w:type="dxa"/>
        <w:jc w:val="center"/>
        <w:tblLayout w:type="fixed"/>
        <w:tblCellMar>
          <w:top w:w="0" w:type="dxa"/>
          <w:left w:w="108" w:type="dxa"/>
          <w:bottom w:w="0" w:type="dxa"/>
          <w:right w:w="108" w:type="dxa"/>
        </w:tblCellMar>
      </w:tblPr>
      <w:tblGrid>
        <w:gridCol w:w="675"/>
        <w:gridCol w:w="744"/>
        <w:gridCol w:w="6484"/>
        <w:gridCol w:w="708"/>
        <w:gridCol w:w="1769"/>
      </w:tblGrid>
      <w:tr>
        <w:tblPrEx>
          <w:tblCellMar>
            <w:top w:w="0" w:type="dxa"/>
            <w:left w:w="108" w:type="dxa"/>
            <w:bottom w:w="0" w:type="dxa"/>
            <w:right w:w="108" w:type="dxa"/>
          </w:tblCellMar>
        </w:tblPrEx>
        <w:trPr>
          <w:jc w:val="center"/>
        </w:trPr>
        <w:tc>
          <w:tcPr>
            <w:tcW w:w="1419"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ascii="宋体" w:hAnsi="宋体"/>
                <w:b/>
                <w:bCs/>
                <w:color w:val="000000"/>
                <w:szCs w:val="21"/>
              </w:rPr>
            </w:pPr>
            <w:r>
              <w:rPr>
                <w:rFonts w:hint="eastAsia" w:ascii="宋体" w:hAnsi="宋体"/>
                <w:b/>
                <w:bCs/>
                <w:color w:val="000000"/>
                <w:szCs w:val="21"/>
              </w:rPr>
              <w:t>项目</w:t>
            </w: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b/>
                <w:bCs/>
                <w:color w:val="000000"/>
                <w:szCs w:val="21"/>
              </w:rPr>
            </w:pPr>
            <w:r>
              <w:rPr>
                <w:rFonts w:hint="eastAsia" w:ascii="宋体" w:hAnsi="宋体"/>
                <w:b/>
                <w:bCs/>
                <w:color w:val="000000"/>
                <w:szCs w:val="21"/>
              </w:rPr>
              <w:t>标准内容</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b/>
                <w:bCs/>
                <w:color w:val="000000"/>
                <w:szCs w:val="21"/>
              </w:rPr>
            </w:pPr>
            <w:r>
              <w:rPr>
                <w:rFonts w:hint="eastAsia" w:ascii="宋体" w:hAnsi="宋体"/>
                <w:b/>
                <w:bCs/>
                <w:color w:val="000000"/>
                <w:szCs w:val="21"/>
              </w:rPr>
              <w:t>分值</w:t>
            </w:r>
          </w:p>
        </w:tc>
        <w:tc>
          <w:tcPr>
            <w:tcW w:w="1770"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b/>
                <w:bCs/>
                <w:color w:val="000000"/>
                <w:szCs w:val="21"/>
              </w:rPr>
            </w:pPr>
            <w:r>
              <w:rPr>
                <w:rFonts w:hint="eastAsia" w:ascii="宋体" w:hAnsi="宋体"/>
                <w:b/>
                <w:bCs/>
                <w:color w:val="000000"/>
                <w:szCs w:val="21"/>
              </w:rPr>
              <w:t>评分标准</w:t>
            </w:r>
          </w:p>
        </w:tc>
      </w:tr>
      <w:tr>
        <w:tblPrEx>
          <w:tblCellMar>
            <w:top w:w="0" w:type="dxa"/>
            <w:left w:w="108" w:type="dxa"/>
            <w:bottom w:w="0" w:type="dxa"/>
            <w:right w:w="108" w:type="dxa"/>
          </w:tblCellMar>
        </w:tblPrEx>
        <w:trPr>
          <w:jc w:val="center"/>
        </w:trPr>
        <w:tc>
          <w:tcPr>
            <w:tcW w:w="675" w:type="dxa"/>
            <w:vMerge w:val="restart"/>
            <w:tcBorders>
              <w:top w:val="single" w:color="auto" w:sz="4" w:space="0"/>
              <w:left w:val="single" w:color="auto" w:sz="4" w:space="0"/>
              <w:bottom w:val="nil"/>
              <w:right w:val="single" w:color="auto" w:sz="4" w:space="0"/>
            </w:tcBorders>
            <w:noWrap w:val="0"/>
            <w:vAlign w:val="center"/>
          </w:tcPr>
          <w:p>
            <w:pPr>
              <w:jc w:val="center"/>
              <w:rPr>
                <w:rFonts w:ascii="宋体" w:hAnsi="宋体"/>
                <w:color w:val="000000"/>
                <w:szCs w:val="21"/>
              </w:rPr>
            </w:pPr>
            <w:r>
              <w:rPr>
                <w:rFonts w:hint="eastAsia" w:ascii="宋体" w:hAnsi="宋体"/>
                <w:color w:val="000000"/>
                <w:szCs w:val="21"/>
              </w:rPr>
              <w:t>行业管理</w:t>
            </w:r>
          </w:p>
        </w:tc>
        <w:tc>
          <w:tcPr>
            <w:tcW w:w="744" w:type="dxa"/>
            <w:vMerge w:val="restart"/>
            <w:tcBorders>
              <w:top w:val="single" w:color="auto" w:sz="4" w:space="0"/>
              <w:left w:val="single" w:color="auto" w:sz="4" w:space="0"/>
              <w:bottom w:val="nil"/>
              <w:right w:val="single" w:color="auto" w:sz="4" w:space="0"/>
            </w:tcBorders>
            <w:noWrap w:val="0"/>
            <w:vAlign w:val="center"/>
          </w:tcPr>
          <w:p>
            <w:pPr>
              <w:jc w:val="center"/>
              <w:rPr>
                <w:rFonts w:ascii="宋体" w:hAnsi="宋体" w:eastAsia="宋体" w:cs="Times New Roman"/>
                <w:color w:val="000000"/>
                <w:szCs w:val="21"/>
              </w:rPr>
            </w:pPr>
            <w:r>
              <w:rPr>
                <w:rFonts w:hint="eastAsia" w:ascii="宋体" w:hAnsi="宋体"/>
                <w:color w:val="000000"/>
                <w:szCs w:val="21"/>
              </w:rPr>
              <w:t>人员</w:t>
            </w:r>
          </w:p>
          <w:p>
            <w:pPr>
              <w:jc w:val="center"/>
              <w:rPr>
                <w:rFonts w:ascii="宋体" w:hAnsi="宋体"/>
                <w:color w:val="000000"/>
                <w:szCs w:val="21"/>
              </w:rPr>
            </w:pPr>
            <w:r>
              <w:rPr>
                <w:rFonts w:hint="eastAsia" w:ascii="宋体" w:hAnsi="宋体"/>
                <w:color w:val="000000"/>
                <w:szCs w:val="21"/>
              </w:rPr>
              <w:t>管理</w:t>
            </w:r>
          </w:p>
          <w:p>
            <w:pPr>
              <w:jc w:val="center"/>
              <w:rPr>
                <w:rFonts w:ascii="宋体" w:hAnsi="宋体"/>
                <w:color w:val="000000"/>
                <w:szCs w:val="21"/>
              </w:rPr>
            </w:pPr>
            <w:r>
              <w:rPr>
                <w:rFonts w:hint="eastAsia" w:ascii="宋体" w:hAnsi="宋体"/>
                <w:color w:val="000000"/>
                <w:szCs w:val="21"/>
              </w:rPr>
              <w:t>10分</w:t>
            </w: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1、保安人员统一着工服、佩戴工牌，行为规范，按日常服务接待标准工作</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5</w:t>
            </w:r>
          </w:p>
        </w:tc>
        <w:tc>
          <w:tcPr>
            <w:tcW w:w="1770"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trHeight w:val="195" w:hRule="atLeast"/>
          <w:jc w:val="center"/>
        </w:trPr>
        <w:tc>
          <w:tcPr>
            <w:tcW w:w="141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00000"/>
                <w:szCs w:val="21"/>
              </w:rPr>
            </w:pPr>
          </w:p>
        </w:tc>
        <w:tc>
          <w:tcPr>
            <w:tcW w:w="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00000"/>
                <w:szCs w:val="21"/>
              </w:rPr>
            </w:pP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2、保安人员认真负责，忠于职守，在班期间一律使用文明用语，普通话交流</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5</w:t>
            </w:r>
          </w:p>
        </w:tc>
        <w:tc>
          <w:tcPr>
            <w:tcW w:w="1770"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jc w:val="center"/>
        </w:trPr>
        <w:tc>
          <w:tcPr>
            <w:tcW w:w="141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00000"/>
                <w:szCs w:val="21"/>
              </w:rPr>
            </w:pPr>
          </w:p>
        </w:tc>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szCs w:val="21"/>
              </w:rPr>
            </w:pPr>
            <w:r>
              <w:rPr>
                <w:rFonts w:hint="eastAsia" w:ascii="宋体" w:hAnsi="宋体"/>
                <w:color w:val="000000"/>
                <w:szCs w:val="21"/>
              </w:rPr>
              <w:t>安保服务管理情况</w:t>
            </w:r>
          </w:p>
          <w:p>
            <w:pPr>
              <w:jc w:val="center"/>
              <w:rPr>
                <w:rFonts w:ascii="宋体" w:hAnsi="宋体"/>
                <w:color w:val="000000"/>
                <w:szCs w:val="21"/>
              </w:rPr>
            </w:pPr>
            <w:r>
              <w:rPr>
                <w:rFonts w:hint="eastAsia" w:ascii="宋体" w:hAnsi="宋体"/>
                <w:color w:val="000000"/>
                <w:szCs w:val="21"/>
              </w:rPr>
              <w:t>40分</w:t>
            </w: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3、每日上午接班进行全中心列队巡视</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5</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jc w:val="center"/>
        </w:trPr>
        <w:tc>
          <w:tcPr>
            <w:tcW w:w="141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4、每周进行一次训练，并准时、保质开展</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5</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jc w:val="center"/>
        </w:trPr>
        <w:tc>
          <w:tcPr>
            <w:tcW w:w="141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ind w:left="315" w:hanging="315" w:hangingChars="150"/>
              <w:rPr>
                <w:rFonts w:ascii="宋体" w:hAnsi="宋体" w:eastAsia="宋体" w:cs="Times New Roman"/>
                <w:color w:val="000000"/>
                <w:szCs w:val="21"/>
              </w:rPr>
            </w:pPr>
            <w:r>
              <w:rPr>
                <w:rFonts w:hint="eastAsia" w:ascii="宋体" w:hAnsi="宋体"/>
                <w:color w:val="000000"/>
                <w:szCs w:val="21"/>
              </w:rPr>
              <w:t>5、保安人员工作态度积极、服务主动，不与业主、来访</w:t>
            </w:r>
          </w:p>
          <w:p>
            <w:pPr>
              <w:overflowPunct w:val="0"/>
              <w:adjustRightInd w:val="0"/>
              <w:snapToGrid w:val="0"/>
              <w:rPr>
                <w:rFonts w:ascii="宋体" w:hAnsi="宋体"/>
                <w:color w:val="000000"/>
                <w:szCs w:val="21"/>
              </w:rPr>
            </w:pPr>
            <w:r>
              <w:rPr>
                <w:rFonts w:hint="eastAsia" w:ascii="宋体" w:hAnsi="宋体"/>
                <w:color w:val="000000"/>
                <w:szCs w:val="21"/>
              </w:rPr>
              <w:t>客人争吵、打骂</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5</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jc w:val="center"/>
        </w:trPr>
        <w:tc>
          <w:tcPr>
            <w:tcW w:w="141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6、认真做好人员、车辆、物品出入的登记记录</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100" w:beforeAutospacing="1" w:after="100" w:afterAutospacing="1"/>
              <w:jc w:val="center"/>
              <w:rPr>
                <w:rFonts w:ascii="宋体" w:hAnsi="宋体"/>
                <w:color w:val="000000"/>
                <w:szCs w:val="21"/>
              </w:rPr>
            </w:pPr>
            <w:r>
              <w:rPr>
                <w:rFonts w:hint="eastAsia" w:ascii="宋体" w:hAnsi="宋体"/>
                <w:color w:val="000000"/>
                <w:szCs w:val="21"/>
              </w:rPr>
              <w:t>5</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jc w:val="center"/>
        </w:trPr>
        <w:tc>
          <w:tcPr>
            <w:tcW w:w="141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7、有上级领导、高级访客经过岗位时要求敬礼，敬礼姿势标准</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4</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trHeight w:val="302" w:hRule="atLeast"/>
          <w:jc w:val="center"/>
        </w:trPr>
        <w:tc>
          <w:tcPr>
            <w:tcW w:w="141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8、形象岗要求8小时立岗，每1小时轮换一次，</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4</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jc w:val="center"/>
        </w:trPr>
        <w:tc>
          <w:tcPr>
            <w:tcW w:w="141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9、服务意识良好，积极配合中心各项活动、以及大型接待来访</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4</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trHeight w:val="403" w:hRule="atLeast"/>
          <w:jc w:val="center"/>
        </w:trPr>
        <w:tc>
          <w:tcPr>
            <w:tcW w:w="141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10、按规定使用消防器械、对讲通讯设备，对讲机使用文明用语</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4</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trHeight w:val="499" w:hRule="atLeast"/>
          <w:jc w:val="center"/>
        </w:trPr>
        <w:tc>
          <w:tcPr>
            <w:tcW w:w="141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11、不得损坏辖区内的公用设施</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4</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jc w:val="center"/>
        </w:trPr>
        <w:tc>
          <w:tcPr>
            <w:tcW w:w="141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00000"/>
                <w:szCs w:val="21"/>
              </w:rPr>
            </w:pPr>
          </w:p>
        </w:tc>
        <w:tc>
          <w:tcPr>
            <w:tcW w:w="744" w:type="dxa"/>
            <w:vMerge w:val="restart"/>
            <w:tcBorders>
              <w:top w:val="single" w:color="auto" w:sz="4" w:space="0"/>
              <w:left w:val="single" w:color="auto" w:sz="4" w:space="0"/>
              <w:bottom w:val="nil"/>
              <w:right w:val="single" w:color="auto" w:sz="4" w:space="0"/>
            </w:tcBorders>
            <w:noWrap w:val="0"/>
            <w:vAlign w:val="center"/>
          </w:tcPr>
          <w:p>
            <w:pPr>
              <w:jc w:val="center"/>
              <w:rPr>
                <w:rFonts w:ascii="宋体" w:hAnsi="宋体" w:eastAsia="宋体" w:cs="Times New Roman"/>
                <w:color w:val="000000"/>
                <w:szCs w:val="21"/>
              </w:rPr>
            </w:pPr>
            <w:r>
              <w:rPr>
                <w:rFonts w:hint="eastAsia" w:ascii="宋体" w:hAnsi="宋体"/>
                <w:color w:val="000000"/>
                <w:szCs w:val="21"/>
              </w:rPr>
              <w:t>合用管理</w:t>
            </w:r>
          </w:p>
          <w:p>
            <w:pPr>
              <w:jc w:val="center"/>
              <w:rPr>
                <w:rFonts w:ascii="宋体" w:hAnsi="宋体"/>
                <w:color w:val="000000"/>
                <w:szCs w:val="21"/>
              </w:rPr>
            </w:pPr>
            <w:r>
              <w:rPr>
                <w:rFonts w:hint="eastAsia" w:ascii="宋体" w:hAnsi="宋体"/>
                <w:color w:val="000000"/>
                <w:szCs w:val="21"/>
              </w:rPr>
              <w:t>10分</w:t>
            </w: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12、按照双方签订的服务合同，提供相应的服务</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5</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trHeight w:val="293" w:hRule="atLeast"/>
          <w:jc w:val="center"/>
        </w:trPr>
        <w:tc>
          <w:tcPr>
            <w:tcW w:w="141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00000"/>
                <w:szCs w:val="21"/>
              </w:rPr>
            </w:pPr>
          </w:p>
        </w:tc>
        <w:tc>
          <w:tcPr>
            <w:tcW w:w="7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00000"/>
                <w:szCs w:val="21"/>
              </w:rPr>
            </w:pP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13、按照服务合同约定，配置相关工作人员</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5</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Cs w:val="21"/>
              </w:rPr>
            </w:pPr>
            <w:r>
              <w:rPr>
                <w:rFonts w:hint="eastAsia" w:ascii="宋体" w:hAnsi="宋体"/>
                <w:color w:val="000000"/>
                <w:szCs w:val="21"/>
              </w:rPr>
              <w:t>工作管理</w:t>
            </w:r>
          </w:p>
        </w:tc>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olor w:val="000000"/>
                <w:szCs w:val="21"/>
              </w:rPr>
              <w:t>保安人员工作业务情况40分</w:t>
            </w: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14、按时打卡上下班，不得无故迟到、早退，按行为标准交接岗位</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5</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jc w:val="center"/>
        </w:trPr>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15、当班期间坐立规范，不得嬉笑谩骂、追逐打闹、保证安保服务，不得擅自离岗、脱岗、串岗、睡岗，不聚众闲聊、不做与本职工作无关的事情</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5</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trHeight w:val="788" w:hRule="atLeast"/>
          <w:jc w:val="center"/>
        </w:trPr>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16、通过培训掌握安全相关技能（如：急救、消防、擒拿格斗），每月不少于2次</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5</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trHeight w:val="650" w:hRule="atLeast"/>
          <w:jc w:val="center"/>
        </w:trPr>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17、对各个区域内车辆的行驶、停放秩序实施管理、进行指引及引导，保障进出中心车辆行驶畅通、有序</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5</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trHeight w:val="574" w:hRule="atLeast"/>
          <w:jc w:val="center"/>
        </w:trPr>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18、保安人员熟悉安全管控方案及事件处理流程，月度不少于1次维护各区域结合处公共秩序、对负责区域内重点部位、重点区域进行加强巡逻，发现问题及时上报，及时处理</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5</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trHeight w:val="538" w:hRule="atLeast"/>
          <w:jc w:val="center"/>
        </w:trPr>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19、每日对负责区域保障巡查，形成制式表格，存放完好</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5</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trHeight w:val="438" w:hRule="atLeast"/>
          <w:jc w:val="center"/>
        </w:trPr>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20、巡查时发现违规情况立即制止，并应及时上报</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5</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olor w:val="000000"/>
                <w:szCs w:val="21"/>
              </w:rPr>
              <w:t>违反一次扣1分</w:t>
            </w:r>
          </w:p>
        </w:tc>
      </w:tr>
      <w:tr>
        <w:tblPrEx>
          <w:tblCellMar>
            <w:top w:w="0" w:type="dxa"/>
            <w:left w:w="108" w:type="dxa"/>
            <w:bottom w:w="0" w:type="dxa"/>
            <w:right w:w="108" w:type="dxa"/>
          </w:tblCellMar>
        </w:tblPrEx>
        <w:trPr>
          <w:trHeight w:val="726" w:hRule="atLeast"/>
          <w:jc w:val="center"/>
        </w:trPr>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Cs w:val="21"/>
              </w:rPr>
            </w:pPr>
          </w:p>
        </w:tc>
        <w:tc>
          <w:tcPr>
            <w:tcW w:w="6486"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rPr>
                <w:rFonts w:ascii="宋体" w:hAnsi="宋体"/>
                <w:color w:val="000000"/>
                <w:szCs w:val="21"/>
              </w:rPr>
            </w:pPr>
            <w:r>
              <w:rPr>
                <w:rFonts w:hint="eastAsia" w:ascii="宋体" w:hAnsi="宋体"/>
                <w:color w:val="000000"/>
                <w:szCs w:val="21"/>
              </w:rPr>
              <w:t>21、遵守公司各项规章制度，听从指挥，对领导交办事项及安排无不执行或蓄意违抗现象</w:t>
            </w:r>
          </w:p>
        </w:tc>
        <w:tc>
          <w:tcPr>
            <w:tcW w:w="708"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ascii="宋体" w:hAnsi="宋体"/>
                <w:color w:val="000000"/>
                <w:szCs w:val="21"/>
              </w:rPr>
            </w:pPr>
            <w:r>
              <w:rPr>
                <w:rFonts w:hint="eastAsia" w:ascii="宋体" w:hAnsi="宋体"/>
                <w:color w:val="000000"/>
                <w:szCs w:val="21"/>
              </w:rPr>
              <w:t>5</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olor w:val="000000"/>
                <w:szCs w:val="21"/>
              </w:rPr>
              <w:t>违反一次扣1分</w:t>
            </w:r>
          </w:p>
        </w:tc>
      </w:tr>
    </w:tbl>
    <w:p>
      <w:pPr>
        <w:pStyle w:val="2"/>
        <w:spacing w:line="264" w:lineRule="auto"/>
        <w:ind w:firstLine="0"/>
        <w:rPr>
          <w:rFonts w:ascii="宋体" w:hAnsi="宋体" w:cs="宋体"/>
          <w:szCs w:val="21"/>
        </w:rPr>
      </w:pPr>
      <w:r>
        <w:rPr>
          <w:rFonts w:hint="eastAsia" w:ascii="宋体" w:hAnsi="宋体" w:cs="宋体"/>
          <w:szCs w:val="21"/>
        </w:rPr>
        <w:t>说明：1、本表作为安保服务阶段验收依据，每月由</w:t>
      </w:r>
      <w:r>
        <w:rPr>
          <w:rFonts w:hint="eastAsia" w:ascii="宋体" w:hAnsi="宋体" w:cs="宋体"/>
          <w:szCs w:val="21"/>
          <w:lang w:eastAsia="zh-CN"/>
        </w:rPr>
        <w:t>采购人</w:t>
      </w:r>
      <w:r>
        <w:rPr>
          <w:rFonts w:hint="eastAsia" w:ascii="宋体" w:hAnsi="宋体" w:cs="宋体"/>
          <w:szCs w:val="21"/>
        </w:rPr>
        <w:t>选派人员组织一次验收评分。验收依据见本项目磋商文件＂技术需求＂及</w:t>
      </w:r>
      <w:r>
        <w:rPr>
          <w:rFonts w:hint="eastAsia" w:ascii="宋体" w:hAnsi="宋体" w:cs="宋体"/>
          <w:szCs w:val="21"/>
          <w:lang w:eastAsia="zh-CN"/>
        </w:rPr>
        <w:t>成交供应商</w:t>
      </w:r>
      <w:r>
        <w:rPr>
          <w:rFonts w:hint="eastAsia" w:ascii="宋体" w:hAnsi="宋体" w:cs="宋体"/>
          <w:szCs w:val="21"/>
        </w:rPr>
        <w:t>磋商响应文件相关承诺。</w:t>
      </w:r>
    </w:p>
    <w:p>
      <w:pPr>
        <w:pStyle w:val="2"/>
        <w:spacing w:line="264" w:lineRule="auto"/>
        <w:ind w:firstLine="0"/>
      </w:pPr>
      <w:r>
        <w:rPr>
          <w:rFonts w:hint="eastAsia" w:ascii="宋体" w:hAnsi="宋体" w:cs="宋体"/>
          <w:szCs w:val="21"/>
        </w:rPr>
        <w:t>2、每次评分在90分以上（含90分）的为合格。80-90分的每次扣罚本项目本月服务费10%，70-79分每次扣罚本项目本月服务费20%，60-69分每次扣罚本项目本月服务费30%，如连续两次评分合计在70分以下，</w:t>
      </w:r>
      <w:r>
        <w:rPr>
          <w:rFonts w:hint="eastAsia" w:ascii="宋体" w:hAnsi="宋体" w:cs="宋体"/>
          <w:szCs w:val="21"/>
          <w:lang w:eastAsia="zh-CN"/>
        </w:rPr>
        <w:t>采购人</w:t>
      </w:r>
      <w:r>
        <w:rPr>
          <w:rFonts w:hint="eastAsia" w:ascii="宋体" w:hAnsi="宋体" w:cs="宋体"/>
          <w:szCs w:val="21"/>
        </w:rPr>
        <w:t>有权直接终止服务合同。</w:t>
      </w:r>
    </w:p>
    <w:p/>
    <w:p>
      <w:pPr>
        <w:numPr>
          <w:ilvl w:val="0"/>
          <w:numId w:val="4"/>
        </w:numPr>
        <w:spacing w:line="360" w:lineRule="auto"/>
        <w:jc w:val="center"/>
        <w:outlineLvl w:val="0"/>
        <w:rPr>
          <w:rFonts w:asciiTheme="minorEastAsia" w:hAnsiTheme="minorEastAsia" w:eastAsiaTheme="minorEastAsia"/>
          <w:b/>
          <w:sz w:val="36"/>
          <w:szCs w:val="36"/>
        </w:rPr>
      </w:pPr>
      <w:bookmarkStart w:id="36" w:name="_Toc19531"/>
      <w:r>
        <w:rPr>
          <w:rFonts w:hint="eastAsia" w:asciiTheme="minorEastAsia" w:hAnsiTheme="minorEastAsia" w:eastAsiaTheme="minorEastAsia"/>
          <w:b/>
          <w:sz w:val="36"/>
          <w:szCs w:val="36"/>
        </w:rPr>
        <w:t>磋商</w:t>
      </w:r>
      <w:bookmarkEnd w:id="36"/>
    </w:p>
    <w:p>
      <w:pPr>
        <w:spacing w:line="360" w:lineRule="auto"/>
        <w:ind w:firstLine="482" w:firstLineChars="200"/>
        <w:rPr>
          <w:rFonts w:ascii="宋体" w:hAnsi="宋体" w:cs="宋体"/>
          <w:b/>
          <w:bCs/>
          <w:sz w:val="24"/>
        </w:rPr>
      </w:pPr>
      <w:r>
        <w:rPr>
          <w:rFonts w:hint="eastAsia" w:ascii="宋体" w:hAnsi="宋体" w:cs="宋体"/>
          <w:b/>
          <w:bCs/>
          <w:sz w:val="24"/>
        </w:rPr>
        <w:t>一、磋商原则</w:t>
      </w:r>
    </w:p>
    <w:p>
      <w:pPr>
        <w:spacing w:line="360" w:lineRule="auto"/>
        <w:ind w:firstLine="480" w:firstLineChars="200"/>
        <w:rPr>
          <w:rFonts w:ascii="宋体" w:hAnsi="宋体" w:cs="宋体"/>
          <w:b/>
          <w:bCs/>
          <w:sz w:val="24"/>
        </w:rPr>
      </w:pPr>
      <w:r>
        <w:rPr>
          <w:rFonts w:hint="eastAsia" w:ascii="宋体" w:hAnsi="宋体" w:cs="宋体"/>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2" w:firstLineChars="200"/>
        <w:rPr>
          <w:rFonts w:ascii="宋体" w:hAnsi="宋体" w:cs="宋体"/>
          <w:b/>
          <w:bCs/>
          <w:sz w:val="24"/>
        </w:rPr>
      </w:pPr>
      <w:r>
        <w:rPr>
          <w:rFonts w:hint="eastAsia" w:ascii="宋体" w:hAnsi="宋体" w:cs="宋体"/>
          <w:b/>
          <w:bCs/>
          <w:sz w:val="24"/>
        </w:rPr>
        <w:t>二、评审方法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综合评分法，是指响应文件</w:t>
      </w:r>
      <w:r>
        <w:rPr>
          <w:rFonts w:hint="eastAsia" w:ascii="宋体" w:hAnsi="宋体" w:cs="宋体"/>
          <w:color w:val="000000" w:themeColor="text1"/>
          <w:sz w:val="24"/>
          <w14:textFill>
            <w14:solidFill>
              <w14:schemeClr w14:val="tx1"/>
            </w14:solidFill>
          </w14:textFill>
        </w:rPr>
        <w:t>满足磋商文件全部实质性要求且按评审因素的量化指标评审得分最高的供应商为成交候选供应商的评审方法。</w:t>
      </w:r>
    </w:p>
    <w:p>
      <w:pPr>
        <w:pStyle w:val="12"/>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三、磋商小组</w:t>
      </w:r>
    </w:p>
    <w:p>
      <w:pPr>
        <w:pStyle w:val="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（一）</w:t>
      </w:r>
      <w:r>
        <w:rPr>
          <w:rFonts w:hint="eastAsia" w:asciiTheme="minorEastAsia" w:hAnsiTheme="minorEastAsia" w:eastAsiaTheme="minorEastAsia" w:cstheme="minorBidi"/>
          <w:color w:val="000000" w:themeColor="text1"/>
          <w:sz w:val="24"/>
          <w14:textFill>
            <w14:solidFill>
              <w14:schemeClr w14:val="tx1"/>
            </w14:solidFill>
          </w14:textFill>
        </w:rPr>
        <w:t>磋商小组</w:t>
      </w:r>
      <w:r>
        <w:rPr>
          <w:rFonts w:asciiTheme="minorEastAsia" w:hAnsiTheme="minorEastAsia" w:eastAsiaTheme="minorEastAsia"/>
          <w:color w:val="000000" w:themeColor="text1"/>
          <w:sz w:val="24"/>
          <w14:textFill>
            <w14:solidFill>
              <w14:schemeClr w14:val="tx1"/>
            </w14:solidFill>
          </w14:textFill>
        </w:rPr>
        <w:t>由</w:t>
      </w:r>
      <w:r>
        <w:rPr>
          <w:rFonts w:hint="eastAsia" w:asciiTheme="minorEastAsia" w:hAnsiTheme="minorEastAsia" w:eastAsiaTheme="minorEastAsia"/>
          <w:sz w:val="24"/>
        </w:rPr>
        <w:t>采购人代表和评审专家</w:t>
      </w:r>
      <w:r>
        <w:rPr>
          <w:rFonts w:asciiTheme="minorEastAsia" w:hAnsiTheme="minorEastAsia" w:eastAsiaTheme="minorEastAsia"/>
          <w:sz w:val="24"/>
        </w:rPr>
        <w:t>组成</w:t>
      </w:r>
      <w:r>
        <w:rPr>
          <w:rFonts w:hint="eastAsia" w:asciiTheme="minorEastAsia" w:hAnsiTheme="minorEastAsia" w:eastAsiaTheme="minorEastAsia"/>
          <w:color w:val="000000" w:themeColor="text1"/>
          <w:sz w:val="24"/>
          <w14:textFill>
            <w14:solidFill>
              <w14:schemeClr w14:val="tx1"/>
            </w14:solidFill>
          </w14:textFill>
        </w:rPr>
        <w:t>。</w:t>
      </w:r>
    </w:p>
    <w:p>
      <w:pPr>
        <w:pStyle w:val="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w:t>
      </w:r>
      <w:r>
        <w:rPr>
          <w:rFonts w:hint="eastAsia" w:asciiTheme="minorEastAsia" w:hAnsiTheme="minorEastAsia" w:eastAsiaTheme="minorEastAsia" w:cstheme="minorBidi"/>
          <w:color w:val="000000" w:themeColor="text1"/>
          <w:sz w:val="24"/>
          <w14:textFill>
            <w14:solidFill>
              <w14:schemeClr w14:val="tx1"/>
            </w14:solidFill>
          </w14:textFill>
        </w:rPr>
        <w:t>磋商小组</w:t>
      </w:r>
      <w:r>
        <w:rPr>
          <w:rFonts w:hint="eastAsia" w:asciiTheme="minorEastAsia" w:hAnsiTheme="minorEastAsia" w:eastAsiaTheme="minorEastAsia"/>
          <w:color w:val="000000" w:themeColor="text1"/>
          <w:sz w:val="24"/>
          <w14:textFill>
            <w14:solidFill>
              <w14:schemeClr w14:val="tx1"/>
            </w14:solidFill>
          </w14:textFill>
        </w:rPr>
        <w:t>成员</w:t>
      </w:r>
      <w:r>
        <w:rPr>
          <w:rFonts w:hint="eastAsia" w:ascii="宋体" w:hAnsi="宋体" w:cs="宋体"/>
          <w:color w:val="000000" w:themeColor="text1"/>
          <w:sz w:val="24"/>
          <w:szCs w:val="24"/>
          <w14:textFill>
            <w14:solidFill>
              <w14:schemeClr w14:val="tx1"/>
            </w14:solidFill>
          </w14:textFill>
        </w:rPr>
        <w:t>与参与磋商的供应商</w:t>
      </w:r>
      <w:r>
        <w:rPr>
          <w:rFonts w:hint="eastAsia" w:asciiTheme="minorEastAsia" w:hAnsiTheme="minorEastAsia" w:eastAsiaTheme="minorEastAsia"/>
          <w:color w:val="000000" w:themeColor="text1"/>
          <w:sz w:val="24"/>
          <w14:textFill>
            <w14:solidFill>
              <w14:schemeClr w14:val="tx1"/>
            </w14:solidFill>
          </w14:textFill>
        </w:rPr>
        <w:t>有下列情形之一的，应当回避：</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1.参加采购活动前3年内与供应商存在劳动关系</w:t>
      </w:r>
      <w:r>
        <w:rPr>
          <w:rFonts w:hint="eastAsia" w:asciiTheme="minorEastAsia" w:hAnsiTheme="minorEastAsia" w:eastAsiaTheme="minorEastAsia"/>
          <w:sz w:val="24"/>
        </w:rPr>
        <w:t>；</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hint="eastAsia" w:asciiTheme="minorEastAsia" w:hAnsiTheme="minorEastAsia" w:eastAsiaTheme="minorEastAsia" w:cstheme="minorBidi"/>
          <w:sz w:val="24"/>
        </w:rPr>
        <w:t>磋商小组</w:t>
      </w:r>
      <w:r>
        <w:rPr>
          <w:rFonts w:hint="eastAsia" w:asciiTheme="minorEastAsia" w:hAnsiTheme="minorEastAsia" w:eastAsiaTheme="minorEastAsia"/>
          <w:sz w:val="24"/>
        </w:rPr>
        <w:t>负责具体评审事务，并独立履行下列职责：</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1.审查、评价响应文件是否符合磋商文件的商务、技术等实质性要求；</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2.要求供应商对响应文件有关事项作出澄清或者说明；</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3.对响应文件进行比较和评价；</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4.确定成交候选人名单，以及根据采购人委托直接确定成交供应商；</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w:t>
      </w:r>
      <w:r>
        <w:rPr>
          <w:rFonts w:hint="eastAsia" w:asciiTheme="minorEastAsia" w:hAnsiTheme="minorEastAsia" w:eastAsiaTheme="minorEastAsia" w:cstheme="minorBidi"/>
          <w:sz w:val="24"/>
        </w:rPr>
        <w:t>组织</w:t>
      </w:r>
      <w:r>
        <w:rPr>
          <w:rFonts w:hint="eastAsia" w:asciiTheme="minorEastAsia" w:hAnsiTheme="minorEastAsia" w:eastAsiaTheme="minorEastAsia"/>
          <w:sz w:val="24"/>
        </w:rPr>
        <w:t>机构或者有关部门报告评审中发现的违法行为；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spacing w:line="360" w:lineRule="auto"/>
        <w:ind w:firstLine="482" w:firstLineChars="200"/>
        <w:rPr>
          <w:rFonts w:ascii="宋体" w:hAnsi="宋体" w:cs="宋体"/>
          <w:b/>
          <w:sz w:val="24"/>
        </w:rPr>
      </w:pPr>
      <w:r>
        <w:rPr>
          <w:rFonts w:hint="eastAsia" w:ascii="宋体" w:hAnsi="宋体" w:cs="宋体"/>
          <w:b/>
          <w:sz w:val="24"/>
        </w:rPr>
        <w:t>四、磋商要求</w:t>
      </w:r>
    </w:p>
    <w:p>
      <w:pPr>
        <w:spacing w:line="360" w:lineRule="auto"/>
        <w:ind w:firstLine="480" w:firstLineChars="200"/>
        <w:rPr>
          <w:rFonts w:ascii="宋体" w:hAnsi="宋体" w:cs="宋体"/>
          <w:b/>
          <w:sz w:val="24"/>
        </w:rPr>
      </w:pPr>
      <w:r>
        <w:rPr>
          <w:rFonts w:hint="eastAsia" w:ascii="宋体" w:hAnsi="宋体" w:cs="宋体"/>
          <w:sz w:val="24"/>
        </w:rPr>
        <w:t>（一）采购人、采购代理机构不得对磋商小组中的评审专家作倾向性、误导性的解释或者说明。</w:t>
      </w:r>
    </w:p>
    <w:p>
      <w:pPr>
        <w:spacing w:line="360" w:lineRule="auto"/>
        <w:ind w:firstLine="480" w:firstLineChars="200"/>
        <w:rPr>
          <w:rFonts w:ascii="宋体" w:hAnsi="宋体" w:cs="宋体"/>
          <w:sz w:val="24"/>
        </w:rPr>
      </w:pPr>
      <w:r>
        <w:rPr>
          <w:rFonts w:hint="eastAsia" w:ascii="宋体" w:hAnsi="宋体" w:cs="宋体"/>
          <w:sz w:val="24"/>
        </w:rPr>
        <w:t>（二）磋商小组所有成员应当集中与单一供应商分别进行磋商，并给予所有参加磋商的供应商平等的磋商机会。</w:t>
      </w:r>
    </w:p>
    <w:p>
      <w:pPr>
        <w:spacing w:line="360" w:lineRule="auto"/>
        <w:ind w:firstLine="480" w:firstLineChars="200"/>
        <w:rPr>
          <w:rFonts w:ascii="宋体" w:hAnsi="宋体" w:cs="宋体"/>
          <w:sz w:val="24"/>
        </w:rPr>
      </w:pPr>
      <w:r>
        <w:rPr>
          <w:rFonts w:hint="eastAsia" w:ascii="宋体" w:hAnsi="宋体" w:cs="宋体"/>
          <w:sz w:val="24"/>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firstLineChars="200"/>
        <w:rPr>
          <w:rFonts w:ascii="宋体" w:hAnsi="宋体" w:cs="宋体"/>
          <w:sz w:val="24"/>
        </w:rPr>
      </w:pPr>
      <w:r>
        <w:rPr>
          <w:rFonts w:hint="eastAsia" w:ascii="宋体" w:hAnsi="宋体" w:cs="宋体"/>
          <w:sz w:val="24"/>
        </w:rPr>
        <w:t>（四）对磋商文件作出的实质性变动是磋商文件的有效组成部分，磋商小组应当及时以书面形式同时通知所有参加磋商的供应商。</w:t>
      </w:r>
    </w:p>
    <w:p>
      <w:pPr>
        <w:spacing w:line="360" w:lineRule="auto"/>
        <w:ind w:firstLine="480" w:firstLineChars="200"/>
        <w:rPr>
          <w:rFonts w:ascii="宋体" w:hAnsi="宋体" w:cs="宋体"/>
          <w:sz w:val="24"/>
        </w:rPr>
      </w:pPr>
      <w:r>
        <w:rPr>
          <w:rFonts w:hint="eastAsia" w:ascii="宋体" w:hAnsi="宋体" w:cs="宋体"/>
          <w:sz w:val="24"/>
        </w:rPr>
        <w:t>（五）供应商应当按照磋商文件的变动情况和磋商小组的要求重新提交响应文件，并由其法定代表人或授权代表签字或者加盖公章。</w:t>
      </w:r>
    </w:p>
    <w:p>
      <w:pPr>
        <w:spacing w:line="360" w:lineRule="auto"/>
        <w:ind w:firstLine="480" w:firstLineChars="200"/>
        <w:rPr>
          <w:rFonts w:asciiTheme="minorEastAsia" w:hAnsiTheme="minorEastAsia" w:eastAsiaTheme="minorEastAsia"/>
          <w:sz w:val="24"/>
        </w:rPr>
      </w:pPr>
      <w:r>
        <w:rPr>
          <w:rFonts w:hint="eastAsia" w:ascii="宋体" w:hAnsi="宋体" w:cs="宋体"/>
          <w:sz w:val="24"/>
        </w:rPr>
        <w:t>（六）已提交响应文件的供应商，在提交最后报价之前，可以根据磋商情况退出磋商。</w:t>
      </w:r>
    </w:p>
    <w:p>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五、无效响应情形</w:t>
      </w:r>
    </w:p>
    <w:p>
      <w:pPr>
        <w:pStyle w:val="21"/>
        <w:numPr>
          <w:ilvl w:val="0"/>
          <w:numId w:val="10"/>
        </w:numPr>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不具备磋商文件中规定的资格要求的；</w:t>
      </w:r>
      <w:r>
        <w:rPr>
          <w:rFonts w:hint="default" w:asciiTheme="minorEastAsia" w:hAnsiTheme="minorEastAsia" w:eastAsiaTheme="minorEastAsia"/>
          <w:color w:val="000000" w:themeColor="text1"/>
          <w14:textFill>
            <w14:solidFill>
              <w14:schemeClr w14:val="tx1"/>
            </w14:solidFill>
          </w14:textFill>
        </w:rPr>
        <w:tab/>
      </w:r>
    </w:p>
    <w:p>
      <w:pPr>
        <w:pStyle w:val="21"/>
        <w:numPr>
          <w:ilvl w:val="0"/>
          <w:numId w:val="10"/>
        </w:numPr>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响应文件含有采购人不能接受的附加条件的；</w:t>
      </w:r>
    </w:p>
    <w:p>
      <w:pPr>
        <w:pStyle w:val="9"/>
        <w:numPr>
          <w:ilvl w:val="0"/>
          <w:numId w:val="10"/>
        </w:numPr>
        <w:spacing w:line="360" w:lineRule="auto"/>
        <w:jc w:val="both"/>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磋商小组认为供应商的报价明显低于其他通过符合性审查供应商的报价，有可能影响服务质量或者不能诚信履约的，供应商在限定的时间内不能证明其报价合理性的，磋商小组应当将其作为无效响应处理；</w:t>
      </w:r>
    </w:p>
    <w:p>
      <w:pPr>
        <w:pStyle w:val="21"/>
        <w:numPr>
          <w:ilvl w:val="0"/>
          <w:numId w:val="10"/>
        </w:numPr>
        <w:adjustRightInd w:val="0"/>
        <w:snapToGrid w:val="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xml:space="preserve">报价超过磋商文件中规定的预算金额/最高限价； </w:t>
      </w:r>
    </w:p>
    <w:p>
      <w:pPr>
        <w:pStyle w:val="9"/>
        <w:numPr>
          <w:ilvl w:val="0"/>
          <w:numId w:val="10"/>
        </w:numPr>
        <w:spacing w:line="360" w:lineRule="auto"/>
        <w:rPr>
          <w:rFonts w:asciiTheme="minorEastAsia" w:hAnsiTheme="minorEastAsia" w:eastAsiaTheme="minorEastAsia"/>
        </w:rPr>
      </w:pPr>
      <w:r>
        <w:rPr>
          <w:rFonts w:hint="eastAsia" w:asciiTheme="minorEastAsia" w:hAnsiTheme="minorEastAsia" w:eastAsiaTheme="minorEastAsia"/>
          <w:kern w:val="0"/>
          <w:sz w:val="24"/>
        </w:rPr>
        <w:t>主要性能参数指标负偏</w:t>
      </w:r>
      <w:r>
        <w:rPr>
          <w:rFonts w:hint="eastAsia" w:asciiTheme="minorEastAsia" w:hAnsiTheme="minorEastAsia" w:eastAsiaTheme="minorEastAsia"/>
          <w:color w:val="000000" w:themeColor="text1"/>
          <w:kern w:val="0"/>
          <w:sz w:val="24"/>
          <w14:textFill>
            <w14:solidFill>
              <w14:schemeClr w14:val="tx1"/>
            </w14:solidFill>
          </w14:textFill>
        </w:rPr>
        <w:t>离</w:t>
      </w:r>
      <w:r>
        <w:rPr>
          <w:rFonts w:hint="eastAsia"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4"/>
          <w:u w:val="single"/>
          <w:lang w:val="en-US" w:eastAsia="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 xml:space="preserve"> 项</w:t>
      </w:r>
      <w:r>
        <w:rPr>
          <w:rFonts w:hint="eastAsia" w:asciiTheme="minorEastAsia" w:hAnsiTheme="minorEastAsia" w:eastAsiaTheme="minorEastAsia"/>
          <w:kern w:val="0"/>
          <w:sz w:val="24"/>
        </w:rPr>
        <w:t>（含）以上的；</w:t>
      </w:r>
    </w:p>
    <w:p>
      <w:pPr>
        <w:numPr>
          <w:ilvl w:val="0"/>
          <w:numId w:val="10"/>
        </w:numPr>
        <w:tabs>
          <w:tab w:val="left" w:pos="1898"/>
        </w:tabs>
        <w:autoSpaceDE w:val="0"/>
        <w:autoSpaceDN w:val="0"/>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响应参数未如实填写，完全复制粘贴磋商需求参数的；</w:t>
      </w:r>
    </w:p>
    <w:p>
      <w:pPr>
        <w:numPr>
          <w:ilvl w:val="0"/>
          <w:numId w:val="10"/>
        </w:numPr>
        <w:tabs>
          <w:tab w:val="left" w:pos="1898"/>
        </w:tabs>
        <w:autoSpaceDE w:val="0"/>
        <w:autoSpaceDN w:val="0"/>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响应文件</w:t>
      </w:r>
      <w:r>
        <w:rPr>
          <w:rFonts w:hint="eastAsia" w:asciiTheme="minorEastAsia" w:hAnsiTheme="minorEastAsia" w:eastAsiaTheme="minorEastAsia"/>
          <w:kern w:val="0"/>
          <w:sz w:val="24"/>
        </w:rPr>
        <w:t xml:space="preserve">存在虚假材料的； </w:t>
      </w:r>
    </w:p>
    <w:p>
      <w:pPr>
        <w:numPr>
          <w:ilvl w:val="0"/>
          <w:numId w:val="10"/>
        </w:numPr>
        <w:tabs>
          <w:tab w:val="left" w:pos="1898"/>
        </w:tabs>
        <w:autoSpaceDE w:val="0"/>
        <w:autoSpaceDN w:val="0"/>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sz w:val="24"/>
        </w:rPr>
        <w:t>不同</w:t>
      </w:r>
      <w:r>
        <w:rPr>
          <w:rFonts w:hint="eastAsia" w:asciiTheme="minorEastAsia" w:hAnsiTheme="minorEastAsia" w:eastAsiaTheme="minorEastAsia"/>
          <w:sz w:val="24"/>
        </w:rPr>
        <w:t>供应商</w:t>
      </w:r>
      <w:r>
        <w:rPr>
          <w:rFonts w:asciiTheme="minorEastAsia" w:hAnsiTheme="minorEastAsia" w:eastAsiaTheme="minorEastAsia"/>
          <w:sz w:val="24"/>
        </w:rPr>
        <w:t>的</w:t>
      </w:r>
      <w:r>
        <w:rPr>
          <w:rFonts w:hint="eastAsia" w:asciiTheme="minorEastAsia" w:hAnsiTheme="minorEastAsia" w:eastAsiaTheme="minorEastAsia"/>
          <w:sz w:val="24"/>
        </w:rPr>
        <w:t>响应文件</w:t>
      </w:r>
      <w:r>
        <w:rPr>
          <w:rFonts w:asciiTheme="minorEastAsia" w:hAnsiTheme="minorEastAsia" w:eastAsiaTheme="minorEastAsia"/>
          <w:sz w:val="24"/>
        </w:rPr>
        <w:t>由同一单位或者个人编制</w:t>
      </w:r>
      <w:r>
        <w:rPr>
          <w:rFonts w:hint="eastAsia" w:asciiTheme="minorEastAsia" w:hAnsiTheme="minorEastAsia" w:eastAsiaTheme="minorEastAsia"/>
          <w:sz w:val="24"/>
        </w:rPr>
        <w:t>；</w:t>
      </w:r>
    </w:p>
    <w:p>
      <w:pPr>
        <w:numPr>
          <w:ilvl w:val="0"/>
          <w:numId w:val="10"/>
        </w:numPr>
        <w:tabs>
          <w:tab w:val="left" w:pos="1898"/>
        </w:tabs>
        <w:autoSpaceDE w:val="0"/>
        <w:autoSpaceDN w:val="0"/>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sz w:val="24"/>
        </w:rPr>
        <w:t>不同供应商委托同一单位或者个人办理磋商事宜；</w:t>
      </w:r>
    </w:p>
    <w:p>
      <w:pPr>
        <w:pStyle w:val="21"/>
        <w:numPr>
          <w:ilvl w:val="0"/>
          <w:numId w:val="10"/>
        </w:numPr>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不同供应商的响应文件载明的项目管理成员或者联系人员为同一人；</w:t>
      </w:r>
    </w:p>
    <w:p>
      <w:pPr>
        <w:pStyle w:val="21"/>
        <w:numPr>
          <w:ilvl w:val="0"/>
          <w:numId w:val="10"/>
        </w:numPr>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不同供应商的响应文件异常一致或者磋商报价呈规律性差异；</w:t>
      </w:r>
    </w:p>
    <w:p>
      <w:pPr>
        <w:pStyle w:val="21"/>
        <w:numPr>
          <w:ilvl w:val="0"/>
          <w:numId w:val="10"/>
        </w:numPr>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不同供应商的响应文件相互混装；</w:t>
      </w:r>
    </w:p>
    <w:p>
      <w:pPr>
        <w:pStyle w:val="21"/>
        <w:numPr>
          <w:ilvl w:val="0"/>
          <w:numId w:val="10"/>
        </w:numPr>
        <w:spacing w:before="0" w:beforeAutospacing="0" w:after="0" w:afterAutospacing="0" w:line="360" w:lineRule="auto"/>
        <w:jc w:val="both"/>
        <w:rPr>
          <w:rFonts w:hint="default" w:asciiTheme="minorEastAsia" w:hAnsiTheme="minorEastAsia" w:eastAsiaTheme="minorEastAsia"/>
        </w:rPr>
      </w:pPr>
      <w:r>
        <w:rPr>
          <w:rFonts w:cs="宋体"/>
        </w:rPr>
        <w:t>实质性要求（磋商文件中打“▲”内容）不响应的；</w:t>
      </w:r>
    </w:p>
    <w:p>
      <w:pPr>
        <w:pStyle w:val="2"/>
        <w:numPr>
          <w:ilvl w:val="0"/>
          <w:numId w:val="10"/>
        </w:num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商务条款不响应；</w:t>
      </w:r>
    </w:p>
    <w:p>
      <w:pPr>
        <w:pStyle w:val="2"/>
        <w:numPr>
          <w:ilvl w:val="0"/>
          <w:numId w:val="10"/>
        </w:numPr>
        <w:spacing w:line="360" w:lineRule="auto"/>
        <w:rPr>
          <w:rFonts w:asciiTheme="minorEastAsia" w:hAnsiTheme="minorEastAsia" w:eastAsiaTheme="minorEastAsia"/>
          <w:kern w:val="0"/>
          <w:sz w:val="24"/>
          <w:szCs w:val="24"/>
          <w:highlight w:val="none"/>
        </w:rPr>
      </w:pPr>
      <w:r>
        <w:rPr>
          <w:rFonts w:hint="eastAsia" w:cs="宋体"/>
          <w:sz w:val="24"/>
          <w:szCs w:val="24"/>
          <w:highlight w:val="none"/>
        </w:rPr>
        <w:t>响应</w:t>
      </w:r>
      <w:r>
        <w:rPr>
          <w:rFonts w:hint="eastAsia" w:asciiTheme="minorEastAsia" w:hAnsiTheme="minorEastAsia" w:eastAsiaTheme="minorEastAsia"/>
          <w:kern w:val="0"/>
          <w:sz w:val="24"/>
          <w:szCs w:val="24"/>
          <w:highlight w:val="none"/>
        </w:rPr>
        <w:t>文件有效期不足的；</w:t>
      </w:r>
    </w:p>
    <w:p>
      <w:pPr>
        <w:pStyle w:val="2"/>
        <w:numPr>
          <w:ilvl w:val="0"/>
          <w:numId w:val="10"/>
        </w:numPr>
        <w:spacing w:line="360" w:lineRule="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逾期或未按要求提交</w:t>
      </w:r>
      <w:r>
        <w:rPr>
          <w:rFonts w:hint="eastAsia" w:cs="宋体"/>
          <w:sz w:val="24"/>
          <w:szCs w:val="24"/>
          <w:highlight w:val="none"/>
        </w:rPr>
        <w:t>响应</w:t>
      </w:r>
      <w:r>
        <w:rPr>
          <w:rFonts w:hint="eastAsia" w:asciiTheme="minorEastAsia" w:hAnsiTheme="minorEastAsia" w:eastAsiaTheme="minorEastAsia"/>
          <w:kern w:val="0"/>
          <w:sz w:val="24"/>
          <w:szCs w:val="24"/>
          <w:highlight w:val="none"/>
        </w:rPr>
        <w:t>文件的；</w:t>
      </w:r>
    </w:p>
    <w:p>
      <w:pPr>
        <w:pStyle w:val="2"/>
        <w:numPr>
          <w:ilvl w:val="0"/>
          <w:numId w:val="10"/>
        </w:numPr>
        <w:spacing w:line="360" w:lineRule="auto"/>
        <w:rPr>
          <w:rFonts w:asciiTheme="minorEastAsia" w:hAnsiTheme="minorEastAsia" w:eastAsiaTheme="minorEastAsia"/>
          <w:kern w:val="0"/>
          <w:sz w:val="24"/>
          <w:szCs w:val="24"/>
          <w:highlight w:val="none"/>
        </w:rPr>
      </w:pPr>
      <w:r>
        <w:rPr>
          <w:rFonts w:hint="eastAsia" w:ascii="宋体" w:hAnsi="宋体" w:cs="宋体"/>
          <w:sz w:val="24"/>
          <w:szCs w:val="24"/>
          <w:highlight w:val="none"/>
          <w:lang w:eastAsia="zh-CN"/>
        </w:rPr>
        <w:t>未</w:t>
      </w:r>
      <w:r>
        <w:rPr>
          <w:rFonts w:hint="eastAsia" w:ascii="宋体" w:hAnsi="宋体" w:eastAsia="宋体" w:cs="Times New Roman"/>
          <w:color w:val="auto"/>
          <w:kern w:val="0"/>
          <w:sz w:val="24"/>
          <w:szCs w:val="24"/>
          <w:highlight w:val="none"/>
          <w:lang w:eastAsia="zh-CN"/>
        </w:rPr>
        <w:t>按要求提供资格证明文件的；</w:t>
      </w:r>
    </w:p>
    <w:p>
      <w:pPr>
        <w:pStyle w:val="2"/>
        <w:numPr>
          <w:ilvl w:val="0"/>
          <w:numId w:val="10"/>
        </w:numPr>
        <w:spacing w:line="360" w:lineRule="auto"/>
        <w:rPr>
          <w:rFonts w:asciiTheme="minorEastAsia" w:hAnsiTheme="minorEastAsia"/>
          <w:kern w:val="0"/>
          <w:sz w:val="24"/>
          <w:szCs w:val="24"/>
        </w:rPr>
      </w:pPr>
      <w:r>
        <w:rPr>
          <w:rFonts w:hint="eastAsia" w:asciiTheme="minorEastAsia" w:hAnsiTheme="minorEastAsia" w:eastAsiaTheme="minorEastAsia"/>
          <w:kern w:val="0"/>
          <w:sz w:val="24"/>
          <w:szCs w:val="24"/>
          <w:highlight w:val="none"/>
        </w:rPr>
        <w:t>其他</w:t>
      </w:r>
      <w:r>
        <w:rPr>
          <w:rFonts w:ascii="宋体" w:hAnsi="宋体" w:cs="宋体"/>
          <w:sz w:val="24"/>
          <w:szCs w:val="24"/>
          <w:highlight w:val="none"/>
        </w:rPr>
        <w:t>不符合法律</w:t>
      </w:r>
      <w:r>
        <w:rPr>
          <w:rFonts w:ascii="宋体" w:hAnsi="宋体" w:cs="宋体"/>
          <w:sz w:val="24"/>
          <w:szCs w:val="24"/>
        </w:rPr>
        <w:t>、法规相关规定的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Theme="minorEastAsia" w:hAnsiTheme="minorEastAsia" w:eastAsiaTheme="minorEastAsia"/>
          <w:kern w:val="0"/>
          <w:sz w:val="24"/>
        </w:rPr>
      </w:pPr>
      <w:r>
        <w:rPr>
          <w:rFonts w:hint="eastAsia" w:asciiTheme="minorEastAsia" w:hAnsiTheme="minorEastAsia" w:eastAsiaTheme="minorEastAsia"/>
          <w:b/>
          <w:kern w:val="0"/>
          <w:sz w:val="24"/>
        </w:rPr>
        <w:t>六、终止磋商情形</w:t>
      </w:r>
    </w:p>
    <w:p>
      <w:pPr>
        <w:spacing w:line="360" w:lineRule="auto"/>
        <w:ind w:firstLine="480" w:firstLineChars="200"/>
        <w:rPr>
          <w:rFonts w:ascii="宋体" w:hAnsi="宋体" w:cs="宋体"/>
          <w:sz w:val="24"/>
        </w:rPr>
      </w:pPr>
      <w:r>
        <w:rPr>
          <w:rFonts w:hint="eastAsia" w:ascii="宋体" w:hAnsi="宋体" w:cs="宋体"/>
          <w:sz w:val="24"/>
        </w:rPr>
        <w:t>（一）出现影响采购公正的违法、违规行为的；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（二）磋商小组发现磋商文件存在歧义、重大缺陷导致评审工作无法进行，或者磋商文件内容违反国家有关强制性规定的；</w:t>
      </w:r>
    </w:p>
    <w:p>
      <w:pPr>
        <w:spacing w:line="360" w:lineRule="auto"/>
        <w:ind w:firstLine="480" w:firstLineChars="200"/>
        <w:rPr>
          <w:rFonts w:ascii="宋体" w:hAnsi="宋体" w:cs="宋体"/>
          <w:sz w:val="24"/>
        </w:rPr>
      </w:pPr>
      <w:r>
        <w:rPr>
          <w:rFonts w:hint="eastAsia" w:ascii="宋体" w:hAnsi="宋体" w:cs="宋体"/>
          <w:sz w:val="24"/>
        </w:rPr>
        <w:t>（三）因重大变故，采购任务取消的；</w:t>
      </w:r>
    </w:p>
    <w:p>
      <w:pPr>
        <w:spacing w:line="360" w:lineRule="auto"/>
        <w:ind w:firstLine="480" w:firstLineChars="200"/>
        <w:rPr>
          <w:rFonts w:ascii="宋体" w:hAnsi="宋体" w:cs="宋体"/>
          <w:b/>
          <w:bCs/>
          <w:sz w:val="24"/>
        </w:rPr>
      </w:pPr>
      <w:r>
        <w:rPr>
          <w:rFonts w:hint="eastAsia" w:ascii="宋体" w:hAnsi="宋体" w:cs="宋体"/>
          <w:sz w:val="24"/>
        </w:rPr>
        <w:t>（四）在采购过程中符合磋商要求的供应商或者提交最后报价的供应商不足3家的（政府购买服务项目，市场竞争不充分的科研项目，以及需要扶持的科技成果转化项目，提交最后报价的供应商可以为2家）；</w:t>
      </w:r>
    </w:p>
    <w:p>
      <w:pPr>
        <w:spacing w:line="360" w:lineRule="auto"/>
        <w:ind w:firstLine="480" w:firstLineChars="200"/>
        <w:rPr>
          <w:rFonts w:ascii="宋体" w:hAnsi="宋体" w:cs="宋体"/>
          <w:sz w:val="24"/>
        </w:rPr>
      </w:pPr>
      <w:r>
        <w:rPr>
          <w:rFonts w:hint="eastAsia" w:ascii="宋体" w:hAnsi="宋体" w:cs="宋体"/>
          <w:sz w:val="24"/>
        </w:rPr>
        <w:t>（五）法律、法规和磋商文件规定的其他导致评审结果无效的。</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七、磋商</w:t>
      </w:r>
      <w:r>
        <w:rPr>
          <w:rFonts w:asciiTheme="minorEastAsia" w:hAnsiTheme="minorEastAsia" w:eastAsiaTheme="minorEastAsia"/>
          <w:b/>
          <w:sz w:val="24"/>
        </w:rPr>
        <w:t>过程的监控</w:t>
      </w:r>
    </w:p>
    <w:p>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本项目磋商过程实行全程录音、录像监控，政府采购监管部门视情进行现场监督，供应商在磋商过程中所进行的试图影响磋商结果的不公正活动，可能导致其磋商响应被拒绝。</w:t>
      </w:r>
    </w:p>
    <w:p>
      <w:pPr>
        <w:pStyle w:val="21"/>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八、</w:t>
      </w:r>
      <w:r>
        <w:rPr>
          <w:b/>
          <w:bCs/>
        </w:rPr>
        <w:t>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sz w:val="24"/>
        </w:rPr>
      </w:pPr>
      <w:r>
        <w:rPr>
          <w:rFonts w:hint="eastAsia" w:ascii="宋体"/>
          <w:sz w:val="24"/>
        </w:rPr>
        <w:t>1.</w:t>
      </w:r>
      <w:r>
        <w:rPr>
          <w:rFonts w:hint="eastAsia" w:ascii="宋体"/>
          <w:sz w:val="24"/>
          <w:lang w:val="zh-CN"/>
        </w:rPr>
        <w:t>关于小型、微型企业（简称小微企业）</w:t>
      </w:r>
      <w:r>
        <w:rPr>
          <w:rFonts w:hint="eastAsia" w:ascii="宋体"/>
          <w:sz w:val="24"/>
        </w:rPr>
        <w:t>参与磋商</w:t>
      </w:r>
      <w:r>
        <w:rPr>
          <w:rFonts w:hint="eastAsia" w:ascii="宋体"/>
          <w:sz w:val="24"/>
          <w:lang w:val="zh-CN"/>
        </w:rPr>
        <w:t>：小微企业</w:t>
      </w:r>
      <w:r>
        <w:rPr>
          <w:rFonts w:hint="eastAsia" w:ascii="宋体"/>
          <w:sz w:val="24"/>
        </w:rPr>
        <w:t>参与磋商</w:t>
      </w:r>
      <w:r>
        <w:rPr>
          <w:rFonts w:hint="eastAsia" w:ascii="宋体"/>
          <w:sz w:val="24"/>
          <w:lang w:val="zh-CN"/>
        </w:rPr>
        <w:t>是指符合《中小企业划型标准规定》的</w:t>
      </w:r>
      <w:r>
        <w:rPr>
          <w:rFonts w:hint="eastAsia" w:ascii="宋体"/>
          <w:sz w:val="24"/>
        </w:rPr>
        <w:t>供应商</w:t>
      </w:r>
      <w:r>
        <w:rPr>
          <w:rFonts w:hint="eastAsia" w:ascii="宋体"/>
          <w:sz w:val="24"/>
          <w:lang w:val="zh-CN"/>
        </w:rPr>
        <w:t>，通过</w:t>
      </w:r>
      <w:r>
        <w:rPr>
          <w:rFonts w:hint="eastAsia" w:ascii="宋体"/>
          <w:sz w:val="24"/>
        </w:rPr>
        <w:t>磋商</w:t>
      </w:r>
      <w:r>
        <w:rPr>
          <w:rFonts w:hint="eastAsia" w:ascii="宋体"/>
          <w:sz w:val="24"/>
          <w:lang w:val="zh-CN"/>
        </w:rPr>
        <w:t>提供本企业制造的货物、承担的工程或者服务，或者提供其他小微企业制造的货物。本项所指货物不包括使用大、中型企业注册商标的货物。小微企业应提供《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8</w:t>
      </w:r>
      <w:r>
        <w:rPr>
          <w:rFonts w:hint="eastAsia" w:ascii="宋体"/>
          <w:sz w:val="24"/>
          <w:lang w:val="zh-CN"/>
        </w:rPr>
        <w:t>），</w:t>
      </w:r>
      <w:r>
        <w:rPr>
          <w:rFonts w:hint="eastAsia" w:ascii="宋体"/>
          <w:sz w:val="24"/>
        </w:rPr>
        <w:t>供应商未提供以上资料或者经</w:t>
      </w:r>
      <w:r>
        <w:rPr>
          <w:rFonts w:hint="eastAsia" w:asciiTheme="minorEastAsia" w:hAnsiTheme="minorEastAsia" w:eastAsiaTheme="minorEastAsia" w:cstheme="minorBidi"/>
          <w:sz w:val="24"/>
        </w:rPr>
        <w:t>磋商小组</w:t>
      </w:r>
      <w:r>
        <w:rPr>
          <w:rFonts w:hint="eastAsia" w:ascii="宋体"/>
          <w:sz w:val="24"/>
          <w:lang w:val="zh-CN"/>
        </w:rPr>
        <w:t>核查不符的</w:t>
      </w:r>
      <w:r>
        <w:rPr>
          <w:rFonts w:hint="eastAsia" w:ascii="宋体"/>
          <w:sz w:val="24"/>
        </w:rPr>
        <w:t>，将不能享受相应的小微企业优惠政策。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color w:val="FF0000"/>
          <w:sz w:val="24"/>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8</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九、评审</w:t>
      </w:r>
      <w:r>
        <w:rPr>
          <w:rFonts w:asciiTheme="minorEastAsia" w:hAnsiTheme="minorEastAsia" w:eastAsiaTheme="minorEastAsia"/>
          <w:b/>
          <w:bCs/>
          <w:sz w:val="24"/>
        </w:rPr>
        <w:t>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9"/>
        <w:spacing w:line="360" w:lineRule="auto"/>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sz w:val="24"/>
        </w:rPr>
        <w:t>响应文件解密后</w:t>
      </w:r>
      <w:r>
        <w:rPr>
          <w:rFonts w:asciiTheme="minorEastAsia" w:hAnsiTheme="minorEastAsia" w:eastAsiaTheme="minorEastAsia"/>
          <w:sz w:val="24"/>
        </w:rPr>
        <w:t>，采购人</w:t>
      </w:r>
      <w:r>
        <w:rPr>
          <w:rFonts w:hint="eastAsia" w:asciiTheme="minorEastAsia" w:hAnsiTheme="minorEastAsia" w:eastAsiaTheme="minorEastAsia"/>
          <w:sz w:val="24"/>
        </w:rPr>
        <w:t>或</w:t>
      </w:r>
      <w:r>
        <w:rPr>
          <w:rFonts w:asciiTheme="minorEastAsia" w:hAnsiTheme="minorEastAsia" w:eastAsiaTheme="minorEastAsia"/>
          <w:sz w:val="24"/>
        </w:rPr>
        <w:t>采购组织机构依法对</w:t>
      </w:r>
      <w:r>
        <w:rPr>
          <w:rFonts w:hint="eastAsia" w:asciiTheme="minorEastAsia" w:hAnsiTheme="minorEastAsia" w:eastAsiaTheme="minorEastAsia"/>
          <w:sz w:val="24"/>
        </w:rPr>
        <w:t>供应商</w:t>
      </w:r>
      <w:r>
        <w:rPr>
          <w:rFonts w:asciiTheme="minorEastAsia" w:hAnsiTheme="minorEastAsia" w:eastAsiaTheme="minorEastAsia"/>
          <w:sz w:val="24"/>
        </w:rPr>
        <w:t>的资格进行审查，对审查发现无效的进行必要的</w:t>
      </w:r>
      <w:r>
        <w:rPr>
          <w:rFonts w:asciiTheme="minorEastAsia" w:hAnsiTheme="minorEastAsia" w:eastAsiaTheme="minorEastAsia"/>
          <w:color w:val="000000" w:themeColor="text1"/>
          <w:sz w:val="24"/>
          <w14:textFill>
            <w14:solidFill>
              <w14:schemeClr w14:val="tx1"/>
            </w14:solidFill>
          </w14:textFill>
        </w:rPr>
        <w:t>询</w:t>
      </w:r>
      <w:r>
        <w:rPr>
          <w:rFonts w:hint="eastAsia" w:asciiTheme="minorEastAsia" w:hAnsiTheme="minorEastAsia" w:eastAsiaTheme="minorEastAsia"/>
          <w:color w:val="000000" w:themeColor="text1"/>
          <w:sz w:val="24"/>
          <w14:textFill>
            <w14:solidFill>
              <w14:schemeClr w14:val="tx1"/>
            </w14:solidFill>
          </w14:textFill>
        </w:rPr>
        <w:t>问</w:t>
      </w:r>
      <w:r>
        <w:rPr>
          <w:rFonts w:asciiTheme="minorEastAsia" w:hAnsiTheme="minorEastAsia" w:eastAsiaTheme="minorEastAsia"/>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在政采云平台公布</w:t>
      </w:r>
      <w:r>
        <w:rPr>
          <w:rFonts w:asciiTheme="minorEastAsia" w:hAnsiTheme="minorEastAsia" w:eastAsiaTheme="minorEastAsia"/>
          <w:color w:val="000000" w:themeColor="text1"/>
          <w:sz w:val="24"/>
          <w14:textFill>
            <w14:solidFill>
              <w14:schemeClr w14:val="tx1"/>
            </w14:solidFill>
          </w14:textFill>
        </w:rPr>
        <w:t>无效</w:t>
      </w:r>
      <w:r>
        <w:rPr>
          <w:rFonts w:hint="eastAsia" w:asciiTheme="minorEastAsia" w:hAnsiTheme="minorEastAsia" w:eastAsiaTheme="minorEastAsia"/>
          <w:color w:val="000000" w:themeColor="text1"/>
          <w:sz w:val="24"/>
          <w14:textFill>
            <w14:solidFill>
              <w14:schemeClr w14:val="tx1"/>
            </w14:solidFill>
          </w14:textFill>
        </w:rPr>
        <w:t>响应</w:t>
      </w:r>
      <w:r>
        <w:rPr>
          <w:rFonts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color w:val="000000" w:themeColor="text1"/>
          <w:sz w:val="24"/>
          <w14:textFill>
            <w14:solidFill>
              <w14:schemeClr w14:val="tx1"/>
            </w14:solidFill>
          </w14:textFill>
        </w:rPr>
        <w:t>供应商</w:t>
      </w:r>
      <w:r>
        <w:rPr>
          <w:rFonts w:asciiTheme="minorEastAsia" w:hAnsiTheme="minorEastAsia" w:eastAsiaTheme="minorEastAsia"/>
          <w:color w:val="000000" w:themeColor="text1"/>
          <w:sz w:val="24"/>
          <w14:textFill>
            <w14:solidFill>
              <w14:schemeClr w14:val="tx1"/>
            </w14:solidFill>
          </w14:textFill>
        </w:rPr>
        <w:t>名单、</w:t>
      </w:r>
      <w:r>
        <w:rPr>
          <w:rFonts w:hint="eastAsia" w:asciiTheme="minorEastAsia" w:hAnsiTheme="minorEastAsia" w:eastAsiaTheme="minorEastAsia"/>
          <w:color w:val="000000" w:themeColor="text1"/>
          <w:sz w:val="24"/>
          <w14:textFill>
            <w14:solidFill>
              <w14:schemeClr w14:val="tx1"/>
            </w14:solidFill>
          </w14:textFill>
        </w:rPr>
        <w:t>响应</w:t>
      </w:r>
      <w:r>
        <w:rPr>
          <w:rFonts w:asciiTheme="minorEastAsia" w:hAnsiTheme="minorEastAsia" w:eastAsiaTheme="minorEastAsia"/>
          <w:color w:val="000000" w:themeColor="text1"/>
          <w:sz w:val="24"/>
          <w14:textFill>
            <w14:solidFill>
              <w14:schemeClr w14:val="tx1"/>
            </w14:solidFill>
          </w14:textFill>
        </w:rPr>
        <w:t>无效的原因。</w:t>
      </w:r>
    </w:p>
    <w:tbl>
      <w:tblPr>
        <w:tblStyle w:val="24"/>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w:t>
            </w:r>
            <w:r>
              <w:rPr>
                <w:rFonts w:hint="eastAsia" w:ascii="宋体" w:hAnsi="宋体" w:cs="宋体"/>
                <w:color w:val="000000" w:themeColor="text1"/>
                <w:sz w:val="21"/>
                <w:szCs w:val="21"/>
                <w:lang w:val="en-US" w:eastAsia="zh-CN"/>
                <w14:textFill>
                  <w14:solidFill>
                    <w14:schemeClr w14:val="tx1"/>
                  </w14:solidFill>
                </w14:textFill>
              </w:rPr>
              <w:t>磋商响应</w:t>
            </w:r>
            <w:r>
              <w:rPr>
                <w:rFonts w:hint="eastAsia" w:ascii="宋体" w:hAnsi="宋体" w:eastAsia="宋体" w:cs="宋体"/>
                <w:color w:val="000000" w:themeColor="text1"/>
                <w:sz w:val="21"/>
                <w:szCs w:val="21"/>
                <w14:textFill>
                  <w14:solidFill>
                    <w14:schemeClr w14:val="tx1"/>
                  </w14:solidFill>
                </w14:textFill>
              </w:rPr>
              <w:t>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w:t>
            </w:r>
            <w:r>
              <w:rPr>
                <w:rFonts w:hint="eastAsia" w:ascii="宋体" w:hAnsi="宋体" w:cs="宋体"/>
                <w:color w:val="000000" w:themeColor="text1"/>
                <w:sz w:val="21"/>
                <w:szCs w:val="21"/>
                <w:lang w:val="en-US" w:eastAsia="zh-CN"/>
                <w14:textFill>
                  <w14:solidFill>
                    <w14:schemeClr w14:val="tx1"/>
                  </w14:solidFill>
                </w14:textFill>
              </w:rPr>
              <w:t>磋商</w:t>
            </w:r>
            <w:r>
              <w:rPr>
                <w:rFonts w:hint="eastAsia" w:ascii="宋体" w:hAnsi="宋体" w:eastAsia="宋体" w:cs="宋体"/>
                <w:color w:val="000000" w:themeColor="text1"/>
                <w:sz w:val="21"/>
                <w:szCs w:val="21"/>
                <w14:textFill>
                  <w14:solidFill>
                    <w14:schemeClr w14:val="tx1"/>
                  </w14:solidFill>
                </w14:textFill>
              </w:rPr>
              <w:t>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w:t>
            </w:r>
            <w:r>
              <w:rPr>
                <w:rFonts w:hint="eastAsia" w:ascii="宋体" w:hAnsi="宋体" w:cs="宋体"/>
                <w:color w:val="000000" w:themeColor="text1"/>
                <w:sz w:val="21"/>
                <w:szCs w:val="21"/>
                <w:lang w:val="en-US" w:eastAsia="zh-CN"/>
                <w14:textFill>
                  <w14:solidFill>
                    <w14:schemeClr w14:val="tx1"/>
                  </w14:solidFill>
                </w14:textFill>
              </w:rPr>
              <w:t>响应</w:t>
            </w:r>
            <w:r>
              <w:rPr>
                <w:rFonts w:hint="eastAsia" w:ascii="宋体" w:hAnsi="宋体" w:eastAsia="宋体" w:cs="宋体"/>
                <w:color w:val="000000" w:themeColor="text1"/>
                <w:sz w:val="21"/>
                <w:szCs w:val="21"/>
                <w14:textFill>
                  <w14:solidFill>
                    <w14:schemeClr w14:val="tx1"/>
                  </w14:solidFill>
                </w14:textFill>
              </w:rPr>
              <w:t>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基本情况表》和附件</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磋商</w:t>
            </w:r>
            <w:r>
              <w:rPr>
                <w:rFonts w:hint="eastAsia" w:ascii="宋体" w:hAnsi="宋体" w:eastAsia="宋体" w:cs="宋体"/>
                <w:color w:val="000000" w:themeColor="text1"/>
                <w:sz w:val="21"/>
                <w:szCs w:val="21"/>
                <w14:textFill>
                  <w14:solidFill>
                    <w14:schemeClr w14:val="tx1"/>
                  </w14:solidFill>
                </w14:textFill>
              </w:rPr>
              <w:t>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Times New Roman" w:hAnsi="Times New Roman" w:cs="Times New Roman"/>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本项目专门面向中小企业采购（提供《中小企业声明函》）</w:t>
            </w:r>
          </w:p>
          <w:p>
            <w:pPr>
              <w:pStyle w:val="2"/>
              <w:rPr>
                <w:rFonts w:hint="eastAsia"/>
                <w:lang w:eastAsia="zh-CN"/>
              </w:rPr>
            </w:pPr>
            <w:r>
              <w:rPr>
                <w:rFonts w:hint="eastAsia" w:cs="Times New Roman"/>
                <w:color w:val="000000" w:themeColor="text1"/>
                <w:lang w:val="en-US" w:eastAsia="zh-CN"/>
                <w14:textFill>
                  <w14:solidFill>
                    <w14:schemeClr w14:val="tx1"/>
                  </w14:solidFill>
                </w14:textFill>
              </w:rPr>
              <w:t>2.本项目投标供应商需提供《保安服务许可证》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w:t>
            </w:r>
            <w:r>
              <w:rPr>
                <w:rFonts w:hint="eastAsia" w:ascii="宋体" w:hAnsi="宋体" w:cs="宋体"/>
                <w:color w:val="000000" w:themeColor="text1"/>
                <w:sz w:val="21"/>
                <w:szCs w:val="21"/>
                <w:highlight w:val="none"/>
                <w:lang w:val="en-US" w:eastAsia="zh-CN"/>
                <w14:textFill>
                  <w14:solidFill>
                    <w14:schemeClr w14:val="tx1"/>
                  </w14:solidFill>
                </w14:textFill>
              </w:rPr>
              <w:t>磋商开始时间</w:t>
            </w:r>
            <w:r>
              <w:rPr>
                <w:rFonts w:hint="eastAsia" w:ascii="宋体" w:hAnsi="宋体" w:eastAsia="宋体" w:cs="宋体"/>
                <w:color w:val="000000" w:themeColor="text1"/>
                <w:sz w:val="21"/>
                <w:szCs w:val="21"/>
                <w14:textFill>
                  <w14:solidFill>
                    <w14:schemeClr w14:val="tx1"/>
                  </w14:solidFill>
                </w14:textFill>
              </w:rPr>
              <w:t>后</w:t>
            </w:r>
            <w:r>
              <w:rPr>
                <w:rFonts w:hint="eastAsia" w:ascii="宋体" w:hAnsi="宋体" w:cs="宋体"/>
                <w:color w:val="000000" w:themeColor="text1"/>
                <w:sz w:val="21"/>
                <w:szCs w:val="21"/>
                <w:lang w:val="en-US" w:eastAsia="zh-CN"/>
                <w14:textFill>
                  <w14:solidFill>
                    <w14:schemeClr w14:val="tx1"/>
                  </w14:solidFill>
                </w14:textFill>
              </w:rPr>
              <w:t>评审</w:t>
            </w:r>
            <w:r>
              <w:rPr>
                <w:rFonts w:hint="eastAsia" w:ascii="宋体" w:hAnsi="宋体" w:eastAsia="宋体" w:cs="宋体"/>
                <w:color w:val="000000" w:themeColor="text1"/>
                <w:sz w:val="21"/>
                <w:szCs w:val="21"/>
                <w14:textFill>
                  <w14:solidFill>
                    <w14:schemeClr w14:val="tx1"/>
                  </w14:solidFill>
                </w14:textFill>
              </w:rPr>
              <w:t>前。</w:t>
            </w:r>
          </w:p>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3.使用规则：</w:t>
            </w: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1.单位负责人为同一人或者存在直接控股、管理关系的不同供应商，不得同时参加本项目的采购活动。</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2.为本项目提供整体设计、规范编制或者项目管理、监理、检测等服务的供应商，不得再参与本项目的采购活动。</w:t>
            </w:r>
          </w:p>
          <w:p>
            <w:pPr>
              <w:ind w:firstLine="420" w:firstLineChars="200"/>
              <w:rPr>
                <w:rFonts w:hint="eastAsia" w:ascii="Times New Roman" w:hAnsi="Times New Roman" w:eastAsia="宋体" w:cs="Times New Roman"/>
                <w:kern w:val="2"/>
                <w:sz w:val="21"/>
                <w:szCs w:val="24"/>
                <w:lang w:val="en-US" w:eastAsia="zh-CN" w:bidi="ar-SA"/>
              </w:rPr>
            </w:pPr>
            <w:r>
              <w:rPr>
                <w:rFonts w:hint="eastAsia" w:ascii="宋体" w:hAnsi="宋体" w:eastAsia="宋体" w:cs="宋体"/>
                <w:color w:val="000000" w:themeColor="text1"/>
                <w:sz w:val="21"/>
                <w:szCs w:val="21"/>
                <w14:textFill>
                  <w14:solidFill>
                    <w14:schemeClr w14:val="tx1"/>
                  </w14:solidFill>
                </w14:textFill>
              </w:rPr>
              <w:t>（以上两项须提供相关承诺函）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w:t>
            </w:r>
            <w:r>
              <w:rPr>
                <w:rFonts w:hint="eastAsia" w:ascii="宋体" w:hAnsi="宋体" w:cs="宋体"/>
                <w:color w:val="000000" w:themeColor="text1"/>
                <w:sz w:val="21"/>
                <w:szCs w:val="21"/>
                <w:highlight w:val="none"/>
                <w:lang w:val="en-US" w:eastAsia="zh-CN"/>
                <w14:textFill>
                  <w14:solidFill>
                    <w14:schemeClr w14:val="tx1"/>
                  </w14:solidFill>
                </w14:textFill>
              </w:rPr>
              <w:t>参与磋商的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w:t>
            </w:r>
            <w:r>
              <w:rPr>
                <w:rFonts w:hint="eastAsia" w:ascii="宋体" w:hAnsi="宋体" w:cs="宋体"/>
                <w:color w:val="000000" w:themeColor="text1"/>
                <w:sz w:val="21"/>
                <w:szCs w:val="21"/>
                <w:highlight w:val="none"/>
                <w:lang w:val="en-US" w:eastAsia="zh-CN"/>
                <w14:textFill>
                  <w14:solidFill>
                    <w14:schemeClr w14:val="tx1"/>
                  </w14:solidFill>
                </w14:textFill>
              </w:rPr>
              <w:t>磋商</w:t>
            </w:r>
            <w:r>
              <w:rPr>
                <w:rFonts w:hint="eastAsia" w:ascii="宋体" w:hAnsi="宋体" w:eastAsia="宋体" w:cs="宋体"/>
                <w:color w:val="000000" w:themeColor="text1"/>
                <w:sz w:val="21"/>
                <w:szCs w:val="21"/>
                <w:highlight w:val="none"/>
                <w:lang w:eastAsia="zh-CN"/>
                <w14:textFill>
                  <w14:solidFill>
                    <w14:schemeClr w14:val="tx1"/>
                  </w14:solidFill>
                </w14:textFill>
              </w:rPr>
              <w:t>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w:t>
            </w:r>
            <w:r>
              <w:rPr>
                <w:rFonts w:hint="eastAsia" w:ascii="宋体" w:hAnsi="宋体" w:cs="宋体"/>
                <w:color w:val="000000" w:themeColor="text1"/>
                <w:sz w:val="21"/>
                <w:szCs w:val="21"/>
                <w:highlight w:val="none"/>
                <w:lang w:val="en-US" w:eastAsia="zh-CN"/>
                <w14:textFill>
                  <w14:solidFill>
                    <w14:schemeClr w14:val="tx1"/>
                  </w14:solidFill>
                </w14:textFill>
              </w:rPr>
              <w:t>参与磋商的</w:t>
            </w:r>
            <w:r>
              <w:rPr>
                <w:rFonts w:hint="eastAsia" w:ascii="宋体" w:hAnsi="宋体" w:eastAsia="宋体" w:cs="宋体"/>
                <w:color w:val="000000" w:themeColor="text1"/>
                <w:sz w:val="21"/>
                <w:szCs w:val="21"/>
                <w:highlight w:val="none"/>
                <w14:textFill>
                  <w14:solidFill>
                    <w14:schemeClr w14:val="tx1"/>
                  </w14:solidFill>
                </w14:textFill>
              </w:rPr>
              <w:t>，联合体各方均须满足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pacing w:val="0"/>
                <w:w w:val="10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rFonts w:hint="eastAsia" w:ascii="宋体" w:hAnsi="宋体" w:eastAsia="宋体" w:cs="宋体"/>
                <w:color w:val="000000" w:themeColor="text1"/>
                <w:sz w:val="21"/>
                <w:szCs w:val="21"/>
                <w14:textFill>
                  <w14:solidFill>
                    <w14:schemeClr w14:val="tx1"/>
                  </w14:solidFill>
                </w14:textFill>
              </w:rPr>
            </w:pP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根据实际情形设置。</w:t>
            </w:r>
          </w:p>
          <w:p>
            <w:pPr>
              <w:rPr>
                <w:rFonts w:hint="eastAsia" w:ascii="宋体" w:hAnsi="宋体" w:eastAsia="宋体" w:cs="宋体"/>
                <w:color w:val="000000" w:themeColor="text1"/>
                <w:spacing w:val="0"/>
                <w:w w:val="100"/>
                <w:sz w:val="21"/>
                <w:szCs w:val="21"/>
                <w14:textFill>
                  <w14:solidFill>
                    <w14:schemeClr w14:val="tx1"/>
                  </w14:solidFill>
                </w14:textFill>
              </w:rPr>
            </w:pPr>
          </w:p>
        </w:tc>
      </w:tr>
    </w:tbl>
    <w:p>
      <w:pPr>
        <w:pStyle w:val="9"/>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（二）符合性审查</w:t>
      </w:r>
    </w:p>
    <w:p>
      <w:pPr>
        <w:pStyle w:val="9"/>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cstheme="minorBidi"/>
          <w:sz w:val="24"/>
        </w:rPr>
        <w:t>磋商小组</w:t>
      </w:r>
      <w:r>
        <w:rPr>
          <w:rFonts w:asciiTheme="minorEastAsia" w:hAnsiTheme="minorEastAsia" w:eastAsiaTheme="minorEastAsia"/>
          <w:sz w:val="24"/>
        </w:rPr>
        <w:t>应当对符合资格的</w:t>
      </w:r>
      <w:r>
        <w:rPr>
          <w:rFonts w:hint="eastAsia" w:asciiTheme="minorEastAsia" w:hAnsiTheme="minorEastAsia" w:eastAsiaTheme="minorEastAsia"/>
          <w:sz w:val="24"/>
        </w:rPr>
        <w:t>供应商</w:t>
      </w:r>
      <w:r>
        <w:rPr>
          <w:rFonts w:asciiTheme="minorEastAsia" w:hAnsiTheme="minorEastAsia" w:eastAsiaTheme="minorEastAsia"/>
          <w:sz w:val="24"/>
        </w:rPr>
        <w:t>的</w:t>
      </w:r>
      <w:r>
        <w:rPr>
          <w:rFonts w:hint="eastAsia" w:asciiTheme="minorEastAsia" w:hAnsiTheme="minorEastAsia" w:eastAsiaTheme="minorEastAsia"/>
          <w:sz w:val="24"/>
        </w:rPr>
        <w:t>磋商响应</w:t>
      </w:r>
      <w:r>
        <w:rPr>
          <w:rFonts w:asciiTheme="minorEastAsia" w:hAnsiTheme="minorEastAsia" w:eastAsiaTheme="minorEastAsia"/>
          <w:sz w:val="24"/>
        </w:rPr>
        <w:t>文件进行符合性审查，以确定其是否满足</w:t>
      </w:r>
      <w:r>
        <w:rPr>
          <w:rFonts w:hint="eastAsia" w:asciiTheme="minorEastAsia" w:hAnsiTheme="minorEastAsia" w:eastAsiaTheme="minorEastAsia"/>
          <w:sz w:val="24"/>
        </w:rPr>
        <w:t>磋商</w:t>
      </w:r>
      <w:r>
        <w:rPr>
          <w:rFonts w:asciiTheme="minorEastAsia" w:hAnsiTheme="minorEastAsia" w:eastAsiaTheme="minorEastAsia"/>
          <w:sz w:val="24"/>
        </w:rPr>
        <w:t>文件的实质性要求，对审查发现无效的进行必要</w:t>
      </w:r>
      <w:r>
        <w:rPr>
          <w:rFonts w:asciiTheme="minorEastAsia" w:hAnsiTheme="minorEastAsia" w:eastAsiaTheme="minorEastAsia"/>
          <w:color w:val="000000" w:themeColor="text1"/>
          <w:sz w:val="24"/>
          <w14:textFill>
            <w14:solidFill>
              <w14:schemeClr w14:val="tx1"/>
            </w14:solidFill>
          </w14:textFill>
        </w:rPr>
        <w:t>的询</w:t>
      </w:r>
      <w:r>
        <w:rPr>
          <w:rFonts w:hint="eastAsia" w:asciiTheme="minorEastAsia" w:hAnsiTheme="minorEastAsia" w:eastAsiaTheme="minorEastAsia"/>
          <w:color w:val="000000" w:themeColor="text1"/>
          <w:sz w:val="24"/>
          <w14:textFill>
            <w14:solidFill>
              <w14:schemeClr w14:val="tx1"/>
            </w14:solidFill>
          </w14:textFill>
        </w:rPr>
        <w:t>问</w:t>
      </w:r>
      <w:r>
        <w:rPr>
          <w:rFonts w:asciiTheme="minorEastAsia" w:hAnsiTheme="minorEastAsia" w:eastAsiaTheme="minorEastAsia"/>
          <w:sz w:val="24"/>
        </w:rPr>
        <w:t>，</w:t>
      </w:r>
      <w:r>
        <w:rPr>
          <w:rFonts w:hint="eastAsia"/>
          <w:sz w:val="24"/>
        </w:rPr>
        <w:t>对</w:t>
      </w:r>
      <w:r>
        <w:rPr>
          <w:rFonts w:asciiTheme="minorEastAsia" w:hAnsiTheme="minorEastAsia" w:eastAsiaTheme="minorEastAsia"/>
          <w:sz w:val="24"/>
        </w:rPr>
        <w:t>无效</w:t>
      </w:r>
      <w:r>
        <w:rPr>
          <w:rFonts w:hint="eastAsia" w:asciiTheme="minorEastAsia" w:hAnsiTheme="minorEastAsia" w:eastAsiaTheme="minorEastAsia"/>
          <w:sz w:val="24"/>
        </w:rPr>
        <w:t>响应</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名单</w:t>
      </w:r>
      <w:r>
        <w:rPr>
          <w:rFonts w:hint="eastAsia" w:asciiTheme="minorEastAsia" w:hAnsiTheme="minorEastAsia" w:eastAsiaTheme="minorEastAsia"/>
          <w:sz w:val="24"/>
        </w:rPr>
        <w:t>及响应</w:t>
      </w:r>
      <w:r>
        <w:rPr>
          <w:rFonts w:asciiTheme="minorEastAsia" w:hAnsiTheme="minorEastAsia" w:eastAsiaTheme="minorEastAsia"/>
          <w:sz w:val="24"/>
        </w:rPr>
        <w:t>无效原因</w:t>
      </w:r>
      <w:r>
        <w:rPr>
          <w:rFonts w:hint="eastAsia" w:asciiTheme="minorEastAsia" w:hAnsiTheme="minorEastAsia" w:eastAsiaTheme="minorEastAsia"/>
          <w:sz w:val="24"/>
        </w:rPr>
        <w:t>的公布方式同上。</w:t>
      </w:r>
    </w:p>
    <w:tbl>
      <w:tblPr>
        <w:tblStyle w:val="24"/>
        <w:tblpPr w:leftFromText="181" w:rightFromText="181" w:bottomFromText="170" w:vertAnchor="text" w:tblpXSpec="center" w:tblpY="1"/>
        <w:tblOverlap w:val="never"/>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F6F6F6"/>
            <w:tcMar>
              <w:top w:w="57" w:type="dxa"/>
              <w:left w:w="108" w:type="dxa"/>
              <w:bottom w:w="0" w:type="dxa"/>
              <w:right w:w="108" w:type="dxa"/>
            </w:tcMar>
            <w:vAlign w:val="center"/>
          </w:tcPr>
          <w:p>
            <w:pPr>
              <w:pStyle w:val="50"/>
              <w:ind w:right="14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法定代表人/负责人授权委托书</w:t>
            </w:r>
          </w:p>
        </w:tc>
        <w:tc>
          <w:tcPr>
            <w:tcW w:w="7340" w:type="dxa"/>
            <w:shd w:val="clear" w:color="auto" w:fill="F6F6F6"/>
            <w:tcMar>
              <w:top w:w="57" w:type="dxa"/>
              <w:left w:w="108" w:type="dxa"/>
              <w:bottom w:w="0" w:type="dxa"/>
              <w:right w:w="108" w:type="dxa"/>
            </w:tcMar>
            <w:vAlign w:val="center"/>
          </w:tcPr>
          <w:p>
            <w:pPr>
              <w:pStyle w:val="50"/>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tcMar>
              <w:top w:w="57" w:type="dxa"/>
              <w:left w:w="108" w:type="dxa"/>
              <w:bottom w:w="0" w:type="dxa"/>
              <w:right w:w="108" w:type="dxa"/>
            </w:tcMar>
            <w:vAlign w:val="center"/>
          </w:tcPr>
          <w:p>
            <w:pPr>
              <w:pStyle w:val="50"/>
              <w:ind w:right="146"/>
              <w:jc w:val="center"/>
              <w:rPr>
                <w:szCs w:val="21"/>
              </w:rPr>
            </w:pPr>
            <w:r>
              <w:rPr>
                <w:rFonts w:hint="eastAsia"/>
                <w:szCs w:val="21"/>
              </w:rPr>
              <w:t>“▲”实质性条款</w:t>
            </w:r>
          </w:p>
        </w:tc>
        <w:tc>
          <w:tcPr>
            <w:tcW w:w="7340" w:type="dxa"/>
            <w:tcMar>
              <w:top w:w="57" w:type="dxa"/>
              <w:left w:w="108" w:type="dxa"/>
              <w:bottom w:w="0" w:type="dxa"/>
              <w:right w:w="108" w:type="dxa"/>
            </w:tcMar>
            <w:vAlign w:val="center"/>
          </w:tcPr>
          <w:p>
            <w:pPr>
              <w:pStyle w:val="50"/>
              <w:ind w:firstLine="420" w:firstLineChars="200"/>
              <w:rPr>
                <w:szCs w:val="21"/>
              </w:rPr>
            </w:pPr>
            <w:r>
              <w:rPr>
                <w:rFonts w:hint="eastAsia"/>
                <w:szCs w:val="21"/>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tcMar>
              <w:top w:w="57" w:type="dxa"/>
              <w:left w:w="108" w:type="dxa"/>
              <w:bottom w:w="0" w:type="dxa"/>
              <w:right w:w="108" w:type="dxa"/>
            </w:tcMar>
            <w:vAlign w:val="center"/>
          </w:tcPr>
          <w:p>
            <w:pPr>
              <w:pStyle w:val="50"/>
              <w:ind w:right="146"/>
              <w:jc w:val="center"/>
              <w:rPr>
                <w:szCs w:val="21"/>
              </w:rPr>
            </w:pPr>
            <w:r>
              <w:rPr>
                <w:rFonts w:hint="eastAsia"/>
                <w:szCs w:val="21"/>
                <w:lang w:val="en-US" w:eastAsia="zh-CN"/>
              </w:rPr>
              <w:t>其他</w:t>
            </w:r>
            <w:r>
              <w:rPr>
                <w:rFonts w:hint="eastAsia"/>
                <w:szCs w:val="21"/>
              </w:rPr>
              <w:t>条件</w:t>
            </w:r>
          </w:p>
        </w:tc>
        <w:tc>
          <w:tcPr>
            <w:tcW w:w="7340" w:type="dxa"/>
            <w:tcMar>
              <w:top w:w="57" w:type="dxa"/>
              <w:left w:w="108" w:type="dxa"/>
              <w:bottom w:w="0" w:type="dxa"/>
              <w:right w:w="108" w:type="dxa"/>
            </w:tcMar>
            <w:vAlign w:val="center"/>
          </w:tcPr>
          <w:p>
            <w:pPr>
              <w:pStyle w:val="50"/>
              <w:ind w:firstLine="420" w:firstLineChars="200"/>
              <w:rPr>
                <w:rFonts w:hint="default" w:eastAsiaTheme="minorEastAsia"/>
                <w:szCs w:val="21"/>
                <w:lang w:val="en-US" w:eastAsia="zh-CN"/>
              </w:rPr>
            </w:pPr>
            <w:r>
              <w:rPr>
                <w:rFonts w:hint="eastAsia"/>
                <w:szCs w:val="21"/>
              </w:rPr>
              <w:t>响应文件未含有无效响应情形</w:t>
            </w:r>
            <w:r>
              <w:rPr>
                <w:rFonts w:hint="eastAsia"/>
                <w:szCs w:val="21"/>
                <w:lang w:val="en-US" w:eastAsia="zh-CN"/>
              </w:rPr>
              <w:t>中对应的其他情形。</w:t>
            </w:r>
          </w:p>
        </w:tc>
      </w:tr>
    </w:tbl>
    <w:p>
      <w:pPr>
        <w:autoSpaceDE w:val="0"/>
        <w:autoSpaceDN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（三）</w:t>
      </w:r>
      <w:r>
        <w:rPr>
          <w:rFonts w:hint="eastAsia" w:asciiTheme="minorEastAsia" w:hAnsiTheme="minorEastAsia" w:eastAsiaTheme="minorEastAsia"/>
          <w:b/>
          <w:bCs/>
          <w:sz w:val="24"/>
        </w:rPr>
        <w:t>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Theme="minorEastAsia" w:hAnsiTheme="minorEastAsia" w:eastAsiaTheme="minorEastAsia"/>
          <w:kern w:val="0"/>
          <w:sz w:val="24"/>
        </w:rPr>
        <w:t>标项项目评审方法为综合评分法，总计100分，评</w:t>
      </w:r>
      <w:r>
        <w:rPr>
          <w:rFonts w:hint="eastAsia" w:asciiTheme="minorEastAsia" w:hAnsiTheme="minorEastAsia" w:eastAsiaTheme="minorEastAsia"/>
          <w:sz w:val="24"/>
        </w:rPr>
        <w:t>审</w:t>
      </w:r>
      <w:r>
        <w:rPr>
          <w:rFonts w:hint="eastAsia" w:asciiTheme="minorEastAsia" w:hAnsiTheme="minorEastAsia" w:eastAsiaTheme="minorEastAsia"/>
          <w:kern w:val="0"/>
          <w:sz w:val="24"/>
        </w:rPr>
        <w:t>按以下标准及要求进行：</w:t>
      </w:r>
    </w:p>
    <w:p>
      <w:pPr>
        <w:numPr>
          <w:ilvl w:val="0"/>
          <w:numId w:val="11"/>
        </w:numPr>
        <w:autoSpaceDE w:val="0"/>
        <w:autoSpaceDN w:val="0"/>
        <w:adjustRightInd w:val="0"/>
        <w:spacing w:line="360" w:lineRule="auto"/>
        <w:ind w:right="85" w:firstLine="482" w:firstLineChars="200"/>
        <w:rPr>
          <w:rFonts w:hint="eastAsia" w:ascii="宋体"/>
          <w:b/>
          <w:bCs/>
          <w:sz w:val="24"/>
        </w:rPr>
      </w:pPr>
      <w:r>
        <w:rPr>
          <w:rFonts w:hint="eastAsia" w:ascii="宋体"/>
          <w:b/>
          <w:bCs/>
          <w:sz w:val="24"/>
        </w:rPr>
        <w:t>评分标准</w:t>
      </w:r>
    </w:p>
    <w:tbl>
      <w:tblPr>
        <w:tblStyle w:val="24"/>
        <w:tblW w:w="9946" w:type="dxa"/>
        <w:tblInd w:w="-171" w:type="dxa"/>
        <w:tblLayout w:type="fixed"/>
        <w:tblCellMar>
          <w:top w:w="0" w:type="dxa"/>
          <w:left w:w="108" w:type="dxa"/>
          <w:bottom w:w="0" w:type="dxa"/>
          <w:right w:w="108" w:type="dxa"/>
        </w:tblCellMar>
      </w:tblPr>
      <w:tblGrid>
        <w:gridCol w:w="740"/>
        <w:gridCol w:w="667"/>
        <w:gridCol w:w="7856"/>
        <w:gridCol w:w="683"/>
      </w:tblGrid>
      <w:tr>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24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评分</w:t>
            </w:r>
            <w:r>
              <w:rPr>
                <w:rFonts w:hint="eastAsia"/>
                <w:b/>
                <w:bCs/>
                <w:color w:val="000000" w:themeColor="text1"/>
                <w:sz w:val="24"/>
                <w:szCs w:val="24"/>
                <w14:textFill>
                  <w14:solidFill>
                    <w14:schemeClr w14:val="tx1"/>
                  </w14:solidFill>
                </w14:textFill>
              </w:rPr>
              <w:t>项目</w:t>
            </w:r>
          </w:p>
        </w:tc>
        <w:tc>
          <w:tcPr>
            <w:tcW w:w="8523" w:type="dxa"/>
            <w:gridSpan w:val="2"/>
            <w:tcBorders>
              <w:top w:val="single" w:color="auto" w:sz="4" w:space="0"/>
              <w:left w:val="nil"/>
              <w:bottom w:val="single" w:color="auto" w:sz="4" w:space="0"/>
              <w:right w:val="single" w:color="auto" w:sz="4" w:space="0"/>
            </w:tcBorders>
            <w:shd w:val="clear" w:color="auto" w:fill="BEBEBE" w:themeFill="background1" w:themeFillShade="BF"/>
            <w:vAlign w:val="center"/>
          </w:tcPr>
          <w:p>
            <w:pPr>
              <w:spacing w:line="24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评分</w:t>
            </w:r>
            <w:r>
              <w:rPr>
                <w:rFonts w:hint="eastAsia"/>
                <w:b/>
                <w:bCs/>
                <w:color w:val="000000" w:themeColor="text1"/>
                <w:sz w:val="24"/>
                <w:szCs w:val="24"/>
                <w14:textFill>
                  <w14:solidFill>
                    <w14:schemeClr w14:val="tx1"/>
                  </w14:solidFill>
                </w14:textFill>
              </w:rPr>
              <w:t>细则</w:t>
            </w:r>
          </w:p>
        </w:tc>
        <w:tc>
          <w:tcPr>
            <w:tcW w:w="68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spacing w:line="24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分值</w:t>
            </w:r>
          </w:p>
        </w:tc>
      </w:tr>
      <w:tr>
        <w:tblPrEx>
          <w:tblCellMar>
            <w:top w:w="0" w:type="dxa"/>
            <w:left w:w="108" w:type="dxa"/>
            <w:bottom w:w="0" w:type="dxa"/>
            <w:right w:w="108" w:type="dxa"/>
          </w:tblCellMar>
        </w:tblPrEx>
        <w:trPr>
          <w:trHeight w:val="1838"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spacing w:line="240" w:lineRule="auto"/>
              <w:jc w:val="center"/>
              <w:rPr>
                <w:rFonts w:hint="eastAsia"/>
                <w:b/>
                <w:bCs/>
                <w:color w:val="000000" w:themeColor="text1"/>
                <w:sz w:val="24"/>
                <w:szCs w:val="24"/>
                <w14:textFill>
                  <w14:solidFill>
                    <w14:schemeClr w14:val="tx1"/>
                  </w14:solidFill>
                </w14:textFill>
              </w:rPr>
            </w:pPr>
          </w:p>
          <w:p>
            <w:pPr>
              <w:pStyle w:val="23"/>
              <w:rPr>
                <w:rFonts w:hint="eastAsia"/>
                <w:b/>
                <w:bCs/>
                <w:color w:val="000000" w:themeColor="text1"/>
                <w:sz w:val="24"/>
                <w:szCs w:val="24"/>
                <w14:textFill>
                  <w14:solidFill>
                    <w14:schemeClr w14:val="tx1"/>
                  </w14:solidFill>
                </w14:textFill>
              </w:rPr>
            </w:pPr>
          </w:p>
          <w:p>
            <w:pPr>
              <w:pStyle w:val="8"/>
              <w:rPr>
                <w:rFonts w:hint="eastAsia"/>
                <w:b/>
                <w:bCs/>
                <w:color w:val="000000" w:themeColor="text1"/>
                <w:sz w:val="24"/>
                <w:szCs w:val="24"/>
                <w14:textFill>
                  <w14:solidFill>
                    <w14:schemeClr w14:val="tx1"/>
                  </w14:solidFill>
                </w14:textFill>
              </w:rPr>
            </w:pPr>
          </w:p>
          <w:p>
            <w:pPr>
              <w:rPr>
                <w:rFonts w:hint="eastAsia"/>
                <w:b/>
                <w:bCs/>
                <w:color w:val="000000" w:themeColor="text1"/>
                <w:sz w:val="24"/>
                <w:szCs w:val="24"/>
                <w14:textFill>
                  <w14:solidFill>
                    <w14:schemeClr w14:val="tx1"/>
                  </w14:solidFill>
                </w14:textFill>
              </w:rPr>
            </w:pPr>
          </w:p>
          <w:p>
            <w:pPr>
              <w:pStyle w:val="23"/>
              <w:rPr>
                <w:rFonts w:hint="eastAsia"/>
                <w:b/>
                <w:bCs/>
                <w:color w:val="000000" w:themeColor="text1"/>
                <w:sz w:val="24"/>
                <w:szCs w:val="24"/>
                <w14:textFill>
                  <w14:solidFill>
                    <w14:schemeClr w14:val="tx1"/>
                  </w14:solidFill>
                </w14:textFill>
              </w:rPr>
            </w:pPr>
          </w:p>
          <w:p>
            <w:pPr>
              <w:pStyle w:val="8"/>
              <w:rPr>
                <w:rFonts w:hint="eastAsia"/>
                <w:b/>
                <w:bCs/>
                <w:color w:val="000000" w:themeColor="text1"/>
                <w:sz w:val="24"/>
                <w:szCs w:val="24"/>
                <w14:textFill>
                  <w14:solidFill>
                    <w14:schemeClr w14:val="tx1"/>
                  </w14:solidFill>
                </w14:textFill>
              </w:rPr>
            </w:pPr>
          </w:p>
          <w:p>
            <w:pPr>
              <w:rPr>
                <w:rFonts w:hint="eastAsia"/>
                <w:b/>
                <w:bCs/>
                <w:color w:val="000000" w:themeColor="text1"/>
                <w:sz w:val="24"/>
                <w:szCs w:val="24"/>
                <w14:textFill>
                  <w14:solidFill>
                    <w14:schemeClr w14:val="tx1"/>
                  </w14:solidFill>
                </w14:textFill>
              </w:rPr>
            </w:pPr>
          </w:p>
          <w:p>
            <w:pPr>
              <w:pStyle w:val="23"/>
              <w:rPr>
                <w:rFonts w:hint="eastAsia"/>
                <w:b/>
                <w:bCs/>
                <w:color w:val="000000" w:themeColor="text1"/>
                <w:sz w:val="24"/>
                <w:szCs w:val="24"/>
                <w14:textFill>
                  <w14:solidFill>
                    <w14:schemeClr w14:val="tx1"/>
                  </w14:solidFill>
                </w14:textFill>
              </w:rPr>
            </w:pPr>
          </w:p>
          <w:p>
            <w:pPr>
              <w:pStyle w:val="8"/>
              <w:rPr>
                <w:rFonts w:hint="eastAsia"/>
                <w:sz w:val="24"/>
                <w:szCs w:val="24"/>
              </w:rPr>
            </w:pPr>
          </w:p>
          <w:p>
            <w:pPr>
              <w:spacing w:line="240" w:lineRule="auto"/>
              <w:jc w:val="both"/>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技术</w:t>
            </w:r>
          </w:p>
          <w:p>
            <w:pPr>
              <w:spacing w:line="240" w:lineRule="auto"/>
              <w:jc w:val="both"/>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和</w:t>
            </w:r>
          </w:p>
          <w:p>
            <w:pPr>
              <w:spacing w:line="240" w:lineRule="auto"/>
              <w:jc w:val="both"/>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服务</w:t>
            </w:r>
          </w:p>
          <w:p>
            <w:pPr>
              <w:spacing w:line="240" w:lineRule="auto"/>
              <w:jc w:val="both"/>
              <w:rPr>
                <w:rFonts w:ascii="宋体" w:hAnsi="宋体" w:cs="Arial"/>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方案</w:t>
            </w:r>
          </w:p>
          <w:p>
            <w:pPr>
              <w:spacing w:line="240" w:lineRule="auto"/>
              <w:jc w:val="center"/>
              <w:rPr>
                <w:b/>
                <w:bCs/>
                <w:color w:val="000000" w:themeColor="text1"/>
                <w:sz w:val="24"/>
                <w:szCs w:val="24"/>
                <w14:textFill>
                  <w14:solidFill>
                    <w14:schemeClr w14:val="tx1"/>
                  </w14:solidFill>
                </w14:textFill>
              </w:rPr>
            </w:pP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总体方案</w:t>
            </w:r>
          </w:p>
        </w:tc>
        <w:tc>
          <w:tcPr>
            <w:tcW w:w="785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根据项目服务特点及服务质量标准制定项目总体方案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管理服务理念</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服务定位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目标责任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安全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作业</w:t>
            </w:r>
            <w:r>
              <w:rPr>
                <w:rFonts w:hint="eastAsia" w:asciiTheme="minorEastAsia" w:hAnsiTheme="minorEastAsia" w:eastAsiaTheme="minorEastAsia" w:cstheme="minorEastAsia"/>
                <w:color w:val="000000" w:themeColor="text1"/>
                <w:sz w:val="24"/>
                <w:szCs w:val="24"/>
                <w14:textFill>
                  <w14:solidFill>
                    <w14:schemeClr w14:val="tx1"/>
                  </w14:solidFill>
                </w14:textFill>
              </w:rPr>
              <w:t>管理模式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确保服务的各项措施；6、保密意识和制度；科学合理，符合采购人需求又切实可行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，依据以上</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6项方案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是否符合、完善、全面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、针对及可行</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符合采购方需求、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详实、内容新颖、操作性强的给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6-4.1分；</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②方案合理、内容完整、可操作的给4-2.1 分；</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③方案粗糙、内容缺漏、操作性差的给2-0分。</w:t>
            </w: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r>
      <w:tr>
        <w:tblPrEx>
          <w:tblCellMar>
            <w:top w:w="0" w:type="dxa"/>
            <w:left w:w="108" w:type="dxa"/>
            <w:bottom w:w="0" w:type="dxa"/>
            <w:right w:w="108" w:type="dxa"/>
          </w:tblCellMar>
        </w:tblPrEx>
        <w:trPr>
          <w:trHeight w:val="78"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根据投标人对本项目现状及需求的进行准确的分析，并对项目</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特点、重点、难点</w:t>
            </w:r>
            <w:r>
              <w:rPr>
                <w:rFonts w:hint="eastAsia" w:asciiTheme="minorEastAsia" w:hAnsiTheme="minorEastAsia" w:eastAsiaTheme="minorEastAsia" w:cstheme="minorEastAsia"/>
                <w:color w:val="000000" w:themeColor="text1"/>
                <w:sz w:val="24"/>
                <w:szCs w:val="24"/>
                <w14:textFill>
                  <w14:solidFill>
                    <w14:schemeClr w14:val="tx1"/>
                  </w14:solidFill>
                </w14:textFill>
              </w:rPr>
              <w:t>的把握，并提出解决方案或切实可行整改措施，进行分档评分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符合采购方需求、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详实、内容新颖、操作性强的给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6-4.1分；</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②方案合理、内容完整、可操作的给4-2.1 分；</w:t>
            </w:r>
          </w:p>
          <w:p>
            <w:pPr>
              <w:pStyle w:val="2"/>
              <w:spacing w:line="240" w:lineRule="auto"/>
              <w:ind w:left="0" w:leftChars="0" w:firstLine="0" w:firstLineChar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③方案粗糙、内容缺漏、操作性差的给 2-0分。</w:t>
            </w: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r>
      <w:tr>
        <w:tblPrEx>
          <w:tblCellMar>
            <w:top w:w="0" w:type="dxa"/>
            <w:left w:w="108" w:type="dxa"/>
            <w:bottom w:w="0" w:type="dxa"/>
            <w:right w:w="108" w:type="dxa"/>
          </w:tblCellMar>
        </w:tblPrEx>
        <w:trPr>
          <w:trHeight w:val="202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管理方案</w:t>
            </w:r>
          </w:p>
        </w:tc>
        <w:tc>
          <w:tcPr>
            <w:tcW w:w="7856" w:type="dxa"/>
            <w:tcBorders>
              <w:top w:val="single" w:color="auto" w:sz="4" w:space="0"/>
              <w:left w:val="single" w:color="auto" w:sz="4" w:space="0"/>
              <w:bottom w:val="single" w:color="auto" w:sz="4" w:space="0"/>
              <w:right w:val="single" w:color="auto" w:sz="4" w:space="0"/>
            </w:tcBorders>
            <w:vAlign w:val="center"/>
          </w:tcPr>
          <w:p>
            <w:pPr>
              <w:numPr>
                <w:ilvl w:val="0"/>
                <w:numId w:val="12"/>
              </w:numPr>
              <w:spacing w:line="24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安全制度 ；2、服从</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保密制度；3、及时报告和流程闭环管理制度；4、各级人员的管理制度；5、项目部职责和人员岗位职责；6、考勤和考核制度；7、激励机制、监督机制、自我约束机制、信息反馈渠道及处理机制 ；8、问题整改与应急管理制度，根据以上</w:t>
            </w:r>
            <w:r>
              <w:rPr>
                <w:rFonts w:hint="eastAsia" w:asciiTheme="minorEastAsia" w:hAnsiTheme="minorEastAsia" w:eastAsiaTheme="minorEastAsia" w:cstheme="minorEastAsia"/>
                <w:color w:val="000000" w:themeColor="text1"/>
                <w:sz w:val="24"/>
                <w:szCs w:val="24"/>
                <w14:textFill>
                  <w14:solidFill>
                    <w14:schemeClr w14:val="tx1"/>
                  </w14:solidFill>
                </w14:textFill>
              </w:rPr>
              <w:t>8项</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管理制度组织架构是否完善健全</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主要工作流程和闭环管理是否清晰合理，进行分档评分：</w:t>
            </w:r>
          </w:p>
          <w:p>
            <w:pPr>
              <w:numPr>
                <w:ilvl w:val="0"/>
                <w:numId w:val="0"/>
              </w:numPr>
              <w:spacing w:line="24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符合采购方需求、</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详实、内容新颖给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8-5.1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②方案基本符合采购方需求、合理、内容完整给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5-2.1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③方案粗糙、内容缺漏给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c>
          <w:tcPr>
            <w:tcW w:w="68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p>
        </w:tc>
      </w:tr>
      <w:tr>
        <w:tblPrEx>
          <w:tblCellMar>
            <w:top w:w="0" w:type="dxa"/>
            <w:left w:w="108" w:type="dxa"/>
            <w:bottom w:w="0" w:type="dxa"/>
            <w:right w:w="108" w:type="dxa"/>
          </w:tblCellMar>
        </w:tblPrEx>
        <w:trPr>
          <w:trHeight w:val="17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vMerge w:val="restart"/>
            <w:tcBorders>
              <w:top w:val="single" w:color="auto" w:sz="4" w:space="0"/>
              <w:left w:val="single" w:color="auto" w:sz="4" w:space="0"/>
              <w:right w:val="single" w:color="auto" w:sz="4" w:space="0"/>
            </w:tcBorders>
          </w:tcPr>
          <w:p>
            <w:pP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p>
          <w:p>
            <w:pP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p>
          <w:p>
            <w:pPr>
              <w:rPr>
                <w:rFonts w:hint="eastAsia"/>
                <w:lang w:val="zh-CN"/>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服务方案</w:t>
            </w:r>
          </w:p>
        </w:tc>
        <w:tc>
          <w:tcPr>
            <w:tcW w:w="785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eastAsia="zh-CN"/>
              </w:rPr>
              <w:t>安保</w:t>
            </w:r>
            <w:r>
              <w:rPr>
                <w:rFonts w:hint="eastAsia" w:asciiTheme="minorEastAsia" w:hAnsiTheme="minorEastAsia" w:eastAsiaTheme="minorEastAsia" w:cstheme="minorEastAsia"/>
                <w:color w:val="auto"/>
                <w:sz w:val="24"/>
                <w:szCs w:val="24"/>
              </w:rPr>
              <w:t>管理区域</w:t>
            </w:r>
            <w:r>
              <w:rPr>
                <w:rFonts w:hint="eastAsia" w:asciiTheme="minorEastAsia" w:hAnsiTheme="minorEastAsia" w:eastAsiaTheme="minorEastAsia" w:cstheme="minorEastAsia"/>
                <w:bCs/>
                <w:color w:val="auto"/>
                <w:sz w:val="24"/>
                <w:szCs w:val="24"/>
                <w:lang w:val="zh-CN"/>
              </w:rPr>
              <w:t>安保秩序及巡查等方案：</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 1 \* GB3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lang w:val="zh-CN"/>
              </w:rPr>
              <w:t>①</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lang w:val="zh-CN"/>
              </w:rPr>
              <w:t>方案</w:t>
            </w:r>
            <w:r>
              <w:rPr>
                <w:rFonts w:hint="eastAsia" w:asciiTheme="minorEastAsia" w:hAnsiTheme="minorEastAsia" w:eastAsiaTheme="minorEastAsia" w:cstheme="minorEastAsia"/>
                <w:color w:val="auto"/>
                <w:sz w:val="24"/>
                <w:szCs w:val="24"/>
              </w:rPr>
              <w:t>符合采购方需求、</w:t>
            </w:r>
            <w:r>
              <w:rPr>
                <w:rFonts w:hint="eastAsia" w:asciiTheme="minorEastAsia" w:hAnsiTheme="minorEastAsia" w:eastAsiaTheme="minorEastAsia" w:cstheme="minorEastAsia"/>
                <w:color w:val="auto"/>
                <w:sz w:val="24"/>
                <w:szCs w:val="24"/>
                <w:lang w:val="zh-CN"/>
              </w:rPr>
              <w:t>详实、内容新颖、操作性强的给</w:t>
            </w:r>
            <w:r>
              <w:rPr>
                <w:rFonts w:hint="eastAsia" w:asciiTheme="minorEastAsia" w:hAnsiTheme="minorEastAsia" w:eastAsiaTheme="minorEastAsia" w:cstheme="minorEastAsia"/>
                <w:color w:val="auto"/>
                <w:sz w:val="24"/>
                <w:szCs w:val="24"/>
                <w:lang w:val="en-US" w:eastAsia="zh-CN"/>
              </w:rPr>
              <w:t>7-4.1</w:t>
            </w:r>
            <w:r>
              <w:rPr>
                <w:rFonts w:hint="eastAsia" w:asciiTheme="minorEastAsia" w:hAnsiTheme="minorEastAsia" w:eastAsiaTheme="minorEastAsia" w:cstheme="minorEastAsia"/>
                <w:color w:val="auto"/>
                <w:sz w:val="24"/>
                <w:szCs w:val="24"/>
              </w:rPr>
              <w:t>分；</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②方案基本符合采购方需求、合理、内容完整、可操作的给</w:t>
            </w:r>
            <w:r>
              <w:rPr>
                <w:rFonts w:hint="eastAsia" w:asciiTheme="minorEastAsia" w:hAnsiTheme="minorEastAsia" w:eastAsiaTheme="minorEastAsia" w:cstheme="minorEastAsia"/>
                <w:color w:val="auto"/>
                <w:sz w:val="24"/>
                <w:szCs w:val="24"/>
                <w:lang w:val="en-US" w:eastAsia="zh-CN"/>
              </w:rPr>
              <w:t>4-2.1</w:t>
            </w:r>
            <w:r>
              <w:rPr>
                <w:rFonts w:hint="eastAsia" w:asciiTheme="minorEastAsia" w:hAnsiTheme="minorEastAsia" w:eastAsiaTheme="minorEastAsia" w:cstheme="minorEastAsia"/>
                <w:color w:val="auto"/>
                <w:sz w:val="24"/>
                <w:szCs w:val="24"/>
              </w:rPr>
              <w:t>分；</w:t>
            </w:r>
          </w:p>
          <w:p>
            <w:pPr>
              <w:pStyle w:val="2"/>
              <w:spacing w:line="240" w:lineRule="auto"/>
              <w:ind w:left="0" w:leftChars="0" w:firstLine="0" w:firstLineChars="0"/>
              <w:rPr>
                <w:rFonts w:hint="eastAsia" w:asciiTheme="minorEastAsia" w:hAnsiTheme="minorEastAsia" w:eastAsiaTheme="minorEastAsia" w:cstheme="minorEastAsia"/>
                <w:color w:val="auto"/>
                <w:kern w:val="2"/>
                <w:sz w:val="24"/>
                <w:szCs w:val="24"/>
                <w:lang w:val="zh-CN" w:eastAsia="zh-CN" w:bidi="ar-SA"/>
              </w:rPr>
            </w:pPr>
            <w:r>
              <w:rPr>
                <w:rFonts w:hint="eastAsia" w:asciiTheme="minorEastAsia" w:hAnsiTheme="minorEastAsia" w:eastAsiaTheme="minorEastAsia" w:cstheme="minorEastAsia"/>
                <w:color w:val="auto"/>
                <w:sz w:val="24"/>
                <w:szCs w:val="24"/>
              </w:rPr>
              <w:t>③方案粗糙、内容缺漏、操作性差的给</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分。</w:t>
            </w:r>
          </w:p>
        </w:tc>
        <w:tc>
          <w:tcPr>
            <w:tcW w:w="68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0" w:leftChars="0" w:firstLine="0" w:firstLineChars="0"/>
              <w:jc w:val="cente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7</w:t>
            </w:r>
          </w:p>
        </w:tc>
      </w:tr>
      <w:tr>
        <w:tblPrEx>
          <w:tblCellMar>
            <w:top w:w="0" w:type="dxa"/>
            <w:left w:w="108" w:type="dxa"/>
            <w:bottom w:w="0" w:type="dxa"/>
            <w:right w:w="108" w:type="dxa"/>
          </w:tblCellMar>
        </w:tblPrEx>
        <w:trPr>
          <w:trHeight w:val="799"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安保管理区域安保消控服务方案：</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 1 \* GB3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lang w:val="zh-CN"/>
              </w:rPr>
              <w:t>①</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lang w:val="zh-CN"/>
              </w:rPr>
              <w:t>方案</w:t>
            </w:r>
            <w:r>
              <w:rPr>
                <w:rFonts w:hint="eastAsia" w:asciiTheme="minorEastAsia" w:hAnsiTheme="minorEastAsia" w:eastAsiaTheme="minorEastAsia" w:cstheme="minorEastAsia"/>
                <w:color w:val="auto"/>
                <w:sz w:val="24"/>
                <w:szCs w:val="24"/>
              </w:rPr>
              <w:t>符合采购方需求、</w:t>
            </w:r>
            <w:r>
              <w:rPr>
                <w:rFonts w:hint="eastAsia" w:asciiTheme="minorEastAsia" w:hAnsiTheme="minorEastAsia" w:eastAsiaTheme="minorEastAsia" w:cstheme="minorEastAsia"/>
                <w:color w:val="auto"/>
                <w:sz w:val="24"/>
                <w:szCs w:val="24"/>
                <w:lang w:val="zh-CN"/>
              </w:rPr>
              <w:t>详实、内容新颖、操作性强的给</w:t>
            </w:r>
            <w:r>
              <w:rPr>
                <w:rFonts w:hint="eastAsia" w:asciiTheme="minorEastAsia" w:hAnsiTheme="minorEastAsia" w:eastAsiaTheme="minorEastAsia" w:cstheme="minorEastAsia"/>
                <w:color w:val="auto"/>
                <w:sz w:val="24"/>
                <w:szCs w:val="24"/>
                <w:lang w:val="en-US" w:eastAsia="zh-CN"/>
              </w:rPr>
              <w:t>7-4.1</w:t>
            </w:r>
            <w:r>
              <w:rPr>
                <w:rFonts w:hint="eastAsia" w:asciiTheme="minorEastAsia" w:hAnsiTheme="minorEastAsia" w:eastAsiaTheme="minorEastAsia" w:cstheme="minorEastAsia"/>
                <w:color w:val="auto"/>
                <w:sz w:val="24"/>
                <w:szCs w:val="24"/>
              </w:rPr>
              <w:t>分；</w:t>
            </w: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②方案基本符合采购方需求、合理、内容完整、可操作的给</w:t>
            </w:r>
            <w:r>
              <w:rPr>
                <w:rFonts w:hint="eastAsia" w:asciiTheme="minorEastAsia" w:hAnsiTheme="minorEastAsia" w:eastAsiaTheme="minorEastAsia" w:cstheme="minorEastAsia"/>
                <w:color w:val="auto"/>
                <w:sz w:val="24"/>
                <w:szCs w:val="24"/>
                <w:lang w:val="en-US" w:eastAsia="zh-CN"/>
              </w:rPr>
              <w:t>4-2.1</w:t>
            </w:r>
            <w:r>
              <w:rPr>
                <w:rFonts w:hint="eastAsia" w:asciiTheme="minorEastAsia" w:hAnsiTheme="minorEastAsia" w:eastAsiaTheme="minorEastAsia" w:cstheme="minorEastAsia"/>
                <w:color w:val="auto"/>
                <w:sz w:val="24"/>
                <w:szCs w:val="24"/>
              </w:rPr>
              <w:t>分；</w:t>
            </w:r>
          </w:p>
          <w:p>
            <w:pPr>
              <w:pStyle w:val="2"/>
              <w:spacing w:line="240" w:lineRule="auto"/>
              <w:ind w:left="0" w:leftChars="0" w:firstLine="0" w:firstLineChars="0"/>
              <w:rPr>
                <w:rFonts w:hint="eastAsia" w:asciiTheme="minorEastAsia" w:hAnsiTheme="minorEastAsia" w:eastAsiaTheme="minorEastAsia" w:cstheme="minorEastAsia"/>
                <w:color w:val="auto"/>
                <w:kern w:val="2"/>
                <w:sz w:val="24"/>
                <w:szCs w:val="24"/>
                <w:lang w:val="zh-CN" w:eastAsia="zh-CN" w:bidi="ar-SA"/>
              </w:rPr>
            </w:pPr>
            <w:r>
              <w:rPr>
                <w:rFonts w:hint="eastAsia" w:asciiTheme="minorEastAsia" w:hAnsiTheme="minorEastAsia" w:eastAsiaTheme="minorEastAsia" w:cstheme="minorEastAsia"/>
                <w:color w:val="auto"/>
                <w:sz w:val="24"/>
                <w:szCs w:val="24"/>
              </w:rPr>
              <w:t>③方案粗糙、内容缺漏、操作性差的给</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分。</w:t>
            </w:r>
          </w:p>
        </w:tc>
        <w:tc>
          <w:tcPr>
            <w:tcW w:w="68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0" w:leftChars="0" w:firstLine="0" w:firstLineChars="0"/>
              <w:jc w:val="cente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7</w:t>
            </w:r>
          </w:p>
        </w:tc>
      </w:tr>
      <w:tr>
        <w:tblPrEx>
          <w:tblCellMar>
            <w:top w:w="0" w:type="dxa"/>
            <w:left w:w="108" w:type="dxa"/>
            <w:bottom w:w="0" w:type="dxa"/>
            <w:right w:w="108" w:type="dxa"/>
          </w:tblCellMar>
        </w:tblPrEx>
        <w:trPr>
          <w:trHeight w:val="671"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tcPr>
          <w:p>
            <w:pPr>
              <w:numPr>
                <w:ilvl w:val="0"/>
                <w:numId w:val="0"/>
              </w:numPr>
              <w:spacing w:line="240" w:lineRule="auto"/>
              <w:rPr>
                <w:rFonts w:hint="eastAsia" w:cs="Times New Roman"/>
                <w:color w:val="000000" w:themeColor="text1"/>
                <w:sz w:val="24"/>
                <w:szCs w:val="24"/>
                <w:lang w:eastAsia="zh-CN"/>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cs="Times New Roman"/>
                <w:color w:val="000000" w:themeColor="text1"/>
                <w:sz w:val="24"/>
                <w:szCs w:val="24"/>
                <w:lang w:eastAsia="zh-CN"/>
                <w14:textFill>
                  <w14:solidFill>
                    <w14:schemeClr w14:val="tx1"/>
                  </w14:solidFill>
                </w14:textFill>
              </w:rPr>
              <w:t>服务设备</w:t>
            </w:r>
          </w:p>
        </w:tc>
        <w:tc>
          <w:tcPr>
            <w:tcW w:w="785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投标人投入的与本次采购服务需求相关的设备情况（</w:t>
            </w:r>
            <w:r>
              <w:rPr>
                <w:rFonts w:hint="eastAsia" w:asciiTheme="minorEastAsia" w:hAnsiTheme="minorEastAsia" w:eastAsiaTheme="minorEastAsia" w:cstheme="minorEastAsia"/>
                <w:color w:val="auto"/>
                <w:kern w:val="0"/>
                <w:sz w:val="24"/>
                <w:szCs w:val="24"/>
              </w:rPr>
              <w:t>包括对讲机、手电筒、雨具、钢叉、橡胶棒、盾牌、辣椒水、武装带、防刺手套、防刺背心等工具</w:t>
            </w:r>
            <w:r>
              <w:rPr>
                <w:rFonts w:hint="eastAsia" w:asciiTheme="minorEastAsia" w:hAnsiTheme="minorEastAsia" w:eastAsiaTheme="minorEastAsia" w:cstheme="minorEastAsia"/>
                <w:color w:val="auto"/>
                <w:sz w:val="24"/>
                <w:szCs w:val="24"/>
                <w:lang w:val="en-US" w:eastAsia="zh-CN"/>
              </w:rPr>
              <w:t>），根据设备情况（品牌、产地、规格、用途的详细说明）要求提供设备照片、进货发票原件扫描件或相关证明。</w:t>
            </w:r>
          </w:p>
          <w:p>
            <w:pPr>
              <w:numPr>
                <w:ilvl w:val="0"/>
                <w:numId w:val="0"/>
              </w:numPr>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①设备先进、使用性能佳、完全满足本次采购服务需求的给3-1.1分；</w:t>
            </w:r>
          </w:p>
          <w:p>
            <w:pPr>
              <w:numPr>
                <w:ilvl w:val="0"/>
                <w:numId w:val="0"/>
              </w:numPr>
              <w:spacing w:line="240" w:lineRule="auto"/>
              <w:ind w:left="0" w:leftChars="0" w:firstLine="0" w:firstLineChar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val="en-US" w:eastAsia="zh-CN"/>
              </w:rPr>
              <w:t>②设备齐全、使用性能一般、基本满足本次采购服务需求的给1-0分。</w:t>
            </w:r>
          </w:p>
        </w:tc>
        <w:tc>
          <w:tcPr>
            <w:tcW w:w="68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0" w:leftChars="0" w:firstLine="240" w:firstLineChars="10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val="en-US" w:eastAsia="zh-CN"/>
              </w:rPr>
              <w:t>3</w:t>
            </w:r>
          </w:p>
        </w:tc>
      </w:tr>
      <w:tr>
        <w:tblPrEx>
          <w:tblCellMar>
            <w:top w:w="0" w:type="dxa"/>
            <w:left w:w="108" w:type="dxa"/>
            <w:bottom w:w="0" w:type="dxa"/>
            <w:right w:w="108" w:type="dxa"/>
          </w:tblCellMar>
        </w:tblPrEx>
        <w:trPr>
          <w:trHeight w:val="567"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vMerge w:val="restart"/>
            <w:tcBorders>
              <w:top w:val="single" w:color="auto" w:sz="4" w:space="0"/>
              <w:left w:val="single" w:color="auto" w:sz="4" w:space="0"/>
              <w:bottom w:val="single" w:color="auto" w:sz="4" w:space="0"/>
              <w:right w:val="single" w:color="auto" w:sz="4" w:space="0"/>
            </w:tcBorders>
          </w:tcPr>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服务人员</w:t>
            </w:r>
          </w:p>
        </w:tc>
        <w:tc>
          <w:tcPr>
            <w:tcW w:w="785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岗位安排方案：服务人员的构成情况及人员数量（安保人员15名，其中女性3-4名。</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、年龄</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20-40周岁</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、文化程度</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（高中</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文凭</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、工作经验等安排是 否根据采购人的需求，</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是否具有</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针对</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性</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及全面性</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，进行综合评分：</w:t>
            </w:r>
          </w:p>
          <w:p>
            <w:pPr>
              <w:spacing w:line="240" w:lineRule="auto"/>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①人员编制完整、权责清晰、架构高效、各岗位人员数量安排合理地给</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3-2.1</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 xml:space="preserve">②人员编制较完整、权责合理、架构可行、各岗位人员安排较合理地给 </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2-1.1</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③人员编制不完整、权责不清、架构低效、各岗位人员安排欠合理地给</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注：须提供团队成员的清单列表，包含姓名、身份证号码、年龄、学历、 工作经验等的统计表，未提供不得分。</w:t>
            </w:r>
          </w:p>
        </w:tc>
        <w:tc>
          <w:tcPr>
            <w:tcW w:w="68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r>
      <w:tr>
        <w:tblPrEx>
          <w:tblCellMar>
            <w:top w:w="0" w:type="dxa"/>
            <w:left w:w="108" w:type="dxa"/>
            <w:bottom w:w="0" w:type="dxa"/>
            <w:right w:w="108" w:type="dxa"/>
          </w:tblCellMar>
        </w:tblPrEx>
        <w:trPr>
          <w:trHeight w:val="1241"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项目负责人履历要求：①具有（一级高级技师）保安师职称的得1分；②具有消防设施操作员职业资格证书的得1分；③具有退伍证的得1分；④从事安保管理5年及以上工作经验得2分,3年及以上工作经验得1分，须提供有效证明材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instrText xml:space="preserve"> = 5 \* GB3 \* MERGEFORMAT </w:instrTex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⑤</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获得省级安保服务有关荣誉证书的得1分。本项最高得6分，不满足不得分。</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2.拟派遣安保人员具备（四级）中级保安员证的加1分，（三级）高级保安员证的加2分，本项最高得4分。</w:t>
            </w:r>
          </w:p>
          <w:p>
            <w:pPr>
              <w:numPr>
                <w:ilvl w:val="0"/>
                <w:numId w:val="0"/>
              </w:num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注：须提供身份证、学历、职称或等级证书，工作经历和在投标单位近3个月社保缴纳证明（截止开标之日起）。</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以提供的社保部门出具的投标人为其缴纳的社保证明时间为准，未提供不得分。</w:t>
            </w:r>
          </w:p>
        </w:tc>
        <w:tc>
          <w:tcPr>
            <w:tcW w:w="68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p>
        </w:tc>
      </w:tr>
      <w:tr>
        <w:tblPrEx>
          <w:tblCellMar>
            <w:top w:w="0" w:type="dxa"/>
            <w:left w:w="108" w:type="dxa"/>
            <w:bottom w:w="0" w:type="dxa"/>
            <w:right w:w="108" w:type="dxa"/>
          </w:tblCellMar>
        </w:tblPrEx>
        <w:trPr>
          <w:trHeight w:val="2145"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项目团队</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安保人</w:t>
            </w:r>
            <w:r>
              <w:rPr>
                <w:rFonts w:hint="eastAsia" w:asciiTheme="minorEastAsia" w:hAnsiTheme="minorEastAsia" w:eastAsiaTheme="minorEastAsia" w:cstheme="minorEastAsia"/>
                <w:color w:val="000000" w:themeColor="text1"/>
                <w:sz w:val="24"/>
                <w:szCs w:val="24"/>
                <w14:textFill>
                  <w14:solidFill>
                    <w14:schemeClr w14:val="tx1"/>
                  </w14:solidFill>
                </w14:textFill>
              </w:rPr>
              <w:t>员年龄、工作经验等</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进行分档评分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spacing w:line="24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t>团队成员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安保平均年龄</w:t>
            </w:r>
            <w:r>
              <w:rPr>
                <w:rFonts w:hint="eastAsia" w:asciiTheme="minorEastAsia" w:hAnsiTheme="minorEastAsia" w:eastAsiaTheme="minorEastAsia" w:cstheme="minorEastAsia"/>
                <w:color w:val="000000" w:themeColor="text1"/>
                <w:sz w:val="24"/>
                <w:szCs w:val="24"/>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26-20</w:t>
            </w:r>
            <w:r>
              <w:rPr>
                <w:rFonts w:hint="eastAsia" w:asciiTheme="minorEastAsia" w:hAnsiTheme="minorEastAsia" w:eastAsiaTheme="minorEastAsia" w:cstheme="minorEastAsia"/>
                <w:color w:val="000000" w:themeColor="text1"/>
                <w:sz w:val="24"/>
                <w:szCs w:val="24"/>
                <w14:textFill>
                  <w14:solidFill>
                    <w14:schemeClr w14:val="tx1"/>
                  </w14:solidFill>
                </w14:textFill>
              </w:rPr>
              <w:t>周岁以下，优于项目需求的给3-2.1分；</w:t>
            </w:r>
          </w:p>
          <w:p>
            <w:pPr>
              <w:spacing w:line="24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②团队成员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安保平均年龄</w:t>
            </w:r>
            <w:r>
              <w:rPr>
                <w:rFonts w:hint="eastAsia" w:asciiTheme="minorEastAsia" w:hAnsiTheme="minorEastAsia" w:eastAsiaTheme="minorEastAsia" w:cstheme="minorEastAsia"/>
                <w:color w:val="000000" w:themeColor="text1"/>
                <w:sz w:val="24"/>
                <w:szCs w:val="24"/>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33-26</w:t>
            </w:r>
            <w:r>
              <w:rPr>
                <w:rFonts w:hint="eastAsia" w:asciiTheme="minorEastAsia" w:hAnsiTheme="minorEastAsia" w:eastAsiaTheme="minorEastAsia" w:cstheme="minorEastAsia"/>
                <w:color w:val="000000" w:themeColor="text1"/>
                <w:sz w:val="24"/>
                <w:szCs w:val="24"/>
                <w14:textFill>
                  <w14:solidFill>
                    <w14:schemeClr w14:val="tx1"/>
                  </w14:solidFill>
                </w14:textFill>
              </w:rPr>
              <w:t>周岁以下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较</w:t>
            </w:r>
            <w:r>
              <w:rPr>
                <w:rFonts w:hint="eastAsia" w:asciiTheme="minorEastAsia" w:hAnsiTheme="minorEastAsia" w:eastAsiaTheme="minorEastAsia" w:cstheme="minorEastAsia"/>
                <w:color w:val="000000" w:themeColor="text1"/>
                <w:sz w:val="24"/>
                <w:szCs w:val="24"/>
                <w14:textFill>
                  <w14:solidFill>
                    <w14:schemeClr w14:val="tx1"/>
                  </w14:solidFill>
                </w14:textFill>
              </w:rPr>
              <w:t>满足项目需求的给2-1.1分。</w:t>
            </w:r>
          </w:p>
          <w:p>
            <w:pPr>
              <w:spacing w:line="24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③团队成员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安保平均年龄</w:t>
            </w:r>
            <w:r>
              <w:rPr>
                <w:rFonts w:hint="eastAsia" w:asciiTheme="minorEastAsia" w:hAnsiTheme="minorEastAsia" w:eastAsiaTheme="minorEastAsia" w:cstheme="minorEastAsia"/>
                <w:color w:val="000000" w:themeColor="text1"/>
                <w:sz w:val="24"/>
                <w:szCs w:val="24"/>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40-33</w:t>
            </w:r>
            <w:r>
              <w:rPr>
                <w:rFonts w:hint="eastAsia" w:asciiTheme="minorEastAsia" w:hAnsiTheme="minorEastAsia" w:eastAsiaTheme="minorEastAsia" w:cstheme="minorEastAsia"/>
                <w:color w:val="000000" w:themeColor="text1"/>
                <w:sz w:val="24"/>
                <w:szCs w:val="24"/>
                <w14:textFill>
                  <w14:solidFill>
                    <w14:schemeClr w14:val="tx1"/>
                  </w14:solidFill>
                </w14:textFill>
              </w:rPr>
              <w:t>周岁以下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基本满足本次采购服务需求的给1-0分。</w:t>
            </w:r>
          </w:p>
          <w:p>
            <w:p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t>团队成员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安保人员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工作经验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一年以上占比总人数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及以上的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给3-2.1分。</w:t>
            </w:r>
          </w:p>
          <w:p>
            <w:p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②团队成员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安保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工作经验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一年以上占比总人数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60-69</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%及以上的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给2-1.1分。</w:t>
            </w:r>
          </w:p>
          <w:p>
            <w:p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③团队成员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安保人员</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工作经验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一年以上占比总人数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50-59</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%及以上的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给1-0分。</w:t>
            </w:r>
          </w:p>
        </w:tc>
        <w:tc>
          <w:tcPr>
            <w:tcW w:w="68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r>
      <w:tr>
        <w:tblPrEx>
          <w:tblCellMar>
            <w:top w:w="0" w:type="dxa"/>
            <w:left w:w="108" w:type="dxa"/>
            <w:bottom w:w="0" w:type="dxa"/>
            <w:right w:w="108" w:type="dxa"/>
          </w:tblCellMar>
        </w:tblPrEx>
        <w:trPr>
          <w:trHeight w:val="47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vMerge w:val="continue"/>
            <w:tcBorders>
              <w:left w:val="single" w:color="auto" w:sz="4" w:space="0"/>
              <w:bottom w:val="single" w:color="auto" w:sz="4" w:space="0"/>
              <w:right w:val="single" w:color="auto" w:sz="4" w:space="0"/>
            </w:tcBorders>
          </w:tcPr>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提供保安团队成员中退伍人员占比情况进行综合评分</w:t>
            </w:r>
            <w:r>
              <w:rPr>
                <w:rFonts w:hint="eastAsia" w:asciiTheme="minorEastAsia" w:hAnsiTheme="minorEastAsia" w:eastAsiaTheme="minorEastAsia" w:cstheme="minorEastAsia"/>
                <w:color w:val="auto"/>
                <w:sz w:val="24"/>
                <w:szCs w:val="24"/>
                <w:lang w:val="en-US" w:eastAsia="zh-CN"/>
              </w:rPr>
              <w:t>:</w:t>
            </w:r>
          </w:p>
          <w:p>
            <w:pPr>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 1 \* GB3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①</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eastAsia="zh-CN"/>
              </w:rPr>
              <w:t>保安团队成员中退伍人员占保安总人数</w:t>
            </w:r>
            <w:r>
              <w:rPr>
                <w:rFonts w:hint="eastAsia" w:asciiTheme="minorEastAsia" w:hAnsiTheme="minorEastAsia" w:eastAsiaTheme="minorEastAsia" w:cstheme="minorEastAsia"/>
                <w:color w:val="auto"/>
                <w:sz w:val="24"/>
                <w:szCs w:val="24"/>
                <w:lang w:val="en-US" w:eastAsia="zh-CN"/>
              </w:rPr>
              <w:t xml:space="preserve"> 60 </w:t>
            </w:r>
            <w:r>
              <w:rPr>
                <w:rFonts w:hint="eastAsia" w:asciiTheme="minorEastAsia" w:hAnsiTheme="minorEastAsia" w:eastAsiaTheme="minorEastAsia" w:cstheme="minorEastAsia"/>
                <w:color w:val="auto"/>
                <w:sz w:val="24"/>
                <w:szCs w:val="24"/>
                <w:lang w:eastAsia="zh-CN"/>
              </w:rPr>
              <w:t>%及以上</w:t>
            </w:r>
            <w:r>
              <w:rPr>
                <w:rFonts w:hint="eastAsia" w:asciiTheme="minorEastAsia" w:hAnsiTheme="minorEastAsia" w:eastAsiaTheme="minorEastAsia" w:cstheme="minorEastAsia"/>
                <w:color w:val="auto"/>
                <w:sz w:val="24"/>
                <w:szCs w:val="24"/>
                <w:lang w:val="en-US" w:eastAsia="zh-CN"/>
              </w:rPr>
              <w:t>的给3-2.1分；</w:t>
            </w:r>
          </w:p>
          <w:p>
            <w:pPr>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②</w:t>
            </w:r>
            <w:r>
              <w:rPr>
                <w:rFonts w:hint="eastAsia" w:asciiTheme="minorEastAsia" w:hAnsiTheme="minorEastAsia" w:eastAsiaTheme="minorEastAsia" w:cstheme="minorEastAsia"/>
                <w:color w:val="auto"/>
                <w:sz w:val="24"/>
                <w:szCs w:val="24"/>
                <w:lang w:eastAsia="zh-CN"/>
              </w:rPr>
              <w:t>保安团队成员中退伍人员占保安总人数</w:t>
            </w:r>
            <w:r>
              <w:rPr>
                <w:rFonts w:hint="eastAsia" w:asciiTheme="minorEastAsia" w:hAnsiTheme="minorEastAsia" w:eastAsiaTheme="minorEastAsia" w:cstheme="minorEastAsia"/>
                <w:color w:val="auto"/>
                <w:sz w:val="24"/>
                <w:szCs w:val="24"/>
                <w:lang w:val="en-US" w:eastAsia="zh-CN"/>
              </w:rPr>
              <w:t>50-59</w:t>
            </w:r>
            <w:r>
              <w:rPr>
                <w:rFonts w:hint="eastAsia" w:asciiTheme="minorEastAsia" w:hAnsiTheme="minorEastAsia" w:eastAsiaTheme="minorEastAsia" w:cstheme="minorEastAsia"/>
                <w:color w:val="auto"/>
                <w:sz w:val="24"/>
                <w:szCs w:val="24"/>
                <w:lang w:eastAsia="zh-CN"/>
              </w:rPr>
              <w:t>%及以上</w:t>
            </w:r>
            <w:r>
              <w:rPr>
                <w:rFonts w:hint="eastAsia" w:asciiTheme="minorEastAsia" w:hAnsiTheme="minorEastAsia" w:eastAsiaTheme="minorEastAsia" w:cstheme="minorEastAsia"/>
                <w:color w:val="auto"/>
                <w:sz w:val="24"/>
                <w:szCs w:val="24"/>
                <w:lang w:val="en-US" w:eastAsia="zh-CN"/>
              </w:rPr>
              <w:t>的给 2-1.1分；</w:t>
            </w:r>
          </w:p>
          <w:p>
            <w:pPr>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③</w:t>
            </w:r>
            <w:r>
              <w:rPr>
                <w:rFonts w:hint="eastAsia" w:asciiTheme="minorEastAsia" w:hAnsiTheme="minorEastAsia" w:eastAsiaTheme="minorEastAsia" w:cstheme="minorEastAsia"/>
                <w:color w:val="auto"/>
                <w:sz w:val="24"/>
                <w:szCs w:val="24"/>
                <w:lang w:eastAsia="zh-CN"/>
              </w:rPr>
              <w:t>保安团队成员中退伍人员占保安总人数</w:t>
            </w:r>
            <w:r>
              <w:rPr>
                <w:rFonts w:hint="eastAsia" w:asciiTheme="minorEastAsia" w:hAnsiTheme="minorEastAsia" w:eastAsiaTheme="minorEastAsia" w:cstheme="minorEastAsia"/>
                <w:color w:val="auto"/>
                <w:sz w:val="24"/>
                <w:szCs w:val="24"/>
                <w:lang w:val="en-US" w:eastAsia="zh-CN"/>
              </w:rPr>
              <w:t>40-49</w:t>
            </w:r>
            <w:r>
              <w:rPr>
                <w:rFonts w:hint="eastAsia" w:asciiTheme="minorEastAsia" w:hAnsiTheme="minorEastAsia" w:eastAsiaTheme="minorEastAsia" w:cstheme="minorEastAsia"/>
                <w:color w:val="auto"/>
                <w:sz w:val="24"/>
                <w:szCs w:val="24"/>
                <w:lang w:eastAsia="zh-CN"/>
              </w:rPr>
              <w:t>%及以上的</w:t>
            </w:r>
            <w:r>
              <w:rPr>
                <w:rFonts w:hint="eastAsia" w:asciiTheme="minorEastAsia" w:hAnsiTheme="minorEastAsia" w:eastAsiaTheme="minorEastAsia" w:cstheme="minorEastAsia"/>
                <w:color w:val="auto"/>
                <w:sz w:val="24"/>
                <w:szCs w:val="24"/>
                <w:lang w:val="en-US" w:eastAsia="zh-CN"/>
              </w:rPr>
              <w:t>给1-0分。</w:t>
            </w:r>
          </w:p>
          <w:p>
            <w:pPr>
              <w:spacing w:line="24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提供保安员在投标单位近</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个月社保缴纳证明（截止开标之日起）</w:t>
            </w:r>
          </w:p>
          <w:p>
            <w:pPr>
              <w:spacing w:line="240" w:lineRule="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（须提供退役证原件扫描件查验，未提供不得分）</w:t>
            </w:r>
          </w:p>
        </w:tc>
        <w:tc>
          <w:tcPr>
            <w:tcW w:w="68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3</w:t>
            </w:r>
          </w:p>
        </w:tc>
      </w:tr>
      <w:tr>
        <w:tblPrEx>
          <w:tblCellMar>
            <w:top w:w="0" w:type="dxa"/>
            <w:left w:w="108" w:type="dxa"/>
            <w:bottom w:w="0" w:type="dxa"/>
            <w:right w:w="108" w:type="dxa"/>
          </w:tblCellMar>
        </w:tblPrEx>
        <w:trPr>
          <w:trHeight w:val="603"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vMerge w:val="continue"/>
            <w:tcBorders>
              <w:left w:val="single" w:color="auto" w:sz="4" w:space="0"/>
              <w:bottom w:val="single" w:color="auto" w:sz="4" w:space="0"/>
              <w:right w:val="single" w:color="auto" w:sz="4" w:space="0"/>
            </w:tcBorders>
          </w:tcPr>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提供保安团队成员中</w:t>
            </w:r>
            <w:r>
              <w:rPr>
                <w:rFonts w:hint="eastAsia" w:asciiTheme="minorEastAsia" w:hAnsiTheme="minorEastAsia" w:eastAsiaTheme="minorEastAsia" w:cstheme="minorEastAsia"/>
                <w:color w:val="000000" w:themeColor="text1"/>
                <w:sz w:val="24"/>
                <w:szCs w:val="24"/>
                <w14:textFill>
                  <w14:solidFill>
                    <w14:schemeClr w14:val="tx1"/>
                  </w14:solidFill>
                </w14:textFill>
              </w:rPr>
              <w:t>台州本地户籍人员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占比情况进行综合评分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p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保安团队成员中</w:t>
            </w:r>
            <w:r>
              <w:rPr>
                <w:rFonts w:hint="eastAsia" w:asciiTheme="minorEastAsia" w:hAnsiTheme="minorEastAsia" w:eastAsiaTheme="minorEastAsia" w:cstheme="minorEastAsia"/>
                <w:color w:val="000000" w:themeColor="text1"/>
                <w:sz w:val="24"/>
                <w:szCs w:val="24"/>
                <w14:textFill>
                  <w14:solidFill>
                    <w14:schemeClr w14:val="tx1"/>
                  </w14:solidFill>
                </w14:textFill>
              </w:rPr>
              <w:t>台州本地户籍人员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占保安总人数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60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%及以上</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的给3-2.1分；</w:t>
            </w:r>
          </w:p>
          <w:p>
            <w:p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保安团队成员中</w:t>
            </w:r>
            <w:r>
              <w:rPr>
                <w:rFonts w:hint="eastAsia" w:asciiTheme="minorEastAsia" w:hAnsiTheme="minorEastAsia" w:eastAsiaTheme="minorEastAsia" w:cstheme="minorEastAsia"/>
                <w:color w:val="000000" w:themeColor="text1"/>
                <w:sz w:val="24"/>
                <w:szCs w:val="24"/>
                <w14:textFill>
                  <w14:solidFill>
                    <w14:schemeClr w14:val="tx1"/>
                  </w14:solidFill>
                </w14:textFill>
              </w:rPr>
              <w:t>台州本地户籍人员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占保安总人数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50-59</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%及以上</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的给 2-1.1分；</w:t>
            </w:r>
          </w:p>
          <w:p>
            <w:p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保安团队成员中</w:t>
            </w:r>
            <w:r>
              <w:rPr>
                <w:rFonts w:hint="eastAsia" w:asciiTheme="minorEastAsia" w:hAnsiTheme="minorEastAsia" w:eastAsiaTheme="minorEastAsia" w:cstheme="minorEastAsia"/>
                <w:color w:val="000000" w:themeColor="text1"/>
                <w:sz w:val="24"/>
                <w:szCs w:val="24"/>
                <w14:textFill>
                  <w14:solidFill>
                    <w14:schemeClr w14:val="tx1"/>
                  </w14:solidFill>
                </w14:textFill>
              </w:rPr>
              <w:t>台州本地户籍人员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占保安总人数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40-49</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%及以上的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给1-0分。</w:t>
            </w:r>
          </w:p>
        </w:tc>
        <w:tc>
          <w:tcPr>
            <w:tcW w:w="68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r>
      <w:tr>
        <w:tblPrEx>
          <w:tblCellMar>
            <w:top w:w="0" w:type="dxa"/>
            <w:left w:w="108" w:type="dxa"/>
            <w:bottom w:w="0" w:type="dxa"/>
            <w:right w:w="108" w:type="dxa"/>
          </w:tblCellMar>
        </w:tblPrEx>
        <w:trPr>
          <w:trHeight w:val="274"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vMerge w:val="restart"/>
            <w:tcBorders>
              <w:top w:val="single" w:color="auto" w:sz="4" w:space="0"/>
              <w:left w:val="single" w:color="auto" w:sz="4" w:space="0"/>
              <w:bottom w:val="single" w:color="auto" w:sz="4" w:space="0"/>
              <w:right w:val="single" w:color="auto" w:sz="4" w:space="0"/>
            </w:tcBorders>
          </w:tcPr>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服务的</w:t>
            </w:r>
          </w:p>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应急措施</w:t>
            </w:r>
          </w:p>
        </w:tc>
        <w:tc>
          <w:tcPr>
            <w:tcW w:w="785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w:t>
            </w:r>
            <w:r>
              <w:rPr>
                <w:rFonts w:hint="eastAsia" w:asciiTheme="minorEastAsia" w:hAnsiTheme="minorEastAsia" w:eastAsiaTheme="minorEastAsia" w:cstheme="minorEastAsia"/>
                <w:color w:val="auto"/>
                <w:sz w:val="24"/>
                <w:szCs w:val="24"/>
                <w:highlight w:val="none"/>
                <w:lang w:val="en-US" w:eastAsia="zh-CN"/>
              </w:rPr>
              <w:t>针对法院</w:t>
            </w:r>
            <w:r>
              <w:rPr>
                <w:rFonts w:hint="eastAsia" w:asciiTheme="minorEastAsia" w:hAnsiTheme="minorEastAsia" w:eastAsiaTheme="minorEastAsia" w:cstheme="minorEastAsia"/>
                <w:color w:val="auto"/>
                <w:sz w:val="24"/>
                <w:szCs w:val="24"/>
                <w:highlight w:val="none"/>
                <w:lang w:val="zh-CN" w:eastAsia="zh-CN"/>
              </w:rPr>
              <w:t>各类突发事件的处理有详细的</w:t>
            </w:r>
            <w:r>
              <w:rPr>
                <w:rFonts w:hint="eastAsia" w:asciiTheme="minorEastAsia" w:hAnsiTheme="minorEastAsia" w:eastAsiaTheme="minorEastAsia" w:cstheme="minorEastAsia"/>
                <w:color w:val="auto"/>
                <w:sz w:val="24"/>
                <w:szCs w:val="24"/>
                <w:highlight w:val="none"/>
                <w:lang w:val="en-US" w:eastAsia="zh-CN"/>
              </w:rPr>
              <w:t>应急</w:t>
            </w:r>
            <w:r>
              <w:rPr>
                <w:rFonts w:hint="eastAsia" w:asciiTheme="minorEastAsia" w:hAnsiTheme="minorEastAsia" w:eastAsiaTheme="minorEastAsia" w:cstheme="minorEastAsia"/>
                <w:color w:val="auto"/>
                <w:sz w:val="24"/>
                <w:szCs w:val="24"/>
                <w:highlight w:val="none"/>
                <w:lang w:val="zh-CN" w:eastAsia="zh-CN"/>
              </w:rPr>
              <w:t>预案：有盗窃、抢劫应急预案；纠纷处理应急预案；防暴恐应急处理预案，防踩踏应急预案；火灾应急预案等</w:t>
            </w:r>
            <w:r>
              <w:rPr>
                <w:rFonts w:hint="eastAsia" w:asciiTheme="minorEastAsia" w:hAnsiTheme="minorEastAsia" w:eastAsiaTheme="minorEastAsia" w:cstheme="minorEastAsia"/>
                <w:color w:val="auto"/>
                <w:sz w:val="24"/>
                <w:szCs w:val="24"/>
                <w:highlight w:val="none"/>
                <w:lang w:val="en-US" w:eastAsia="zh-CN"/>
              </w:rPr>
              <w:t>进行综合评分：</w:t>
            </w:r>
          </w:p>
          <w:p>
            <w:pPr>
              <w:pStyle w:val="64"/>
              <w:spacing w:before="26"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①方案详实、内容新颖、操作性强的给</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2"/>
                <w:sz w:val="24"/>
                <w:szCs w:val="24"/>
                <w:lang w:val="en-US" w:eastAsia="zh-CN"/>
              </w:rPr>
              <w:t>6-4.1</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2"/>
                <w:sz w:val="24"/>
                <w:szCs w:val="24"/>
              </w:rPr>
              <w:t>分；</w:t>
            </w:r>
          </w:p>
          <w:p>
            <w:pPr>
              <w:pStyle w:val="64"/>
              <w:spacing w:before="1"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②方案合理、内容完整、可操作的给</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2"/>
                <w:sz w:val="24"/>
                <w:szCs w:val="24"/>
                <w:lang w:val="en-US" w:eastAsia="zh-CN"/>
              </w:rPr>
              <w:t>4-2.1</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2"/>
                <w:sz w:val="24"/>
                <w:szCs w:val="24"/>
              </w:rPr>
              <w:t>分；</w:t>
            </w:r>
          </w:p>
          <w:p>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③方案粗糙、内容缺漏、操作性差的给</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3"/>
                <w:sz w:val="24"/>
                <w:szCs w:val="24"/>
                <w:lang w:val="en-US" w:eastAsia="zh-CN"/>
              </w:rPr>
              <w:t>2-0</w:t>
            </w:r>
            <w:r>
              <w:rPr>
                <w:rFonts w:hint="eastAsia" w:asciiTheme="minorEastAsia" w:hAnsiTheme="minorEastAsia" w:eastAsiaTheme="minorEastAsia" w:cstheme="minorEastAsia"/>
                <w:spacing w:val="-3"/>
                <w:sz w:val="24"/>
                <w:szCs w:val="24"/>
              </w:rPr>
              <w:t>分。</w:t>
            </w: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p>
        </w:tc>
      </w:tr>
      <w:tr>
        <w:tblPrEx>
          <w:tblCellMar>
            <w:top w:w="0" w:type="dxa"/>
            <w:left w:w="108" w:type="dxa"/>
            <w:bottom w:w="0" w:type="dxa"/>
            <w:right w:w="108" w:type="dxa"/>
          </w:tblCellMar>
        </w:tblPrEx>
        <w:trPr>
          <w:trHeight w:val="113"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b/>
                <w:bCs/>
                <w:color w:val="000000" w:themeColor="text1"/>
                <w:sz w:val="24"/>
                <w:szCs w:val="24"/>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2.对保安服务区域内重大活动的应急保障预案，依据应急预案进行分档评分：</w:t>
            </w:r>
          </w:p>
          <w:p>
            <w:pPr>
              <w:numPr>
                <w:ilvl w:val="0"/>
                <w:numId w:val="0"/>
              </w:numPr>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①方案详实、内容新颖、操作性强的给3-2.1分；</w:t>
            </w:r>
          </w:p>
          <w:p>
            <w:pPr>
              <w:numPr>
                <w:ilvl w:val="0"/>
                <w:numId w:val="0"/>
              </w:numPr>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②方案合理、内容完整、可操作的给2-1.1分；</w:t>
            </w:r>
          </w:p>
          <w:p>
            <w:pPr>
              <w:pStyle w:val="2"/>
              <w:spacing w:line="24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③方案粗糙、内容缺漏、操作性差的给1-0分。</w:t>
            </w: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r>
      <w:tr>
        <w:tblPrEx>
          <w:tblCellMar>
            <w:top w:w="0" w:type="dxa"/>
            <w:left w:w="108" w:type="dxa"/>
            <w:bottom w:w="0" w:type="dxa"/>
            <w:right w:w="108" w:type="dxa"/>
          </w:tblCellMar>
        </w:tblPrEx>
        <w:trPr>
          <w:trHeight w:val="396"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实力信誉及</w:t>
            </w:r>
          </w:p>
          <w:p>
            <w:pPr>
              <w:spacing w:line="240" w:lineRule="auto"/>
              <w:jc w:val="center"/>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业绩</w:t>
            </w:r>
          </w:p>
          <w:p>
            <w:pPr>
              <w:pStyle w:val="2"/>
              <w:ind w:left="0" w:leftChars="0" w:firstLine="0" w:firstLineChars="0"/>
              <w:rPr>
                <w:rFonts w:hint="eastAsia"/>
                <w:sz w:val="24"/>
                <w:szCs w:val="24"/>
                <w:lang w:eastAsia="zh-CN"/>
              </w:rPr>
            </w:pP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投标人状况</w:t>
            </w:r>
          </w:p>
        </w:tc>
        <w:tc>
          <w:tcPr>
            <w:tcW w:w="785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具备在有效期内的ISO9001质量管理体系、ISO14001环境管理体系、GB/T 45001-2020职业健康安全管理体系认证资质，每个得1分，本项最高得3分。</w:t>
            </w:r>
          </w:p>
        </w:tc>
        <w:tc>
          <w:tcPr>
            <w:tcW w:w="683" w:type="dxa"/>
            <w:tcBorders>
              <w:top w:val="single" w:color="auto" w:sz="4" w:space="0"/>
              <w:left w:val="nil"/>
              <w:bottom w:val="single" w:color="auto" w:sz="4" w:space="0"/>
              <w:right w:val="single" w:color="auto" w:sz="4" w:space="0"/>
            </w:tcBorders>
            <w:vAlign w:val="center"/>
          </w:tcPr>
          <w:p>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r>
      <w:tr>
        <w:tblPrEx>
          <w:tblCellMar>
            <w:top w:w="0" w:type="dxa"/>
            <w:left w:w="108" w:type="dxa"/>
            <w:bottom w:w="0" w:type="dxa"/>
            <w:right w:w="108" w:type="dxa"/>
          </w:tblCellMar>
        </w:tblPrEx>
        <w:trPr>
          <w:trHeight w:val="1881"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pStyle w:val="2"/>
              <w:rPr>
                <w:rFonts w:hint="eastAsia"/>
                <w:b/>
                <w:bCs/>
                <w:color w:val="000000" w:themeColor="text1"/>
                <w:sz w:val="24"/>
                <w:szCs w:val="24"/>
                <w:lang w:eastAsia="zh-CN"/>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imes New Roman" w:hAnsi="Times New Roman" w:eastAsia="宋体" w:cs="Times New Roman"/>
                <w:color w:val="000000" w:themeColor="text1"/>
                <w:sz w:val="24"/>
                <w:szCs w:val="24"/>
                <w:lang w:eastAsia="zh-CN"/>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pPr>
              <w:pStyle w:val="64"/>
              <w:spacing w:before="38" w:line="240" w:lineRule="auto"/>
              <w:ind w:left="114" w:right="43" w:firstLine="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公司对项目部管理和支持情况（包括</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3"/>
                <w:sz w:val="24"/>
                <w:szCs w:val="24"/>
              </w:rPr>
              <w:t>1.管理人员补充、2.一线员工补充、</w:t>
            </w:r>
            <w:r>
              <w:rPr>
                <w:rFonts w:hint="eastAsia" w:asciiTheme="minorEastAsia" w:hAnsiTheme="minorEastAsia" w:eastAsiaTheme="minorEastAsia" w:cstheme="minorEastAsia"/>
                <w:sz w:val="24"/>
                <w:szCs w:val="24"/>
              </w:rPr>
              <w:t xml:space="preserve"> 3.人员调剂（即人才储备）、4.人员培训、5.绩效管理、6.质量管理等。</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依据以上</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2"/>
                <w:sz w:val="24"/>
                <w:szCs w:val="24"/>
              </w:rPr>
              <w:t>6</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2"/>
                <w:sz w:val="24"/>
                <w:szCs w:val="24"/>
              </w:rPr>
              <w:t>项内容的完善性、全面性及可行性进行分档评分：</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人才储备丰富、公司对项目部管理和支持切实有效的给3-2.1分；</w:t>
            </w:r>
          </w:p>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人才储备一般、公司对项目部管理和支持一般地给2-1.1分；</w:t>
            </w:r>
          </w:p>
          <w:p>
            <w:pPr>
              <w:spacing w:line="24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人才储备不足、公司对项目部管理和支持不理想的给1-0分。</w:t>
            </w: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r>
      <w:tr>
        <w:tblPrEx>
          <w:tblCellMar>
            <w:top w:w="0" w:type="dxa"/>
            <w:left w:w="108" w:type="dxa"/>
            <w:bottom w:w="0" w:type="dxa"/>
            <w:right w:w="108" w:type="dxa"/>
          </w:tblCellMar>
        </w:tblPrEx>
        <w:trPr>
          <w:trHeight w:val="248"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pStyle w:val="2"/>
              <w:rPr>
                <w:rFonts w:hint="eastAsia"/>
                <w:b/>
                <w:bCs/>
                <w:color w:val="000000" w:themeColor="text1"/>
                <w:sz w:val="24"/>
                <w:szCs w:val="24"/>
                <w:lang w:eastAsia="zh-CN"/>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cs="Times New Roman"/>
                <w:color w:val="000000" w:themeColor="text1"/>
                <w:sz w:val="24"/>
                <w:szCs w:val="24"/>
                <w:lang w:eastAsia="zh-CN"/>
                <w14:textFill>
                  <w14:solidFill>
                    <w14:schemeClr w14:val="tx1"/>
                  </w14:solidFill>
                </w14:textFill>
              </w:rPr>
              <w:t>企业荣誉</w:t>
            </w:r>
          </w:p>
        </w:tc>
        <w:tc>
          <w:tcPr>
            <w:tcW w:w="785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投标企业2021年7月1日以来被列入县市级以上人民政府颁发的重点服务企业名单的得1分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240" w:firstLineChars="100"/>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p>
        </w:tc>
      </w:tr>
      <w:tr>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color w:val="000000" w:themeColor="text1"/>
                <w:sz w:val="24"/>
                <w:szCs w:val="24"/>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项目业绩</w:t>
            </w:r>
          </w:p>
        </w:tc>
        <w:tc>
          <w:tcPr>
            <w:tcW w:w="785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pacing w:val="-2"/>
                <w:sz w:val="24"/>
                <w:szCs w:val="24"/>
              </w:rPr>
              <w:t>自</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2021</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color w:val="auto"/>
                <w:spacing w:val="-2"/>
                <w:sz w:val="24"/>
                <w:szCs w:val="24"/>
              </w:rPr>
              <w:t>年</w:t>
            </w:r>
            <w:r>
              <w:rPr>
                <w:rFonts w:hint="eastAsia" w:asciiTheme="minorEastAsia" w:hAnsiTheme="minorEastAsia" w:eastAsiaTheme="minorEastAsia" w:cstheme="minorEastAsia"/>
                <w:color w:val="auto"/>
                <w:spacing w:val="-46"/>
                <w:sz w:val="24"/>
                <w:szCs w:val="24"/>
                <w:lang w:val="en-US" w:eastAsia="zh-CN"/>
              </w:rPr>
              <w:t xml:space="preserve">7 </w:t>
            </w:r>
            <w:r>
              <w:rPr>
                <w:rFonts w:hint="eastAsia" w:asciiTheme="minorEastAsia" w:hAnsiTheme="minorEastAsia" w:eastAsiaTheme="minorEastAsia" w:cstheme="minorEastAsia"/>
                <w:color w:val="auto"/>
                <w:spacing w:val="-2"/>
                <w:sz w:val="24"/>
                <w:szCs w:val="24"/>
              </w:rPr>
              <w:t>月以</w:t>
            </w:r>
            <w:r>
              <w:rPr>
                <w:rFonts w:hint="eastAsia" w:asciiTheme="minorEastAsia" w:hAnsiTheme="minorEastAsia" w:eastAsiaTheme="minorEastAsia" w:cstheme="minorEastAsia"/>
                <w:spacing w:val="-2"/>
                <w:sz w:val="24"/>
                <w:szCs w:val="24"/>
              </w:rPr>
              <w:t>来（以合同签订时间为准</w:t>
            </w:r>
            <w:r>
              <w:rPr>
                <w:rFonts w:hint="eastAsia" w:asciiTheme="minorEastAsia" w:hAnsiTheme="minorEastAsia" w:eastAsiaTheme="minorEastAsia" w:cstheme="minorEastAsia"/>
                <w:spacing w:val="17"/>
                <w:sz w:val="24"/>
                <w:szCs w:val="24"/>
              </w:rPr>
              <w:t>），</w:t>
            </w:r>
            <w:r>
              <w:rPr>
                <w:rFonts w:hint="eastAsia" w:asciiTheme="minorEastAsia" w:hAnsiTheme="minorEastAsia" w:eastAsiaTheme="minorEastAsia" w:cstheme="minorEastAsia"/>
                <w:spacing w:val="-2"/>
                <w:sz w:val="24"/>
                <w:szCs w:val="24"/>
              </w:rPr>
              <w:t>投标人承担类似项目实施</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的经验情况。依照投标人提供的合同案</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2"/>
                <w:sz w:val="24"/>
                <w:szCs w:val="24"/>
              </w:rPr>
              <w:t>例及发票证明的，每个项目都需提供合同扫描件(合同内容须体现项目名</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2"/>
                <w:sz w:val="24"/>
                <w:szCs w:val="24"/>
              </w:rPr>
              <w:t>称、服务内容及合同签署页)、发票原件扫描件（对应合同期内任意一笔</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3"/>
                <w:sz w:val="24"/>
                <w:szCs w:val="24"/>
              </w:rPr>
              <w:t>的物业费银行进账单），每提供一个项目得</w:t>
            </w:r>
            <w:r>
              <w:rPr>
                <w:rFonts w:hint="eastAsia" w:asciiTheme="minorEastAsia" w:hAnsiTheme="minorEastAsia" w:eastAsiaTheme="minorEastAsia" w:cstheme="minorEastAsia"/>
                <w:spacing w:val="-48"/>
                <w:sz w:val="24"/>
                <w:szCs w:val="24"/>
                <w:lang w:val="en-US" w:eastAsia="zh-CN"/>
              </w:rPr>
              <w:t>1</w:t>
            </w:r>
            <w:r>
              <w:rPr>
                <w:rFonts w:hint="eastAsia" w:asciiTheme="minorEastAsia" w:hAnsiTheme="minorEastAsia" w:eastAsiaTheme="minorEastAsia" w:cstheme="minorEastAsia"/>
                <w:spacing w:val="-3"/>
                <w:sz w:val="24"/>
                <w:szCs w:val="24"/>
              </w:rPr>
              <w:t>分，</w:t>
            </w:r>
            <w:r>
              <w:rPr>
                <w:rFonts w:hint="eastAsia" w:asciiTheme="minorEastAsia" w:hAnsiTheme="minorEastAsia" w:eastAsiaTheme="minorEastAsia" w:cstheme="minorEastAsia"/>
                <w:spacing w:val="-4"/>
                <w:sz w:val="24"/>
                <w:szCs w:val="24"/>
              </w:rPr>
              <w:t>最高</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4"/>
                <w:sz w:val="24"/>
                <w:szCs w:val="24"/>
                <w:lang w:val="en-US" w:eastAsia="zh-CN"/>
              </w:rPr>
              <w:t>2</w:t>
            </w:r>
            <w:r>
              <w:rPr>
                <w:rFonts w:hint="eastAsia" w:asciiTheme="minorEastAsia" w:hAnsiTheme="minorEastAsia" w:eastAsiaTheme="minorEastAsia" w:cstheme="minorEastAsia"/>
                <w:spacing w:val="-4"/>
                <w:sz w:val="24"/>
                <w:szCs w:val="24"/>
              </w:rPr>
              <w:t>分。注：同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个用户的多个项目业绩按一个有效合同计算，未按要求提供或者提供不齐</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2"/>
                <w:sz w:val="24"/>
                <w:szCs w:val="24"/>
              </w:rPr>
              <w:t>全的不得分。</w:t>
            </w:r>
          </w:p>
        </w:tc>
        <w:tc>
          <w:tcPr>
            <w:tcW w:w="68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p>
        </w:tc>
      </w:tr>
      <w:tr>
        <w:tblPrEx>
          <w:tblCellMar>
            <w:top w:w="0" w:type="dxa"/>
            <w:left w:w="108" w:type="dxa"/>
            <w:bottom w:w="0" w:type="dxa"/>
            <w:right w:w="108" w:type="dxa"/>
          </w:tblCellMar>
        </w:tblPrEx>
        <w:trPr>
          <w:trHeight w:val="857"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eastAsiaTheme="minorEastAsia"/>
                <w:color w:val="000000" w:themeColor="text1"/>
                <w:sz w:val="24"/>
                <w:szCs w:val="24"/>
                <w:lang w:eastAsia="zh-CN"/>
                <w14:textFill>
                  <w14:solidFill>
                    <w14:schemeClr w14:val="tx1"/>
                  </w14:solidFill>
                </w14:textFill>
              </w:rPr>
            </w:pPr>
            <w:r>
              <w:rPr>
                <w:rFonts w:hint="eastAsia" w:ascii="宋体" w:hAnsi="宋体" w:cs="Arial"/>
                <w:b/>
                <w:bCs/>
                <w:color w:val="000000" w:themeColor="text1"/>
                <w:sz w:val="24"/>
                <w:szCs w:val="24"/>
                <w:lang w:eastAsia="zh-CN"/>
                <w14:textFill>
                  <w14:solidFill>
                    <w14:schemeClr w14:val="tx1"/>
                  </w14:solidFill>
                </w14:textFill>
              </w:rPr>
              <w:t>价格</w:t>
            </w:r>
            <w:r>
              <w:rPr>
                <w:rFonts w:hint="eastAsia" w:ascii="宋体" w:hAnsi="宋体" w:cs="Arial"/>
                <w:b/>
                <w:bCs/>
                <w:color w:val="000000" w:themeColor="text1"/>
                <w:sz w:val="24"/>
                <w:szCs w:val="24"/>
                <w:lang w:val="en-US" w:eastAsia="zh-CN"/>
                <w14:textFill>
                  <w14:solidFill>
                    <w14:schemeClr w14:val="tx1"/>
                  </w14:solidFill>
                </w14:textFill>
              </w:rPr>
              <w:t>20</w:t>
            </w:r>
            <w:r>
              <w:rPr>
                <w:rFonts w:hint="eastAsia" w:ascii="宋体" w:hAnsi="宋体" w:cs="Arial"/>
                <w:b/>
                <w:bCs/>
                <w:color w:val="000000" w:themeColor="text1"/>
                <w:sz w:val="24"/>
                <w:szCs w:val="24"/>
                <w:lang w:eastAsia="zh-CN"/>
                <w14:textFill>
                  <w14:solidFill>
                    <w14:schemeClr w14:val="tx1"/>
                  </w14:solidFill>
                </w14:textFill>
              </w:rPr>
              <w:t>分</w:t>
            </w:r>
          </w:p>
        </w:tc>
        <w:tc>
          <w:tcPr>
            <w:tcW w:w="8523"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以合格投标人/供应商有效总报价中的最低价为基准价，基准价为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分。报价得分＝（评标基准价/最终报价）×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%×100（小数点后保留2位小数）。</w:t>
            </w:r>
          </w:p>
        </w:tc>
        <w:tc>
          <w:tcPr>
            <w:tcW w:w="68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p>
        </w:tc>
      </w:tr>
    </w:tbl>
    <w:p>
      <w:pPr>
        <w:spacing w:before="35" w:line="230" w:lineRule="auto"/>
        <w:ind w:right="826"/>
        <w:outlineLvl w:val="0"/>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pacing w:val="-1"/>
          <w:sz w:val="24"/>
          <w:szCs w:val="24"/>
          <w14:textOutline w14:w="4358" w14:cap="sq" w14:cmpd="sng">
            <w14:solidFill>
              <w14:srgbClr w14:val="000000"/>
            </w14:solidFill>
            <w14:prstDash w14:val="solid"/>
            <w14:bevel/>
          </w14:textOutline>
        </w:rPr>
        <w:t>注：</w:t>
      </w:r>
      <w:r>
        <w:rPr>
          <w:rFonts w:ascii="宋体" w:hAnsi="宋体" w:eastAsia="宋体" w:cs="宋体"/>
          <w:spacing w:val="-1"/>
          <w:sz w:val="20"/>
          <w:szCs w:val="20"/>
        </w:rPr>
        <w:t>①</w:t>
      </w:r>
      <w:r>
        <w:rPr>
          <w:rFonts w:ascii="宋体" w:hAnsi="宋体" w:eastAsia="宋体" w:cs="宋体"/>
          <w:spacing w:val="-1"/>
          <w:sz w:val="24"/>
          <w:szCs w:val="24"/>
          <w14:textOutline w14:w="4358" w14:cap="sq" w14:cmpd="sng">
            <w14:solidFill>
              <w14:srgbClr w14:val="000000"/>
            </w14:solidFill>
            <w14:prstDash w14:val="solid"/>
            <w14:bevel/>
          </w14:textOutline>
        </w:rPr>
        <w:t>合同、证书、报告及其他相关证明材料，将原件扫描上传至电子投标文件，并加</w:t>
      </w:r>
      <w:r>
        <w:rPr>
          <w:rFonts w:ascii="宋体" w:hAnsi="宋体" w:eastAsia="宋体" w:cs="宋体"/>
          <w:spacing w:val="14"/>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盖电子印章。</w:t>
      </w:r>
    </w:p>
    <w:p>
      <w:pPr>
        <w:pStyle w:val="2"/>
        <w:rPr>
          <w:rFonts w:hint="eastAsia"/>
        </w:rPr>
      </w:pP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2.最后报价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（1）磋商文件能够详细列明采购标的的技术、服务要求的，磋商结束后，磋商小组将要求所有实质性响应的供应商在规定时间内提交最后报价，最后报价是供应商响应文件的有效组成部分。</w:t>
      </w:r>
    </w:p>
    <w:p>
      <w:pPr>
        <w:pStyle w:val="30"/>
        <w:spacing w:line="360" w:lineRule="auto"/>
        <w:ind w:firstLine="480" w:firstLineChars="200"/>
        <w:jc w:val="both"/>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12"/>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3.评审要求</w:t>
      </w:r>
    </w:p>
    <w:p>
      <w:pPr>
        <w:spacing w:line="360" w:lineRule="auto"/>
        <w:ind w:firstLine="480" w:firstLineChars="200"/>
        <w:rPr>
          <w:rFonts w:ascii="宋体" w:hAnsi="宋体" w:cs="宋体"/>
          <w:sz w:val="24"/>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磋商小组应当按照磋商文件中规定的评审方法和标准，对符合性审查合格的响应文件的商务部分和技术部分进行综合比较与评价，其中</w:t>
      </w:r>
      <w:r>
        <w:rPr>
          <w:rFonts w:hint="eastAsia" w:ascii="宋体"/>
          <w:bCs/>
          <w:color w:val="000000" w:themeColor="text1"/>
          <w:sz w:val="24"/>
          <w:lang w:val="zh-CN"/>
          <w14:textFill>
            <w14:solidFill>
              <w14:schemeClr w14:val="tx1"/>
            </w14:solidFill>
          </w14:textFill>
        </w:rPr>
        <w:t>客观</w:t>
      </w:r>
      <w:r>
        <w:rPr>
          <w:rFonts w:hint="eastAsia" w:ascii="宋体"/>
          <w:bCs/>
          <w:color w:val="000000" w:themeColor="text1"/>
          <w:sz w:val="24"/>
          <w14:textFill>
            <w14:solidFill>
              <w14:schemeClr w14:val="tx1"/>
            </w14:solidFill>
          </w14:textFill>
        </w:rPr>
        <w:t>评分</w:t>
      </w:r>
      <w:r>
        <w:rPr>
          <w:rFonts w:hint="eastAsia" w:ascii="宋体"/>
          <w:bCs/>
          <w:sz w:val="24"/>
        </w:rPr>
        <w:t>项的分值</w:t>
      </w:r>
      <w:r>
        <w:rPr>
          <w:rFonts w:hint="eastAsia" w:ascii="宋体"/>
          <w:bCs/>
          <w:sz w:val="24"/>
          <w:lang w:val="zh-CN"/>
        </w:rPr>
        <w:t>应当一致。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（2）对于磋商响应文件中</w:t>
      </w:r>
      <w:r>
        <w:rPr>
          <w:rFonts w:hint="eastAsia" w:ascii="宋体" w:hAnsi="宋体" w:cs="宋体"/>
          <w:color w:val="000000" w:themeColor="text1"/>
          <w:sz w:val="24"/>
          <w14:textFill>
            <w14:solidFill>
              <w14:schemeClr w14:val="tx1"/>
            </w14:solidFill>
          </w14:textFill>
        </w:rPr>
        <w:t>含义不明确、同类问题表述不一致或者有明显文字和计算错误的内容，磋商小组应当要求供应商作出必要的澄清、说明或者补正。</w:t>
      </w:r>
    </w:p>
    <w:p>
      <w:pPr>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（3）供应商的澄清（说明或者补正）采用书</w:t>
      </w:r>
      <w:r>
        <w:rPr>
          <w:rFonts w:hint="eastAsia" w:ascii="宋体" w:hAnsi="宋体" w:cs="宋体"/>
          <w:sz w:val="24"/>
        </w:rPr>
        <w:t>面形式，并加盖公章或者由法定代表人或授权代表签字，且不得超出磋商响应文件的范围或者改变磋商响应文件的实质性内容。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经磋商确定最终采购需求和提交最后报价的供应商后，由磋商小组采用综合评分法对提交最后报价的供应商的响应文件和最后报价进行综合比较与评价。根据综合评分情况，按评审得分由低</w:t>
      </w:r>
      <w:r>
        <w:rPr>
          <w:rFonts w:hint="eastAsia" w:ascii="宋体" w:hAnsi="宋体" w:cs="宋体"/>
          <w:sz w:val="24"/>
          <w:lang w:eastAsia="zh-CN"/>
        </w:rPr>
        <w:t>到高</w:t>
      </w:r>
      <w:r>
        <w:rPr>
          <w:rFonts w:hint="eastAsia" w:ascii="宋体" w:hAnsi="宋体" w:cs="宋体"/>
          <w:sz w:val="24"/>
        </w:rPr>
        <w:t>顺序推荐3名以上成交候选供应商。评审得分相同的，按照最后报价由高到低的顺序推荐。评审得分且最后磋商报价相同的，按照技术指标优劣顺序推荐。</w:t>
      </w:r>
    </w:p>
    <w:p>
      <w:pPr>
        <w:spacing w:line="360" w:lineRule="auto"/>
        <w:ind w:firstLine="482" w:firstLineChars="200"/>
        <w:rPr>
          <w:rFonts w:ascii="宋体" w:hAnsi="宋体" w:cs="宋体"/>
          <w:b/>
          <w:bCs/>
          <w:sz w:val="24"/>
        </w:rPr>
      </w:pPr>
      <w:r>
        <w:rPr>
          <w:rFonts w:hint="eastAsia" w:ascii="宋体" w:hAnsi="宋体" w:cs="宋体"/>
          <w:b/>
          <w:bCs/>
          <w:sz w:val="24"/>
        </w:rPr>
        <w:t>（五）编写评审报告</w:t>
      </w:r>
    </w:p>
    <w:p>
      <w:pPr>
        <w:spacing w:line="360" w:lineRule="auto"/>
        <w:ind w:firstLine="480" w:firstLineChars="200"/>
        <w:rPr>
          <w:rFonts w:ascii="宋体" w:hAnsi="宋体" w:cs="宋体"/>
          <w:sz w:val="24"/>
        </w:rPr>
      </w:pPr>
      <w:r>
        <w:rPr>
          <w:rFonts w:hint="eastAsia" w:ascii="宋体" w:hAnsi="宋体" w:cs="宋体"/>
          <w:sz w:val="24"/>
        </w:rPr>
        <w:t>磋商小组根据全体评审人员签字的原始记录和</w:t>
      </w:r>
      <w:r>
        <w:rPr>
          <w:rFonts w:hint="eastAsia" w:ascii="宋体" w:hAnsi="宋体" w:cs="宋体"/>
          <w:sz w:val="24"/>
          <w:highlight w:val="none"/>
        </w:rPr>
        <w:t>评</w:t>
      </w:r>
      <w:r>
        <w:rPr>
          <w:rFonts w:hint="eastAsia" w:ascii="宋体" w:hAnsi="宋体" w:cs="宋体"/>
          <w:sz w:val="24"/>
          <w:highlight w:val="none"/>
          <w:lang w:val="en-US" w:eastAsia="zh-CN"/>
        </w:rPr>
        <w:t>审</w:t>
      </w:r>
      <w:r>
        <w:rPr>
          <w:rFonts w:hint="eastAsia" w:ascii="宋体" w:hAnsi="宋体" w:cs="宋体"/>
          <w:sz w:val="24"/>
          <w:highlight w:val="none"/>
        </w:rPr>
        <w:t>结果</w:t>
      </w:r>
      <w:r>
        <w:rPr>
          <w:rFonts w:hint="eastAsia" w:ascii="宋体" w:hAnsi="宋体" w:cs="宋体"/>
          <w:sz w:val="24"/>
        </w:rPr>
        <w:t>编写评审报告。</w:t>
      </w:r>
    </w:p>
    <w:p>
      <w:pPr>
        <w:pStyle w:val="23"/>
        <w:rPr>
          <w:rFonts w:hint="eastAsia"/>
        </w:rPr>
      </w:pPr>
    </w:p>
    <w:p>
      <w:pPr>
        <w:pStyle w:val="23"/>
        <w:rPr>
          <w:rFonts w:hint="eastAsia"/>
        </w:rPr>
      </w:pPr>
    </w:p>
    <w:p>
      <w:pPr>
        <w:pStyle w:val="23"/>
        <w:rPr>
          <w:rFonts w:hint="eastAsia"/>
        </w:rPr>
      </w:pPr>
    </w:p>
    <w:p>
      <w:pPr>
        <w:pStyle w:val="23"/>
        <w:rPr>
          <w:rFonts w:hint="eastAsia"/>
        </w:rPr>
      </w:pPr>
    </w:p>
    <w:p>
      <w:pPr>
        <w:rPr>
          <w:rFonts w:hint="eastAsia"/>
        </w:rPr>
      </w:pPr>
      <w:r>
        <w:rPr>
          <w:rFonts w:hint="eastAsia"/>
        </w:rPr>
        <w:br w:type="page"/>
      </w:r>
    </w:p>
    <w:p>
      <w:pPr>
        <w:spacing w:line="360" w:lineRule="auto"/>
        <w:jc w:val="center"/>
        <w:outlineLvl w:val="0"/>
        <w:rPr>
          <w:rFonts w:asciiTheme="minorEastAsia" w:hAnsiTheme="minorEastAsia" w:eastAsiaTheme="minorEastAsia"/>
          <w:sz w:val="24"/>
        </w:rPr>
      </w:pPr>
      <w:bookmarkStart w:id="37" w:name="_Toc21781"/>
      <w:r>
        <w:rPr>
          <w:rFonts w:hint="eastAsia" w:asciiTheme="minorEastAsia" w:hAnsiTheme="minorEastAsia" w:eastAsiaTheme="minorEastAsia"/>
          <w:b/>
          <w:sz w:val="36"/>
          <w:szCs w:val="36"/>
        </w:rPr>
        <w:t xml:space="preserve">第五章  </w:t>
      </w:r>
      <w:bookmarkEnd w:id="37"/>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本项目合同的通用条款，成交供应商不得提出实质性的修改，关于专用条款将由采购人与成交供应商结合本项目具体情况协商后签订。</w:t>
      </w:r>
    </w:p>
    <w:p>
      <w:pPr>
        <w:pStyle w:val="12"/>
        <w:snapToGrid w:val="0"/>
        <w:spacing w:line="360" w:lineRule="auto"/>
        <w:rPr>
          <w:rFonts w:hAnsi="宋体"/>
          <w:color w:val="000000" w:themeColor="text1"/>
          <w:sz w:val="24"/>
          <w14:textFill>
            <w14:solidFill>
              <w14:schemeClr w14:val="tx1"/>
            </w14:solidFill>
          </w14:textFill>
        </w:rPr>
      </w:pPr>
      <w:r>
        <w:rPr>
          <w:rFonts w:hAnsi="宋体"/>
          <w:sz w:val="24"/>
        </w:rPr>
        <w:t xml:space="preserve">项目名称：                                 </w:t>
      </w:r>
      <w:r>
        <w:rPr>
          <w:rFonts w:hAnsi="宋体"/>
          <w:color w:val="000000" w:themeColor="text1"/>
          <w:sz w:val="24"/>
          <w14:textFill>
            <w14:solidFill>
              <w14:schemeClr w14:val="tx1"/>
            </w14:solidFill>
          </w14:textFill>
        </w:rPr>
        <w:t xml:space="preserve">  项目编号：</w:t>
      </w:r>
    </w:p>
    <w:p>
      <w:pPr>
        <w:pStyle w:val="12"/>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甲方：（</w:t>
      </w:r>
      <w:r>
        <w:rPr>
          <w:rFonts w:hint="eastAsia" w:hAnsi="宋体"/>
          <w:color w:val="000000" w:themeColor="text1"/>
          <w:sz w:val="24"/>
          <w14:textFill>
            <w14:solidFill>
              <w14:schemeClr w14:val="tx1"/>
            </w14:solidFill>
          </w14:textFill>
        </w:rPr>
        <w:t>采购单位</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所在地：   </w:t>
      </w:r>
    </w:p>
    <w:p>
      <w:pPr>
        <w:pStyle w:val="12"/>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乙方：（</w:t>
      </w:r>
      <w:r>
        <w:rPr>
          <w:rFonts w:hint="eastAsia" w:hAnsi="宋体"/>
          <w:color w:val="000000" w:themeColor="text1"/>
          <w:sz w:val="24"/>
          <w14:textFill>
            <w14:solidFill>
              <w14:schemeClr w14:val="tx1"/>
            </w14:solidFill>
          </w14:textFill>
        </w:rPr>
        <w:t>成交供应商</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所在地：</w:t>
      </w:r>
    </w:p>
    <w:p>
      <w:pPr>
        <w:widowControl/>
        <w:shd w:val="clear" w:color="auto" w:fill="FFFFFF"/>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甲、乙双方根据</w:t>
      </w: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(采购组织机构名称）</w:t>
      </w:r>
      <w:r>
        <w:rPr>
          <w:rFonts w:ascii="宋体" w:hAnsi="宋体"/>
          <w:color w:val="000000" w:themeColor="text1"/>
          <w:sz w:val="24"/>
          <w14:textFill>
            <w14:solidFill>
              <w14:schemeClr w14:val="tx1"/>
            </w14:solidFill>
          </w14:textFill>
        </w:rPr>
        <w:t>关于</w:t>
      </w:r>
      <w:r>
        <w:rPr>
          <w:rFonts w:hint="eastAsia" w:cs="Arial" w:asciiTheme="minorEastAsia" w:hAnsiTheme="minorEastAsia" w:eastAsiaTheme="minorEastAsia"/>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项目</w:t>
      </w:r>
      <w:r>
        <w:rPr>
          <w:rFonts w:hint="eastAsia" w:ascii="宋体" w:hAnsi="宋体"/>
          <w:color w:val="000000" w:themeColor="text1"/>
          <w:sz w:val="24"/>
          <w14:textFill>
            <w14:solidFill>
              <w14:schemeClr w14:val="tx1"/>
            </w14:solidFill>
          </w14:textFill>
        </w:rPr>
        <w:t>竞争性磋商的</w:t>
      </w:r>
      <w:r>
        <w:rPr>
          <w:rFonts w:ascii="宋体" w:hAnsi="宋体"/>
          <w:color w:val="000000" w:themeColor="text1"/>
          <w:sz w:val="24"/>
          <w14:textFill>
            <w14:solidFill>
              <w14:schemeClr w14:val="tx1"/>
            </w14:solidFill>
          </w14:textFill>
        </w:rPr>
        <w:t>结果，签署本合同。</w:t>
      </w:r>
    </w:p>
    <w:p>
      <w:pPr>
        <w:spacing w:line="360"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一</w:t>
      </w:r>
      <w:r>
        <w:rPr>
          <w:rFonts w:hint="eastAsia" w:ascii="宋体"/>
          <w:b/>
          <w:color w:val="000000" w:themeColor="text1"/>
          <w:sz w:val="24"/>
          <w14:textFill>
            <w14:solidFill>
              <w14:schemeClr w14:val="tx1"/>
            </w14:solidFill>
          </w14:textFill>
        </w:rPr>
        <w:t>、</w:t>
      </w:r>
      <w:r>
        <w:rPr>
          <w:rFonts w:hint="eastAsia" w:ascii="宋体"/>
          <w:b/>
          <w:color w:val="000000" w:themeColor="text1"/>
          <w:sz w:val="24"/>
          <w:lang w:val="zh-CN"/>
          <w14:textFill>
            <w14:solidFill>
              <w14:schemeClr w14:val="tx1"/>
            </w14:solidFill>
          </w14:textFill>
        </w:rPr>
        <w:t>合同文件</w:t>
      </w:r>
    </w:p>
    <w:p>
      <w:pPr>
        <w:numPr>
          <w:ilvl w:val="0"/>
          <w:numId w:val="13"/>
        </w:num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合同条款</w:t>
      </w:r>
    </w:p>
    <w:p>
      <w:pPr>
        <w:numPr>
          <w:ilvl w:val="0"/>
          <w:numId w:val="13"/>
        </w:num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成交通知书</w:t>
      </w:r>
    </w:p>
    <w:p>
      <w:pPr>
        <w:numPr>
          <w:ilvl w:val="0"/>
          <w:numId w:val="13"/>
        </w:num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更正补充文件</w:t>
      </w:r>
    </w:p>
    <w:p>
      <w:pPr>
        <w:numPr>
          <w:ilvl w:val="0"/>
          <w:numId w:val="13"/>
        </w:num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磋商文件</w:t>
      </w:r>
    </w:p>
    <w:p>
      <w:pPr>
        <w:numPr>
          <w:ilvl w:val="0"/>
          <w:numId w:val="13"/>
        </w:num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成交供应商响应文件</w:t>
      </w:r>
    </w:p>
    <w:p>
      <w:pPr>
        <w:numPr>
          <w:ilvl w:val="0"/>
          <w:numId w:val="13"/>
        </w:numPr>
        <w:spacing w:line="360" w:lineRule="auto"/>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其他</w:t>
      </w:r>
    </w:p>
    <w:p>
      <w:pPr>
        <w:pStyle w:val="12"/>
        <w:snapToGrid w:val="0"/>
        <w:spacing w:line="360" w:lineRule="auto"/>
        <w:ind w:firstLine="480" w:firstLineChars="200"/>
        <w:rPr>
          <w:rFonts w:hAnsi="Times New Roman"/>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w:t>
      </w:r>
      <w:r>
        <w:rPr>
          <w:rFonts w:ascii="宋体" w:hAnsi="宋体" w:cs="Arial"/>
          <w:b/>
          <w:color w:val="000000" w:themeColor="text1"/>
          <w:kern w:val="0"/>
          <w:sz w:val="24"/>
          <w14:textFill>
            <w14:solidFill>
              <w14:schemeClr w14:val="tx1"/>
            </w14:solidFill>
          </w14:textFill>
        </w:rPr>
        <w:t>合同内容及服务标准</w:t>
      </w:r>
    </w:p>
    <w:p>
      <w:pPr>
        <w:widowControl/>
        <w:shd w:val="clear" w:color="auto" w:fill="FFFFFF"/>
        <w:spacing w:line="360" w:lineRule="auto"/>
        <w:ind w:firstLine="480" w:firstLineChars="200"/>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（具体见项目需求）</w:t>
      </w:r>
    </w:p>
    <w:p>
      <w:pPr>
        <w:pStyle w:val="12"/>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三、</w:t>
      </w:r>
      <w:r>
        <w:rPr>
          <w:rFonts w:hAnsi="宋体"/>
          <w:b/>
          <w:color w:val="000000" w:themeColor="text1"/>
          <w:sz w:val="24"/>
          <w14:textFill>
            <w14:solidFill>
              <w14:schemeClr w14:val="tx1"/>
            </w14:solidFill>
          </w14:textFill>
        </w:rPr>
        <w:t>合同金额</w:t>
      </w:r>
    </w:p>
    <w:p>
      <w:pPr>
        <w:pStyle w:val="12"/>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本合同金额为（大写）：___________________元（￥________元）人民币。</w:t>
      </w:r>
    </w:p>
    <w:p>
      <w:pPr>
        <w:widowControl/>
        <w:shd w:val="clear" w:color="auto" w:fill="FFFFFF"/>
        <w:spacing w:line="360" w:lineRule="auto"/>
        <w:ind w:firstLine="482" w:firstLineChars="200"/>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四、</w:t>
      </w:r>
      <w:r>
        <w:rPr>
          <w:rFonts w:ascii="宋体" w:hAnsi="宋体" w:cs="Arial"/>
          <w:b/>
          <w:color w:val="000000" w:themeColor="text1"/>
          <w:kern w:val="0"/>
          <w:sz w:val="24"/>
          <w14:textFill>
            <w14:solidFill>
              <w14:schemeClr w14:val="tx1"/>
            </w14:solidFill>
          </w14:textFill>
        </w:rPr>
        <w:t>甲乙双方责任</w:t>
      </w:r>
    </w:p>
    <w:p>
      <w:pPr>
        <w:pStyle w:val="21"/>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（一）甲方责任</w:t>
      </w:r>
    </w:p>
    <w:p>
      <w:pPr>
        <w:pStyle w:val="21"/>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（根据磋商结果确定）</w:t>
      </w:r>
    </w:p>
    <w:p>
      <w:pPr>
        <w:pStyle w:val="21"/>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（二）乙方责任</w:t>
      </w:r>
    </w:p>
    <w:p>
      <w:pPr>
        <w:pStyle w:val="21"/>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color w:val="000000" w:themeColor="text1"/>
          <w14:textFill>
            <w14:solidFill>
              <w14:schemeClr w14:val="tx1"/>
            </w14:solidFill>
          </w14:textFill>
        </w:rPr>
        <w:t>（根据</w:t>
      </w:r>
      <w:r>
        <w:rPr>
          <w:rFonts w:cs="Arial"/>
          <w:color w:val="000000" w:themeColor="text1"/>
          <w14:textFill>
            <w14:solidFill>
              <w14:schemeClr w14:val="tx1"/>
            </w14:solidFill>
          </w14:textFill>
        </w:rPr>
        <w:t>磋商</w:t>
      </w:r>
      <w:r>
        <w:rPr>
          <w:color w:val="000000" w:themeColor="text1"/>
          <w14:textFill>
            <w14:solidFill>
              <w14:schemeClr w14:val="tx1"/>
            </w14:solidFill>
          </w14:textFill>
        </w:rPr>
        <w:t>结果确定）</w:t>
      </w:r>
    </w:p>
    <w:p>
      <w:pPr>
        <w:pStyle w:val="12"/>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五、</w:t>
      </w:r>
      <w:r>
        <w:rPr>
          <w:rFonts w:hAnsi="宋体"/>
          <w:b/>
          <w:color w:val="000000" w:themeColor="text1"/>
          <w:sz w:val="24"/>
          <w14:textFill>
            <w14:solidFill>
              <w14:schemeClr w14:val="tx1"/>
            </w14:solidFill>
          </w14:textFill>
        </w:rPr>
        <w:t>技术资料</w:t>
      </w:r>
    </w:p>
    <w:p>
      <w:pPr>
        <w:pStyle w:val="12"/>
        <w:numPr>
          <w:ilvl w:val="0"/>
          <w:numId w:val="14"/>
        </w:numPr>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乙方应按</w:t>
      </w:r>
      <w:r>
        <w:rPr>
          <w:rFonts w:hint="eastAsia" w:hAnsi="宋体"/>
          <w:color w:val="000000" w:themeColor="text1"/>
          <w:sz w:val="24"/>
          <w14:textFill>
            <w14:solidFill>
              <w14:schemeClr w14:val="tx1"/>
            </w14:solidFill>
          </w14:textFill>
        </w:rPr>
        <w:t>磋商文件</w:t>
      </w:r>
      <w:r>
        <w:rPr>
          <w:rFonts w:hAnsi="宋体"/>
          <w:color w:val="000000" w:themeColor="text1"/>
          <w:sz w:val="24"/>
          <w14:textFill>
            <w14:solidFill>
              <w14:schemeClr w14:val="tx1"/>
            </w14:solidFill>
          </w14:textFill>
        </w:rPr>
        <w:t>规定的时间向甲方提供有关技术资料。</w:t>
      </w:r>
    </w:p>
    <w:p>
      <w:pPr>
        <w:pStyle w:val="12"/>
        <w:numPr>
          <w:ilvl w:val="0"/>
          <w:numId w:val="14"/>
        </w:numPr>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没有甲方事先书面同意，乙方不得将由甲方提供的有关合同或任何合同条文、规格、计划、图纸、样品或资料提供</w:t>
      </w:r>
      <w:r>
        <w:rPr>
          <w:rFonts w:hint="eastAsia" w:hAnsi="宋体"/>
          <w:color w:val="000000" w:themeColor="text1"/>
          <w:sz w:val="24"/>
          <w:lang w:eastAsia="zh-CN"/>
          <w14:textFill>
            <w14:solidFill>
              <w14:schemeClr w14:val="tx1"/>
            </w14:solidFill>
          </w14:textFill>
        </w:rPr>
        <w:t>给予</w:t>
      </w:r>
      <w:r>
        <w:rPr>
          <w:rFonts w:hAnsi="宋体"/>
          <w:color w:val="000000" w:themeColor="text1"/>
          <w:sz w:val="24"/>
          <w14:textFill>
            <w14:solidFill>
              <w14:schemeClr w14:val="tx1"/>
            </w14:solidFill>
          </w14:textFill>
        </w:rPr>
        <w:t>履行本合同无关的任何其他人。即使向履行本合同有关的人员提供，也应注意保密并限于履行合同的必需范围。</w:t>
      </w:r>
    </w:p>
    <w:p>
      <w:pPr>
        <w:pStyle w:val="12"/>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六</w:t>
      </w:r>
      <w:r>
        <w:rPr>
          <w:rFonts w:hAnsi="宋体"/>
          <w:b/>
          <w:color w:val="000000" w:themeColor="text1"/>
          <w:sz w:val="24"/>
          <w14:textFill>
            <w14:solidFill>
              <w14:schemeClr w14:val="tx1"/>
            </w14:solidFill>
          </w14:textFill>
        </w:rPr>
        <w:t>、知识产权</w:t>
      </w:r>
    </w:p>
    <w:p>
      <w:pPr>
        <w:pStyle w:val="12"/>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（一）</w:t>
      </w:r>
      <w:r>
        <w:rPr>
          <w:rFonts w:hAnsi="宋体"/>
          <w:color w:val="000000" w:themeColor="text1"/>
          <w:sz w:val="24"/>
          <w14:textFill>
            <w14:solidFill>
              <w14:schemeClr w14:val="tx1"/>
            </w14:solidFill>
          </w14:textFill>
        </w:rPr>
        <w:t>乙方应保证提供服务过程中不会侵犯任何第三方的知识产权。</w:t>
      </w:r>
    </w:p>
    <w:p>
      <w:pPr>
        <w:pStyle w:val="12"/>
        <w:snapToGrid w:val="0"/>
        <w:spacing w:line="360" w:lineRule="auto"/>
        <w:ind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（二）若侵犯</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由乙方赔偿甲方因此遭受的损失（包括但不限于应对及追偿过程中所支付的律师费、差旅费、诉讼费、保全费、鉴定费、评估费等）。</w:t>
      </w:r>
    </w:p>
    <w:p>
      <w:pPr>
        <w:pStyle w:val="12"/>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七</w:t>
      </w:r>
      <w:r>
        <w:rPr>
          <w:rFonts w:hAnsi="宋体"/>
          <w:b/>
          <w:color w:val="000000" w:themeColor="text1"/>
          <w:sz w:val="24"/>
          <w14:textFill>
            <w14:solidFill>
              <w14:schemeClr w14:val="tx1"/>
            </w14:solidFill>
          </w14:textFill>
        </w:rPr>
        <w:t>、履约保证金</w:t>
      </w:r>
    </w:p>
    <w:p>
      <w:pPr>
        <w:tabs>
          <w:tab w:val="left" w:pos="1418"/>
        </w:tabs>
        <w:autoSpaceDE w:val="0"/>
        <w:autoSpaceDN w:val="0"/>
        <w:adjustRightInd w:val="0"/>
        <w:spacing w:line="360" w:lineRule="auto"/>
        <w:ind w:firstLine="480" w:firstLineChars="200"/>
        <w:rPr>
          <w:rFonts w:ascii="宋体" w:hAnsi="宋体" w:cstheme="minorBidi"/>
          <w:color w:val="000000" w:themeColor="text1"/>
          <w:sz w:val="24"/>
          <w14:textFill>
            <w14:solidFill>
              <w14:schemeClr w14:val="tx1"/>
            </w14:solidFill>
          </w14:textFill>
        </w:rPr>
      </w:pPr>
      <w:r>
        <w:rPr>
          <w:rFonts w:hint="eastAsia" w:ascii="宋体" w:hAnsi="宋体" w:cstheme="minorBidi"/>
          <w:color w:val="000000" w:themeColor="text1"/>
          <w:sz w:val="24"/>
          <w14:textFill>
            <w14:solidFill>
              <w14:schemeClr w14:val="tx1"/>
            </w14:solidFill>
          </w14:textFill>
        </w:rPr>
        <w:t>本项目履约保证金为合同金额的</w:t>
      </w:r>
      <w:r>
        <w:rPr>
          <w:rFonts w:ascii="宋体" w:hAnsi="宋体" w:cstheme="minorBidi"/>
          <w:color w:val="000000" w:themeColor="text1"/>
          <w:sz w:val="24"/>
          <w14:textFill>
            <w14:solidFill>
              <w14:schemeClr w14:val="tx1"/>
            </w14:solidFill>
          </w14:textFill>
        </w:rPr>
        <w:t>____</w:t>
      </w:r>
      <w:r>
        <w:rPr>
          <w:rFonts w:hint="eastAsia" w:ascii="宋体" w:hAnsi="宋体" w:cstheme="minorBidi"/>
          <w:color w:val="000000" w:themeColor="text1"/>
          <w:sz w:val="24"/>
          <w14:textFill>
            <w14:solidFill>
              <w14:schemeClr w14:val="tx1"/>
            </w14:solidFill>
          </w14:textFill>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八、转包或分包</w:t>
      </w:r>
    </w:p>
    <w:p>
      <w:pPr>
        <w:numPr>
          <w:ilvl w:val="0"/>
          <w:numId w:val="15"/>
        </w:num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本合同范围的服务，应由</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方直接供应，不得转让他人供应；</w:t>
      </w:r>
    </w:p>
    <w:p>
      <w:pPr>
        <w:numPr>
          <w:ilvl w:val="0"/>
          <w:numId w:val="15"/>
        </w:num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除非得到甲方的书面同意，</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方不得将本合同范围的服务全部或部分分包给他人供应；</w:t>
      </w:r>
    </w:p>
    <w:p>
      <w:pPr>
        <w:numPr>
          <w:ilvl w:val="0"/>
          <w:numId w:val="15"/>
        </w:num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如有转让和未经甲方同意的分包行为，甲方有权解除合同，没收履约保证金并追究乙方的违约责任。</w:t>
      </w:r>
    </w:p>
    <w:p>
      <w:pPr>
        <w:pStyle w:val="12"/>
        <w:snapToGrid w:val="0"/>
        <w:spacing w:line="360" w:lineRule="auto"/>
        <w:ind w:firstLine="482" w:firstLineChars="200"/>
        <w:rPr>
          <w:rFonts w:hAnsi="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w:t>
      </w:r>
      <w:r>
        <w:rPr>
          <w:rFonts w:hAnsi="宋体"/>
          <w:b/>
          <w:color w:val="000000" w:themeColor="text1"/>
          <w:sz w:val="24"/>
          <w14:textFill>
            <w14:solidFill>
              <w14:schemeClr w14:val="tx1"/>
            </w14:solidFill>
          </w14:textFill>
        </w:rPr>
        <w:t>、服务期 (选用)</w:t>
      </w:r>
    </w:p>
    <w:p>
      <w:pPr>
        <w:pStyle w:val="12"/>
        <w:numPr>
          <w:ilvl w:val="0"/>
          <w:numId w:val="16"/>
        </w:numPr>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服务期</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年。（自</w:t>
      </w:r>
      <w:r>
        <w:rPr>
          <w:rFonts w:hint="eastAsia" w:hAnsi="宋体"/>
          <w:color w:val="000000" w:themeColor="text1"/>
          <w:sz w:val="24"/>
          <w14:textFill>
            <w14:solidFill>
              <w14:schemeClr w14:val="tx1"/>
            </w14:solidFill>
          </w14:textFill>
        </w:rPr>
        <w:t>合同签订</w:t>
      </w:r>
      <w:r>
        <w:rPr>
          <w:rFonts w:hAnsi="宋体"/>
          <w:color w:val="000000" w:themeColor="text1"/>
          <w:sz w:val="24"/>
          <w14:textFill>
            <w14:solidFill>
              <w14:schemeClr w14:val="tx1"/>
            </w14:solidFill>
          </w14:textFill>
        </w:rPr>
        <w:t>之日起计）</w:t>
      </w:r>
    </w:p>
    <w:p>
      <w:pPr>
        <w:pStyle w:val="12"/>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w:t>
      </w:r>
      <w:r>
        <w:rPr>
          <w:rFonts w:hAnsi="宋体"/>
          <w:b/>
          <w:color w:val="000000" w:themeColor="text1"/>
          <w:sz w:val="24"/>
          <w14:textFill>
            <w14:solidFill>
              <w14:schemeClr w14:val="tx1"/>
            </w14:solidFill>
          </w14:textFill>
        </w:rPr>
        <w:t>、合同履行时间、履行方式及履行地点</w:t>
      </w:r>
    </w:p>
    <w:p>
      <w:pPr>
        <w:pStyle w:val="12"/>
        <w:numPr>
          <w:ilvl w:val="0"/>
          <w:numId w:val="17"/>
        </w:numPr>
        <w:snapToGrid w:val="0"/>
        <w:spacing w:line="360" w:lineRule="auto"/>
        <w:rPr>
          <w:rFonts w:hAnsi="宋体"/>
          <w:bCs/>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履行时间</w:t>
      </w:r>
      <w:r>
        <w:rPr>
          <w:rFonts w:hAnsi="宋体"/>
          <w:bCs/>
          <w:color w:val="000000" w:themeColor="text1"/>
          <w:sz w:val="24"/>
          <w14:textFill>
            <w14:solidFill>
              <w14:schemeClr w14:val="tx1"/>
            </w14:solidFill>
          </w14:textFill>
        </w:rPr>
        <w:t>：</w:t>
      </w:r>
    </w:p>
    <w:p>
      <w:pPr>
        <w:pStyle w:val="12"/>
        <w:numPr>
          <w:ilvl w:val="0"/>
          <w:numId w:val="17"/>
        </w:numPr>
        <w:snapToGrid w:val="0"/>
        <w:spacing w:line="360" w:lineRule="auto"/>
        <w:rPr>
          <w:rFonts w:hAnsi="宋体"/>
          <w:bCs/>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履行方式</w:t>
      </w:r>
      <w:r>
        <w:rPr>
          <w:rFonts w:hAnsi="宋体"/>
          <w:bCs/>
          <w:color w:val="000000" w:themeColor="text1"/>
          <w:sz w:val="24"/>
          <w14:textFill>
            <w14:solidFill>
              <w14:schemeClr w14:val="tx1"/>
            </w14:solidFill>
          </w14:textFill>
        </w:rPr>
        <w:t>：</w:t>
      </w:r>
    </w:p>
    <w:p>
      <w:pPr>
        <w:pStyle w:val="12"/>
        <w:numPr>
          <w:ilvl w:val="0"/>
          <w:numId w:val="17"/>
        </w:numPr>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履行地点</w:t>
      </w:r>
      <w:r>
        <w:rPr>
          <w:rFonts w:hAnsi="宋体"/>
          <w:bCs/>
          <w:color w:val="000000" w:themeColor="text1"/>
          <w:sz w:val="24"/>
          <w14:textFill>
            <w14:solidFill>
              <w14:schemeClr w14:val="tx1"/>
            </w14:solidFill>
          </w14:textFill>
        </w:rPr>
        <w:t>：</w:t>
      </w:r>
    </w:p>
    <w:p>
      <w:pPr>
        <w:pStyle w:val="12"/>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十一</w:t>
      </w:r>
      <w:r>
        <w:rPr>
          <w:rFonts w:hAnsi="宋体"/>
          <w:b/>
          <w:color w:val="000000" w:themeColor="text1"/>
          <w:sz w:val="24"/>
          <w14:textFill>
            <w14:solidFill>
              <w14:schemeClr w14:val="tx1"/>
            </w14:solidFill>
          </w14:textFill>
        </w:rPr>
        <w:t>、款项支付</w:t>
      </w:r>
    </w:p>
    <w:p>
      <w:pPr>
        <w:pStyle w:val="12"/>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2"/>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乙方应按</w:t>
      </w:r>
      <w:r>
        <w:rPr>
          <w:rFonts w:hint="eastAsia" w:hAnsi="宋体"/>
          <w:sz w:val="24"/>
        </w:rPr>
        <w:t>磋商文件</w:t>
      </w:r>
      <w:r>
        <w:rPr>
          <w:rFonts w:hAnsi="宋体"/>
          <w:sz w:val="24"/>
        </w:rPr>
        <w:t>规定向甲方提供服务。</w:t>
      </w:r>
    </w:p>
    <w:p>
      <w:pPr>
        <w:pStyle w:val="12"/>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2"/>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2"/>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2"/>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int="eastAsia" w:hAnsi="宋体"/>
          <w:sz w:val="24"/>
          <w:u w:val="single"/>
          <w:lang w:val="en-US" w:eastAsia="zh-CN"/>
        </w:rPr>
        <w:t>4</w:t>
      </w:r>
      <w:r>
        <w:rPr>
          <w:rFonts w:hint="eastAsia" w:hAnsi="宋体"/>
          <w:sz w:val="24"/>
          <w:u w:val="single"/>
        </w:rPr>
        <w:t xml:space="preserve">  </w:t>
      </w:r>
      <w:r>
        <w:rPr>
          <w:rFonts w:hAnsi="宋体"/>
          <w:sz w:val="24"/>
        </w:rPr>
        <w:t>小时内到达甲方现场。</w:t>
      </w:r>
    </w:p>
    <w:p>
      <w:pPr>
        <w:pStyle w:val="12"/>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2"/>
        <w:numPr>
          <w:ilvl w:val="0"/>
          <w:numId w:val="18"/>
        </w:numPr>
        <w:snapToGrid w:val="0"/>
        <w:spacing w:line="360" w:lineRule="auto"/>
        <w:rPr>
          <w:rFonts w:hAnsi="宋体"/>
          <w:sz w:val="24"/>
        </w:rPr>
      </w:pP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2"/>
        <w:numPr>
          <w:ilvl w:val="0"/>
          <w:numId w:val="18"/>
        </w:numPr>
        <w:snapToGrid w:val="0"/>
        <w:spacing w:line="360" w:lineRule="auto"/>
        <w:rPr>
          <w:rFonts w:hAnsi="宋体"/>
          <w:sz w:val="24"/>
        </w:rPr>
      </w:pP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2"/>
        <w:numPr>
          <w:ilvl w:val="0"/>
          <w:numId w:val="18"/>
        </w:numPr>
        <w:snapToGrid w:val="0"/>
        <w:spacing w:line="360" w:lineRule="auto"/>
        <w:rPr>
          <w:rFonts w:hAnsi="宋体"/>
          <w:sz w:val="24"/>
        </w:rPr>
      </w:pP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w:t>
      </w:r>
      <w:r>
        <w:rPr>
          <w:rFonts w:hint="eastAsia" w:hAnsi="宋体"/>
          <w:sz w:val="24"/>
          <w:u w:val="single"/>
        </w:rPr>
        <w:t xml:space="preserve">   </w:t>
      </w:r>
      <w:r>
        <w:rPr>
          <w:rFonts w:hAnsi="宋体"/>
          <w:sz w:val="24"/>
        </w:rPr>
        <w:t>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2"/>
        <w:numPr>
          <w:ilvl w:val="0"/>
          <w:numId w:val="19"/>
        </w:numPr>
        <w:snapToGrid w:val="0"/>
        <w:spacing w:line="360" w:lineRule="auto"/>
        <w:rPr>
          <w:rFonts w:hAnsi="宋体"/>
          <w:sz w:val="24"/>
        </w:rPr>
      </w:pPr>
      <w:r>
        <w:rPr>
          <w:rFonts w:hAnsi="宋体"/>
          <w:sz w:val="24"/>
        </w:rPr>
        <w:t>在合同有效期内，任何一方因不可抗力事件导致不能履行合同，则合同履行期可延长，其延长期与不可抗力影响期相同。</w:t>
      </w:r>
    </w:p>
    <w:p>
      <w:pPr>
        <w:pStyle w:val="12"/>
        <w:numPr>
          <w:ilvl w:val="0"/>
          <w:numId w:val="19"/>
        </w:numPr>
        <w:snapToGrid w:val="0"/>
        <w:spacing w:line="360" w:lineRule="auto"/>
        <w:rPr>
          <w:rFonts w:hAnsi="宋体"/>
          <w:sz w:val="24"/>
        </w:rPr>
      </w:pPr>
      <w:r>
        <w:rPr>
          <w:rFonts w:hAnsi="宋体"/>
          <w:sz w:val="24"/>
        </w:rPr>
        <w:t>不可抗力事件发生后，应立即通知对方，并寄送有关权威机构出具的证明。</w:t>
      </w:r>
    </w:p>
    <w:p>
      <w:pPr>
        <w:pStyle w:val="12"/>
        <w:numPr>
          <w:ilvl w:val="0"/>
          <w:numId w:val="19"/>
        </w:numPr>
        <w:snapToGrid w:val="0"/>
        <w:spacing w:line="360" w:lineRule="auto"/>
        <w:rPr>
          <w:rFonts w:hAnsi="宋体"/>
          <w:sz w:val="24"/>
        </w:rPr>
      </w:pPr>
      <w:r>
        <w:rPr>
          <w:rFonts w:hAnsi="宋体"/>
          <w:sz w:val="24"/>
        </w:rPr>
        <w:t>不可抗力事件延续120天以上，双方应通过友好协商，确定是否继续履行合同。</w:t>
      </w:r>
    </w:p>
    <w:p>
      <w:pPr>
        <w:pStyle w:val="12"/>
        <w:snapToGrid w:val="0"/>
        <w:spacing w:line="360" w:lineRule="auto"/>
        <w:ind w:firstLine="482" w:firstLineChars="200"/>
        <w:rPr>
          <w:rFonts w:hAnsi="宋体"/>
          <w:b/>
          <w:sz w:val="24"/>
          <w:highlight w:val="yellow"/>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2"/>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highlight w:val="none"/>
        </w:rPr>
        <w:t>如双方在履行合同时发生纠纷，应协商解决；协商不成时，可提请</w:t>
      </w:r>
      <w:r>
        <w:rPr>
          <w:rFonts w:ascii="宋体" w:hAnsi="宋体" w:eastAsia="宋体"/>
          <w:color w:val="auto"/>
          <w:sz w:val="24"/>
          <w:highlight w:val="none"/>
        </w:rPr>
        <w:t>政府采购</w:t>
      </w:r>
      <w:r>
        <w:rPr>
          <w:rFonts w:hint="eastAsia" w:ascii="宋体" w:hAnsi="宋体" w:eastAsia="宋体"/>
          <w:color w:val="auto"/>
          <w:sz w:val="24"/>
          <w:highlight w:val="none"/>
          <w:lang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pStyle w:val="12"/>
        <w:snapToGrid w:val="0"/>
        <w:spacing w:line="360" w:lineRule="auto"/>
        <w:ind w:firstLine="480" w:firstLineChars="200"/>
        <w:rPr>
          <w:rFonts w:hAnsi="宋体" w:cs="宋体"/>
          <w:kern w:val="0"/>
          <w:sz w:val="24"/>
        </w:rPr>
      </w:pPr>
      <w:r>
        <w:rPr>
          <w:rFonts w:hint="eastAsia" w:hAnsi="宋体" w:cs="宋体"/>
          <w:kern w:val="0"/>
          <w:sz w:val="24"/>
        </w:rPr>
        <w:t>（二）</w:t>
      </w:r>
      <w:r>
        <w:rPr>
          <w:rFonts w:hAnsi="宋体" w:cs="宋体"/>
          <w:kern w:val="0"/>
          <w:sz w:val="24"/>
        </w:rPr>
        <w:t>依法向人民法院提起诉讼。</w:t>
      </w:r>
    </w:p>
    <w:p>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w:t>
      </w:r>
      <w:r>
        <w:rPr>
          <w:rFonts w:hint="eastAsia" w:hAnsi="宋体"/>
          <w:b/>
          <w:sz w:val="24"/>
          <w:lang w:eastAsia="zh-CN"/>
        </w:rPr>
        <w:t>及其他</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2"/>
        <w:snapToGrid w:val="0"/>
        <w:spacing w:line="360" w:lineRule="auto"/>
        <w:ind w:firstLine="480" w:firstLineChars="200"/>
        <w:rPr>
          <w:rFonts w:hAnsi="宋体"/>
          <w:sz w:val="24"/>
        </w:rPr>
      </w:pPr>
      <w:r>
        <w:rPr>
          <w:rFonts w:hint="eastAsia" w:hAnsi="宋体"/>
          <w:sz w:val="24"/>
        </w:rPr>
        <w:t>（二）</w:t>
      </w:r>
      <w:r>
        <w:rPr>
          <w:rFonts w:hAnsi="宋体"/>
          <w:sz w:val="24"/>
        </w:rPr>
        <w:t>本合同未</w:t>
      </w:r>
      <w:r>
        <w:rPr>
          <w:rFonts w:hint="eastAsia" w:ascii="宋体" w:hAnsi="宋体" w:eastAsia="宋体" w:cs="Times New Roman"/>
          <w:kern w:val="2"/>
          <w:sz w:val="24"/>
          <w:szCs w:val="24"/>
          <w:lang w:val="en-US" w:eastAsia="zh-CN" w:bidi="ar-SA"/>
        </w:rPr>
        <w:t>尽事宜，遵照《中华人民共和国民法典》有关条文执行。</w:t>
      </w:r>
    </w:p>
    <w:p>
      <w:pPr>
        <w:widowControl/>
        <w:spacing w:line="360" w:lineRule="auto"/>
        <w:ind w:firstLine="480" w:firstLineChars="200"/>
        <w:rPr>
          <w:rFonts w:ascii="宋体" w:hAnsi="宋体" w:cstheme="minorBidi"/>
          <w:sz w:val="24"/>
        </w:rPr>
      </w:pPr>
      <w:r>
        <w:rPr>
          <w:rFonts w:hint="eastAsia" w:ascii="宋体" w:hAnsi="宋体" w:cstheme="minorBidi"/>
          <w:sz w:val="24"/>
        </w:rPr>
        <w:t>（三）本合同一式四份。甲、乙双方各执一份，</w:t>
      </w:r>
      <w:r>
        <w:rPr>
          <w:rFonts w:hint="eastAsia" w:ascii="宋体" w:hAnsi="宋体"/>
          <w:sz w:val="24"/>
        </w:rPr>
        <w:t>采购组织机构及同级人民政府财政部门各执一份</w:t>
      </w:r>
      <w:r>
        <w:rPr>
          <w:rFonts w:hint="eastAsia" w:ascii="宋体" w:hAnsi="宋体" w:cstheme="minorBidi"/>
          <w:sz w:val="24"/>
        </w:rPr>
        <w:t>。本项目未尽事宜以磋商文件、响应文件及澄清文件等为准。</w:t>
      </w:r>
    </w:p>
    <w:p>
      <w:pPr>
        <w:widowControl/>
        <w:spacing w:line="360" w:lineRule="auto"/>
        <w:rPr>
          <w:rFonts w:ascii="宋体" w:hAnsi="宋体"/>
          <w:kern w:val="0"/>
          <w:sz w:val="24"/>
        </w:rPr>
      </w:pPr>
    </w:p>
    <w:p>
      <w:pPr>
        <w:pStyle w:val="2"/>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lang w:eastAsia="zh-CN"/>
        </w:rPr>
        <w:t>账号</w:t>
      </w:r>
      <w:r>
        <w:rPr>
          <w:rFonts w:hint="eastAsia" w:ascii="宋体" w:hAnsi="宋体"/>
          <w:sz w:val="24"/>
        </w:rPr>
        <w:t xml:space="preserve">：                                           </w:t>
      </w:r>
      <w:r>
        <w:rPr>
          <w:rFonts w:hint="eastAsia" w:ascii="宋体" w:hAnsi="宋体"/>
          <w:sz w:val="24"/>
          <w:lang w:eastAsia="zh-CN"/>
        </w:rPr>
        <w:t>账号</w:t>
      </w:r>
      <w:r>
        <w:rPr>
          <w:rFonts w:hint="eastAsia" w:ascii="宋体" w:hAnsi="宋体"/>
          <w:sz w:val="24"/>
        </w:rPr>
        <w:t>：</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38" w:name="_Toc5481_WPSOffice_Level1"/>
      <w:r>
        <w:rPr>
          <w:rFonts w:hint="eastAsia" w:asciiTheme="minorEastAsia" w:hAnsiTheme="minorEastAsia" w:eastAsiaTheme="minorEastAsia"/>
          <w:b/>
          <w:sz w:val="36"/>
          <w:szCs w:val="36"/>
        </w:rPr>
        <w:t>第六章 响应文件格式</w:t>
      </w:r>
      <w:bookmarkEnd w:id="38"/>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pStyle w:val="23"/>
      </w:pPr>
    </w:p>
    <w:p>
      <w:pPr>
        <w:jc w:val="center"/>
        <w:rPr>
          <w:sz w:val="52"/>
          <w:szCs w:val="52"/>
        </w:rPr>
      </w:pPr>
      <w:bookmarkStart w:id="39" w:name="_Toc4956_WPSOffice_Level1"/>
      <w:bookmarkStart w:id="40" w:name="_Toc19093_WPSOffice_Level1"/>
      <w:bookmarkStart w:id="41" w:name="_Toc32372_WPSOffice_Level1"/>
      <w:r>
        <w:rPr>
          <w:rFonts w:hint="eastAsia"/>
          <w:sz w:val="52"/>
          <w:szCs w:val="52"/>
        </w:rPr>
        <w:t>项目名称</w:t>
      </w:r>
      <w:bookmarkEnd w:id="39"/>
      <w:bookmarkEnd w:id="40"/>
      <w:bookmarkEnd w:id="41"/>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lang w:val="zh-CN"/>
        </w:rPr>
      </w:pPr>
      <w:r>
        <w:rPr>
          <w:rFonts w:hint="eastAsia"/>
          <w:sz w:val="84"/>
          <w:szCs w:val="84"/>
          <w:lang w:val="zh-CN"/>
        </w:rPr>
        <w:t>磋</w:t>
      </w:r>
    </w:p>
    <w:p>
      <w:pPr>
        <w:jc w:val="center"/>
        <w:rPr>
          <w:sz w:val="84"/>
          <w:szCs w:val="84"/>
          <w:lang w:val="zh-CN"/>
        </w:rPr>
      </w:pPr>
      <w:r>
        <w:rPr>
          <w:rFonts w:hint="eastAsia"/>
          <w:sz w:val="84"/>
          <w:szCs w:val="84"/>
          <w:lang w:val="zh-CN"/>
        </w:rPr>
        <w:t>商</w:t>
      </w:r>
    </w:p>
    <w:p>
      <w:pPr>
        <w:jc w:val="center"/>
        <w:rPr>
          <w:sz w:val="84"/>
          <w:szCs w:val="84"/>
          <w:lang w:val="zh-CN"/>
        </w:rPr>
      </w:pPr>
      <w:r>
        <w:rPr>
          <w:rFonts w:hint="eastAsia"/>
          <w:sz w:val="84"/>
          <w:szCs w:val="84"/>
          <w:lang w:val="zh-CN"/>
        </w:rPr>
        <w:t>响</w:t>
      </w:r>
    </w:p>
    <w:p>
      <w:pPr>
        <w:jc w:val="center"/>
        <w:rPr>
          <w:sz w:val="84"/>
          <w:szCs w:val="84"/>
          <w:lang w:val="zh-CN"/>
        </w:rPr>
      </w:pPr>
      <w:r>
        <w:rPr>
          <w:rFonts w:hint="eastAsia"/>
          <w:sz w:val="84"/>
          <w:szCs w:val="84"/>
          <w:lang w:val="zh-CN"/>
        </w:rPr>
        <w:t>应</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pStyle w:val="2"/>
        <w:rPr>
          <w:rFonts w:ascii="宋体" w:hAnsi="宋体" w:cs="宋体"/>
          <w:sz w:val="28"/>
          <w:szCs w:val="28"/>
        </w:rPr>
      </w:pPr>
      <w:r>
        <w:rPr>
          <w:rFonts w:hint="eastAsia" w:ascii="宋体" w:hAnsi="宋体" w:cs="宋体"/>
          <w:sz w:val="28"/>
          <w:szCs w:val="28"/>
        </w:rPr>
        <w:t xml:space="preserve"> </w:t>
      </w:r>
    </w:p>
    <w:p>
      <w:pPr>
        <w:pStyle w:val="2"/>
        <w:rPr>
          <w:rFonts w:ascii="宋体" w:hAnsi="宋体" w:cs="宋体"/>
          <w:sz w:val="28"/>
          <w:szCs w:val="28"/>
        </w:rPr>
      </w:pPr>
    </w:p>
    <w:p>
      <w:pPr>
        <w:spacing w:line="360" w:lineRule="auto"/>
        <w:ind w:right="532" w:firstLine="640" w:firstLineChars="200"/>
        <w:rPr>
          <w:rFonts w:ascii="宋体" w:hAnsi="宋体"/>
          <w:sz w:val="32"/>
          <w:szCs w:val="32"/>
        </w:rPr>
      </w:pPr>
      <w:r>
        <w:rPr>
          <w:rFonts w:hint="eastAsia" w:ascii="宋体" w:hAnsi="宋体"/>
          <w:sz w:val="32"/>
          <w:szCs w:val="32"/>
        </w:rPr>
        <w:t>供应商全称（公章）：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p>
    <w:p>
      <w:pPr>
        <w:spacing w:line="360" w:lineRule="auto"/>
        <w:jc w:val="center"/>
        <w:rPr>
          <w:rFonts w:hint="eastAsia"/>
          <w:b/>
          <w:bCs/>
          <w:sz w:val="36"/>
          <w:szCs w:val="36"/>
        </w:rPr>
      </w:pPr>
      <w:r>
        <w:rPr>
          <w:rFonts w:hint="eastAsia"/>
          <w:b/>
          <w:bCs/>
          <w:sz w:val="36"/>
          <w:szCs w:val="36"/>
        </w:rPr>
        <w:t>资格证明内容目录</w:t>
      </w:r>
    </w:p>
    <w:p>
      <w:pPr>
        <w:numPr>
          <w:ilvl w:val="0"/>
          <w:numId w:val="0"/>
        </w:numPr>
        <w:spacing w:line="360" w:lineRule="auto"/>
        <w:ind w:left="420" w:leftChars="0"/>
        <w:rPr>
          <w:rFonts w:hint="eastAsia"/>
          <w:sz w:val="28"/>
          <w:szCs w:val="36"/>
        </w:rPr>
      </w:pPr>
    </w:p>
    <w:p>
      <w:pPr>
        <w:numPr>
          <w:ilvl w:val="0"/>
          <w:numId w:val="20"/>
        </w:numPr>
        <w:spacing w:line="360" w:lineRule="auto"/>
        <w:ind w:hanging="5"/>
        <w:rPr>
          <w:rFonts w:hint="eastAsia"/>
          <w:sz w:val="28"/>
          <w:szCs w:val="36"/>
        </w:rPr>
      </w:pPr>
      <w:bookmarkStart w:id="42" w:name="_Toc12587_WPSOffice_Level1"/>
      <w:bookmarkStart w:id="43" w:name="_Toc27049_WPSOffice_Level1"/>
      <w:r>
        <w:rPr>
          <w:rFonts w:hint="eastAsia"/>
          <w:sz w:val="28"/>
          <w:szCs w:val="36"/>
        </w:rPr>
        <w:t>磋商声明书（附件</w:t>
      </w:r>
      <w:r>
        <w:rPr>
          <w:rFonts w:hint="eastAsia"/>
          <w:sz w:val="28"/>
          <w:szCs w:val="36"/>
          <w:lang w:val="en-US" w:eastAsia="zh-CN"/>
        </w:rPr>
        <w:t>1</w:t>
      </w:r>
      <w:r>
        <w:rPr>
          <w:rFonts w:hint="eastAsia"/>
          <w:sz w:val="28"/>
          <w:szCs w:val="36"/>
        </w:rPr>
        <w:t>）</w:t>
      </w:r>
      <w:bookmarkEnd w:id="42"/>
      <w:bookmarkEnd w:id="43"/>
    </w:p>
    <w:p>
      <w:pPr>
        <w:numPr>
          <w:ilvl w:val="0"/>
          <w:numId w:val="20"/>
        </w:numPr>
        <w:spacing w:line="360" w:lineRule="auto"/>
        <w:ind w:hanging="5"/>
        <w:rPr>
          <w:sz w:val="28"/>
          <w:szCs w:val="36"/>
          <w:highlight w:val="none"/>
        </w:rPr>
      </w:pPr>
      <w:bookmarkStart w:id="44" w:name="_Toc28306_WPSOffice_Level1"/>
      <w:bookmarkStart w:id="45" w:name="_Toc25574_WPSOffice_Level1"/>
      <w:bookmarkStart w:id="46" w:name="_Toc29616_WPSOffice_Level1"/>
      <w:bookmarkStart w:id="47" w:name="_Toc32100_WPSOffice_Level1"/>
      <w:r>
        <w:rPr>
          <w:rFonts w:hint="eastAsia"/>
          <w:sz w:val="28"/>
          <w:szCs w:val="36"/>
          <w:highlight w:val="none"/>
        </w:rPr>
        <w:t>授权委托书</w:t>
      </w:r>
      <w:r>
        <w:rPr>
          <w:rFonts w:hint="eastAsia"/>
          <w:sz w:val="28"/>
          <w:szCs w:val="36"/>
          <w:highlight w:val="none"/>
          <w:lang w:val="en-US" w:eastAsia="zh-CN"/>
        </w:rPr>
        <w:t>或联合体授权委托书</w:t>
      </w:r>
      <w:r>
        <w:rPr>
          <w:rFonts w:hint="eastAsia"/>
          <w:sz w:val="28"/>
          <w:szCs w:val="36"/>
          <w:highlight w:val="none"/>
        </w:rPr>
        <w:t>（法定代表人办理</w:t>
      </w:r>
      <w:r>
        <w:rPr>
          <w:rFonts w:hint="eastAsia"/>
          <w:sz w:val="28"/>
          <w:szCs w:val="36"/>
          <w:highlight w:val="none"/>
          <w:lang w:val="en-US" w:eastAsia="zh-CN"/>
        </w:rPr>
        <w:t>磋商</w:t>
      </w:r>
      <w:r>
        <w:rPr>
          <w:rFonts w:hint="eastAsia"/>
          <w:sz w:val="28"/>
          <w:szCs w:val="36"/>
          <w:highlight w:val="none"/>
        </w:rPr>
        <w:t>事宜的，则无需提交授权委托书</w:t>
      </w:r>
      <w:r>
        <w:rPr>
          <w:rFonts w:hint="eastAsia"/>
          <w:sz w:val="28"/>
          <w:szCs w:val="36"/>
          <w:highlight w:val="none"/>
          <w:lang w:eastAsia="zh-CN"/>
        </w:rPr>
        <w:t>；</w:t>
      </w:r>
      <w:r>
        <w:rPr>
          <w:rFonts w:hint="eastAsia"/>
          <w:sz w:val="28"/>
          <w:szCs w:val="36"/>
          <w:highlight w:val="none"/>
          <w:lang w:val="en-US" w:eastAsia="zh-CN"/>
        </w:rPr>
        <w:t>以联合体形式磋商时需提供联合体授权委托书</w:t>
      </w:r>
      <w:r>
        <w:rPr>
          <w:rFonts w:hint="eastAsia"/>
          <w:sz w:val="28"/>
          <w:szCs w:val="36"/>
          <w:highlight w:val="none"/>
        </w:rPr>
        <w:t>)（附件</w:t>
      </w:r>
      <w:r>
        <w:rPr>
          <w:rFonts w:hint="eastAsia"/>
          <w:sz w:val="28"/>
          <w:szCs w:val="36"/>
          <w:highlight w:val="none"/>
          <w:lang w:val="en-US" w:eastAsia="zh-CN"/>
        </w:rPr>
        <w:t>2-1、附件2-2</w:t>
      </w:r>
      <w:r>
        <w:rPr>
          <w:rFonts w:hint="eastAsia"/>
          <w:sz w:val="28"/>
          <w:szCs w:val="36"/>
          <w:highlight w:val="none"/>
        </w:rPr>
        <w:t>）</w:t>
      </w:r>
      <w:bookmarkEnd w:id="44"/>
      <w:bookmarkEnd w:id="45"/>
    </w:p>
    <w:p>
      <w:pPr>
        <w:numPr>
          <w:ilvl w:val="0"/>
          <w:numId w:val="20"/>
        </w:numPr>
        <w:spacing w:line="360" w:lineRule="auto"/>
        <w:ind w:hanging="5"/>
        <w:rPr>
          <w:rFonts w:hint="eastAsia"/>
          <w:sz w:val="28"/>
          <w:szCs w:val="36"/>
          <w:highlight w:val="none"/>
        </w:rPr>
      </w:pPr>
      <w:r>
        <w:rPr>
          <w:rFonts w:hint="eastAsia" w:ascii="Times New Roman" w:hAnsi="Times New Roman" w:eastAsia="宋体" w:cs="Times New Roman"/>
          <w:sz w:val="28"/>
          <w:szCs w:val="36"/>
          <w:highlight w:val="none"/>
        </w:rPr>
        <w:t>联合体共同</w:t>
      </w:r>
      <w:r>
        <w:rPr>
          <w:rFonts w:hint="eastAsia" w:cs="Times New Roman"/>
          <w:sz w:val="28"/>
          <w:szCs w:val="36"/>
          <w:highlight w:val="none"/>
          <w:lang w:val="en-US" w:eastAsia="zh-CN"/>
        </w:rPr>
        <w:t>磋商</w:t>
      </w:r>
      <w:r>
        <w:rPr>
          <w:rFonts w:hint="eastAsia" w:ascii="Times New Roman" w:hAnsi="Times New Roman" w:eastAsia="宋体" w:cs="Times New Roman"/>
          <w:sz w:val="28"/>
          <w:szCs w:val="36"/>
          <w:highlight w:val="none"/>
        </w:rPr>
        <w:t>协议书</w:t>
      </w:r>
      <w:r>
        <w:rPr>
          <w:rFonts w:hint="eastAsia"/>
          <w:sz w:val="28"/>
          <w:szCs w:val="36"/>
          <w:highlight w:val="none"/>
        </w:rPr>
        <w:t>（</w:t>
      </w:r>
      <w:r>
        <w:rPr>
          <w:rFonts w:hint="eastAsia"/>
          <w:sz w:val="28"/>
          <w:szCs w:val="36"/>
          <w:highlight w:val="none"/>
          <w:lang w:val="en-US" w:eastAsia="zh-CN"/>
        </w:rPr>
        <w:t>以</w:t>
      </w:r>
      <w:r>
        <w:rPr>
          <w:rFonts w:hint="eastAsia"/>
          <w:sz w:val="28"/>
          <w:szCs w:val="36"/>
          <w:highlight w:val="none"/>
          <w:lang w:eastAsia="zh-CN"/>
        </w:rPr>
        <w:t>联合体</w:t>
      </w:r>
      <w:r>
        <w:rPr>
          <w:rFonts w:hint="eastAsia"/>
          <w:sz w:val="28"/>
          <w:szCs w:val="36"/>
          <w:highlight w:val="none"/>
          <w:lang w:val="en-US" w:eastAsia="zh-CN"/>
        </w:rPr>
        <w:t>形式磋商</w:t>
      </w:r>
      <w:r>
        <w:rPr>
          <w:rFonts w:hint="eastAsia"/>
          <w:sz w:val="28"/>
          <w:szCs w:val="36"/>
          <w:highlight w:val="none"/>
          <w:lang w:eastAsia="zh-CN"/>
        </w:rPr>
        <w:t>时需提供）（</w:t>
      </w:r>
      <w:r>
        <w:rPr>
          <w:rFonts w:hint="eastAsia"/>
          <w:sz w:val="28"/>
          <w:szCs w:val="36"/>
          <w:highlight w:val="none"/>
          <w:lang w:val="en-US" w:eastAsia="zh-CN"/>
        </w:rPr>
        <w:t>附件3</w:t>
      </w:r>
      <w:r>
        <w:rPr>
          <w:rFonts w:hint="eastAsia"/>
          <w:sz w:val="28"/>
          <w:szCs w:val="36"/>
          <w:highlight w:val="none"/>
        </w:rPr>
        <w:t>）</w:t>
      </w:r>
    </w:p>
    <w:p>
      <w:pPr>
        <w:numPr>
          <w:ilvl w:val="0"/>
          <w:numId w:val="20"/>
        </w:numPr>
        <w:spacing w:line="360" w:lineRule="auto"/>
        <w:ind w:hanging="5"/>
        <w:rPr>
          <w:rFonts w:hint="eastAsia"/>
          <w:sz w:val="28"/>
          <w:szCs w:val="36"/>
        </w:rPr>
      </w:pPr>
      <w:r>
        <w:rPr>
          <w:rFonts w:hint="eastAsia"/>
          <w:sz w:val="28"/>
          <w:szCs w:val="36"/>
        </w:rPr>
        <w:t>法人或者其他组织的营业执照等证明文件，自然人的身份证明</w:t>
      </w:r>
      <w:bookmarkEnd w:id="46"/>
      <w:bookmarkEnd w:id="47"/>
    </w:p>
    <w:p>
      <w:pPr>
        <w:numPr>
          <w:ilvl w:val="0"/>
          <w:numId w:val="20"/>
        </w:numPr>
        <w:spacing w:line="360" w:lineRule="auto"/>
        <w:ind w:hanging="5"/>
        <w:rPr>
          <w:rFonts w:hint="eastAsia" w:ascii="Times New Roman" w:hAnsi="Times New Roman" w:eastAsia="宋体" w:cs="Times New Roman"/>
          <w:sz w:val="28"/>
          <w:szCs w:val="36"/>
        </w:rPr>
      </w:pPr>
      <w:bookmarkStart w:id="48" w:name="_Toc30751_WPSOffice_Level1"/>
      <w:bookmarkStart w:id="49" w:name="_Toc2696_WPSOffice_Level1"/>
      <w:r>
        <w:rPr>
          <w:rFonts w:hint="eastAsia" w:ascii="Times New Roman" w:hAnsi="Times New Roman" w:eastAsia="宋体" w:cs="Times New Roman"/>
          <w:sz w:val="28"/>
          <w:szCs w:val="36"/>
        </w:rPr>
        <w:t>具备履行合同所必需的设备和专业技术能力的证明材料</w:t>
      </w:r>
      <w:bookmarkEnd w:id="48"/>
      <w:bookmarkEnd w:id="49"/>
    </w:p>
    <w:p>
      <w:pPr>
        <w:numPr>
          <w:ilvl w:val="0"/>
          <w:numId w:val="20"/>
        </w:numPr>
        <w:spacing w:line="360" w:lineRule="auto"/>
        <w:ind w:hanging="5"/>
        <w:rPr>
          <w:rFonts w:hint="eastAsia"/>
          <w:sz w:val="28"/>
          <w:szCs w:val="36"/>
          <w:highlight w:val="none"/>
        </w:rPr>
      </w:pPr>
      <w:bookmarkStart w:id="50" w:name="_Toc4587_WPSOffice_Level1"/>
      <w:bookmarkStart w:id="51" w:name="_Toc14150_WPSOffice_Level1"/>
      <w:r>
        <w:rPr>
          <w:rFonts w:hint="eastAsia"/>
          <w:sz w:val="28"/>
          <w:szCs w:val="36"/>
          <w:highlight w:val="none"/>
        </w:rPr>
        <w:t>本项目</w:t>
      </w:r>
      <w:r>
        <w:rPr>
          <w:rFonts w:hint="eastAsia"/>
          <w:sz w:val="28"/>
          <w:szCs w:val="36"/>
          <w:highlight w:val="none"/>
          <w:lang w:val="en-US" w:eastAsia="zh-CN"/>
        </w:rPr>
        <w:t>资格审查</w:t>
      </w:r>
      <w:r>
        <w:rPr>
          <w:rFonts w:hint="eastAsia"/>
          <w:sz w:val="28"/>
          <w:szCs w:val="36"/>
          <w:highlight w:val="none"/>
        </w:rPr>
        <w:t>要求的</w:t>
      </w:r>
      <w:r>
        <w:rPr>
          <w:rFonts w:hint="eastAsia"/>
          <w:sz w:val="28"/>
          <w:szCs w:val="36"/>
          <w:highlight w:val="none"/>
          <w:lang w:val="en-US" w:eastAsia="zh-CN"/>
        </w:rPr>
        <w:t>相关</w:t>
      </w:r>
      <w:r>
        <w:rPr>
          <w:rFonts w:hint="eastAsia"/>
          <w:sz w:val="28"/>
          <w:szCs w:val="36"/>
          <w:highlight w:val="none"/>
          <w:lang w:eastAsia="zh-CN"/>
        </w:rPr>
        <w:t>的承诺函（</w:t>
      </w:r>
      <w:r>
        <w:rPr>
          <w:rFonts w:hint="eastAsia"/>
          <w:sz w:val="28"/>
          <w:szCs w:val="36"/>
          <w:highlight w:val="none"/>
          <w:lang w:val="en-US" w:eastAsia="zh-CN"/>
        </w:rPr>
        <w:t>附件4</w:t>
      </w:r>
      <w:r>
        <w:rPr>
          <w:rFonts w:hint="eastAsia"/>
          <w:sz w:val="28"/>
          <w:szCs w:val="36"/>
          <w:highlight w:val="none"/>
          <w:lang w:eastAsia="zh-CN"/>
        </w:rPr>
        <w:t>）</w:t>
      </w:r>
    </w:p>
    <w:p>
      <w:pPr>
        <w:numPr>
          <w:ilvl w:val="0"/>
          <w:numId w:val="20"/>
        </w:numPr>
        <w:spacing w:line="360" w:lineRule="auto"/>
        <w:ind w:hanging="5"/>
        <w:rPr>
          <w:sz w:val="28"/>
          <w:szCs w:val="36"/>
        </w:rPr>
      </w:pPr>
      <w:r>
        <w:rPr>
          <w:rFonts w:hint="eastAsia"/>
          <w:sz w:val="28"/>
          <w:szCs w:val="36"/>
        </w:rPr>
        <w:t>本项目要求的特定资质证书</w:t>
      </w:r>
      <w:bookmarkEnd w:id="50"/>
      <w:bookmarkEnd w:id="51"/>
    </w:p>
    <w:p>
      <w:pPr>
        <w:pStyle w:val="2"/>
        <w:rPr>
          <w:rFonts w:hint="eastAsia"/>
        </w:rPr>
      </w:pPr>
    </w:p>
    <w:p>
      <w:pPr>
        <w:spacing w:line="360" w:lineRule="auto"/>
        <w:rPr>
          <w:rFonts w:ascii="宋体" w:hAnsi="宋体"/>
          <w:b/>
          <w:sz w:val="28"/>
        </w:rPr>
      </w:pPr>
    </w:p>
    <w:p>
      <w:pPr>
        <w:spacing w:line="360" w:lineRule="auto"/>
        <w:ind w:left="420"/>
        <w:rPr>
          <w:rFonts w:ascii="宋体" w:hAnsi="宋体"/>
          <w:b/>
          <w:sz w:val="28"/>
        </w:rPr>
      </w:pPr>
    </w:p>
    <w:p>
      <w:pPr>
        <w:pStyle w:val="30"/>
        <w:rPr>
          <w:rFonts w:ascii="宋体" w:hAnsi="宋体"/>
          <w:b/>
          <w:sz w:val="28"/>
        </w:rPr>
      </w:pPr>
    </w:p>
    <w:p>
      <w:pPr>
        <w:pStyle w:val="3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pStyle w:val="2"/>
        <w:ind w:left="0" w:leftChars="0" w:firstLine="0" w:firstLineChars="0"/>
      </w:pPr>
    </w:p>
    <w:p>
      <w:pPr>
        <w:rPr>
          <w:rFonts w:ascii="宋体" w:hAnsi="宋体"/>
          <w:b/>
          <w:sz w:val="28"/>
        </w:rPr>
      </w:pPr>
      <w:r>
        <w:rPr>
          <w:rFonts w:ascii="宋体" w:hAnsi="宋体"/>
          <w:b/>
          <w:sz w:val="28"/>
        </w:rPr>
        <w:br w:type="page"/>
      </w:r>
    </w:p>
    <w:p>
      <w:pPr>
        <w:pStyle w:val="22"/>
      </w:pP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52" w:name="_Toc31708_WPSOffice_Level1"/>
      <w:bookmarkStart w:id="53" w:name="_Toc30723_WPSOffice_Level1"/>
      <w:r>
        <w:rPr>
          <w:rFonts w:hint="eastAsia" w:ascii="宋体" w:hAnsi="宋体"/>
          <w:b/>
          <w:kern w:val="0"/>
          <w:sz w:val="32"/>
          <w:szCs w:val="32"/>
        </w:rPr>
        <w:t>磋商</w:t>
      </w:r>
      <w:r>
        <w:rPr>
          <w:rFonts w:hint="eastAsia" w:ascii="宋体" w:hAnsi="宋体"/>
          <w:b/>
          <w:kern w:val="0"/>
          <w:sz w:val="32"/>
          <w:szCs w:val="32"/>
          <w:lang w:val="zh-CN"/>
        </w:rPr>
        <w:t>声明书</w:t>
      </w:r>
      <w:bookmarkEnd w:id="52"/>
      <w:bookmarkEnd w:id="53"/>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kern w:val="0"/>
          <w:sz w:val="24"/>
        </w:rPr>
        <w:t>（供应商名称）系中华</w:t>
      </w:r>
      <w:r>
        <w:rPr>
          <w:rFonts w:hint="eastAsia" w:ascii="宋体" w:hAnsi="宋体" w:cs="宋体"/>
          <w:color w:val="000000" w:themeColor="text1"/>
          <w:kern w:val="0"/>
          <w:sz w:val="24"/>
          <w14:textFill>
            <w14:solidFill>
              <w14:schemeClr w14:val="tx1"/>
            </w14:solidFill>
          </w14:textFill>
        </w:rPr>
        <w:t>人民共和国合法企业，经营地址</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供应商名称 </w:t>
      </w:r>
      <w:r>
        <w:rPr>
          <w:rFonts w:hint="eastAsia" w:ascii="宋体" w:hAnsi="宋体" w:cs="宋体"/>
          <w:color w:val="000000" w:themeColor="text1"/>
          <w:kern w:val="0"/>
          <w:sz w:val="24"/>
          <w14:textFill>
            <w14:solidFill>
              <w14:schemeClr w14:val="tx1"/>
            </w14:solidFill>
          </w14:textFill>
        </w:rPr>
        <w:t>）的法定代表人，我公司自愿参加贵方组织的（</w:t>
      </w:r>
      <w:r>
        <w:rPr>
          <w:rFonts w:hint="eastAsia" w:cs="Arial"/>
          <w:color w:val="000000" w:themeColor="text1"/>
          <w14:textFill>
            <w14:solidFill>
              <w14:schemeClr w14:val="tx1"/>
            </w14:solidFill>
          </w14:textFill>
        </w:rPr>
        <w:t>磋商</w:t>
      </w:r>
      <w:r>
        <w:rPr>
          <w:rFonts w:hint="eastAsia" w:ascii="宋体" w:hAnsi="宋体" w:cs="宋体"/>
          <w:color w:val="000000" w:themeColor="text1"/>
          <w:kern w:val="0"/>
          <w:sz w:val="24"/>
          <w:u w:val="single"/>
          <w14:textFill>
            <w14:solidFill>
              <w14:schemeClr w14:val="tx1"/>
            </w14:solidFill>
          </w14:textFill>
        </w:rPr>
        <w:t>项目名称</w:t>
      </w:r>
      <w:r>
        <w:rPr>
          <w:rFonts w:hint="eastAsia" w:ascii="宋体" w:hAnsi="宋体" w:cs="宋体"/>
          <w:color w:val="000000" w:themeColor="text1"/>
          <w:kern w:val="0"/>
          <w:sz w:val="24"/>
          <w14:textFill>
            <w14:solidFill>
              <w14:schemeClr w14:val="tx1"/>
            </w14:solidFill>
          </w14:textFill>
        </w:rPr>
        <w:t>）（编号为）的磋商，为此，我公司就本次磋商有关事项郑重声明如下：</w:t>
      </w:r>
    </w:p>
    <w:p>
      <w:pPr>
        <w:numPr>
          <w:ilvl w:val="0"/>
          <w:numId w:val="21"/>
        </w:numPr>
        <w:snapToGrid w:val="0"/>
        <w:spacing w:line="360" w:lineRule="auto"/>
        <w:ind w:left="5" w:firstLine="41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pPr>
        <w:numPr>
          <w:ilvl w:val="0"/>
          <w:numId w:val="21"/>
        </w:numPr>
        <w:snapToGrid w:val="0"/>
        <w:spacing w:line="360" w:lineRule="auto"/>
        <w:ind w:left="5" w:firstLine="41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我公司在参与磋商前已详细审查了磋商文件和所有相关资料，我方完全知悉并认为此磋商文件没有倾向性，也没有存在排斥潜在供应商的内容，我方对磋商文件的所有内容没有任何异议，不申请澄清和质疑。</w:t>
      </w:r>
    </w:p>
    <w:p>
      <w:pPr>
        <w:numPr>
          <w:ilvl w:val="0"/>
          <w:numId w:val="21"/>
        </w:numPr>
        <w:snapToGrid w:val="0"/>
        <w:spacing w:line="360" w:lineRule="auto"/>
        <w:ind w:left="5" w:firstLine="415"/>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不是采购人的附属机构；</w:t>
      </w:r>
      <w:r>
        <w:rPr>
          <w:rFonts w:hint="eastAsia" w:ascii="宋体" w:hAnsi="宋体"/>
          <w:color w:val="000000" w:themeColor="text1"/>
          <w:sz w:val="24"/>
          <w14:textFill>
            <w14:solidFill>
              <w14:schemeClr w14:val="tx1"/>
            </w14:solidFill>
          </w14:textFill>
        </w:rPr>
        <w:t>在获知本项目采购信息后，与采购人聘请的为此项目提供咨询服务的公司及其附属机构没有任何联系。</w:t>
      </w:r>
    </w:p>
    <w:p>
      <w:pPr>
        <w:numPr>
          <w:ilvl w:val="0"/>
          <w:numId w:val="21"/>
        </w:numPr>
        <w:snapToGrid w:val="0"/>
        <w:spacing w:line="360" w:lineRule="auto"/>
        <w:ind w:left="5" w:firstLine="415"/>
        <w:rPr>
          <w:rFonts w:ascii="宋体" w:hAnsi="宋体"/>
          <w:color w:val="000000" w:themeColor="text1"/>
          <w:kern w:val="0"/>
          <w:sz w:val="24"/>
          <w:lang w:val="af-Z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kern w:val="0"/>
          <w:sz w:val="24"/>
          <w:lang w:val="af-ZA"/>
          <w14:textFill>
            <w14:solidFill>
              <w14:schemeClr w14:val="tx1"/>
            </w14:solidFill>
          </w14:textFill>
        </w:rPr>
        <w:t>磋商货物、资料、技术、服务或其任何一部分时，享有不受限制的无偿使用权，如有第三方向采购人提出侵犯其专利权、商标权或其它知识产权的主张，该责任由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磋商报价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pPr>
        <w:numPr>
          <w:ilvl w:val="0"/>
          <w:numId w:val="21"/>
        </w:numPr>
        <w:snapToGrid w:val="0"/>
        <w:spacing w:line="360" w:lineRule="auto"/>
        <w:ind w:left="5" w:firstLine="415"/>
        <w:rPr>
          <w:rFonts w:ascii="仿宋_GB2312" w:hAnsi="仿宋_GB2312" w:eastAsia="仿宋_GB2312" w:cs="仿宋_GB2312"/>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w:t>
      </w:r>
      <w:r>
        <w:rPr>
          <w:rFonts w:hint="eastAsia" w:ascii="宋体" w:hAnsi="宋体"/>
          <w:color w:val="000000" w:themeColor="text1"/>
          <w:kern w:val="0"/>
          <w:sz w:val="24"/>
          <w:lang w:val="af-ZA"/>
          <w14:textFill>
            <w14:solidFill>
              <w14:schemeClr w14:val="tx1"/>
            </w14:solidFill>
          </w14:textFill>
        </w:rPr>
        <w:t>货物</w:t>
      </w:r>
      <w:r>
        <w:rPr>
          <w:rFonts w:hint="eastAsia" w:ascii="宋体" w:hAnsi="宋体" w:cs="宋体"/>
          <w:color w:val="000000" w:themeColor="text1"/>
          <w:kern w:val="0"/>
          <w:sz w:val="24"/>
          <w:lang w:val="af-ZA"/>
          <w14:textFill>
            <w14:solidFill>
              <w14:schemeClr w14:val="tx1"/>
            </w14:solidFill>
          </w14:textFill>
        </w:rPr>
        <w:t>质量和服务，不擅自变更、中止、终止合同，或拒绝履行合同义务。</w:t>
      </w:r>
    </w:p>
    <w:p>
      <w:pPr>
        <w:numPr>
          <w:ilvl w:val="0"/>
          <w:numId w:val="21"/>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200"/>
        <w:rPr>
          <w:rFonts w:ascii="宋体" w:hAnsi="宋体" w:cs="仿宋_GB2312"/>
          <w:kern w:val="0"/>
          <w:sz w:val="24"/>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rPr>
        <w:t>供应商</w:t>
      </w:r>
      <w:r>
        <w:rPr>
          <w:rFonts w:hint="eastAsia" w:ascii="宋体" w:hAnsi="宋体" w:cs="仿宋_GB2312"/>
          <w:kern w:val="0"/>
          <w:sz w:val="24"/>
          <w:lang w:val="zh-CN"/>
        </w:rPr>
        <w:t>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left="5281" w:leftChars="114" w:hanging="5042" w:hangingChars="2101"/>
        <w:rPr>
          <w:rFonts w:ascii="宋体" w:hAnsi="宋体" w:cs="仿宋_GB2312"/>
          <w:kern w:val="0"/>
          <w:sz w:val="24"/>
          <w:lang w:val="zh-CN"/>
        </w:rPr>
      </w:pPr>
    </w:p>
    <w:p>
      <w:pPr>
        <w:adjustRightInd w:val="0"/>
        <w:snapToGrid w:val="0"/>
        <w:spacing w:line="360" w:lineRule="auto"/>
        <w:ind w:right="48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2-1</w:t>
      </w:r>
    </w:p>
    <w:p>
      <w:pPr>
        <w:spacing w:line="360" w:lineRule="auto"/>
        <w:ind w:firstLine="321" w:firstLineChars="100"/>
        <w:jc w:val="center"/>
        <w:rPr>
          <w:rFonts w:hAnsi="宋体"/>
          <w:b/>
          <w:sz w:val="32"/>
          <w:szCs w:val="32"/>
          <w:u w:val="single"/>
        </w:rPr>
      </w:pPr>
      <w:bookmarkStart w:id="54" w:name="_Toc6870_WPSOffice_Level1"/>
      <w:bookmarkStart w:id="55" w:name="_Toc24373_WPSOffice_Level1"/>
      <w:r>
        <w:rPr>
          <w:b/>
          <w:sz w:val="32"/>
          <w:szCs w:val="32"/>
        </w:rPr>
        <w:t>授权</w:t>
      </w:r>
      <w:r>
        <w:rPr>
          <w:rFonts w:hint="eastAsia"/>
          <w:b/>
          <w:sz w:val="32"/>
          <w:szCs w:val="32"/>
        </w:rPr>
        <w:t>委托</w:t>
      </w:r>
      <w:r>
        <w:rPr>
          <w:b/>
          <w:sz w:val="32"/>
          <w:szCs w:val="32"/>
        </w:rPr>
        <w:t>书</w:t>
      </w:r>
      <w:bookmarkEnd w:id="54"/>
      <w:bookmarkEnd w:id="55"/>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pStyle w:val="12"/>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w:t>
      </w:r>
      <w:r>
        <w:rPr>
          <w:rFonts w:hint="eastAsia" w:hAnsi="宋体"/>
          <w:sz w:val="24"/>
        </w:rPr>
        <w:t>磋商</w:t>
      </w:r>
      <w:r>
        <w:rPr>
          <w:rFonts w:hAnsi="宋体"/>
          <w:sz w:val="24"/>
        </w:rPr>
        <w:t>、签约等具体事务和签署相关文件。</w:t>
      </w:r>
      <w:r>
        <w:rPr>
          <w:rFonts w:hint="eastAsia" w:hAnsi="宋体"/>
          <w:sz w:val="24"/>
        </w:rPr>
        <w:t>我方对全权代表的签字事项负全部责任。</w:t>
      </w:r>
    </w:p>
    <w:p>
      <w:pPr>
        <w:pStyle w:val="1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2"/>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供应商全称（公章）：                              日期：</w:t>
      </w:r>
    </w:p>
    <w:p>
      <w:pPr>
        <w:spacing w:line="360" w:lineRule="auto"/>
        <w:rPr>
          <w:sz w:val="24"/>
        </w:rPr>
      </w:pPr>
    </w:p>
    <w:p>
      <w:pPr>
        <w:spacing w:line="360" w:lineRule="auto"/>
        <w:rPr>
          <w:b/>
          <w:sz w:val="24"/>
        </w:rPr>
      </w:pPr>
      <w:r>
        <w:rPr>
          <w:rFonts w:hint="eastAsia" w:ascii="宋体"/>
          <w:b/>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hint="eastAsia" w:ascii="宋体" w:hAnsi="宋体"/>
          <w:b/>
          <w:sz w:val="28"/>
        </w:rPr>
      </w:pPr>
      <w:r>
        <w:rPr>
          <w:rFonts w:hint="eastAsia" w:ascii="宋体" w:hAnsi="宋体"/>
          <w:b/>
          <w:sz w:val="28"/>
        </w:rPr>
        <w:br w:type="page"/>
      </w:r>
    </w:p>
    <w:p>
      <w:pPr>
        <w:adjustRightInd w:val="0"/>
        <w:snapToGrid w:val="0"/>
        <w:spacing w:line="360" w:lineRule="auto"/>
        <w:ind w:right="480"/>
        <w:outlineLvl w:val="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2-2</w:t>
      </w:r>
    </w:p>
    <w:p>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pStyle w:val="12"/>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val="en-US" w:eastAsia="zh-CN"/>
        </w:rPr>
        <w:t>、</w:t>
      </w:r>
      <w:r>
        <w:rPr>
          <w:rFonts w:hAnsi="宋体"/>
          <w:color w:val="auto"/>
          <w:sz w:val="24"/>
          <w:u w:val="single"/>
        </w:rPr>
        <w:t>（</w:t>
      </w:r>
      <w:r>
        <w:rPr>
          <w:rFonts w:hint="eastAsia" w:hAnsi="宋体"/>
          <w:color w:val="auto"/>
          <w:sz w:val="24"/>
          <w:u w:val="single"/>
          <w:lang w:eastAsia="zh-CN"/>
        </w:rPr>
        <w:t>联</w:t>
      </w:r>
      <w:r>
        <w:rPr>
          <w:rFonts w:hint="eastAsia" w:hAnsi="宋体"/>
          <w:color w:val="auto"/>
          <w:sz w:val="24"/>
          <w:szCs w:val="24"/>
          <w:u w:val="single"/>
          <w:lang w:eastAsia="zh-CN"/>
        </w:rPr>
        <w:t>合体</w:t>
      </w:r>
      <w:r>
        <w:rPr>
          <w:rFonts w:hint="eastAsia" w:hAnsi="宋体"/>
          <w:color w:val="auto"/>
          <w:sz w:val="24"/>
          <w:szCs w:val="24"/>
          <w:u w:val="single"/>
          <w:lang w:val="en-US" w:eastAsia="zh-CN"/>
        </w:rPr>
        <w:t>成员2</w:t>
      </w:r>
      <w:r>
        <w:rPr>
          <w:rFonts w:hint="eastAsia" w:hAnsi="宋体"/>
          <w:color w:val="auto"/>
          <w:sz w:val="24"/>
          <w:szCs w:val="24"/>
          <w:u w:val="single"/>
          <w:lang w:eastAsia="zh-CN"/>
        </w:rPr>
        <w:t>公司</w:t>
      </w:r>
      <w:r>
        <w:rPr>
          <w:rFonts w:hAnsi="宋体"/>
          <w:color w:val="auto"/>
          <w:sz w:val="24"/>
          <w:szCs w:val="24"/>
          <w:u w:val="single"/>
        </w:rPr>
        <w:t xml:space="preserve">全称）  </w:t>
      </w:r>
      <w:r>
        <w:rPr>
          <w:rFonts w:hAnsi="宋体"/>
          <w:color w:val="auto"/>
          <w:sz w:val="24"/>
          <w:szCs w:val="24"/>
        </w:rPr>
        <w:t>法定代表人</w:t>
      </w:r>
      <w:r>
        <w:rPr>
          <w:rFonts w:hint="eastAsia" w:ascii="Arial" w:hAnsi="Arial" w:cs="Arial"/>
          <w:color w:val="auto"/>
          <w:sz w:val="24"/>
          <w:szCs w:val="24"/>
        </w:rPr>
        <w:t>（或营业执照中单位负责人）</w:t>
      </w:r>
      <w:r>
        <w:rPr>
          <w:rFonts w:hAnsi="宋体"/>
          <w:color w:val="auto"/>
          <w:sz w:val="24"/>
          <w:szCs w:val="24"/>
          <w:u w:val="single"/>
        </w:rPr>
        <w:tab/>
      </w:r>
      <w:r>
        <w:rPr>
          <w:rFonts w:hint="eastAsia" w:hAnsi="宋体"/>
          <w:color w:val="auto"/>
          <w:sz w:val="24"/>
          <w:szCs w:val="24"/>
          <w:u w:val="single"/>
          <w:lang w:val="en-US" w:eastAsia="zh-CN"/>
        </w:rPr>
        <w:t xml:space="preserve">     </w:t>
      </w:r>
      <w:r>
        <w:rPr>
          <w:rFonts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int="eastAsia" w:hAnsi="宋体"/>
          <w:sz w:val="24"/>
          <w:szCs w:val="24"/>
          <w:lang w:val="en-US" w:eastAsia="zh-CN"/>
        </w:rPr>
        <w:t>磋商</w:t>
      </w:r>
      <w:r>
        <w:rPr>
          <w:rFonts w:hAnsi="宋体"/>
          <w:sz w:val="24"/>
          <w:szCs w:val="24"/>
        </w:rPr>
        <w:t>、签约等具体事务和签署相关文件。</w:t>
      </w:r>
      <w:r>
        <w:rPr>
          <w:rFonts w:hint="eastAsia" w:hAnsi="宋体"/>
          <w:sz w:val="24"/>
          <w:szCs w:val="24"/>
        </w:rPr>
        <w:t>我方对全权代表的签字事项负全部责任。</w:t>
      </w:r>
    </w:p>
    <w:p>
      <w:pPr>
        <w:pStyle w:val="12"/>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2"/>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日期：</w:t>
      </w:r>
    </w:p>
    <w:p>
      <w:pPr>
        <w:spacing w:line="360" w:lineRule="auto"/>
        <w:rPr>
          <w:b/>
          <w:sz w:val="24"/>
        </w:rPr>
      </w:pPr>
      <w:r>
        <w:rPr>
          <w:rFonts w:hint="eastAsia" w:ascii="宋体"/>
          <w:b/>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w:t>
            </w:r>
            <w:r>
              <w:rPr>
                <w:rFonts w:hint="eastAsia" w:ascii="宋体"/>
                <w:b/>
                <w:sz w:val="24"/>
                <w:lang w:eastAsia="zh-CN"/>
              </w:rPr>
              <w:t>粘贴</w:t>
            </w:r>
            <w:r>
              <w:rPr>
                <w:rFonts w:hint="eastAsia" w:ascii="宋体"/>
                <w:b/>
                <w:sz w:val="24"/>
              </w:rPr>
              <w:t>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tbl>
      <w:tblPr>
        <w:tblStyle w:val="24"/>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w:t>
            </w:r>
            <w:r>
              <w:rPr>
                <w:rFonts w:hint="eastAsia" w:ascii="宋体"/>
                <w:b/>
                <w:sz w:val="24"/>
                <w:lang w:eastAsia="zh-CN"/>
              </w:rPr>
              <w:t>粘贴</w:t>
            </w:r>
            <w:r>
              <w:rPr>
                <w:rFonts w:hint="eastAsia" w:ascii="宋体"/>
                <w:b/>
                <w:sz w:val="24"/>
              </w:rPr>
              <w:t>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ascii="宋体"/>
          <w:sz w:val="24"/>
        </w:rPr>
      </w:pPr>
    </w:p>
    <w:tbl>
      <w:tblPr>
        <w:tblStyle w:val="24"/>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w:t>
            </w:r>
            <w:r>
              <w:rPr>
                <w:rFonts w:hint="eastAsia" w:ascii="宋体"/>
                <w:b/>
                <w:sz w:val="24"/>
                <w:lang w:eastAsia="zh-CN"/>
              </w:rPr>
              <w:t>粘贴</w:t>
            </w:r>
            <w:r>
              <w:rPr>
                <w:rFonts w:hint="eastAsia" w:ascii="宋体"/>
                <w:b/>
                <w:sz w:val="24"/>
              </w:rPr>
              <w:t>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jc w:val="center"/>
        <w:rPr>
          <w:rFonts w:hint="eastAsia" w:ascii="宋体" w:hAnsi="宋体" w:eastAsia="宋体" w:cs="宋体"/>
          <w:b/>
          <w:bCs/>
          <w:sz w:val="36"/>
          <w:szCs w:val="36"/>
          <w:lang w:eastAsia="zh-CN"/>
        </w:rPr>
      </w:pPr>
    </w:p>
    <w:p>
      <w:pPr>
        <w:pStyle w:val="2"/>
        <w:rPr>
          <w:rFonts w:hint="eastAsia" w:ascii="宋体" w:hAnsi="宋体" w:eastAsia="宋体" w:cs="宋体"/>
          <w:b/>
          <w:bCs/>
          <w:sz w:val="36"/>
          <w:szCs w:val="36"/>
          <w:lang w:eastAsia="zh-CN"/>
        </w:rPr>
      </w:pPr>
    </w:p>
    <w:p>
      <w:pPr>
        <w:pStyle w:val="2"/>
        <w:rPr>
          <w:rFonts w:hint="eastAsia" w:ascii="宋体" w:hAnsi="宋体" w:eastAsia="宋体" w:cs="宋体"/>
          <w:b/>
          <w:bCs/>
          <w:sz w:val="36"/>
          <w:szCs w:val="36"/>
          <w:lang w:eastAsia="zh-CN"/>
        </w:rPr>
      </w:pPr>
    </w:p>
    <w:p>
      <w:pPr>
        <w:rPr>
          <w:rFonts w:hint="eastAsia"/>
        </w:rPr>
        <w:sectPr>
          <w:headerReference r:id="rId3" w:type="default"/>
          <w:footerReference r:id="rId4" w:type="default"/>
          <w:pgSz w:w="11906" w:h="16838"/>
          <w:pgMar w:top="1701" w:right="1418" w:bottom="1588" w:left="1418" w:header="851" w:footer="851" w:gutter="0"/>
          <w:cols w:space="720" w:num="1"/>
          <w:docGrid w:linePitch="312" w:charSpace="0"/>
        </w:sectPr>
      </w:pPr>
    </w:p>
    <w:p>
      <w:pPr>
        <w:bidi w:val="0"/>
        <w:jc w:val="left"/>
        <w:rPr>
          <w:rFonts w:hint="eastAsia"/>
        </w:rPr>
      </w:pPr>
    </w:p>
    <w:p>
      <w:pPr>
        <w:spacing w:line="240" w:lineRule="auto"/>
        <w:ind w:firstLine="281" w:firstLineChars="100"/>
        <w:jc w:val="left"/>
        <w:rPr>
          <w:rFonts w:hint="eastAsia"/>
          <w:b/>
          <w:color w:val="000000"/>
          <w:sz w:val="28"/>
        </w:rPr>
      </w:pPr>
      <w:bookmarkStart w:id="56" w:name="_Toc5889_WPSOffice_Level1"/>
      <w:bookmarkStart w:id="57" w:name="_Toc11308_WPSOffice_Level1"/>
      <w:r>
        <w:rPr>
          <w:rFonts w:hint="eastAsia" w:ascii="宋体" w:hAnsi="宋体" w:cs="Times New Roman"/>
          <w:b/>
          <w:sz w:val="28"/>
        </w:rPr>
        <w:t>附件</w:t>
      </w:r>
      <w:r>
        <w:rPr>
          <w:rFonts w:hint="eastAsia" w:ascii="宋体" w:hAnsi="宋体" w:cs="Times New Roman"/>
          <w:b/>
          <w:sz w:val="28"/>
          <w:lang w:val="en-US" w:eastAsia="zh-CN"/>
        </w:rPr>
        <w:t>3</w:t>
      </w:r>
      <w:r>
        <w:rPr>
          <w:rFonts w:hint="eastAsia" w:ascii="宋体" w:hAnsi="宋体" w:cs="Times New Roman"/>
          <w:b/>
          <w:sz w:val="28"/>
        </w:rPr>
        <w:t xml:space="preserve">   </w:t>
      </w:r>
      <w:r>
        <w:rPr>
          <w:rFonts w:hint="eastAsia"/>
          <w:b/>
          <w:color w:val="000000"/>
          <w:sz w:val="28"/>
        </w:rPr>
        <w:t xml:space="preserve">    </w:t>
      </w:r>
    </w:p>
    <w:p>
      <w:pPr>
        <w:spacing w:line="240" w:lineRule="auto"/>
        <w:ind w:firstLine="321" w:firstLineChars="100"/>
        <w:jc w:val="center"/>
        <w:rPr>
          <w:rFonts w:hint="eastAsia" w:ascii="宋体" w:hAnsi="宋体" w:eastAsia="宋体" w:cs="宋体"/>
          <w:b/>
          <w:bCs/>
          <w:color w:val="auto"/>
          <w:sz w:val="32"/>
          <w:szCs w:val="32"/>
          <w:highlight w:val="none"/>
          <w:u w:val="none"/>
          <w:lang w:val="en-US" w:eastAsia="zh-CN"/>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w:t>
      </w:r>
      <w:r>
        <w:rPr>
          <w:rFonts w:hint="eastAsia" w:ascii="宋体" w:hAnsi="宋体" w:cs="宋体"/>
          <w:b/>
          <w:bCs/>
          <w:color w:val="auto"/>
          <w:sz w:val="32"/>
          <w:szCs w:val="32"/>
          <w:u w:val="none"/>
          <w:lang w:val="en-US" w:eastAsia="zh-CN"/>
        </w:rPr>
        <w:t>磋商</w:t>
      </w:r>
      <w:r>
        <w:rPr>
          <w:rFonts w:hint="eastAsia" w:ascii="宋体" w:hAnsi="宋体" w:eastAsia="宋体" w:cs="宋体"/>
          <w:b/>
          <w:bCs/>
          <w:color w:val="auto"/>
          <w:sz w:val="32"/>
          <w:szCs w:val="32"/>
          <w:highlight w:val="none"/>
          <w:u w:val="none"/>
          <w:lang w:eastAsia="zh-CN"/>
        </w:rPr>
        <w:t>协议</w:t>
      </w:r>
      <w:r>
        <w:rPr>
          <w:rFonts w:hint="eastAsia" w:ascii="宋体" w:hAnsi="宋体" w:eastAsia="宋体" w:cs="宋体"/>
          <w:b/>
          <w:bCs/>
          <w:color w:val="auto"/>
          <w:sz w:val="32"/>
          <w:szCs w:val="32"/>
          <w:highlight w:val="none"/>
          <w:u w:val="none"/>
          <w:lang w:val="en-US" w:eastAsia="zh-CN"/>
        </w:rPr>
        <w:t>书</w:t>
      </w:r>
    </w:p>
    <w:p>
      <w:pPr>
        <w:pStyle w:val="22"/>
      </w:pPr>
    </w:p>
    <w:p>
      <w:pPr>
        <w:snapToGrid w:val="0"/>
        <w:spacing w:line="360" w:lineRule="auto"/>
        <w:ind w:firstLine="576"/>
        <w:rPr>
          <w:kern w:val="0"/>
          <w:sz w:val="24"/>
          <w:szCs w:val="24"/>
          <w:highlight w:val="none"/>
          <w:lang w:val="zh-CN"/>
        </w:rPr>
      </w:pPr>
      <w:r>
        <w:rPr>
          <w:rFonts w:hint="eastAsia"/>
          <w:kern w:val="0"/>
          <w:sz w:val="24"/>
          <w:szCs w:val="24"/>
          <w:highlight w:val="none"/>
          <w:u w:val="single"/>
          <w:lang w:val="en-US" w:eastAsia="zh-CN"/>
        </w:rPr>
        <w:t xml:space="preserve"> </w:t>
      </w:r>
      <w:r>
        <w:rPr>
          <w:kern w:val="0"/>
          <w:sz w:val="24"/>
          <w:szCs w:val="24"/>
          <w:highlight w:val="none"/>
          <w:u w:val="single"/>
        </w:rPr>
        <w:t>（联合体所有成员名称）</w:t>
      </w:r>
      <w:r>
        <w:rPr>
          <w:rFonts w:hint="eastAsia"/>
          <w:kern w:val="0"/>
          <w:sz w:val="24"/>
          <w:szCs w:val="24"/>
          <w:highlight w:val="none"/>
          <w:u w:val="single"/>
          <w:lang w:val="en-US" w:eastAsia="zh-CN"/>
        </w:rPr>
        <w:t xml:space="preserve"> </w:t>
      </w:r>
      <w:r>
        <w:rPr>
          <w:kern w:val="0"/>
          <w:sz w:val="24"/>
          <w:szCs w:val="24"/>
          <w:highlight w:val="none"/>
        </w:rPr>
        <w:t>自愿</w:t>
      </w:r>
      <w:r>
        <w:rPr>
          <w:kern w:val="0"/>
          <w:sz w:val="24"/>
          <w:szCs w:val="24"/>
          <w:highlight w:val="none"/>
          <w:lang w:val="zh-CN"/>
        </w:rPr>
        <w:t>组成联合体，以一个</w:t>
      </w:r>
      <w:r>
        <w:rPr>
          <w:rFonts w:hint="eastAsia"/>
          <w:kern w:val="0"/>
          <w:sz w:val="24"/>
          <w:szCs w:val="24"/>
          <w:highlight w:val="none"/>
          <w:lang w:val="en-US" w:eastAsia="zh-CN"/>
        </w:rPr>
        <w:t>供应商</w:t>
      </w:r>
      <w:r>
        <w:rPr>
          <w:kern w:val="0"/>
          <w:sz w:val="24"/>
          <w:szCs w:val="24"/>
          <w:highlight w:val="none"/>
          <w:lang w:val="zh-CN"/>
        </w:rPr>
        <w:t>的身份</w:t>
      </w:r>
      <w:r>
        <w:rPr>
          <w:rFonts w:hint="eastAsia"/>
          <w:kern w:val="0"/>
          <w:sz w:val="24"/>
          <w:szCs w:val="24"/>
          <w:highlight w:val="none"/>
          <w:lang w:val="en-US" w:eastAsia="zh-CN"/>
        </w:rPr>
        <w:t>共同参加贵单位组织的</w:t>
      </w:r>
      <w:r>
        <w:rPr>
          <w:rFonts w:hint="eastAsia"/>
          <w:sz w:val="24"/>
          <w:szCs w:val="24"/>
          <w:highlight w:val="none"/>
          <w:u w:val="single"/>
          <w:lang w:val="en-US" w:eastAsia="zh-CN"/>
        </w:rPr>
        <w:t xml:space="preserve">       </w:t>
      </w:r>
      <w:r>
        <w:rPr>
          <w:sz w:val="24"/>
          <w:szCs w:val="24"/>
          <w:highlight w:val="none"/>
          <w:u w:val="single"/>
        </w:rPr>
        <w:t>（项目名称）</w:t>
      </w:r>
      <w:r>
        <w:rPr>
          <w:rFonts w:hint="eastAsia"/>
          <w:sz w:val="24"/>
          <w:szCs w:val="24"/>
          <w:highlight w:val="none"/>
          <w:u w:val="single"/>
          <w:lang w:val="en-US" w:eastAsia="zh-CN"/>
        </w:rPr>
        <w:t xml:space="preserve">      </w:t>
      </w:r>
      <w:r>
        <w:rPr>
          <w:sz w:val="24"/>
          <w:szCs w:val="24"/>
          <w:highlight w:val="none"/>
          <w:u w:val="none"/>
        </w:rPr>
        <w:t>（</w:t>
      </w:r>
      <w:r>
        <w:rPr>
          <w:rFonts w:hint="eastAsia"/>
          <w:sz w:val="24"/>
          <w:szCs w:val="24"/>
          <w:highlight w:val="none"/>
          <w:u w:val="none"/>
          <w:lang w:val="en-US" w:eastAsia="zh-CN"/>
        </w:rPr>
        <w:t>项目</w:t>
      </w:r>
      <w:r>
        <w:rPr>
          <w:sz w:val="24"/>
          <w:szCs w:val="24"/>
          <w:highlight w:val="none"/>
          <w:u w:val="none"/>
        </w:rPr>
        <w:t>编号：</w:t>
      </w:r>
      <w:r>
        <w:rPr>
          <w:sz w:val="24"/>
          <w:szCs w:val="24"/>
          <w:highlight w:val="none"/>
          <w:u w:val="single"/>
        </w:rPr>
        <w:t xml:space="preserve">   </w:t>
      </w:r>
      <w:r>
        <w:rPr>
          <w:rFonts w:hint="eastAsia"/>
          <w:sz w:val="24"/>
          <w:szCs w:val="24"/>
          <w:highlight w:val="none"/>
          <w:u w:val="single"/>
          <w:lang w:val="en-US" w:eastAsia="zh-CN"/>
        </w:rPr>
        <w:t xml:space="preserve">   </w:t>
      </w:r>
      <w:r>
        <w:rPr>
          <w:sz w:val="24"/>
          <w:szCs w:val="24"/>
          <w:highlight w:val="none"/>
          <w:u w:val="single"/>
        </w:rPr>
        <w:t xml:space="preserve">    </w:t>
      </w:r>
      <w:r>
        <w:rPr>
          <w:sz w:val="24"/>
          <w:szCs w:val="24"/>
          <w:highlight w:val="none"/>
          <w:u w:val="none"/>
        </w:rPr>
        <w:t>）</w:t>
      </w:r>
      <w:r>
        <w:rPr>
          <w:rFonts w:hint="eastAsia"/>
          <w:sz w:val="24"/>
          <w:szCs w:val="24"/>
          <w:highlight w:val="none"/>
          <w:u w:val="none"/>
          <w:lang w:val="en-US" w:eastAsia="zh-CN"/>
        </w:rPr>
        <w:t>的</w:t>
      </w:r>
      <w:r>
        <w:rPr>
          <w:rFonts w:hint="eastAsia"/>
          <w:kern w:val="0"/>
          <w:sz w:val="24"/>
          <w:szCs w:val="24"/>
          <w:highlight w:val="none"/>
          <w:lang w:val="en-US" w:eastAsia="zh-CN"/>
        </w:rPr>
        <w:t>采购活动</w:t>
      </w:r>
      <w:r>
        <w:rPr>
          <w:kern w:val="0"/>
          <w:sz w:val="24"/>
          <w:szCs w:val="24"/>
          <w:highlight w:val="none"/>
          <w:lang w:val="zh-CN"/>
        </w:rPr>
        <w:t>。</w:t>
      </w:r>
      <w:r>
        <w:rPr>
          <w:rFonts w:hint="eastAsia"/>
          <w:kern w:val="0"/>
          <w:sz w:val="24"/>
          <w:szCs w:val="24"/>
          <w:highlight w:val="none"/>
          <w:lang w:val="en-US" w:eastAsia="zh-CN"/>
        </w:rPr>
        <w:t>现就联合体采购事宜订立如下协议：</w:t>
      </w:r>
      <w:r>
        <w:rPr>
          <w:kern w:val="0"/>
          <w:sz w:val="24"/>
          <w:szCs w:val="24"/>
          <w:highlight w:val="none"/>
          <w:lang w:val="zh-CN"/>
        </w:rPr>
        <w:t xml:space="preserve"> </w:t>
      </w:r>
    </w:p>
    <w:p>
      <w:pPr>
        <w:numPr>
          <w:ilvl w:val="0"/>
          <w:numId w:val="22"/>
        </w:numPr>
        <w:snapToGrid w:val="0"/>
        <w:spacing w:line="360" w:lineRule="auto"/>
        <w:ind w:firstLine="576"/>
        <w:rPr>
          <w:rFonts w:hint="eastAsia"/>
          <w:kern w:val="0"/>
          <w:sz w:val="24"/>
          <w:szCs w:val="24"/>
          <w:highlight w:val="none"/>
          <w:u w:val="single"/>
          <w:lang w:val="en-US" w:eastAsia="zh-CN"/>
        </w:rPr>
      </w:pPr>
      <w:r>
        <w:rPr>
          <w:kern w:val="0"/>
          <w:sz w:val="24"/>
          <w:szCs w:val="24"/>
          <w:highlight w:val="none"/>
          <w:u w:val="single"/>
        </w:rPr>
        <w:t>（某联合体成员名称）</w:t>
      </w:r>
      <w:r>
        <w:rPr>
          <w:rFonts w:hint="eastAsia"/>
          <w:kern w:val="0"/>
          <w:sz w:val="24"/>
          <w:szCs w:val="24"/>
          <w:highlight w:val="none"/>
          <w:u w:val="single"/>
          <w:lang w:val="en-US" w:eastAsia="zh-CN"/>
        </w:rPr>
        <w:t xml:space="preserve"> 为联合体的牵头人。</w:t>
      </w:r>
    </w:p>
    <w:p>
      <w:pPr>
        <w:numPr>
          <w:ilvl w:val="0"/>
          <w:numId w:val="22"/>
        </w:numPr>
        <w:snapToGrid w:val="0"/>
        <w:spacing w:line="360" w:lineRule="auto"/>
        <w:ind w:firstLine="576"/>
        <w:rPr>
          <w:rFonts w:hint="default"/>
          <w:color w:val="auto"/>
          <w:highlight w:val="none"/>
          <w:lang w:val="en-US" w:eastAsia="zh-CN"/>
        </w:rPr>
      </w:pPr>
      <w:r>
        <w:rPr>
          <w:rFonts w:hint="eastAsia"/>
          <w:kern w:val="0"/>
          <w:sz w:val="24"/>
          <w:szCs w:val="24"/>
          <w:highlight w:val="none"/>
          <w:u w:val="none"/>
          <w:lang w:val="en-US" w:eastAsia="zh-CN"/>
        </w:rPr>
        <w:t>联合体牵头人合法代表联合体各成员，负责本采购项目响应文件编制和合同谈判活动，并代表联合体提交和接受相关的资料、信息及指示，并处理与之有关的一切事务，负责合同实施阶段的</w:t>
      </w:r>
      <w:r>
        <w:rPr>
          <w:rFonts w:hint="eastAsia"/>
          <w:color w:val="auto"/>
          <w:kern w:val="0"/>
          <w:sz w:val="24"/>
          <w:szCs w:val="24"/>
          <w:highlight w:val="none"/>
          <w:u w:val="none"/>
          <w:lang w:val="en-US" w:eastAsia="zh-CN"/>
        </w:rPr>
        <w:t>主办、组织和协调工作。</w:t>
      </w:r>
    </w:p>
    <w:p>
      <w:pPr>
        <w:numPr>
          <w:ilvl w:val="0"/>
          <w:numId w:val="22"/>
        </w:numPr>
        <w:snapToGrid w:val="0"/>
        <w:spacing w:line="360" w:lineRule="auto"/>
        <w:ind w:firstLine="576"/>
        <w:rPr>
          <w:lang w:val="zh-CN"/>
        </w:rPr>
      </w:pPr>
      <w:r>
        <w:rPr>
          <w:rFonts w:hint="eastAsia"/>
          <w:color w:val="auto"/>
          <w:kern w:val="0"/>
          <w:sz w:val="24"/>
          <w:szCs w:val="24"/>
          <w:highlight w:val="none"/>
          <w:lang w:val="en-US" w:eastAsia="zh-CN"/>
        </w:rPr>
        <w:t>联合体将严格按照</w:t>
      </w:r>
      <w:r>
        <w:rPr>
          <w:rFonts w:hint="eastAsia" w:ascii="宋体" w:hAnsi="宋体"/>
          <w:color w:val="auto"/>
          <w:sz w:val="24"/>
          <w:highlight w:val="none"/>
          <w:lang w:val="en-US" w:eastAsia="zh-CN"/>
        </w:rPr>
        <w:t>磋商</w:t>
      </w:r>
      <w:r>
        <w:rPr>
          <w:rFonts w:hint="eastAsia"/>
          <w:color w:val="auto"/>
          <w:kern w:val="0"/>
          <w:sz w:val="24"/>
          <w:szCs w:val="24"/>
          <w:highlight w:val="none"/>
          <w:lang w:val="en-US" w:eastAsia="zh-CN"/>
        </w:rPr>
        <w:t>文件的各项</w:t>
      </w:r>
      <w:r>
        <w:rPr>
          <w:rFonts w:hint="eastAsia"/>
          <w:kern w:val="0"/>
          <w:sz w:val="24"/>
          <w:szCs w:val="24"/>
          <w:highlight w:val="none"/>
          <w:lang w:val="en-US" w:eastAsia="zh-CN"/>
        </w:rPr>
        <w:t>要求，递交响应文件，履</w:t>
      </w:r>
      <w:r>
        <w:rPr>
          <w:rFonts w:hint="eastAsia"/>
          <w:kern w:val="0"/>
          <w:sz w:val="24"/>
          <w:szCs w:val="24"/>
          <w:lang w:val="en-US" w:eastAsia="zh-CN"/>
        </w:rPr>
        <w:t>行合同，并对外承担连带责任。</w:t>
      </w:r>
    </w:p>
    <w:p>
      <w:pPr>
        <w:numPr>
          <w:ilvl w:val="0"/>
          <w:numId w:val="22"/>
        </w:numPr>
        <w:snapToGrid w:val="0"/>
        <w:spacing w:line="360" w:lineRule="auto"/>
        <w:ind w:firstLine="576"/>
        <w:rPr>
          <w:kern w:val="0"/>
          <w:sz w:val="24"/>
          <w:szCs w:val="24"/>
          <w:u w:val="none"/>
          <w:lang w:val="zh-CN"/>
        </w:rPr>
      </w:pPr>
      <w:r>
        <w:rPr>
          <w:rFonts w:hint="eastAsia"/>
          <w:kern w:val="0"/>
          <w:sz w:val="24"/>
          <w:szCs w:val="24"/>
          <w:lang w:val="en-US" w:eastAsia="zh-CN"/>
        </w:rPr>
        <w:t>本次联合采购中，分工如下：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w:t>
      </w:r>
      <w:r>
        <w:rPr>
          <w:rFonts w:hint="eastAsia"/>
          <w:kern w:val="0"/>
          <w:sz w:val="24"/>
          <w:szCs w:val="24"/>
          <w:lang w:val="zh-CN"/>
        </w:rPr>
        <w:t>的工作</w:t>
      </w:r>
      <w:r>
        <w:rPr>
          <w:rFonts w:hint="eastAsia"/>
          <w:kern w:val="0"/>
          <w:sz w:val="24"/>
          <w:szCs w:val="24"/>
          <w:lang w:val="en-US" w:eastAsia="zh-CN"/>
        </w:rPr>
        <w:t>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pPr>
        <w:numPr>
          <w:ilvl w:val="0"/>
          <w:numId w:val="22"/>
        </w:numPr>
        <w:snapToGrid w:val="0"/>
        <w:spacing w:line="360" w:lineRule="auto"/>
        <w:ind w:firstLine="576"/>
        <w:rPr>
          <w:rFonts w:hint="default" w:ascii="Times New Roman" w:hAnsi="Times New Roman" w:cs="Times New Roman"/>
          <w:kern w:val="0"/>
          <w:sz w:val="24"/>
          <w:szCs w:val="24"/>
          <w:lang w:val="en-US" w:eastAsia="zh-CN"/>
        </w:rPr>
      </w:pPr>
      <w:r>
        <w:rPr>
          <w:rFonts w:hint="eastAsia"/>
          <w:kern w:val="0"/>
          <w:sz w:val="24"/>
          <w:szCs w:val="24"/>
          <w:lang w:val="en-US" w:eastAsia="zh-CN"/>
        </w:rPr>
        <w:t>本次联合采购中，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pPr>
        <w:numPr>
          <w:ilvl w:val="0"/>
          <w:numId w:val="0"/>
        </w:numPr>
        <w:snapToGrid w:val="0"/>
        <w:spacing w:line="360" w:lineRule="auto"/>
        <w:rPr>
          <w:rFonts w:hint="default" w:ascii="Times New Roman" w:hAnsi="Times New Roman" w:cs="Times New Roman"/>
          <w:kern w:val="0"/>
          <w:sz w:val="24"/>
          <w:szCs w:val="24"/>
          <w:highlight w:val="none"/>
          <w:u w:val="single"/>
          <w:lang w:val="en-US" w:eastAsia="zh-CN"/>
        </w:rPr>
      </w:pPr>
      <w:r>
        <w:rPr>
          <w:rFonts w:hint="eastAsia" w:ascii="Times New Roman" w:hAnsi="Times New Roman" w:cs="Times New Roman"/>
          <w:kern w:val="0"/>
          <w:sz w:val="24"/>
          <w:szCs w:val="24"/>
          <w:u w:val="single"/>
          <w:lang w:val="en-US" w:eastAsia="zh-CN"/>
        </w:rPr>
        <w:t xml:space="preserve">                                   </w:t>
      </w:r>
      <w:r>
        <w:rPr>
          <w:rFonts w:hint="eastAsia" w:ascii="Times New Roman" w:hAnsi="Times New Roman" w:cs="Times New Roman"/>
          <w:kern w:val="0"/>
          <w:sz w:val="24"/>
          <w:szCs w:val="24"/>
          <w:highlight w:val="none"/>
          <w:u w:val="single"/>
          <w:lang w:val="en-US" w:eastAsia="zh-CN"/>
        </w:rPr>
        <w:t xml:space="preserve">                                。</w:t>
      </w:r>
    </w:p>
    <w:p>
      <w:pPr>
        <w:numPr>
          <w:ilvl w:val="0"/>
          <w:numId w:val="22"/>
        </w:numPr>
        <w:snapToGrid w:val="0"/>
        <w:spacing w:line="360" w:lineRule="auto"/>
        <w:ind w:firstLine="576"/>
        <w:rPr>
          <w:rFonts w:hint="eastAsia" w:ascii="Times New Roman" w:hAnsi="Times New Roman"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各方</w:t>
      </w:r>
      <w:r>
        <w:rPr>
          <w:rFonts w:hint="eastAsia" w:cs="Times New Roman"/>
          <w:kern w:val="0"/>
          <w:sz w:val="24"/>
          <w:szCs w:val="24"/>
          <w:highlight w:val="none"/>
          <w:lang w:val="en-US" w:eastAsia="zh-CN"/>
        </w:rPr>
        <w:t>具体的</w:t>
      </w:r>
      <w:r>
        <w:rPr>
          <w:rFonts w:hint="eastAsia" w:ascii="Times New Roman" w:hAnsi="Times New Roman" w:cs="Times New Roman"/>
          <w:kern w:val="0"/>
          <w:sz w:val="24"/>
          <w:szCs w:val="24"/>
          <w:highlight w:val="none"/>
          <w:lang w:val="en-US" w:eastAsia="zh-CN"/>
        </w:rPr>
        <w:t>责任、权利、义务，在</w:t>
      </w:r>
      <w:r>
        <w:rPr>
          <w:rFonts w:hint="eastAsia" w:cs="Times New Roman"/>
          <w:kern w:val="0"/>
          <w:sz w:val="24"/>
          <w:szCs w:val="24"/>
          <w:highlight w:val="none"/>
          <w:lang w:val="en-US" w:eastAsia="zh-CN"/>
        </w:rPr>
        <w:t>成交</w:t>
      </w:r>
      <w:r>
        <w:rPr>
          <w:rFonts w:hint="eastAsia" w:ascii="Times New Roman" w:hAnsi="Times New Roman" w:cs="Times New Roman"/>
          <w:kern w:val="0"/>
          <w:sz w:val="24"/>
          <w:szCs w:val="24"/>
          <w:highlight w:val="none"/>
          <w:lang w:val="en-US" w:eastAsia="zh-CN"/>
        </w:rPr>
        <w:t>后经各方协商后报采购人同意后在合同中明确。</w:t>
      </w:r>
    </w:p>
    <w:p>
      <w:pPr>
        <w:numPr>
          <w:ilvl w:val="0"/>
          <w:numId w:val="22"/>
        </w:numPr>
        <w:snapToGrid w:val="0"/>
        <w:spacing w:line="360" w:lineRule="auto"/>
        <w:ind w:firstLine="576"/>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highlight w:val="none"/>
          <w:lang w:val="en-US" w:eastAsia="zh-CN"/>
        </w:rPr>
        <w:t>联合体各方不得再以自己的名义参加本项目的采购。联合</w:t>
      </w:r>
      <w:r>
        <w:rPr>
          <w:rFonts w:hint="eastAsia" w:cs="Times New Roman"/>
          <w:kern w:val="0"/>
          <w:sz w:val="24"/>
          <w:szCs w:val="24"/>
          <w:highlight w:val="none"/>
          <w:lang w:val="en-US" w:eastAsia="zh-CN"/>
        </w:rPr>
        <w:t>响应</w:t>
      </w:r>
      <w:r>
        <w:rPr>
          <w:rFonts w:hint="eastAsia" w:ascii="Times New Roman" w:hAnsi="Times New Roman" w:cs="Times New Roman"/>
          <w:kern w:val="0"/>
          <w:sz w:val="24"/>
          <w:szCs w:val="24"/>
          <w:highlight w:val="none"/>
          <w:lang w:val="en-US" w:eastAsia="zh-CN"/>
        </w:rPr>
        <w:t>的项目负责人不能作为其他联合体或单独采购单位的项目组成员。因发生上述问题导致联合体</w:t>
      </w:r>
      <w:r>
        <w:rPr>
          <w:rFonts w:hint="eastAsia" w:cs="Times New Roman"/>
          <w:kern w:val="0"/>
          <w:sz w:val="24"/>
          <w:szCs w:val="24"/>
          <w:highlight w:val="none"/>
          <w:lang w:val="en-US" w:eastAsia="zh-CN"/>
        </w:rPr>
        <w:t>响应</w:t>
      </w:r>
      <w:r>
        <w:rPr>
          <w:rFonts w:hint="eastAsia" w:ascii="Times New Roman" w:hAnsi="Times New Roman" w:cs="Times New Roman"/>
          <w:kern w:val="0"/>
          <w:sz w:val="24"/>
          <w:szCs w:val="24"/>
          <w:highlight w:val="none"/>
          <w:lang w:val="en-US" w:eastAsia="zh-CN"/>
        </w:rPr>
        <w:t>无效</w:t>
      </w:r>
      <w:r>
        <w:rPr>
          <w:rFonts w:hint="eastAsia" w:ascii="Times New Roman" w:hAnsi="Times New Roman" w:cs="Times New Roman"/>
          <w:kern w:val="0"/>
          <w:sz w:val="24"/>
          <w:szCs w:val="24"/>
          <w:lang w:val="en-US" w:eastAsia="zh-CN"/>
        </w:rPr>
        <w:t>的，联合体的其他成员可追求违约行为。</w:t>
      </w:r>
    </w:p>
    <w:p>
      <w:pPr>
        <w:numPr>
          <w:ilvl w:val="0"/>
          <w:numId w:val="22"/>
        </w:numPr>
        <w:snapToGrid w:val="0"/>
        <w:spacing w:line="360" w:lineRule="auto"/>
        <w:ind w:firstLine="576"/>
        <w:rPr>
          <w:kern w:val="0"/>
          <w:sz w:val="24"/>
          <w:szCs w:val="24"/>
          <w:lang w:val="zh-CN"/>
        </w:rPr>
      </w:pPr>
      <w:r>
        <w:rPr>
          <w:rFonts w:hint="eastAsia" w:ascii="Times New Roman" w:hAnsi="Times New Roman" w:cs="Times New Roman"/>
          <w:kern w:val="0"/>
          <w:sz w:val="24"/>
          <w:szCs w:val="24"/>
          <w:lang w:val="en-US" w:eastAsia="zh-CN"/>
        </w:rPr>
        <w:t>未中标，本协议自动废止。</w:t>
      </w:r>
    </w:p>
    <w:p>
      <w:pPr>
        <w:pStyle w:val="2"/>
        <w:rPr>
          <w:lang w:val="zh-CN"/>
        </w:rPr>
      </w:pPr>
    </w:p>
    <w:p>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pPr>
        <w:snapToGrid w:val="0"/>
        <w:spacing w:line="360" w:lineRule="auto"/>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签订日期：   年   月   日</w:t>
      </w:r>
    </w:p>
    <w:p>
      <w:pPr>
        <w:snapToGrid w:val="0"/>
        <w:spacing w:line="360" w:lineRule="auto"/>
        <w:jc w:val="center"/>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（注：联合体各方成员应在本协议上共同盖章，不得分别签署协议书）</w:t>
      </w:r>
    </w:p>
    <w:p>
      <w:pPr>
        <w:rPr>
          <w:rFonts w:hint="eastAsia" w:ascii="Times New Roman" w:hAnsi="Times New Roman" w:cs="Times New Roman"/>
          <w:kern w:val="0"/>
          <w:sz w:val="24"/>
          <w:szCs w:val="24"/>
          <w:lang w:val="en-US" w:eastAsia="zh-CN"/>
        </w:rPr>
      </w:pPr>
    </w:p>
    <w:p/>
    <w:p>
      <w:pPr>
        <w:rPr>
          <w:rFonts w:hint="default" w:ascii="宋体" w:hAnsi="宋体"/>
          <w:b/>
          <w:sz w:val="28"/>
          <w:lang w:val="en-US" w:eastAsia="zh-CN"/>
        </w:rPr>
      </w:pPr>
      <w:r>
        <w:rPr>
          <w:rFonts w:hint="eastAsia" w:ascii="宋体" w:hAnsi="宋体"/>
          <w:b/>
          <w:sz w:val="28"/>
          <w:lang w:val="en-US" w:eastAsia="zh-CN"/>
        </w:rPr>
        <w:t>附件4</w:t>
      </w:r>
    </w:p>
    <w:p>
      <w:pPr>
        <w:pStyle w:val="2"/>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承诺函</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pPr>
        <w:snapToGrid w:val="0"/>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cs="宋体"/>
          <w:kern w:val="0"/>
          <w:sz w:val="24"/>
          <w:u w:val="single"/>
          <w:lang w:val="en-US" w:eastAsia="zh-CN"/>
        </w:rPr>
        <w:t>供应商</w:t>
      </w:r>
      <w:r>
        <w:rPr>
          <w:rFonts w:hint="eastAsia" w:ascii="宋体" w:hAnsi="宋体" w:cs="宋体"/>
          <w:kern w:val="0"/>
          <w:sz w:val="24"/>
          <w:u w:val="single"/>
        </w:rPr>
        <w:t xml:space="preserve">名称 </w:t>
      </w:r>
      <w:r>
        <w:rPr>
          <w:rFonts w:hint="eastAsia" w:ascii="宋体" w:hAnsi="宋体" w:cs="宋体"/>
          <w:kern w:val="0"/>
          <w:sz w:val="24"/>
        </w:rPr>
        <w:t>）的法定代表人，我公司自愿参加贵方组织的（</w:t>
      </w:r>
      <w:r>
        <w:rPr>
          <w:rFonts w:hint="eastAsia" w:ascii="宋体" w:hAnsi="宋体" w:cs="宋体"/>
          <w:kern w:val="0"/>
          <w:sz w:val="24"/>
          <w:u w:val="single"/>
        </w:rPr>
        <w:t>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lang w:val="en-US" w:eastAsia="zh-CN"/>
        </w:rPr>
        <w:t>采购活动</w:t>
      </w:r>
      <w:r>
        <w:rPr>
          <w:rFonts w:hint="eastAsia" w:ascii="宋体" w:hAnsi="宋体" w:cs="宋体"/>
          <w:kern w:val="0"/>
          <w:sz w:val="24"/>
        </w:rPr>
        <w:t>，为此，就本次</w:t>
      </w:r>
      <w:r>
        <w:rPr>
          <w:rFonts w:hint="eastAsia" w:ascii="宋体" w:hAnsi="宋体" w:cs="宋体"/>
          <w:kern w:val="0"/>
          <w:sz w:val="24"/>
          <w:lang w:val="en-US" w:eastAsia="zh-CN"/>
        </w:rPr>
        <w:t>响应</w:t>
      </w:r>
      <w:r>
        <w:rPr>
          <w:rFonts w:hint="eastAsia" w:ascii="宋体" w:hAnsi="宋体" w:cs="宋体"/>
          <w:kern w:val="0"/>
          <w:sz w:val="24"/>
        </w:rPr>
        <w:t>有关事项</w:t>
      </w:r>
      <w:r>
        <w:rPr>
          <w:rFonts w:hint="eastAsia" w:ascii="宋体" w:hAnsi="宋体" w:cs="宋体"/>
          <w:kern w:val="0"/>
          <w:sz w:val="24"/>
          <w:lang w:val="en-US" w:eastAsia="zh-CN"/>
        </w:rPr>
        <w:t>承诺</w:t>
      </w:r>
      <w:r>
        <w:rPr>
          <w:rFonts w:hint="eastAsia" w:ascii="宋体" w:hAnsi="宋体" w:cs="宋体"/>
          <w:kern w:val="0"/>
          <w:sz w:val="24"/>
        </w:rPr>
        <w:t>如下：</w:t>
      </w:r>
    </w:p>
    <w:p>
      <w:pPr>
        <w:numPr>
          <w:ilvl w:val="0"/>
          <w:numId w:val="0"/>
        </w:numPr>
        <w:snapToGrid w:val="0"/>
        <w:spacing w:line="360" w:lineRule="auto"/>
        <w:ind w:firstLine="480" w:firstLineChars="200"/>
        <w:rPr>
          <w:rFonts w:hint="eastAsia" w:ascii="宋体" w:hAnsi="宋体" w:cs="宋体"/>
          <w:kern w:val="0"/>
          <w:sz w:val="24"/>
          <w:lang w:eastAsia="zh-CN"/>
        </w:rPr>
      </w:pPr>
      <w:r>
        <w:rPr>
          <w:rFonts w:hint="eastAsia" w:ascii="宋体" w:hAnsi="宋体" w:cs="宋体"/>
          <w:kern w:val="0"/>
          <w:sz w:val="24"/>
          <w:lang w:eastAsia="zh-CN"/>
        </w:rPr>
        <w:t>（</w:t>
      </w:r>
      <w:r>
        <w:rPr>
          <w:rFonts w:hint="eastAsia" w:ascii="宋体" w:hAnsi="宋体" w:cs="宋体"/>
          <w:kern w:val="0"/>
          <w:sz w:val="24"/>
          <w:lang w:val="en-US" w:eastAsia="zh-CN"/>
        </w:rPr>
        <w:t>一</w:t>
      </w:r>
      <w:r>
        <w:rPr>
          <w:rFonts w:hint="eastAsia" w:ascii="宋体" w:hAnsi="宋体" w:cs="宋体"/>
          <w:kern w:val="0"/>
          <w:sz w:val="24"/>
          <w:lang w:eastAsia="zh-CN"/>
        </w:rPr>
        <w:t>）</w:t>
      </w:r>
      <w:r>
        <w:rPr>
          <w:rFonts w:hint="eastAsia" w:ascii="宋体" w:hAnsi="宋体" w:cs="宋体"/>
          <w:kern w:val="0"/>
          <w:sz w:val="24"/>
          <w:lang w:val="en-US" w:eastAsia="zh-CN"/>
        </w:rPr>
        <w:t>我公司</w:t>
      </w:r>
      <w:r>
        <w:rPr>
          <w:rFonts w:hint="eastAsia" w:ascii="宋体" w:hAnsi="宋体" w:cs="宋体"/>
          <w:kern w:val="0"/>
          <w:sz w:val="24"/>
          <w:lang w:eastAsia="zh-CN"/>
        </w:rPr>
        <w:t>有良好的商业信誉和健全的财务会计制度；</w:t>
      </w:r>
    </w:p>
    <w:p>
      <w:pPr>
        <w:numPr>
          <w:ilvl w:val="0"/>
          <w:numId w:val="0"/>
        </w:num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二</w:t>
      </w:r>
      <w:r>
        <w:rPr>
          <w:rFonts w:hint="eastAsia" w:ascii="宋体" w:hAnsi="宋体" w:cs="宋体"/>
          <w:kern w:val="0"/>
          <w:sz w:val="24"/>
          <w:lang w:eastAsia="zh-CN"/>
        </w:rPr>
        <w:t>）</w:t>
      </w:r>
      <w:r>
        <w:rPr>
          <w:rFonts w:hint="eastAsia" w:ascii="宋体" w:hAnsi="宋体" w:cs="宋体"/>
          <w:kern w:val="0"/>
          <w:sz w:val="24"/>
          <w:lang w:val="en-US" w:eastAsia="zh-CN"/>
        </w:rPr>
        <w:t>我公司</w:t>
      </w:r>
      <w:r>
        <w:rPr>
          <w:rFonts w:hint="eastAsia" w:ascii="宋体" w:hAnsi="宋体" w:cs="宋体"/>
          <w:kern w:val="0"/>
          <w:sz w:val="24"/>
          <w:lang w:eastAsia="zh-CN"/>
        </w:rPr>
        <w:t>没有税收缴纳、社会保障等方面的失信记录；</w:t>
      </w:r>
    </w:p>
    <w:p>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w:t>
      </w:r>
      <w:r>
        <w:rPr>
          <w:rFonts w:hint="eastAsia" w:ascii="宋体" w:hAnsi="宋体" w:cs="宋体"/>
          <w:kern w:val="0"/>
          <w:sz w:val="24"/>
          <w:lang w:val="en-US" w:eastAsia="zh-CN"/>
        </w:rPr>
        <w:t>的采购活动</w:t>
      </w:r>
      <w:r>
        <w:rPr>
          <w:rFonts w:hint="eastAsia" w:ascii="宋体" w:hAnsi="宋体" w:cs="宋体"/>
          <w:kern w:val="0"/>
          <w:sz w:val="24"/>
          <w:lang w:eastAsia="zh-CN"/>
        </w:rPr>
        <w:t>；</w:t>
      </w:r>
    </w:p>
    <w:p>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w:t>
      </w:r>
      <w:r>
        <w:rPr>
          <w:rFonts w:hint="eastAsia" w:ascii="宋体" w:hAnsi="宋体" w:cs="宋体"/>
          <w:kern w:val="0"/>
          <w:sz w:val="24"/>
          <w:lang w:val="en-US" w:eastAsia="zh-CN"/>
        </w:rPr>
        <w:t>的采购活动</w:t>
      </w:r>
      <w:r>
        <w:rPr>
          <w:rFonts w:hint="eastAsia" w:ascii="宋体" w:hAnsi="宋体" w:cs="宋体"/>
          <w:kern w:val="0"/>
          <w:sz w:val="24"/>
          <w:lang w:eastAsia="zh-CN"/>
        </w:rPr>
        <w:t>。</w:t>
      </w:r>
    </w:p>
    <w:p>
      <w:pPr>
        <w:pStyle w:val="2"/>
        <w:rPr>
          <w:rFonts w:hint="default" w:ascii="宋体" w:hAnsi="宋体" w:eastAsia="宋体" w:cs="宋体"/>
          <w:kern w:val="0"/>
          <w:sz w:val="24"/>
          <w:u w:val="single"/>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供应商认为需要承诺的其他内容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p>
    <w:p>
      <w:pPr>
        <w:rPr>
          <w:rFonts w:hint="eastAsia" w:ascii="宋体" w:hAnsi="宋体" w:cs="宋体"/>
          <w:kern w:val="0"/>
          <w:sz w:val="24"/>
          <w:lang w:val="en-US" w:eastAsia="zh-CN"/>
        </w:rPr>
      </w:pPr>
    </w:p>
    <w:p>
      <w:pPr>
        <w:ind w:firstLine="420" w:firstLineChars="0"/>
        <w:rPr>
          <w:rFonts w:hint="eastAsia" w:ascii="宋体" w:hAnsi="宋体" w:cs="宋体"/>
          <w:kern w:val="0"/>
          <w:sz w:val="24"/>
          <w:lang w:val="en-US" w:eastAsia="zh-CN"/>
        </w:rPr>
      </w:pPr>
    </w:p>
    <w:p>
      <w:pPr>
        <w:ind w:firstLine="420" w:firstLineChars="0"/>
        <w:rPr>
          <w:rFonts w:hint="default" w:eastAsia="宋体"/>
          <w:lang w:val="en-US" w:eastAsia="zh-CN"/>
        </w:rPr>
      </w:pPr>
      <w:r>
        <w:rPr>
          <w:rFonts w:hint="eastAsia" w:ascii="宋体" w:hAnsi="宋体" w:cs="宋体"/>
          <w:kern w:val="0"/>
          <w:sz w:val="24"/>
          <w:lang w:val="en-US" w:eastAsia="zh-CN"/>
        </w:rPr>
        <w:t>我公司对上述承诺内容的真实性负责。如有虚假，将依法承担相应责任。</w:t>
      </w:r>
    </w:p>
    <w:p/>
    <w:p>
      <w:pPr>
        <w:pStyle w:val="2"/>
      </w:pPr>
    </w:p>
    <w:p/>
    <w:p>
      <w:pPr>
        <w:pStyle w:val="2"/>
      </w:pPr>
    </w:p>
    <w:p/>
    <w:p>
      <w:pPr>
        <w:pStyle w:val="2"/>
      </w:pPr>
    </w:p>
    <w:p/>
    <w:p>
      <w:pPr>
        <w:pStyle w:val="2"/>
      </w:pPr>
    </w:p>
    <w:p/>
    <w:p/>
    <w:p>
      <w:pPr>
        <w:pStyle w:val="2"/>
      </w:pPr>
    </w:p>
    <w:p/>
    <w:p>
      <w:pPr>
        <w:pStyle w:val="2"/>
      </w:pPr>
    </w:p>
    <w:p/>
    <w:p>
      <w:pPr>
        <w:pStyle w:val="2"/>
      </w:pPr>
    </w:p>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rPr>
        <w:t>供应商</w:t>
      </w:r>
      <w:r>
        <w:rPr>
          <w:rFonts w:hint="eastAsia" w:ascii="宋体" w:hAnsi="宋体" w:cs="仿宋_GB2312"/>
          <w:kern w:val="0"/>
          <w:sz w:val="24"/>
          <w:lang w:val="zh-CN"/>
        </w:rPr>
        <w:t>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sectPr>
          <w:headerReference r:id="rId5" w:type="default"/>
          <w:footerReference r:id="rId6" w:type="default"/>
          <w:pgSz w:w="11906" w:h="16838"/>
          <w:pgMar w:top="1701" w:right="1448" w:bottom="1531" w:left="1418" w:header="851" w:footer="851" w:gutter="0"/>
          <w:cols w:space="720" w:num="1"/>
          <w:docGrid w:linePitch="312" w:charSpace="0"/>
        </w:sect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spacing w:line="360" w:lineRule="auto"/>
        <w:jc w:val="center"/>
        <w:rPr>
          <w:rFonts w:hint="eastAsia"/>
          <w:b/>
          <w:bCs/>
          <w:sz w:val="36"/>
          <w:szCs w:val="36"/>
          <w:lang w:val="zh-CN"/>
        </w:rPr>
      </w:pPr>
      <w:r>
        <w:rPr>
          <w:rFonts w:hint="eastAsia"/>
          <w:b/>
          <w:bCs/>
          <w:sz w:val="36"/>
          <w:szCs w:val="36"/>
          <w:lang w:val="zh-CN"/>
        </w:rPr>
        <w:t>商务与技术内容目录</w:t>
      </w:r>
      <w:bookmarkEnd w:id="56"/>
      <w:bookmarkEnd w:id="57"/>
    </w:p>
    <w:p>
      <w:pPr>
        <w:pStyle w:val="2"/>
        <w:spacing w:line="360" w:lineRule="auto"/>
        <w:ind w:left="0" w:leftChars="0" w:firstLine="0" w:firstLineChars="0"/>
        <w:rPr>
          <w:sz w:val="24"/>
          <w:szCs w:val="24"/>
        </w:rPr>
      </w:pPr>
    </w:p>
    <w:p>
      <w:pPr>
        <w:spacing w:line="360" w:lineRule="auto"/>
        <w:ind w:firstLine="562" w:firstLineChars="200"/>
        <w:rPr>
          <w:rFonts w:hint="eastAsia"/>
          <w:b/>
          <w:bCs/>
          <w:sz w:val="28"/>
          <w:szCs w:val="28"/>
        </w:rPr>
      </w:pPr>
      <w:bookmarkStart w:id="58" w:name="_Toc21250_WPSOffice_Level1"/>
      <w:bookmarkStart w:id="59" w:name="_Toc20529_WPSOffice_Level1"/>
      <w:r>
        <w:rPr>
          <w:rFonts w:hint="eastAsia"/>
          <w:b/>
          <w:bCs/>
          <w:sz w:val="28"/>
          <w:szCs w:val="28"/>
        </w:rPr>
        <w:t>第一部分  技术方案描述部分</w:t>
      </w:r>
      <w:bookmarkEnd w:id="58"/>
      <w:bookmarkEnd w:id="59"/>
    </w:p>
    <w:p>
      <w:pPr>
        <w:numPr>
          <w:ilvl w:val="0"/>
          <w:numId w:val="23"/>
        </w:numPr>
        <w:spacing w:line="360" w:lineRule="auto"/>
        <w:ind w:left="5" w:firstLine="415"/>
        <w:rPr>
          <w:rFonts w:hint="eastAsia"/>
          <w:sz w:val="28"/>
          <w:szCs w:val="28"/>
        </w:rPr>
      </w:pPr>
      <w:r>
        <w:rPr>
          <w:rFonts w:hint="eastAsia"/>
          <w:sz w:val="28"/>
          <w:szCs w:val="28"/>
        </w:rPr>
        <w:t>供应商情况介绍（附件</w:t>
      </w:r>
      <w:r>
        <w:rPr>
          <w:rFonts w:hint="eastAsia"/>
          <w:sz w:val="28"/>
          <w:szCs w:val="28"/>
          <w:lang w:val="en-US" w:eastAsia="zh-CN"/>
        </w:rPr>
        <w:t>5</w:t>
      </w:r>
      <w:r>
        <w:rPr>
          <w:rFonts w:hint="eastAsia"/>
          <w:sz w:val="28"/>
          <w:szCs w:val="28"/>
        </w:rPr>
        <w:t>）</w:t>
      </w:r>
    </w:p>
    <w:p>
      <w:pPr>
        <w:numPr>
          <w:ilvl w:val="0"/>
          <w:numId w:val="23"/>
        </w:numPr>
        <w:spacing w:line="360" w:lineRule="auto"/>
        <w:ind w:left="5" w:firstLine="415"/>
        <w:rPr>
          <w:rFonts w:hint="eastAsia"/>
          <w:sz w:val="28"/>
          <w:szCs w:val="28"/>
        </w:rPr>
      </w:pPr>
      <w:r>
        <w:rPr>
          <w:rFonts w:hint="eastAsia"/>
          <w:sz w:val="28"/>
          <w:szCs w:val="28"/>
        </w:rPr>
        <w:t>项目需求的理解与分析</w:t>
      </w:r>
    </w:p>
    <w:p>
      <w:pPr>
        <w:numPr>
          <w:ilvl w:val="0"/>
          <w:numId w:val="23"/>
        </w:numPr>
        <w:spacing w:line="360" w:lineRule="auto"/>
        <w:ind w:left="5" w:firstLine="415"/>
        <w:rPr>
          <w:rFonts w:hint="eastAsia"/>
          <w:sz w:val="28"/>
          <w:szCs w:val="28"/>
        </w:rPr>
      </w:pPr>
      <w:r>
        <w:rPr>
          <w:rFonts w:hint="eastAsia"/>
          <w:sz w:val="28"/>
          <w:szCs w:val="28"/>
        </w:rPr>
        <w:t>总体设计（技术、服务）方案</w:t>
      </w:r>
    </w:p>
    <w:p>
      <w:pPr>
        <w:numPr>
          <w:ilvl w:val="0"/>
          <w:numId w:val="23"/>
        </w:numPr>
        <w:spacing w:line="360" w:lineRule="auto"/>
        <w:ind w:left="5" w:firstLine="415"/>
        <w:rPr>
          <w:rFonts w:hint="eastAsia"/>
          <w:sz w:val="28"/>
          <w:szCs w:val="28"/>
        </w:rPr>
      </w:pPr>
      <w:r>
        <w:rPr>
          <w:rFonts w:hint="eastAsia"/>
          <w:sz w:val="28"/>
          <w:szCs w:val="28"/>
        </w:rPr>
        <w:t>功能设计方案</w:t>
      </w:r>
    </w:p>
    <w:p>
      <w:pPr>
        <w:numPr>
          <w:ilvl w:val="0"/>
          <w:numId w:val="23"/>
        </w:numPr>
        <w:spacing w:line="360" w:lineRule="auto"/>
        <w:ind w:left="5" w:firstLine="415"/>
        <w:rPr>
          <w:rFonts w:hint="eastAsia"/>
          <w:sz w:val="28"/>
          <w:szCs w:val="28"/>
        </w:rPr>
      </w:pPr>
      <w:r>
        <w:rPr>
          <w:rFonts w:hint="eastAsia"/>
          <w:sz w:val="28"/>
          <w:szCs w:val="28"/>
        </w:rPr>
        <w:t>质量保证方案</w:t>
      </w:r>
    </w:p>
    <w:p>
      <w:pPr>
        <w:numPr>
          <w:ilvl w:val="0"/>
          <w:numId w:val="23"/>
        </w:numPr>
        <w:spacing w:line="360" w:lineRule="auto"/>
        <w:ind w:left="5" w:firstLine="415"/>
        <w:rPr>
          <w:rFonts w:hint="default"/>
          <w:sz w:val="28"/>
          <w:szCs w:val="28"/>
          <w:lang w:val="en-US" w:eastAsia="zh-CN"/>
        </w:rPr>
      </w:pPr>
      <w:r>
        <w:rPr>
          <w:rFonts w:hint="eastAsia"/>
          <w:sz w:val="28"/>
          <w:szCs w:val="28"/>
        </w:rPr>
        <w:t>项目实施方案</w:t>
      </w:r>
    </w:p>
    <w:p>
      <w:pPr>
        <w:numPr>
          <w:ilvl w:val="0"/>
          <w:numId w:val="23"/>
        </w:numPr>
        <w:spacing w:line="360" w:lineRule="auto"/>
        <w:ind w:left="5" w:firstLine="415"/>
        <w:rPr>
          <w:rFonts w:hint="default"/>
          <w:sz w:val="28"/>
          <w:szCs w:val="28"/>
          <w:lang w:val="en-US" w:eastAsia="zh-CN"/>
        </w:rPr>
      </w:pPr>
      <w:r>
        <w:rPr>
          <w:rFonts w:hint="eastAsia"/>
          <w:sz w:val="28"/>
          <w:szCs w:val="28"/>
          <w:lang w:val="en-US" w:eastAsia="zh-CN"/>
        </w:rPr>
        <w:t>项目分包方案</w:t>
      </w:r>
    </w:p>
    <w:p>
      <w:pPr>
        <w:numPr>
          <w:ilvl w:val="0"/>
          <w:numId w:val="23"/>
        </w:numPr>
        <w:spacing w:line="360" w:lineRule="auto"/>
        <w:ind w:left="5" w:firstLine="415"/>
        <w:rPr>
          <w:rFonts w:hint="eastAsia"/>
          <w:sz w:val="28"/>
          <w:szCs w:val="28"/>
        </w:rPr>
      </w:pPr>
      <w:r>
        <w:rPr>
          <w:rFonts w:hint="eastAsia"/>
          <w:sz w:val="28"/>
          <w:szCs w:val="28"/>
        </w:rPr>
        <w:t>技术需求响应表（附件</w:t>
      </w:r>
      <w:r>
        <w:rPr>
          <w:rFonts w:hint="eastAsia"/>
          <w:sz w:val="28"/>
          <w:szCs w:val="28"/>
          <w:lang w:val="en-US" w:eastAsia="zh-CN"/>
        </w:rPr>
        <w:t>6</w:t>
      </w:r>
      <w:r>
        <w:rPr>
          <w:rFonts w:hint="eastAsia"/>
          <w:sz w:val="28"/>
          <w:szCs w:val="28"/>
        </w:rPr>
        <w:t>）</w:t>
      </w:r>
    </w:p>
    <w:p>
      <w:pPr>
        <w:numPr>
          <w:ilvl w:val="0"/>
          <w:numId w:val="23"/>
        </w:numPr>
        <w:spacing w:line="360" w:lineRule="auto"/>
        <w:ind w:left="5" w:firstLine="415"/>
        <w:rPr>
          <w:rFonts w:hint="eastAsia"/>
          <w:sz w:val="28"/>
          <w:szCs w:val="28"/>
        </w:rPr>
      </w:pPr>
      <w:r>
        <w:rPr>
          <w:rFonts w:hint="eastAsia"/>
          <w:sz w:val="28"/>
          <w:szCs w:val="28"/>
        </w:rPr>
        <w:t>项目实施人员一览表（附件</w:t>
      </w:r>
      <w:r>
        <w:rPr>
          <w:rFonts w:hint="eastAsia"/>
          <w:sz w:val="28"/>
          <w:szCs w:val="28"/>
          <w:lang w:val="en-US" w:eastAsia="zh-CN"/>
        </w:rPr>
        <w:t>7</w:t>
      </w:r>
      <w:r>
        <w:rPr>
          <w:rFonts w:hint="eastAsia"/>
          <w:sz w:val="28"/>
          <w:szCs w:val="28"/>
        </w:rPr>
        <w:t>）</w:t>
      </w:r>
    </w:p>
    <w:p>
      <w:pPr>
        <w:numPr>
          <w:ilvl w:val="0"/>
          <w:numId w:val="23"/>
        </w:numPr>
        <w:spacing w:line="360" w:lineRule="auto"/>
        <w:ind w:left="5" w:firstLine="415"/>
        <w:rPr>
          <w:rFonts w:hint="eastAsia"/>
          <w:sz w:val="28"/>
          <w:szCs w:val="28"/>
        </w:rPr>
      </w:pPr>
      <w:r>
        <w:rPr>
          <w:rFonts w:hint="eastAsia"/>
          <w:sz w:val="28"/>
          <w:szCs w:val="28"/>
        </w:rPr>
        <w:t>工程量/原材料、人工费清单（均不含报价）</w:t>
      </w:r>
    </w:p>
    <w:p>
      <w:pPr>
        <w:numPr>
          <w:ilvl w:val="0"/>
          <w:numId w:val="23"/>
        </w:numPr>
        <w:spacing w:line="360" w:lineRule="auto"/>
        <w:ind w:left="5" w:firstLine="415"/>
        <w:rPr>
          <w:rFonts w:hint="eastAsia"/>
          <w:sz w:val="28"/>
          <w:szCs w:val="28"/>
        </w:rPr>
      </w:pPr>
      <w:r>
        <w:rPr>
          <w:rFonts w:hint="eastAsia"/>
          <w:sz w:val="28"/>
          <w:szCs w:val="28"/>
        </w:rPr>
        <w:t>项目负责人资格情况表（附件</w:t>
      </w:r>
      <w:r>
        <w:rPr>
          <w:rFonts w:hint="eastAsia"/>
          <w:sz w:val="28"/>
          <w:szCs w:val="28"/>
          <w:lang w:val="en-US" w:eastAsia="zh-CN"/>
        </w:rPr>
        <w:t>8</w:t>
      </w:r>
      <w:r>
        <w:rPr>
          <w:rFonts w:hint="eastAsia"/>
          <w:sz w:val="28"/>
          <w:szCs w:val="28"/>
        </w:rPr>
        <w:t>）</w:t>
      </w:r>
    </w:p>
    <w:p>
      <w:pPr>
        <w:numPr>
          <w:ilvl w:val="0"/>
          <w:numId w:val="23"/>
        </w:numPr>
        <w:spacing w:line="360" w:lineRule="auto"/>
        <w:ind w:left="5" w:firstLine="415"/>
        <w:rPr>
          <w:rFonts w:hint="eastAsia"/>
          <w:sz w:val="28"/>
          <w:szCs w:val="28"/>
        </w:rPr>
      </w:pPr>
      <w:r>
        <w:rPr>
          <w:rFonts w:hint="eastAsia"/>
          <w:sz w:val="28"/>
          <w:szCs w:val="28"/>
        </w:rPr>
        <w:t>安装、调试及验收方案（包括项目验收标准和验收方法等）</w:t>
      </w:r>
    </w:p>
    <w:p>
      <w:pPr>
        <w:numPr>
          <w:ilvl w:val="0"/>
          <w:numId w:val="23"/>
        </w:numPr>
        <w:spacing w:line="360" w:lineRule="auto"/>
        <w:ind w:left="5" w:firstLine="415"/>
        <w:rPr>
          <w:rFonts w:hint="eastAsia"/>
          <w:sz w:val="28"/>
          <w:szCs w:val="28"/>
        </w:rPr>
      </w:pPr>
      <w:r>
        <w:rPr>
          <w:rFonts w:hint="eastAsia"/>
          <w:sz w:val="28"/>
          <w:szCs w:val="28"/>
        </w:rPr>
        <w:t>实施服务与保障的能力及方案（包括服务方式、服务网点、技术培训、实施期与运维期服务的内容和措施等）（附件</w:t>
      </w:r>
      <w:r>
        <w:rPr>
          <w:rFonts w:hint="eastAsia"/>
          <w:sz w:val="28"/>
          <w:szCs w:val="28"/>
          <w:lang w:val="en-US" w:eastAsia="zh-CN"/>
        </w:rPr>
        <w:t>9</w:t>
      </w:r>
      <w:r>
        <w:rPr>
          <w:rFonts w:hint="eastAsia"/>
          <w:sz w:val="28"/>
          <w:szCs w:val="28"/>
        </w:rPr>
        <w:t>）</w:t>
      </w:r>
    </w:p>
    <w:p>
      <w:pPr>
        <w:numPr>
          <w:ilvl w:val="0"/>
          <w:numId w:val="23"/>
        </w:numPr>
        <w:spacing w:line="360" w:lineRule="auto"/>
        <w:ind w:left="5" w:firstLine="415"/>
        <w:rPr>
          <w:rFonts w:hint="eastAsia"/>
          <w:sz w:val="28"/>
          <w:szCs w:val="28"/>
        </w:rPr>
      </w:pPr>
      <w:r>
        <w:rPr>
          <w:rFonts w:hint="eastAsia"/>
          <w:sz w:val="28"/>
          <w:szCs w:val="28"/>
        </w:rPr>
        <w:t>供应商需要说明的其他内容（包括可能影响供应商技术性能评分项的各类证明材料）</w:t>
      </w:r>
    </w:p>
    <w:p>
      <w:pPr>
        <w:spacing w:line="360" w:lineRule="auto"/>
        <w:ind w:firstLine="562" w:firstLineChars="200"/>
        <w:rPr>
          <w:rFonts w:hint="eastAsia"/>
          <w:b/>
          <w:bCs/>
          <w:sz w:val="28"/>
          <w:szCs w:val="28"/>
        </w:rPr>
      </w:pPr>
      <w:bookmarkStart w:id="60" w:name="_Toc20986_WPSOffice_Level1"/>
      <w:bookmarkStart w:id="61" w:name="_Toc30029_WPSOffice_Level1"/>
      <w:r>
        <w:rPr>
          <w:rFonts w:hint="eastAsia"/>
          <w:b/>
          <w:bCs/>
          <w:sz w:val="28"/>
          <w:szCs w:val="28"/>
        </w:rPr>
        <w:t>第二部分  商务响应及其他部分</w:t>
      </w:r>
      <w:bookmarkEnd w:id="60"/>
      <w:bookmarkEnd w:id="61"/>
    </w:p>
    <w:p>
      <w:pPr>
        <w:numPr>
          <w:ilvl w:val="0"/>
          <w:numId w:val="24"/>
        </w:numPr>
        <w:spacing w:line="360" w:lineRule="auto"/>
        <w:ind w:left="5" w:firstLine="415"/>
        <w:rPr>
          <w:sz w:val="28"/>
          <w:szCs w:val="28"/>
        </w:rPr>
      </w:pPr>
      <w:r>
        <w:rPr>
          <w:rFonts w:hint="eastAsia"/>
          <w:sz w:val="28"/>
          <w:szCs w:val="28"/>
        </w:rPr>
        <w:t>证书一览表（附件</w:t>
      </w:r>
      <w:r>
        <w:rPr>
          <w:rFonts w:hint="eastAsia"/>
          <w:sz w:val="28"/>
          <w:szCs w:val="28"/>
          <w:lang w:val="en-US" w:eastAsia="zh-CN"/>
        </w:rPr>
        <w:t>10</w:t>
      </w:r>
      <w:r>
        <w:rPr>
          <w:rFonts w:hint="eastAsia"/>
          <w:sz w:val="28"/>
          <w:szCs w:val="28"/>
        </w:rPr>
        <w:t>）</w:t>
      </w:r>
    </w:p>
    <w:p>
      <w:pPr>
        <w:numPr>
          <w:ilvl w:val="0"/>
          <w:numId w:val="24"/>
        </w:numPr>
        <w:spacing w:line="360" w:lineRule="auto"/>
        <w:ind w:left="5" w:firstLine="415"/>
        <w:rPr>
          <w:sz w:val="28"/>
          <w:szCs w:val="28"/>
        </w:rPr>
      </w:pPr>
      <w:r>
        <w:rPr>
          <w:rFonts w:hint="eastAsia"/>
          <w:sz w:val="28"/>
          <w:szCs w:val="28"/>
        </w:rPr>
        <w:t>近三年来类似项目的成功案例（附件</w:t>
      </w:r>
      <w:r>
        <w:rPr>
          <w:rFonts w:hint="eastAsia"/>
          <w:sz w:val="28"/>
          <w:szCs w:val="28"/>
          <w:lang w:val="en-US" w:eastAsia="zh-CN"/>
        </w:rPr>
        <w:t>11</w:t>
      </w:r>
      <w:r>
        <w:rPr>
          <w:rFonts w:hint="eastAsia"/>
          <w:sz w:val="28"/>
          <w:szCs w:val="28"/>
        </w:rPr>
        <w:t>）</w:t>
      </w:r>
    </w:p>
    <w:p>
      <w:pPr>
        <w:pStyle w:val="2"/>
        <w:numPr>
          <w:ilvl w:val="0"/>
          <w:numId w:val="24"/>
        </w:numPr>
        <w:spacing w:line="360" w:lineRule="auto"/>
        <w:ind w:left="5" w:firstLine="415"/>
        <w:rPr>
          <w:sz w:val="28"/>
          <w:szCs w:val="28"/>
        </w:rPr>
      </w:pPr>
      <w:r>
        <w:rPr>
          <w:rFonts w:hint="eastAsia"/>
          <w:sz w:val="28"/>
          <w:szCs w:val="28"/>
        </w:rPr>
        <w:t>商务需求响应表（附件1</w:t>
      </w:r>
      <w:r>
        <w:rPr>
          <w:rFonts w:hint="eastAsia"/>
          <w:sz w:val="28"/>
          <w:szCs w:val="28"/>
          <w:lang w:val="en-US" w:eastAsia="zh-CN"/>
        </w:rPr>
        <w:t>2</w:t>
      </w:r>
      <w:r>
        <w:rPr>
          <w:rFonts w:hint="eastAsia"/>
          <w:sz w:val="28"/>
          <w:szCs w:val="28"/>
        </w:rPr>
        <w:t>）</w:t>
      </w:r>
    </w:p>
    <w:p>
      <w:pPr>
        <w:numPr>
          <w:ilvl w:val="0"/>
          <w:numId w:val="24"/>
        </w:numPr>
        <w:spacing w:line="360" w:lineRule="auto"/>
        <w:ind w:left="5" w:firstLine="415"/>
        <w:rPr>
          <w:sz w:val="28"/>
          <w:szCs w:val="28"/>
        </w:rPr>
      </w:pPr>
      <w:r>
        <w:rPr>
          <w:rFonts w:hint="eastAsia"/>
          <w:sz w:val="28"/>
          <w:szCs w:val="28"/>
        </w:rPr>
        <w:t>供应商需要说明的其他内容（包括可能影响供应商企业实力及信誉评分项以及售后服务评分项的各类证明材料）</w:t>
      </w:r>
    </w:p>
    <w:p>
      <w:pPr>
        <w:pStyle w:val="34"/>
        <w:shd w:val="clear" w:color="auto" w:fill="FFFFFF"/>
        <w:spacing w:before="0" w:beforeAutospacing="0" w:after="0" w:afterAutospacing="0" w:line="360" w:lineRule="auto"/>
        <w:rPr>
          <w:rFonts w:hint="eastAsia"/>
          <w:b/>
          <w:sz w:val="28"/>
        </w:rPr>
      </w:pPr>
    </w:p>
    <w:p>
      <w:pPr>
        <w:pStyle w:val="34"/>
        <w:shd w:val="clear" w:color="auto" w:fill="FFFFFF"/>
        <w:spacing w:before="0" w:beforeAutospacing="0" w:after="0" w:afterAutospacing="0" w:line="360" w:lineRule="auto"/>
        <w:rPr>
          <w:rFonts w:hint="eastAsia"/>
          <w:b/>
          <w:sz w:val="28"/>
        </w:rPr>
      </w:pPr>
    </w:p>
    <w:p>
      <w:pPr>
        <w:pStyle w:val="34"/>
        <w:shd w:val="clear" w:color="auto" w:fill="FFFFFF"/>
        <w:spacing w:before="0" w:beforeAutospacing="0" w:after="0" w:afterAutospacing="0" w:line="360" w:lineRule="auto"/>
        <w:rPr>
          <w:rFonts w:hint="eastAsia"/>
          <w:b/>
          <w:sz w:val="28"/>
        </w:rPr>
      </w:pPr>
    </w:p>
    <w:p>
      <w:pPr>
        <w:pStyle w:val="34"/>
        <w:shd w:val="clear" w:color="auto" w:fill="FFFFFF"/>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5</w:t>
      </w:r>
    </w:p>
    <w:p>
      <w:pPr>
        <w:pStyle w:val="34"/>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2" w:name="_Toc14261_WPSOffice_Level1"/>
      <w:bookmarkStart w:id="63" w:name="_Toc13307_WPSOffice_Level1"/>
      <w:r>
        <w:rPr>
          <w:rFonts w:hint="eastAsia"/>
          <w:b/>
          <w:sz w:val="32"/>
          <w:szCs w:val="32"/>
        </w:rPr>
        <w:t>供应商</w:t>
      </w:r>
      <w:r>
        <w:rPr>
          <w:rFonts w:hint="eastAsia"/>
          <w:b/>
          <w:bCs/>
          <w:spacing w:val="21"/>
          <w:sz w:val="32"/>
          <w:szCs w:val="32"/>
        </w:rPr>
        <w:t>基本情况表</w:t>
      </w:r>
      <w:bookmarkEnd w:id="62"/>
      <w:bookmarkEnd w:id="63"/>
    </w:p>
    <w:tbl>
      <w:tblPr>
        <w:tblStyle w:val="24"/>
        <w:tblpPr w:leftFromText="181" w:rightFromText="181" w:bottomFromText="170" w:vertAnchor="text" w:tblpXSpec="center" w:tblpY="1"/>
        <w:tblOverlap w:val="never"/>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0"/>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23" w:type="dxa"/>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27"/>
                <w:sz w:val="21"/>
                <w:szCs w:val="21"/>
              </w:rPr>
              <w:t>企业名称</w:t>
            </w:r>
          </w:p>
        </w:tc>
        <w:tc>
          <w:tcPr>
            <w:tcW w:w="4098" w:type="dxa"/>
            <w:gridSpan w:val="6"/>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16"/>
                <w:sz w:val="21"/>
                <w:szCs w:val="21"/>
                <w:lang w:eastAsia="zh-CN"/>
              </w:rPr>
              <w:t>法定代表人</w:t>
            </w:r>
          </w:p>
        </w:tc>
        <w:tc>
          <w:tcPr>
            <w:tcW w:w="2151" w:type="dxa"/>
            <w:gridSpan w:val="2"/>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23" w:type="dxa"/>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27"/>
                <w:sz w:val="21"/>
                <w:szCs w:val="21"/>
              </w:rPr>
              <w:t>地址</w:t>
            </w:r>
          </w:p>
        </w:tc>
        <w:tc>
          <w:tcPr>
            <w:tcW w:w="4098" w:type="dxa"/>
            <w:gridSpan w:val="6"/>
            <w:tcBorders>
              <w:bottom w:val="single" w:color="auto" w:sz="4" w:space="0"/>
            </w:tcBorders>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2001" w:type="dxa"/>
            <w:gridSpan w:val="3"/>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6"/>
                <w:sz w:val="21"/>
                <w:szCs w:val="21"/>
              </w:rPr>
              <w:t>企业性质</w:t>
            </w:r>
          </w:p>
        </w:tc>
        <w:tc>
          <w:tcPr>
            <w:tcW w:w="2151" w:type="dxa"/>
            <w:gridSpan w:val="2"/>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823" w:type="dxa"/>
            <w:tcBorders>
              <w:bottom w:val="single" w:color="auto" w:sz="4" w:space="0"/>
            </w:tcBorders>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27"/>
                <w:sz w:val="21"/>
                <w:szCs w:val="21"/>
              </w:rPr>
              <w:t>股东姓名</w:t>
            </w:r>
          </w:p>
        </w:tc>
        <w:tc>
          <w:tcPr>
            <w:tcW w:w="820" w:type="dxa"/>
            <w:tcBorders>
              <w:bottom w:val="single" w:color="auto" w:sz="4" w:space="0"/>
            </w:tcBorders>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6"/>
                <w:sz w:val="21"/>
                <w:szCs w:val="21"/>
              </w:rPr>
              <w:t>股权结构（%）</w:t>
            </w:r>
          </w:p>
        </w:tc>
        <w:tc>
          <w:tcPr>
            <w:tcW w:w="2368" w:type="dxa"/>
            <w:gridSpan w:val="3"/>
            <w:tcBorders>
              <w:bottom w:val="single" w:color="auto" w:sz="4" w:space="0"/>
            </w:tcBorders>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2001" w:type="dxa"/>
            <w:gridSpan w:val="3"/>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6"/>
                <w:sz w:val="21"/>
                <w:szCs w:val="21"/>
              </w:rPr>
              <w:t>股东关系</w:t>
            </w:r>
          </w:p>
        </w:tc>
        <w:tc>
          <w:tcPr>
            <w:tcW w:w="2151" w:type="dxa"/>
            <w:gridSpan w:val="2"/>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23" w:type="dxa"/>
            <w:vMerge w:val="restart"/>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2"/>
                <w:sz w:val="21"/>
                <w:szCs w:val="21"/>
              </w:rPr>
              <w:t>联系人</w:t>
            </w:r>
            <w:r>
              <w:rPr>
                <w:rFonts w:hint="eastAsia" w:asciiTheme="minorEastAsia" w:hAnsiTheme="minorEastAsia" w:eastAsiaTheme="minorEastAsia" w:cstheme="minorEastAsia"/>
                <w:bCs/>
                <w:spacing w:val="27"/>
                <w:sz w:val="21"/>
                <w:szCs w:val="21"/>
              </w:rPr>
              <w:t>姓名</w:t>
            </w:r>
          </w:p>
        </w:tc>
        <w:tc>
          <w:tcPr>
            <w:tcW w:w="820" w:type="dxa"/>
            <w:vMerge w:val="restart"/>
            <w:tcBorders>
              <w:top w:val="nil"/>
            </w:tcBorders>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6"/>
                <w:sz w:val="21"/>
                <w:szCs w:val="21"/>
              </w:rPr>
              <w:t>固定电话</w:t>
            </w:r>
          </w:p>
        </w:tc>
        <w:tc>
          <w:tcPr>
            <w:tcW w:w="2368" w:type="dxa"/>
            <w:gridSpan w:val="3"/>
            <w:tcBorders>
              <w:top w:val="nil"/>
              <w:bottom w:val="single" w:color="auto" w:sz="4" w:space="0"/>
            </w:tcBorders>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2001" w:type="dxa"/>
            <w:gridSpan w:val="3"/>
            <w:vMerge w:val="restart"/>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6"/>
                <w:sz w:val="21"/>
                <w:szCs w:val="21"/>
              </w:rPr>
              <w:t>传真</w:t>
            </w:r>
          </w:p>
        </w:tc>
        <w:tc>
          <w:tcPr>
            <w:tcW w:w="2151" w:type="dxa"/>
            <w:gridSpan w:val="2"/>
            <w:vMerge w:val="restart"/>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23" w:type="dxa"/>
            <w:vMerge w:val="continue"/>
            <w:tcBorders>
              <w:bottom w:val="single" w:color="auto" w:sz="4" w:space="0"/>
            </w:tcBorders>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820" w:type="dxa"/>
            <w:vMerge w:val="continue"/>
            <w:tcBorders>
              <w:bottom w:val="single" w:color="auto" w:sz="4" w:space="0"/>
            </w:tcBorders>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27"/>
                <w:sz w:val="21"/>
                <w:szCs w:val="21"/>
              </w:rPr>
              <w:t>手机</w:t>
            </w:r>
          </w:p>
        </w:tc>
        <w:tc>
          <w:tcPr>
            <w:tcW w:w="2368" w:type="dxa"/>
            <w:gridSpan w:val="3"/>
            <w:tcBorders>
              <w:bottom w:val="single" w:color="auto" w:sz="4" w:space="0"/>
            </w:tcBorders>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2001" w:type="dxa"/>
            <w:gridSpan w:val="3"/>
            <w:vMerge w:val="continue"/>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2151" w:type="dxa"/>
            <w:gridSpan w:val="2"/>
            <w:vMerge w:val="continue"/>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23" w:type="dxa"/>
            <w:vMerge w:val="restart"/>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27"/>
                <w:sz w:val="21"/>
                <w:szCs w:val="21"/>
              </w:rPr>
            </w:pPr>
            <w:r>
              <w:rPr>
                <w:rFonts w:hint="eastAsia" w:asciiTheme="minorEastAsia" w:hAnsiTheme="minorEastAsia" w:eastAsiaTheme="minorEastAsia" w:cstheme="minorEastAsia"/>
                <w:bCs/>
                <w:spacing w:val="27"/>
                <w:sz w:val="21"/>
                <w:szCs w:val="21"/>
              </w:rPr>
              <w:t>概</w:t>
            </w:r>
          </w:p>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27"/>
                <w:sz w:val="21"/>
                <w:szCs w:val="21"/>
              </w:rPr>
              <w:t>况</w:t>
            </w:r>
          </w:p>
        </w:tc>
        <w:tc>
          <w:tcPr>
            <w:tcW w:w="820" w:type="dxa"/>
            <w:tcBorders>
              <w:top w:val="nil"/>
            </w:tcBorders>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6"/>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1163" w:type="dxa"/>
            <w:tcBorders>
              <w:top w:val="nil"/>
            </w:tcBorders>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18"/>
                <w:sz w:val="21"/>
                <w:szCs w:val="21"/>
              </w:rPr>
              <w:t>具备大专以</w:t>
            </w:r>
            <w:r>
              <w:rPr>
                <w:rFonts w:hint="eastAsia" w:asciiTheme="minorEastAsia" w:hAnsiTheme="minorEastAsia" w:eastAsiaTheme="minorEastAsia" w:cstheme="minorEastAsia"/>
                <w:bCs/>
                <w:spacing w:val="12"/>
                <w:sz w:val="21"/>
                <w:szCs w:val="21"/>
              </w:rPr>
              <w:t>上学历人数</w:t>
            </w:r>
          </w:p>
        </w:tc>
        <w:tc>
          <w:tcPr>
            <w:tcW w:w="1205" w:type="dxa"/>
            <w:gridSpan w:val="2"/>
            <w:tcBorders>
              <w:top w:val="nil"/>
            </w:tcBorders>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c>
          <w:tcPr>
            <w:tcW w:w="2001" w:type="dxa"/>
            <w:gridSpan w:val="3"/>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65"/>
                <w:sz w:val="21"/>
                <w:szCs w:val="21"/>
              </w:rPr>
              <w:t>国家授予技</w:t>
            </w:r>
            <w:r>
              <w:rPr>
                <w:rFonts w:hint="eastAsia" w:asciiTheme="minorEastAsia" w:hAnsiTheme="minorEastAsia" w:eastAsiaTheme="minorEastAsia" w:cstheme="minorEastAsia"/>
                <w:bCs/>
                <w:spacing w:val="12"/>
                <w:sz w:val="21"/>
                <w:szCs w:val="21"/>
              </w:rPr>
              <w:t>术职称人数</w:t>
            </w:r>
          </w:p>
        </w:tc>
        <w:tc>
          <w:tcPr>
            <w:tcW w:w="2151" w:type="dxa"/>
            <w:gridSpan w:val="2"/>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823" w:type="dxa"/>
            <w:vMerge w:val="continue"/>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820" w:type="dxa"/>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16"/>
                <w:sz w:val="21"/>
                <w:szCs w:val="21"/>
              </w:rPr>
              <w:t>占地面积</w:t>
            </w:r>
          </w:p>
        </w:tc>
        <w:tc>
          <w:tcPr>
            <w:tcW w:w="910" w:type="dxa"/>
            <w:gridSpan w:val="2"/>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1163" w:type="dxa"/>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16"/>
                <w:sz w:val="21"/>
                <w:szCs w:val="21"/>
              </w:rPr>
              <w:t>建筑面积</w:t>
            </w:r>
          </w:p>
        </w:tc>
        <w:tc>
          <w:tcPr>
            <w:tcW w:w="1205" w:type="dxa"/>
            <w:gridSpan w:val="2"/>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16"/>
                <w:sz w:val="21"/>
                <w:szCs w:val="21"/>
              </w:rPr>
              <w:t>□自有□租赁</w:t>
            </w:r>
          </w:p>
        </w:tc>
        <w:tc>
          <w:tcPr>
            <w:tcW w:w="2001" w:type="dxa"/>
            <w:gridSpan w:val="3"/>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16"/>
                <w:sz w:val="21"/>
                <w:szCs w:val="21"/>
              </w:rPr>
              <w:t>生产经营场所及场所的设施与设备</w:t>
            </w:r>
          </w:p>
        </w:tc>
        <w:tc>
          <w:tcPr>
            <w:tcW w:w="2151" w:type="dxa"/>
            <w:gridSpan w:val="2"/>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23" w:type="dxa"/>
            <w:vMerge w:val="continue"/>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820" w:type="dxa"/>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6"/>
                <w:sz w:val="21"/>
                <w:szCs w:val="21"/>
              </w:rPr>
              <w:t>注册资金</w:t>
            </w:r>
          </w:p>
        </w:tc>
        <w:tc>
          <w:tcPr>
            <w:tcW w:w="910" w:type="dxa"/>
            <w:gridSpan w:val="2"/>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1163" w:type="dxa"/>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16"/>
                <w:sz w:val="21"/>
                <w:szCs w:val="21"/>
              </w:rPr>
              <w:t>注册发证</w:t>
            </w:r>
            <w:r>
              <w:rPr>
                <w:rFonts w:hint="eastAsia" w:asciiTheme="minorEastAsia" w:hAnsiTheme="minorEastAsia" w:eastAsiaTheme="minorEastAsia" w:cstheme="minorEastAsia"/>
                <w:bCs/>
                <w:spacing w:val="27"/>
                <w:sz w:val="21"/>
                <w:szCs w:val="21"/>
              </w:rPr>
              <w:t>机关</w:t>
            </w:r>
          </w:p>
        </w:tc>
        <w:tc>
          <w:tcPr>
            <w:tcW w:w="3206" w:type="dxa"/>
            <w:gridSpan w:val="5"/>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1218" w:type="dxa"/>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w:t>
            </w:r>
            <w:r>
              <w:rPr>
                <w:rFonts w:hint="eastAsia" w:asciiTheme="minorEastAsia" w:hAnsiTheme="minorEastAsia" w:eastAsiaTheme="minorEastAsia" w:cstheme="minorEastAsia"/>
                <w:bCs/>
                <w:spacing w:val="12"/>
                <w:sz w:val="21"/>
                <w:szCs w:val="21"/>
              </w:rPr>
              <w:t>立时间</w:t>
            </w:r>
          </w:p>
        </w:tc>
        <w:tc>
          <w:tcPr>
            <w:tcW w:w="933" w:type="dxa"/>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23" w:type="dxa"/>
            <w:vMerge w:val="continue"/>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820" w:type="dxa"/>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30" w:type="dxa"/>
            <w:gridSpan w:val="10"/>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23" w:type="dxa"/>
            <w:vMerge w:val="continue"/>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8250" w:type="dxa"/>
            <w:gridSpan w:val="11"/>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3"/>
                <w:sz w:val="21"/>
                <w:szCs w:val="21"/>
              </w:rPr>
            </w:pPr>
            <w:r>
              <w:rPr>
                <w:rFonts w:hint="eastAsia" w:asciiTheme="minorEastAsia" w:hAnsiTheme="minorEastAsia" w:eastAsiaTheme="minorEastAsia" w:cstheme="minorEastAsia"/>
                <w:bCs/>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23" w:type="dxa"/>
            <w:vMerge w:val="restart"/>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z w:val="21"/>
                <w:szCs w:val="21"/>
              </w:rPr>
              <w:t>企</w:t>
            </w:r>
            <w:r>
              <w:rPr>
                <w:rFonts w:hint="eastAsia" w:asciiTheme="minorEastAsia" w:hAnsiTheme="minorEastAsia" w:eastAsiaTheme="minorEastAsia" w:cstheme="minorEastAsia"/>
                <w:bCs/>
                <w:spacing w:val="12"/>
                <w:sz w:val="21"/>
                <w:szCs w:val="21"/>
              </w:rPr>
              <w:t>业有关资质获证情况</w:t>
            </w:r>
          </w:p>
        </w:tc>
        <w:tc>
          <w:tcPr>
            <w:tcW w:w="1672" w:type="dxa"/>
            <w:gridSpan w:val="2"/>
            <w:vMerge w:val="restart"/>
            <w:tcMar>
              <w:top w:w="57" w:type="dxa"/>
              <w:left w:w="108" w:type="dxa"/>
              <w:bottom w:w="0" w:type="dxa"/>
              <w:right w:w="108" w:type="dxa"/>
            </w:tcMar>
            <w:vAlign w:val="center"/>
          </w:tcPr>
          <w:p>
            <w:pPr>
              <w:pStyle w:val="34"/>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41"/>
                <w:sz w:val="21"/>
                <w:szCs w:val="21"/>
              </w:rPr>
              <w:t>企业获得其他资质</w:t>
            </w:r>
            <w:r>
              <w:rPr>
                <w:rFonts w:hint="eastAsia" w:asciiTheme="minorEastAsia" w:hAnsiTheme="minorEastAsia" w:eastAsiaTheme="minorEastAsia" w:cstheme="minorEastAsia"/>
                <w:bCs/>
                <w:spacing w:val="11"/>
                <w:sz w:val="21"/>
                <w:szCs w:val="21"/>
              </w:rPr>
              <w:t>认证情况</w:t>
            </w:r>
          </w:p>
        </w:tc>
        <w:tc>
          <w:tcPr>
            <w:tcW w:w="1333" w:type="dxa"/>
            <w:gridSpan w:val="3"/>
            <w:tcMar>
              <w:top w:w="57" w:type="dxa"/>
              <w:left w:w="108" w:type="dxa"/>
              <w:bottom w:w="0" w:type="dxa"/>
              <w:right w:w="108" w:type="dxa"/>
            </w:tcMar>
            <w:vAlign w:val="center"/>
          </w:tcPr>
          <w:p>
            <w:pPr>
              <w:pStyle w:val="34"/>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6"/>
                <w:sz w:val="21"/>
                <w:szCs w:val="21"/>
              </w:rPr>
              <w:t>资质名称</w:t>
            </w:r>
          </w:p>
        </w:tc>
        <w:tc>
          <w:tcPr>
            <w:tcW w:w="1418" w:type="dxa"/>
            <w:gridSpan w:val="2"/>
            <w:tcMar>
              <w:top w:w="57" w:type="dxa"/>
              <w:left w:w="108" w:type="dxa"/>
              <w:bottom w:w="0" w:type="dxa"/>
              <w:right w:w="108" w:type="dxa"/>
            </w:tcMar>
            <w:vAlign w:val="center"/>
          </w:tcPr>
          <w:p>
            <w:pPr>
              <w:pStyle w:val="34"/>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16"/>
                <w:sz w:val="21"/>
                <w:szCs w:val="21"/>
              </w:rPr>
              <w:t>发证机关</w:t>
            </w:r>
          </w:p>
        </w:tc>
        <w:tc>
          <w:tcPr>
            <w:tcW w:w="1276" w:type="dxa"/>
            <w:tcMar>
              <w:top w:w="57" w:type="dxa"/>
              <w:left w:w="108" w:type="dxa"/>
              <w:bottom w:w="0" w:type="dxa"/>
              <w:right w:w="108" w:type="dxa"/>
            </w:tcMar>
            <w:vAlign w:val="center"/>
          </w:tcPr>
          <w:p>
            <w:pPr>
              <w:pStyle w:val="34"/>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27"/>
                <w:sz w:val="21"/>
                <w:szCs w:val="21"/>
              </w:rPr>
              <w:t>编号</w:t>
            </w:r>
          </w:p>
        </w:tc>
        <w:tc>
          <w:tcPr>
            <w:tcW w:w="1618" w:type="dxa"/>
            <w:gridSpan w:val="2"/>
            <w:tcMar>
              <w:top w:w="57" w:type="dxa"/>
              <w:left w:w="108" w:type="dxa"/>
              <w:bottom w:w="0" w:type="dxa"/>
              <w:right w:w="108" w:type="dxa"/>
            </w:tcMar>
            <w:vAlign w:val="center"/>
          </w:tcPr>
          <w:p>
            <w:pPr>
              <w:pStyle w:val="34"/>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16"/>
                <w:sz w:val="21"/>
                <w:szCs w:val="21"/>
              </w:rPr>
              <w:t>发证时间</w:t>
            </w:r>
          </w:p>
        </w:tc>
        <w:tc>
          <w:tcPr>
            <w:tcW w:w="933" w:type="dxa"/>
            <w:tcMar>
              <w:top w:w="57" w:type="dxa"/>
              <w:left w:w="108" w:type="dxa"/>
              <w:bottom w:w="0" w:type="dxa"/>
              <w:right w:w="108" w:type="dxa"/>
            </w:tcMar>
            <w:vAlign w:val="center"/>
          </w:tcPr>
          <w:p>
            <w:pPr>
              <w:pStyle w:val="34"/>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z w:val="21"/>
                <w:szCs w:val="21"/>
              </w:rPr>
            </w:pPr>
          </w:p>
        </w:tc>
        <w:tc>
          <w:tcPr>
            <w:tcW w:w="1672" w:type="dxa"/>
            <w:gridSpan w:val="2"/>
            <w:vMerge w:val="continue"/>
            <w:tcMar>
              <w:top w:w="57" w:type="dxa"/>
              <w:left w:w="108" w:type="dxa"/>
              <w:bottom w:w="0" w:type="dxa"/>
              <w:right w:w="108" w:type="dxa"/>
            </w:tcMar>
            <w:vAlign w:val="center"/>
          </w:tcPr>
          <w:p>
            <w:pPr>
              <w:pStyle w:val="34"/>
              <w:spacing w:before="0" w:beforeAutospacing="0" w:after="0" w:afterAutospacing="0"/>
              <w:jc w:val="center"/>
              <w:rPr>
                <w:rFonts w:hint="eastAsia" w:asciiTheme="minorEastAsia" w:hAnsiTheme="minorEastAsia" w:eastAsiaTheme="minorEastAsia" w:cstheme="minorEastAsia"/>
                <w:bCs/>
                <w:sz w:val="21"/>
                <w:szCs w:val="21"/>
              </w:rPr>
            </w:pPr>
          </w:p>
        </w:tc>
        <w:tc>
          <w:tcPr>
            <w:tcW w:w="1333" w:type="dxa"/>
            <w:gridSpan w:val="3"/>
            <w:tcMar>
              <w:top w:w="57" w:type="dxa"/>
              <w:left w:w="108" w:type="dxa"/>
              <w:bottom w:w="0" w:type="dxa"/>
              <w:right w:w="108" w:type="dxa"/>
            </w:tcMar>
            <w:vAlign w:val="center"/>
          </w:tcPr>
          <w:p>
            <w:pPr>
              <w:pStyle w:val="34"/>
              <w:spacing w:before="0" w:beforeAutospacing="0" w:after="0" w:afterAutospacing="0"/>
              <w:jc w:val="center"/>
              <w:rPr>
                <w:rFonts w:hint="eastAsia"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4"/>
              <w:spacing w:before="0" w:beforeAutospacing="0" w:after="0" w:afterAutospacing="0"/>
              <w:jc w:val="center"/>
              <w:rPr>
                <w:rFonts w:hint="eastAsia"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4"/>
              <w:spacing w:before="0" w:beforeAutospacing="0" w:after="0" w:afterAutospacing="0"/>
              <w:jc w:val="center"/>
              <w:rPr>
                <w:rFonts w:hint="eastAsia" w:asciiTheme="minorEastAsia" w:hAnsiTheme="minorEastAsia" w:eastAsiaTheme="minorEastAsia" w:cstheme="minorEastAsia"/>
                <w:bCs/>
                <w:sz w:val="21"/>
                <w:szCs w:val="21"/>
              </w:rPr>
            </w:pPr>
          </w:p>
        </w:tc>
        <w:tc>
          <w:tcPr>
            <w:tcW w:w="1618" w:type="dxa"/>
            <w:gridSpan w:val="2"/>
            <w:tcMar>
              <w:top w:w="57" w:type="dxa"/>
              <w:left w:w="108" w:type="dxa"/>
              <w:bottom w:w="0" w:type="dxa"/>
              <w:right w:w="108" w:type="dxa"/>
            </w:tcMar>
            <w:vAlign w:val="center"/>
          </w:tcPr>
          <w:p>
            <w:pPr>
              <w:pStyle w:val="34"/>
              <w:spacing w:before="0" w:beforeAutospacing="0" w:after="0" w:afterAutospacing="0"/>
              <w:jc w:val="center"/>
              <w:rPr>
                <w:rFonts w:hint="eastAsia"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4"/>
              <w:spacing w:before="0" w:beforeAutospacing="0" w:after="0" w:afterAutospacing="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23" w:type="dxa"/>
            <w:vMerge w:val="continue"/>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27"/>
                <w:sz w:val="21"/>
                <w:szCs w:val="21"/>
              </w:rPr>
            </w:pPr>
          </w:p>
        </w:tc>
        <w:tc>
          <w:tcPr>
            <w:tcW w:w="1672" w:type="dxa"/>
            <w:gridSpan w:val="2"/>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r>
              <w:rPr>
                <w:rFonts w:hint="eastAsia" w:asciiTheme="minorEastAsia" w:hAnsiTheme="minorEastAsia" w:eastAsiaTheme="minorEastAsia" w:cstheme="minorEastAsia"/>
                <w:bCs/>
                <w:spacing w:val="10"/>
                <w:sz w:val="21"/>
                <w:szCs w:val="21"/>
              </w:rPr>
              <w:t>企业获得专利情况</w:t>
            </w:r>
          </w:p>
        </w:tc>
        <w:tc>
          <w:tcPr>
            <w:tcW w:w="6578" w:type="dxa"/>
            <w:gridSpan w:val="9"/>
            <w:tcMar>
              <w:top w:w="57" w:type="dxa"/>
              <w:left w:w="108" w:type="dxa"/>
              <w:bottom w:w="0" w:type="dxa"/>
              <w:right w:w="108" w:type="dxa"/>
            </w:tcMar>
            <w:vAlign w:val="center"/>
          </w:tcPr>
          <w:p>
            <w:pPr>
              <w:pStyle w:val="34"/>
              <w:shd w:val="clear" w:color="auto" w:fill="FFFFFF"/>
              <w:spacing w:before="0" w:beforeAutospacing="0" w:after="0" w:afterAutospacing="0"/>
              <w:jc w:val="center"/>
              <w:rPr>
                <w:rFonts w:hint="eastAsia" w:asciiTheme="minorEastAsia" w:hAnsiTheme="minorEastAsia" w:eastAsiaTheme="minorEastAsia" w:cstheme="minorEastAsia"/>
                <w:bCs/>
                <w:spacing w:val="16"/>
                <w:sz w:val="21"/>
                <w:szCs w:val="21"/>
              </w:rPr>
            </w:pPr>
          </w:p>
        </w:tc>
      </w:tr>
    </w:tbl>
    <w:p>
      <w:pPr>
        <w:pStyle w:val="34"/>
        <w:shd w:val="clear" w:color="auto" w:fill="FFFFFF"/>
        <w:spacing w:before="0" w:beforeAutospacing="0" w:after="0" w:afterAutospacing="0" w:line="360" w:lineRule="auto"/>
        <w:rPr>
          <w:rFonts w:ascii="仿宋_GB2312" w:eastAsia="仿宋_GB2312"/>
        </w:rPr>
      </w:pPr>
    </w:p>
    <w:p>
      <w:pPr>
        <w:pStyle w:val="34"/>
        <w:shd w:val="clear" w:color="auto" w:fill="FFFFFF"/>
        <w:spacing w:before="0" w:beforeAutospacing="0" w:after="0" w:afterAutospacing="0" w:line="360" w:lineRule="auto"/>
        <w:rPr>
          <w:b/>
          <w:sz w:val="21"/>
          <w:szCs w:val="21"/>
        </w:rPr>
      </w:pPr>
      <w:r>
        <w:rPr>
          <w:rFonts w:hint="eastAsia"/>
          <w:b/>
          <w:sz w:val="21"/>
          <w:szCs w:val="21"/>
        </w:rPr>
        <w:t>要求：</w:t>
      </w:r>
    </w:p>
    <w:p>
      <w:pPr>
        <w:pStyle w:val="34"/>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4"/>
        <w:shd w:val="clear" w:color="auto" w:fill="FFFFFF"/>
        <w:spacing w:before="0" w:beforeAutospacing="0" w:after="0" w:afterAutospacing="0" w:line="360" w:lineRule="auto"/>
        <w:ind w:firstLine="424" w:firstLineChars="177"/>
        <w:rPr>
          <w:b/>
          <w:bCs/>
          <w:spacing w:val="11"/>
        </w:rPr>
      </w:pPr>
      <w:r>
        <w:rPr>
          <w:rFonts w:hint="eastAsia"/>
        </w:rPr>
        <w:t>日        期：</w:t>
      </w:r>
    </w:p>
    <w:p>
      <w:pPr>
        <w:spacing w:line="360" w:lineRule="auto"/>
        <w:rPr>
          <w:rFonts w:ascii="宋体" w:hAnsi="宋体"/>
          <w:b/>
          <w:sz w:val="24"/>
        </w:rPr>
      </w:pPr>
    </w:p>
    <w:p>
      <w:pPr>
        <w:pStyle w:val="2"/>
        <w:spacing w:line="360" w:lineRule="auto"/>
        <w:rPr>
          <w:sz w:val="28"/>
          <w:szCs w:val="28"/>
        </w:rPr>
      </w:pPr>
    </w:p>
    <w:p>
      <w:pPr>
        <w:pStyle w:val="2"/>
        <w:spacing w:line="360" w:lineRule="auto"/>
        <w:rPr>
          <w:sz w:val="28"/>
          <w:szCs w:val="28"/>
        </w:rPr>
      </w:pPr>
    </w:p>
    <w:p>
      <w:pPr>
        <w:pStyle w:val="2"/>
        <w:spacing w:line="360" w:lineRule="auto"/>
        <w:rPr>
          <w:sz w:val="28"/>
          <w:szCs w:val="28"/>
        </w:rPr>
      </w:pPr>
    </w:p>
    <w:p>
      <w:pPr>
        <w:pStyle w:val="2"/>
        <w:spacing w:line="360" w:lineRule="auto"/>
        <w:rPr>
          <w:sz w:val="28"/>
          <w:szCs w:val="28"/>
        </w:rPr>
      </w:pPr>
    </w:p>
    <w:p>
      <w:pPr>
        <w:pStyle w:val="2"/>
        <w:spacing w:line="360" w:lineRule="auto"/>
        <w:rPr>
          <w:sz w:val="28"/>
          <w:szCs w:val="28"/>
        </w:rPr>
      </w:pPr>
    </w:p>
    <w:p>
      <w:pPr>
        <w:pStyle w:val="2"/>
        <w:spacing w:line="360" w:lineRule="auto"/>
        <w:rPr>
          <w:sz w:val="28"/>
          <w:szCs w:val="28"/>
        </w:rPr>
      </w:pPr>
    </w:p>
    <w:p>
      <w:pPr>
        <w:pStyle w:val="2"/>
        <w:spacing w:line="360" w:lineRule="auto"/>
        <w:rPr>
          <w:sz w:val="28"/>
          <w:szCs w:val="28"/>
        </w:rPr>
      </w:pPr>
    </w:p>
    <w:p>
      <w:pPr>
        <w:pStyle w:val="2"/>
        <w:spacing w:line="360" w:lineRule="auto"/>
        <w:rPr>
          <w:sz w:val="28"/>
          <w:szCs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6</w:t>
      </w:r>
    </w:p>
    <w:p>
      <w:pPr>
        <w:spacing w:line="360" w:lineRule="auto"/>
        <w:ind w:left="-2" w:leftChars="0" w:firstLine="0" w:firstLineChars="0"/>
        <w:jc w:val="center"/>
        <w:rPr>
          <w:rFonts w:ascii="宋体" w:hAnsi="宋体"/>
          <w:sz w:val="24"/>
        </w:rPr>
      </w:pPr>
      <w:bookmarkStart w:id="64" w:name="_Toc12856_WPSOffice_Level1"/>
      <w:bookmarkStart w:id="65" w:name="_Toc26601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64"/>
      <w:bookmarkEnd w:id="65"/>
    </w:p>
    <w:tbl>
      <w:tblPr>
        <w:tblStyle w:val="24"/>
        <w:tblpPr w:leftFromText="181" w:rightFromText="181" w:bottomFromText="170" w:vertAnchor="text" w:tblpXSpec="center" w:tblpY="1"/>
        <w:tblOverlap w:val="never"/>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16"/>
        <w:gridCol w:w="1560"/>
        <w:gridCol w:w="1401"/>
        <w:gridCol w:w="1365"/>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序号</w:t>
            </w:r>
          </w:p>
        </w:tc>
        <w:tc>
          <w:tcPr>
            <w:tcW w:w="3216"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color w:val="000000" w:themeColor="text1"/>
                <w:sz w:val="21"/>
                <w:szCs w:val="21"/>
                <w14:textFill>
                  <w14:solidFill>
                    <w14:schemeClr w14:val="tx1"/>
                  </w14:solidFill>
                </w14:textFill>
              </w:rPr>
              <w:t>标的名称</w:t>
            </w:r>
          </w:p>
        </w:tc>
        <w:tc>
          <w:tcPr>
            <w:tcW w:w="1560"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需求参数</w:t>
            </w:r>
          </w:p>
        </w:tc>
        <w:tc>
          <w:tcPr>
            <w:tcW w:w="1401"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响应参数</w:t>
            </w:r>
          </w:p>
        </w:tc>
        <w:tc>
          <w:tcPr>
            <w:tcW w:w="136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偏离说明</w:t>
            </w:r>
          </w:p>
        </w:tc>
        <w:tc>
          <w:tcPr>
            <w:tcW w:w="740"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3216" w:type="dxa"/>
            <w:tcMar>
              <w:top w:w="57" w:type="dxa"/>
              <w:left w:w="108" w:type="dxa"/>
              <w:bottom w:w="0" w:type="dxa"/>
              <w:right w:w="108" w:type="dxa"/>
            </w:tcMar>
            <w:vAlign w:val="center"/>
          </w:tcPr>
          <w:p>
            <w:pPr>
              <w:rPr>
                <w:rFonts w:ascii="宋体" w:hAnsi="宋体"/>
                <w:sz w:val="21"/>
                <w:szCs w:val="21"/>
              </w:rPr>
            </w:pPr>
          </w:p>
        </w:tc>
        <w:tc>
          <w:tcPr>
            <w:tcW w:w="1560" w:type="dxa"/>
            <w:tcMar>
              <w:top w:w="57" w:type="dxa"/>
              <w:left w:w="108" w:type="dxa"/>
              <w:bottom w:w="0" w:type="dxa"/>
              <w:right w:w="108" w:type="dxa"/>
            </w:tcMar>
            <w:vAlign w:val="center"/>
          </w:tcPr>
          <w:p>
            <w:pPr>
              <w:rPr>
                <w:rFonts w:ascii="宋体" w:hAnsi="宋体"/>
                <w:sz w:val="21"/>
                <w:szCs w:val="21"/>
              </w:rPr>
            </w:pPr>
          </w:p>
        </w:tc>
        <w:tc>
          <w:tcPr>
            <w:tcW w:w="1401"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740"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3216" w:type="dxa"/>
            <w:tcMar>
              <w:top w:w="57" w:type="dxa"/>
              <w:left w:w="108" w:type="dxa"/>
              <w:bottom w:w="0" w:type="dxa"/>
              <w:right w:w="108" w:type="dxa"/>
            </w:tcMar>
            <w:vAlign w:val="center"/>
          </w:tcPr>
          <w:p>
            <w:pPr>
              <w:rPr>
                <w:rFonts w:ascii="宋体" w:hAnsi="宋体"/>
                <w:sz w:val="21"/>
                <w:szCs w:val="21"/>
              </w:rPr>
            </w:pPr>
          </w:p>
        </w:tc>
        <w:tc>
          <w:tcPr>
            <w:tcW w:w="1560" w:type="dxa"/>
            <w:tcMar>
              <w:top w:w="57" w:type="dxa"/>
              <w:left w:w="108" w:type="dxa"/>
              <w:bottom w:w="0" w:type="dxa"/>
              <w:right w:w="108" w:type="dxa"/>
            </w:tcMar>
            <w:vAlign w:val="center"/>
          </w:tcPr>
          <w:p>
            <w:pPr>
              <w:rPr>
                <w:rFonts w:ascii="宋体" w:hAnsi="宋体"/>
                <w:sz w:val="21"/>
                <w:szCs w:val="21"/>
              </w:rPr>
            </w:pPr>
          </w:p>
        </w:tc>
        <w:tc>
          <w:tcPr>
            <w:tcW w:w="1401"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740"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3216" w:type="dxa"/>
            <w:tcMar>
              <w:top w:w="57" w:type="dxa"/>
              <w:left w:w="108" w:type="dxa"/>
              <w:bottom w:w="0" w:type="dxa"/>
              <w:right w:w="108" w:type="dxa"/>
            </w:tcMar>
            <w:vAlign w:val="center"/>
          </w:tcPr>
          <w:p>
            <w:pPr>
              <w:rPr>
                <w:rFonts w:ascii="宋体" w:hAnsi="宋体"/>
                <w:sz w:val="21"/>
                <w:szCs w:val="21"/>
              </w:rPr>
            </w:pPr>
          </w:p>
        </w:tc>
        <w:tc>
          <w:tcPr>
            <w:tcW w:w="1560" w:type="dxa"/>
            <w:tcMar>
              <w:top w:w="57" w:type="dxa"/>
              <w:left w:w="108" w:type="dxa"/>
              <w:bottom w:w="0" w:type="dxa"/>
              <w:right w:w="108" w:type="dxa"/>
            </w:tcMar>
            <w:vAlign w:val="center"/>
          </w:tcPr>
          <w:p>
            <w:pPr>
              <w:rPr>
                <w:rFonts w:ascii="宋体" w:hAnsi="宋体"/>
                <w:sz w:val="21"/>
                <w:szCs w:val="21"/>
              </w:rPr>
            </w:pPr>
          </w:p>
        </w:tc>
        <w:tc>
          <w:tcPr>
            <w:tcW w:w="1401"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740"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3216" w:type="dxa"/>
            <w:tcMar>
              <w:top w:w="57" w:type="dxa"/>
              <w:left w:w="108" w:type="dxa"/>
              <w:bottom w:w="0" w:type="dxa"/>
              <w:right w:w="108" w:type="dxa"/>
            </w:tcMar>
            <w:vAlign w:val="center"/>
          </w:tcPr>
          <w:p>
            <w:pPr>
              <w:rPr>
                <w:rFonts w:ascii="宋体" w:hAnsi="宋体"/>
                <w:sz w:val="21"/>
                <w:szCs w:val="21"/>
              </w:rPr>
            </w:pPr>
          </w:p>
        </w:tc>
        <w:tc>
          <w:tcPr>
            <w:tcW w:w="1560" w:type="dxa"/>
            <w:tcMar>
              <w:top w:w="57" w:type="dxa"/>
              <w:left w:w="108" w:type="dxa"/>
              <w:bottom w:w="0" w:type="dxa"/>
              <w:right w:w="108" w:type="dxa"/>
            </w:tcMar>
            <w:vAlign w:val="center"/>
          </w:tcPr>
          <w:p>
            <w:pPr>
              <w:rPr>
                <w:rFonts w:ascii="宋体" w:hAnsi="宋体"/>
                <w:sz w:val="21"/>
                <w:szCs w:val="21"/>
              </w:rPr>
            </w:pPr>
          </w:p>
        </w:tc>
        <w:tc>
          <w:tcPr>
            <w:tcW w:w="1401"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740"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3216" w:type="dxa"/>
            <w:tcMar>
              <w:top w:w="57" w:type="dxa"/>
              <w:left w:w="108" w:type="dxa"/>
              <w:bottom w:w="0" w:type="dxa"/>
              <w:right w:w="108" w:type="dxa"/>
            </w:tcMar>
            <w:vAlign w:val="center"/>
          </w:tcPr>
          <w:p>
            <w:pPr>
              <w:rPr>
                <w:rFonts w:ascii="宋体" w:hAnsi="宋体"/>
                <w:sz w:val="21"/>
                <w:szCs w:val="21"/>
              </w:rPr>
            </w:pPr>
          </w:p>
        </w:tc>
        <w:tc>
          <w:tcPr>
            <w:tcW w:w="1560" w:type="dxa"/>
            <w:tcMar>
              <w:top w:w="57" w:type="dxa"/>
              <w:left w:w="108" w:type="dxa"/>
              <w:bottom w:w="0" w:type="dxa"/>
              <w:right w:w="108" w:type="dxa"/>
            </w:tcMar>
            <w:vAlign w:val="center"/>
          </w:tcPr>
          <w:p>
            <w:pPr>
              <w:rPr>
                <w:rFonts w:ascii="宋体" w:hAnsi="宋体"/>
                <w:sz w:val="21"/>
                <w:szCs w:val="21"/>
              </w:rPr>
            </w:pPr>
          </w:p>
        </w:tc>
        <w:tc>
          <w:tcPr>
            <w:tcW w:w="1401"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740"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3216" w:type="dxa"/>
            <w:tcMar>
              <w:top w:w="57" w:type="dxa"/>
              <w:left w:w="108" w:type="dxa"/>
              <w:bottom w:w="0" w:type="dxa"/>
              <w:right w:w="108" w:type="dxa"/>
            </w:tcMar>
            <w:vAlign w:val="center"/>
          </w:tcPr>
          <w:p>
            <w:pPr>
              <w:rPr>
                <w:rFonts w:ascii="宋体" w:hAnsi="宋体"/>
                <w:sz w:val="21"/>
                <w:szCs w:val="21"/>
              </w:rPr>
            </w:pPr>
          </w:p>
        </w:tc>
        <w:tc>
          <w:tcPr>
            <w:tcW w:w="1560" w:type="dxa"/>
            <w:tcMar>
              <w:top w:w="57" w:type="dxa"/>
              <w:left w:w="108" w:type="dxa"/>
              <w:bottom w:w="0" w:type="dxa"/>
              <w:right w:w="108" w:type="dxa"/>
            </w:tcMar>
            <w:vAlign w:val="center"/>
          </w:tcPr>
          <w:p>
            <w:pPr>
              <w:rPr>
                <w:rFonts w:ascii="宋体" w:hAnsi="宋体"/>
                <w:sz w:val="21"/>
                <w:szCs w:val="21"/>
              </w:rPr>
            </w:pPr>
          </w:p>
        </w:tc>
        <w:tc>
          <w:tcPr>
            <w:tcW w:w="1401"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740" w:type="dxa"/>
            <w:tcMar>
              <w:top w:w="57" w:type="dxa"/>
              <w:left w:w="108" w:type="dxa"/>
              <w:bottom w:w="0" w:type="dxa"/>
              <w:right w:w="108" w:type="dxa"/>
            </w:tcMar>
            <w:vAlign w:val="center"/>
          </w:tcPr>
          <w:p>
            <w:pPr>
              <w:rPr>
                <w:rFonts w:ascii="宋体" w:hAnsi="宋体"/>
                <w:sz w:val="21"/>
                <w:szCs w:val="21"/>
              </w:rPr>
            </w:pPr>
          </w:p>
        </w:tc>
      </w:tr>
    </w:tbl>
    <w:p>
      <w:pPr>
        <w:pStyle w:val="36"/>
        <w:tabs>
          <w:tab w:val="left" w:pos="360"/>
        </w:tabs>
        <w:spacing w:line="360" w:lineRule="auto"/>
        <w:ind w:right="84" w:rightChars="40"/>
        <w:rPr>
          <w:rFonts w:ascii="宋体"/>
          <w:b/>
          <w:szCs w:val="21"/>
        </w:rPr>
      </w:pPr>
      <w:r>
        <w:rPr>
          <w:rFonts w:hint="eastAsia" w:ascii="宋体"/>
          <w:b/>
          <w:szCs w:val="21"/>
        </w:rPr>
        <w:t>要求：</w:t>
      </w:r>
    </w:p>
    <w:p>
      <w:pPr>
        <w:pStyle w:val="36"/>
        <w:tabs>
          <w:tab w:val="left" w:pos="360"/>
        </w:tabs>
        <w:spacing w:line="360" w:lineRule="auto"/>
        <w:ind w:right="84" w:rightChars="40" w:firstLine="420" w:firstLineChars="200"/>
        <w:rPr>
          <w:rFonts w:ascii="宋体"/>
          <w:szCs w:val="21"/>
        </w:rPr>
      </w:pPr>
      <w:r>
        <w:rPr>
          <w:rFonts w:hint="eastAsia" w:ascii="宋体"/>
          <w:szCs w:val="21"/>
        </w:rPr>
        <w:t>1.本表的标的名称须与《报价明细表》一致。</w:t>
      </w:r>
    </w:p>
    <w:p>
      <w:pPr>
        <w:pStyle w:val="36"/>
        <w:spacing w:line="360" w:lineRule="auto"/>
        <w:ind w:right="84" w:rightChars="40" w:firstLine="420" w:firstLineChars="200"/>
        <w:rPr>
          <w:rFonts w:ascii="宋体"/>
          <w:szCs w:val="21"/>
        </w:rPr>
      </w:pPr>
      <w:r>
        <w:rPr>
          <w:rFonts w:hint="eastAsia" w:ascii="宋体"/>
          <w:szCs w:val="21"/>
        </w:rPr>
        <w:t>2.本表参照本磋商文件第二部分“项目需求”内第二条“具体技术需求”填制，供应商应根据磋商标的的性能指标、服务指标，对照磋商文件要求在“偏离情况”栏注明“正偏离”、“负偏离”或“无偏离”。</w:t>
      </w:r>
    </w:p>
    <w:p>
      <w:pPr>
        <w:pStyle w:val="36"/>
        <w:spacing w:line="360" w:lineRule="auto"/>
        <w:ind w:right="84" w:rightChars="40" w:firstLine="420" w:firstLineChars="200"/>
        <w:rPr>
          <w:rFonts w:ascii="宋体"/>
          <w:szCs w:val="21"/>
        </w:rPr>
      </w:pPr>
      <w:r>
        <w:rPr>
          <w:rFonts w:hint="eastAsia" w:ascii="宋体"/>
          <w:szCs w:val="21"/>
        </w:rPr>
        <w:t>3.对于磋商标的的技术偏离情况需严格按照磋商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响应。</w:t>
      </w:r>
    </w:p>
    <w:p>
      <w:pPr>
        <w:spacing w:line="360" w:lineRule="auto"/>
        <w:rPr>
          <w:rFonts w:ascii="宋体" w:hAnsi="宋体"/>
          <w:sz w:val="24"/>
        </w:rPr>
      </w:pPr>
    </w:p>
    <w:p>
      <w:pPr>
        <w:pStyle w:val="23"/>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2"/>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7</w:t>
      </w:r>
    </w:p>
    <w:p>
      <w:pPr>
        <w:snapToGrid w:val="0"/>
        <w:spacing w:beforeLines="50" w:after="50" w:line="360" w:lineRule="auto"/>
        <w:jc w:val="center"/>
        <w:rPr>
          <w:rFonts w:ascii="宋体" w:hAnsi="宋体"/>
          <w:b/>
          <w:sz w:val="36"/>
          <w:szCs w:val="36"/>
        </w:rPr>
      </w:pPr>
      <w:bookmarkStart w:id="66" w:name="_Toc23671_WPSOffice_Level1"/>
      <w:bookmarkStart w:id="67" w:name="_Toc20569_WPSOffice_Level1"/>
      <w:r>
        <w:rPr>
          <w:rFonts w:hint="eastAsia" w:ascii="宋体" w:hAnsi="宋体"/>
          <w:b/>
          <w:sz w:val="32"/>
          <w:szCs w:val="32"/>
        </w:rPr>
        <w:t>项目实施人员一览表</w:t>
      </w:r>
      <w:bookmarkEnd w:id="66"/>
      <w:bookmarkEnd w:id="67"/>
    </w:p>
    <w:p>
      <w:pPr>
        <w:snapToGrid w:val="0"/>
        <w:spacing w:beforeLines="50" w:after="50" w:line="360" w:lineRule="auto"/>
        <w:jc w:val="center"/>
        <w:rPr>
          <w:rFonts w:ascii="宋体" w:hAnsi="宋体"/>
          <w:sz w:val="24"/>
        </w:rPr>
      </w:pPr>
      <w:r>
        <w:rPr>
          <w:rFonts w:hint="eastAsia" w:ascii="宋体" w:hAnsi="宋体"/>
          <w:sz w:val="24"/>
        </w:rPr>
        <w:t>（主要从业人员及其技术资格）</w:t>
      </w:r>
    </w:p>
    <w:tbl>
      <w:tblPr>
        <w:tblStyle w:val="24"/>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beforeLines="50" w:after="50"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pacing w:line="360" w:lineRule="auto"/>
              <w:ind w:left="5250"/>
              <w:rPr>
                <w:rFonts w:hint="eastAsia"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b w:val="0"/>
          <w:bCs/>
          <w:szCs w:val="21"/>
        </w:rPr>
      </w:pPr>
      <w:r>
        <w:rPr>
          <w:rFonts w:hint="eastAsia" w:ascii="宋体" w:hAnsi="宋体"/>
          <w:b w:val="0"/>
          <w:bCs/>
          <w:szCs w:val="21"/>
        </w:rPr>
        <w:t>1.在填写时，如本表格不适合供应商的实际情况，可根据本表格式自行划表填写。</w:t>
      </w:r>
    </w:p>
    <w:p>
      <w:pPr>
        <w:pStyle w:val="35"/>
        <w:spacing w:line="360" w:lineRule="auto"/>
        <w:ind w:left="424" w:leftChars="202"/>
        <w:rPr>
          <w:rFonts w:ascii="宋体" w:hAnsi="宋体"/>
          <w:szCs w:val="21"/>
        </w:rPr>
      </w:pPr>
      <w:r>
        <w:rPr>
          <w:rFonts w:hint="eastAsia" w:ascii="宋体" w:hAnsi="宋体"/>
          <w:b w:val="0"/>
          <w:bCs/>
          <w:szCs w:val="21"/>
        </w:rPr>
        <w:t>2.附人员证书</w:t>
      </w:r>
      <w:r>
        <w:rPr>
          <w:rFonts w:hint="eastAsia" w:ascii="宋体" w:hAnsi="宋体"/>
          <w:szCs w:val="21"/>
        </w:rPr>
        <w:t>。</w:t>
      </w:r>
    </w:p>
    <w:p>
      <w:pPr>
        <w:pStyle w:val="35"/>
        <w:spacing w:line="360" w:lineRule="auto"/>
        <w:ind w:left="424" w:hanging="424" w:hangingChars="202"/>
        <w:rPr>
          <w:rFonts w:ascii="宋体" w:hAnsi="宋体"/>
          <w:szCs w:val="21"/>
        </w:rPr>
      </w:pPr>
      <w:r>
        <w:rPr>
          <w:rFonts w:hint="eastAsia" w:ascii="宋体" w:hAnsi="宋体"/>
          <w:szCs w:val="21"/>
        </w:rPr>
        <w:t>　　3.出具上述人员在本单位服务的外部证明，如：磋商</w:t>
      </w:r>
      <w:r>
        <w:rPr>
          <w:rFonts w:ascii="宋体" w:hAnsi="宋体"/>
          <w:szCs w:val="21"/>
        </w:rPr>
        <w:t>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23"/>
      </w:pPr>
    </w:p>
    <w:p>
      <w:pPr>
        <w:pStyle w:val="23"/>
      </w:pPr>
    </w:p>
    <w:p>
      <w:pPr>
        <w:spacing w:line="360" w:lineRule="auto"/>
        <w:rPr>
          <w:rFonts w:hint="eastAsia" w:ascii="宋体" w:hAnsi="宋体"/>
          <w:b/>
          <w:sz w:val="28"/>
        </w:rPr>
      </w:pPr>
    </w:p>
    <w:p>
      <w:pPr>
        <w:spacing w:line="360" w:lineRule="auto"/>
        <w:rPr>
          <w:rFonts w:hint="eastAsia" w:ascii="宋体" w:hAnsi="宋体" w:eastAsia="宋体"/>
          <w:lang w:val="en-US" w:eastAsia="zh-CN"/>
        </w:rPr>
      </w:pPr>
      <w:r>
        <w:rPr>
          <w:rFonts w:hint="eastAsia" w:ascii="宋体" w:hAnsi="宋体"/>
          <w:b/>
          <w:sz w:val="28"/>
        </w:rPr>
        <w:t>附件</w:t>
      </w:r>
      <w:r>
        <w:rPr>
          <w:rFonts w:hint="eastAsia" w:ascii="宋体" w:hAnsi="宋体"/>
          <w:b/>
          <w:sz w:val="28"/>
          <w:lang w:val="en-US" w:eastAsia="zh-CN"/>
        </w:rPr>
        <w:t>8</w:t>
      </w:r>
    </w:p>
    <w:p>
      <w:pPr>
        <w:spacing w:beforeLines="50" w:afterLines="50" w:line="360" w:lineRule="auto"/>
        <w:ind w:right="-10"/>
        <w:jc w:val="center"/>
        <w:rPr>
          <w:rFonts w:ascii="宋体" w:hAnsi="宋体"/>
          <w:b/>
          <w:bCs/>
          <w:sz w:val="32"/>
          <w:szCs w:val="32"/>
        </w:rPr>
      </w:pPr>
      <w:bookmarkStart w:id="68" w:name="_Toc12710_WPSOffice_Level1"/>
      <w:bookmarkStart w:id="69" w:name="_Toc23055_WPSOffice_Level1"/>
      <w:r>
        <w:rPr>
          <w:rFonts w:hint="eastAsia" w:ascii="宋体" w:hAnsi="宋体"/>
          <w:b/>
          <w:bCs/>
          <w:sz w:val="32"/>
          <w:szCs w:val="32"/>
        </w:rPr>
        <w:t>项目负责人资格情况表</w:t>
      </w:r>
      <w:bookmarkEnd w:id="68"/>
      <w:bookmarkEnd w:id="69"/>
    </w:p>
    <w:tbl>
      <w:tblPr>
        <w:tblStyle w:val="24"/>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b/>
          <w:sz w:val="28"/>
        </w:rPr>
      </w:pPr>
    </w:p>
    <w:p>
      <w:pPr>
        <w:snapToGrid w:val="0"/>
        <w:spacing w:before="50" w:after="50" w:line="360" w:lineRule="auto"/>
        <w:rPr>
          <w:rFonts w:hint="eastAsia" w:ascii="宋体" w:hAnsi="宋体"/>
          <w:b/>
          <w:sz w:val="28"/>
        </w:rPr>
      </w:pP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4"/>
        <w:tblpPr w:leftFromText="181" w:rightFromText="181" w:bottomFromText="170" w:vertAnchor="text" w:tblpXSpec="center" w:tblpY="1"/>
        <w:tblOverlap w:val="never"/>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685"/>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9"/>
              <w:spacing w:line="360" w:lineRule="auto"/>
              <w:jc w:val="center"/>
              <w:rPr>
                <w:rFonts w:ascii="宋体" w:hAnsi="宋体" w:cs="Arial"/>
                <w:b/>
                <w:sz w:val="21"/>
                <w:szCs w:val="21"/>
              </w:rPr>
            </w:pPr>
            <w:r>
              <w:rPr>
                <w:rFonts w:hint="eastAsia" w:ascii="宋体" w:hAnsi="宋体" w:cs="Arial"/>
                <w:b/>
                <w:sz w:val="21"/>
                <w:szCs w:val="21"/>
              </w:rPr>
              <w:t>序号</w:t>
            </w:r>
          </w:p>
        </w:tc>
        <w:tc>
          <w:tcPr>
            <w:tcW w:w="2685" w:type="dxa"/>
            <w:tcMar>
              <w:top w:w="57" w:type="dxa"/>
              <w:left w:w="108" w:type="dxa"/>
              <w:bottom w:w="0" w:type="dxa"/>
              <w:right w:w="108" w:type="dxa"/>
            </w:tcMar>
            <w:vAlign w:val="center"/>
          </w:tcPr>
          <w:p>
            <w:pPr>
              <w:pStyle w:val="39"/>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9"/>
              <w:spacing w:line="360" w:lineRule="auto"/>
              <w:jc w:val="center"/>
              <w:rPr>
                <w:rFonts w:ascii="宋体" w:hAnsi="宋体" w:cs="Arial"/>
                <w:b/>
                <w:sz w:val="21"/>
                <w:szCs w:val="21"/>
              </w:rPr>
            </w:pPr>
            <w:r>
              <w:rPr>
                <w:rFonts w:hint="eastAsia" w:ascii="宋体" w:hAnsi="宋体" w:cs="Arial"/>
                <w:b/>
                <w:sz w:val="21"/>
                <w:szCs w:val="21"/>
              </w:rPr>
              <w:t>供应商承诺</w:t>
            </w:r>
          </w:p>
        </w:tc>
        <w:tc>
          <w:tcPr>
            <w:tcW w:w="1373" w:type="dxa"/>
            <w:tcMar>
              <w:top w:w="57" w:type="dxa"/>
              <w:left w:w="108" w:type="dxa"/>
              <w:bottom w:w="0" w:type="dxa"/>
              <w:right w:w="108" w:type="dxa"/>
            </w:tcMar>
            <w:vAlign w:val="center"/>
          </w:tcPr>
          <w:p>
            <w:pPr>
              <w:pStyle w:val="39"/>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9"/>
              <w:spacing w:line="360" w:lineRule="auto"/>
              <w:jc w:val="center"/>
              <w:rPr>
                <w:rFonts w:ascii="宋体" w:hAnsi="宋体" w:cs="Arial"/>
                <w:bCs/>
                <w:sz w:val="21"/>
                <w:szCs w:val="21"/>
              </w:rPr>
            </w:pPr>
            <w:r>
              <w:rPr>
                <w:rFonts w:hint="eastAsia" w:ascii="宋体" w:hAnsi="宋体" w:cs="Arial"/>
                <w:bCs/>
                <w:sz w:val="21"/>
                <w:szCs w:val="21"/>
              </w:rPr>
              <w:t>1</w:t>
            </w:r>
          </w:p>
        </w:tc>
        <w:tc>
          <w:tcPr>
            <w:tcW w:w="2685" w:type="dxa"/>
            <w:vMerge w:val="restart"/>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r>
              <w:rPr>
                <w:rFonts w:hint="eastAsia" w:ascii="宋体" w:hAnsi="宋体" w:cs="Arial"/>
                <w:bCs/>
                <w:sz w:val="21"/>
                <w:szCs w:val="21"/>
              </w:rPr>
              <w:t>服务实施期内服务情况(</w:t>
            </w:r>
            <w:r>
              <w:rPr>
                <w:rFonts w:ascii="宋体" w:hAnsi="宋体" w:cs="Arial"/>
                <w:bCs/>
                <w:sz w:val="21"/>
                <w:szCs w:val="21"/>
              </w:rPr>
              <w:t>服务</w:t>
            </w:r>
            <w:r>
              <w:rPr>
                <w:rFonts w:hint="eastAsia" w:ascii="宋体" w:hAnsi="宋体" w:cs="Arial"/>
                <w:bCs/>
                <w:sz w:val="21"/>
                <w:szCs w:val="21"/>
              </w:rPr>
              <w:t>方式、</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9"/>
              <w:spacing w:line="360" w:lineRule="auto"/>
              <w:rPr>
                <w:rFonts w:ascii="宋体" w:hAnsi="宋体" w:cs="Arial"/>
                <w:bCs/>
                <w:sz w:val="21"/>
                <w:szCs w:val="21"/>
              </w:rPr>
            </w:pPr>
            <w:r>
              <w:rPr>
                <w:rFonts w:hint="eastAsia" w:ascii="宋体" w:hAnsi="宋体" w:cs="Arial"/>
                <w:bCs/>
                <w:sz w:val="21"/>
                <w:szCs w:val="21"/>
              </w:rPr>
              <w:t>生产厂商/开发商售后服务情况：</w:t>
            </w:r>
          </w:p>
        </w:tc>
        <w:tc>
          <w:tcPr>
            <w:tcW w:w="1373" w:type="dxa"/>
            <w:tcMar>
              <w:top w:w="57" w:type="dxa"/>
              <w:left w:w="108" w:type="dxa"/>
              <w:bottom w:w="0" w:type="dxa"/>
              <w:right w:w="108" w:type="dxa"/>
            </w:tcMar>
          </w:tcPr>
          <w:p>
            <w:pPr>
              <w:pStyle w:val="39"/>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p>
        </w:tc>
        <w:tc>
          <w:tcPr>
            <w:tcW w:w="2685" w:type="dxa"/>
            <w:vMerge w:val="continue"/>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tcPr>
          <w:p>
            <w:pPr>
              <w:pStyle w:val="39"/>
              <w:spacing w:line="360" w:lineRule="auto"/>
              <w:rPr>
                <w:rFonts w:ascii="宋体" w:hAnsi="宋体" w:cs="Arial"/>
                <w:bCs/>
                <w:sz w:val="21"/>
                <w:szCs w:val="21"/>
              </w:rPr>
            </w:pPr>
            <w:r>
              <w:rPr>
                <w:rFonts w:hint="eastAsia" w:ascii="宋体" w:hAnsi="宋体" w:cs="Arial"/>
                <w:bCs/>
                <w:sz w:val="21"/>
                <w:szCs w:val="21"/>
              </w:rPr>
              <w:t>供应商售后服务情况：</w:t>
            </w:r>
          </w:p>
        </w:tc>
        <w:tc>
          <w:tcPr>
            <w:tcW w:w="1373" w:type="dxa"/>
            <w:tcMar>
              <w:top w:w="57" w:type="dxa"/>
              <w:left w:w="108" w:type="dxa"/>
              <w:bottom w:w="0" w:type="dxa"/>
              <w:right w:w="108" w:type="dxa"/>
            </w:tcMar>
          </w:tcPr>
          <w:p>
            <w:pPr>
              <w:pStyle w:val="39"/>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9"/>
              <w:spacing w:line="360" w:lineRule="auto"/>
              <w:jc w:val="center"/>
              <w:rPr>
                <w:rFonts w:ascii="宋体" w:hAnsi="宋体" w:cs="Arial"/>
                <w:bCs/>
                <w:sz w:val="21"/>
                <w:szCs w:val="21"/>
              </w:rPr>
            </w:pPr>
            <w:r>
              <w:rPr>
                <w:rFonts w:hint="eastAsia" w:ascii="宋体" w:hAnsi="宋体" w:cs="Arial"/>
                <w:bCs/>
                <w:sz w:val="21"/>
                <w:szCs w:val="21"/>
              </w:rPr>
              <w:t>2</w:t>
            </w:r>
          </w:p>
        </w:tc>
        <w:tc>
          <w:tcPr>
            <w:tcW w:w="2685" w:type="dxa"/>
            <w:tcMar>
              <w:top w:w="57" w:type="dxa"/>
              <w:left w:w="108" w:type="dxa"/>
              <w:bottom w:w="0" w:type="dxa"/>
              <w:right w:w="108" w:type="dxa"/>
            </w:tcMar>
            <w:vAlign w:val="center"/>
          </w:tcPr>
          <w:p>
            <w:pPr>
              <w:pStyle w:val="39"/>
              <w:spacing w:line="360" w:lineRule="auto"/>
              <w:rPr>
                <w:rFonts w:ascii="宋体" w:hAnsi="宋体" w:cs="Arial"/>
                <w:bCs/>
                <w:sz w:val="21"/>
                <w:szCs w:val="21"/>
              </w:rPr>
            </w:pPr>
            <w:r>
              <w:rPr>
                <w:rFonts w:hint="eastAsia" w:ascii="宋体" w:hAnsi="宋体" w:cs="Arial"/>
                <w:bCs/>
                <w:sz w:val="21"/>
                <w:szCs w:val="21"/>
              </w:rPr>
              <w:t>运维期服务情况(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9"/>
              <w:widowControl/>
              <w:spacing w:line="360" w:lineRule="auto"/>
              <w:jc w:val="left"/>
              <w:rPr>
                <w:rFonts w:ascii="宋体" w:hAnsi="宋体" w:cs="Arial"/>
                <w:bCs/>
                <w:sz w:val="21"/>
                <w:szCs w:val="21"/>
              </w:rPr>
            </w:pPr>
          </w:p>
          <w:p>
            <w:pPr>
              <w:pStyle w:val="39"/>
              <w:widowControl/>
              <w:spacing w:line="360" w:lineRule="auto"/>
              <w:jc w:val="left"/>
              <w:rPr>
                <w:rFonts w:ascii="宋体" w:hAnsi="宋体" w:cs="Arial"/>
                <w:bCs/>
                <w:sz w:val="21"/>
                <w:szCs w:val="21"/>
              </w:rPr>
            </w:pPr>
          </w:p>
          <w:p>
            <w:pPr>
              <w:pStyle w:val="39"/>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9"/>
              <w:widowControl/>
              <w:spacing w:line="360" w:lineRule="auto"/>
              <w:jc w:val="left"/>
              <w:rPr>
                <w:rFonts w:ascii="宋体" w:hAnsi="宋体" w:cs="Arial"/>
                <w:bCs/>
                <w:sz w:val="21"/>
                <w:szCs w:val="21"/>
              </w:rPr>
            </w:pPr>
          </w:p>
          <w:p>
            <w:pPr>
              <w:pStyle w:val="39"/>
              <w:widowControl/>
              <w:spacing w:line="360" w:lineRule="auto"/>
              <w:jc w:val="left"/>
              <w:rPr>
                <w:rFonts w:ascii="宋体" w:hAnsi="宋体" w:cs="Arial"/>
                <w:bCs/>
                <w:sz w:val="21"/>
                <w:szCs w:val="21"/>
              </w:rPr>
            </w:pPr>
          </w:p>
          <w:p>
            <w:pPr>
              <w:pStyle w:val="39"/>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2685" w:type="dxa"/>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3731" w:type="dxa"/>
            <w:tcMar>
              <w:top w:w="57" w:type="dxa"/>
              <w:left w:w="108" w:type="dxa"/>
              <w:bottom w:w="0" w:type="dxa"/>
              <w:right w:w="108" w:type="dxa"/>
            </w:tcMar>
          </w:tcPr>
          <w:p>
            <w:pPr>
              <w:pStyle w:val="39"/>
              <w:widowControl/>
              <w:spacing w:line="360" w:lineRule="auto"/>
              <w:jc w:val="left"/>
              <w:rPr>
                <w:rFonts w:ascii="宋体" w:hAnsi="宋体" w:cs="Arial"/>
                <w:bCs/>
                <w:i/>
                <w:sz w:val="21"/>
                <w:szCs w:val="21"/>
              </w:rPr>
            </w:pPr>
          </w:p>
          <w:p>
            <w:pPr>
              <w:pStyle w:val="39"/>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tcPr>
          <w:p>
            <w:pPr>
              <w:pStyle w:val="39"/>
              <w:widowControl/>
              <w:spacing w:line="360" w:lineRule="auto"/>
              <w:jc w:val="left"/>
              <w:rPr>
                <w:rFonts w:ascii="宋体" w:hAnsi="宋体" w:cs="Arial"/>
                <w:bCs/>
                <w:i/>
                <w:sz w:val="21"/>
                <w:szCs w:val="21"/>
              </w:rPr>
            </w:pPr>
          </w:p>
          <w:p>
            <w:pPr>
              <w:pStyle w:val="39"/>
              <w:widowControl/>
              <w:spacing w:line="360" w:lineRule="auto"/>
              <w:jc w:val="left"/>
              <w:rPr>
                <w:rFonts w:ascii="宋体" w:hAnsi="宋体" w:cs="Arial"/>
                <w:bCs/>
                <w:i/>
                <w:sz w:val="21"/>
                <w:szCs w:val="21"/>
              </w:rPr>
            </w:pPr>
          </w:p>
          <w:p>
            <w:pPr>
              <w:pStyle w:val="39"/>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r>
              <w:rPr>
                <w:rFonts w:ascii="宋体" w:hAnsi="宋体" w:cs="Arial"/>
                <w:bCs/>
                <w:sz w:val="21"/>
                <w:szCs w:val="21"/>
              </w:rPr>
              <w:t>……</w:t>
            </w:r>
          </w:p>
        </w:tc>
        <w:tc>
          <w:tcPr>
            <w:tcW w:w="2685" w:type="dxa"/>
            <w:tcMar>
              <w:top w:w="57" w:type="dxa"/>
              <w:left w:w="108" w:type="dxa"/>
              <w:bottom w:w="0" w:type="dxa"/>
              <w:right w:w="108" w:type="dxa"/>
            </w:tcMar>
            <w:vAlign w:val="center"/>
          </w:tcPr>
          <w:p>
            <w:pPr>
              <w:pStyle w:val="39"/>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9"/>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tcPr>
          <w:p>
            <w:pPr>
              <w:pStyle w:val="39"/>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b/>
          <w:sz w:val="28"/>
        </w:rPr>
      </w:pPr>
      <w:r>
        <w:rPr>
          <w:rFonts w:hint="eastAsia" w:ascii="宋体" w:hAnsi="宋体"/>
          <w:sz w:val="24"/>
        </w:rPr>
        <w:t>日        期：</w:t>
      </w:r>
    </w:p>
    <w:p>
      <w:pPr>
        <w:pStyle w:val="37"/>
        <w:spacing w:line="360" w:lineRule="auto"/>
        <w:jc w:val="left"/>
        <w:rPr>
          <w:rFonts w:ascii="宋体" w:hAnsi="宋体"/>
          <w:b/>
          <w:sz w:val="28"/>
        </w:rPr>
      </w:pPr>
    </w:p>
    <w:p>
      <w:pPr>
        <w:pStyle w:val="37"/>
        <w:spacing w:line="360" w:lineRule="auto"/>
        <w:jc w:val="left"/>
        <w:rPr>
          <w:rFonts w:hint="eastAsia" w:ascii="宋体" w:hAnsi="宋体"/>
          <w:b/>
          <w:sz w:val="28"/>
        </w:rPr>
      </w:pPr>
    </w:p>
    <w:p>
      <w:pPr>
        <w:pStyle w:val="37"/>
        <w:spacing w:line="360" w:lineRule="auto"/>
        <w:jc w:val="left"/>
        <w:rPr>
          <w:rFonts w:hint="eastAsia" w:ascii="宋体" w:hAnsi="宋体"/>
          <w:b/>
          <w:sz w:val="28"/>
        </w:rPr>
      </w:pPr>
    </w:p>
    <w:p>
      <w:pPr>
        <w:pStyle w:val="37"/>
        <w:spacing w:line="360" w:lineRule="auto"/>
        <w:jc w:val="left"/>
        <w:rPr>
          <w:rFonts w:hint="eastAsia" w:ascii="宋体" w:hAnsi="宋体"/>
          <w:b/>
          <w:sz w:val="28"/>
        </w:rPr>
      </w:pPr>
    </w:p>
    <w:p>
      <w:pPr>
        <w:pStyle w:val="37"/>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pStyle w:val="38"/>
        <w:spacing w:line="360" w:lineRule="auto"/>
        <w:jc w:val="center"/>
        <w:rPr>
          <w:rFonts w:ascii="宋体" w:hAnsi="宋体" w:cs="Arial"/>
          <w:sz w:val="28"/>
          <w:szCs w:val="28"/>
        </w:rPr>
      </w:pPr>
      <w:bookmarkStart w:id="70" w:name="_Toc11030_WPSOffice_Level1"/>
      <w:bookmarkStart w:id="71" w:name="_Toc17604_WPSOffice_Level1"/>
      <w:r>
        <w:rPr>
          <w:rFonts w:hint="eastAsia" w:ascii="宋体" w:hAnsi="宋体"/>
          <w:b/>
          <w:sz w:val="32"/>
          <w:szCs w:val="32"/>
        </w:rPr>
        <w:t>证书一览表</w:t>
      </w:r>
      <w:bookmarkEnd w:id="70"/>
      <w:bookmarkEnd w:id="71"/>
    </w:p>
    <w:tbl>
      <w:tblPr>
        <w:tblStyle w:val="24"/>
        <w:tblpPr w:leftFromText="181" w:rightFromText="181" w:bottomFromText="170" w:vertAnchor="text" w:tblpXSpec="center" w:tblpY="1"/>
        <w:tblOverlap w:val="never"/>
        <w:tblW w:w="88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64" w:type="dxa"/>
            <w:tcBorders>
              <w:top w:val="single" w:color="auto" w:sz="4" w:space="0"/>
              <w:left w:val="single" w:color="auto" w:sz="4" w:space="0"/>
              <w:bottom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047" w:type="dxa"/>
            <w:tcBorders>
              <w:top w:val="single" w:color="auto" w:sz="4" w:space="0"/>
              <w:bottom w:val="single" w:color="auto" w:sz="4" w:space="0"/>
              <w:right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top w:val="single" w:color="auto" w:sz="4" w:space="0"/>
              <w:left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258" w:type="dxa"/>
            <w:tcBorders>
              <w:top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260" w:type="dxa"/>
            <w:tcBorders>
              <w:top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047" w:type="dxa"/>
            <w:tcBorders>
              <w:top w:val="single" w:color="auto" w:sz="4" w:space="0"/>
              <w:right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258" w:type="dxa"/>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260" w:type="dxa"/>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047" w:type="dxa"/>
            <w:tcBorders>
              <w:right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258" w:type="dxa"/>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260" w:type="dxa"/>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047" w:type="dxa"/>
            <w:tcBorders>
              <w:right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258" w:type="dxa"/>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260" w:type="dxa"/>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047" w:type="dxa"/>
            <w:tcBorders>
              <w:right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258" w:type="dxa"/>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260" w:type="dxa"/>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047" w:type="dxa"/>
            <w:tcBorders>
              <w:right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258" w:type="dxa"/>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260" w:type="dxa"/>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047" w:type="dxa"/>
            <w:tcBorders>
              <w:right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bottom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258" w:type="dxa"/>
            <w:tcBorders>
              <w:bottom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260" w:type="dxa"/>
            <w:tcBorders>
              <w:bottom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c>
          <w:tcPr>
            <w:tcW w:w="2047" w:type="dxa"/>
            <w:tcBorders>
              <w:bottom w:val="single" w:color="auto" w:sz="4" w:space="0"/>
              <w:right w:val="single" w:color="auto" w:sz="4" w:space="0"/>
            </w:tcBorders>
            <w:tcMar>
              <w:top w:w="57" w:type="dxa"/>
              <w:left w:w="108" w:type="dxa"/>
              <w:bottom w:w="0" w:type="dxa"/>
              <w:right w:w="108" w:type="dxa"/>
            </w:tcMar>
            <w:vAlign w:val="top"/>
          </w:tcPr>
          <w:p>
            <w:pPr>
              <w:pStyle w:val="38"/>
              <w:spacing w:line="360" w:lineRule="auto"/>
              <w:jc w:val="center"/>
              <w:rPr>
                <w:rFonts w:ascii="宋体" w:hAnsi="宋体" w:cs="Arial"/>
                <w:sz w:val="21"/>
                <w:szCs w:val="21"/>
              </w:rPr>
            </w:pPr>
          </w:p>
        </w:tc>
      </w:tr>
    </w:tbl>
    <w:p>
      <w:pPr>
        <w:pStyle w:val="38"/>
        <w:tabs>
          <w:tab w:val="left" w:pos="1050"/>
        </w:tabs>
        <w:spacing w:line="360" w:lineRule="auto"/>
        <w:rPr>
          <w:rFonts w:ascii="宋体" w:hAnsi="宋体"/>
          <w:szCs w:val="21"/>
        </w:rPr>
      </w:pPr>
      <w:r>
        <w:rPr>
          <w:rFonts w:hint="eastAsia" w:ascii="宋体" w:hAnsi="宋体"/>
          <w:b/>
          <w:szCs w:val="21"/>
        </w:rPr>
        <w:t>要求：</w:t>
      </w:r>
    </w:p>
    <w:p>
      <w:pPr>
        <w:pStyle w:val="38"/>
        <w:tabs>
          <w:tab w:val="left" w:pos="1050"/>
        </w:tabs>
        <w:spacing w:line="360" w:lineRule="auto"/>
        <w:ind w:firstLine="424" w:firstLineChars="202"/>
        <w:rPr>
          <w:rFonts w:ascii="宋体" w:hAnsi="宋体"/>
          <w:szCs w:val="21"/>
        </w:rPr>
      </w:pPr>
      <w:r>
        <w:rPr>
          <w:rFonts w:hint="eastAsia" w:ascii="宋体" w:hAnsi="宋体"/>
          <w:szCs w:val="21"/>
        </w:rPr>
        <w:t>1.填写供应商获得资质、认证或企业信誉证书。</w:t>
      </w:r>
    </w:p>
    <w:p>
      <w:pPr>
        <w:pStyle w:val="38"/>
        <w:tabs>
          <w:tab w:val="left" w:pos="1050"/>
        </w:tabs>
        <w:spacing w:line="360" w:lineRule="auto"/>
        <w:ind w:firstLine="424" w:firstLineChars="202"/>
        <w:rPr>
          <w:rFonts w:ascii="仿宋_GB2312" w:hAnsi="宋体" w:eastAsia="仿宋_GB2312"/>
          <w:sz w:val="24"/>
        </w:rPr>
      </w:pPr>
      <w:r>
        <w:rPr>
          <w:rFonts w:hint="eastAsia" w:ascii="宋体" w:hAnsi="宋体"/>
          <w:szCs w:val="21"/>
        </w:rPr>
        <w:t>2.附所列证书或其他证明材料。</w:t>
      </w:r>
    </w:p>
    <w:p>
      <w:pPr>
        <w:pStyle w:val="38"/>
        <w:tabs>
          <w:tab w:val="left" w:pos="1050"/>
        </w:tabs>
        <w:spacing w:line="360" w:lineRule="auto"/>
        <w:ind w:firstLine="720" w:firstLineChars="300"/>
        <w:rPr>
          <w:rFonts w:ascii="仿宋_GB2312" w:hAnsi="宋体" w:eastAsia="仿宋_GB2312"/>
          <w:sz w:val="24"/>
        </w:rPr>
      </w:pPr>
    </w:p>
    <w:p>
      <w:pPr>
        <w:pStyle w:val="38"/>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4"/>
        <w:shd w:val="clear" w:color="auto" w:fill="FFFFFF"/>
        <w:spacing w:before="0" w:beforeAutospacing="0" w:after="0" w:afterAutospacing="0" w:line="360" w:lineRule="auto"/>
        <w:ind w:firstLine="424" w:firstLineChars="177"/>
        <w:rPr>
          <w:b/>
          <w:bCs/>
          <w:spacing w:val="11"/>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3"/>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11</w:t>
      </w:r>
    </w:p>
    <w:p>
      <w:pPr>
        <w:pStyle w:val="37"/>
        <w:spacing w:line="360" w:lineRule="auto"/>
        <w:jc w:val="center"/>
        <w:rPr>
          <w:rFonts w:ascii="仿宋_GB2312" w:eastAsia="仿宋_GB2312"/>
          <w:b/>
          <w:sz w:val="28"/>
          <w:szCs w:val="28"/>
        </w:rPr>
      </w:pPr>
      <w:bookmarkStart w:id="72" w:name="_Toc19231_WPSOffice_Level1"/>
      <w:bookmarkStart w:id="73" w:name="_Toc7134_WPSOffice_Level1"/>
      <w:r>
        <w:rPr>
          <w:rFonts w:hint="eastAsia" w:ascii="宋体" w:hAnsi="宋体"/>
          <w:b/>
          <w:sz w:val="32"/>
          <w:szCs w:val="32"/>
        </w:rPr>
        <w:t>供应商类似项目实施情况一览表</w:t>
      </w:r>
      <w:bookmarkEnd w:id="72"/>
      <w:bookmarkEnd w:id="73"/>
    </w:p>
    <w:tbl>
      <w:tblPr>
        <w:tblStyle w:val="24"/>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9"/>
        <w:gridCol w:w="1141"/>
        <w:gridCol w:w="1202"/>
        <w:gridCol w:w="1318"/>
        <w:gridCol w:w="1263"/>
        <w:gridCol w:w="1383"/>
        <w:gridCol w:w="1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9"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1"/>
                <w:szCs w:val="21"/>
              </w:rPr>
            </w:pPr>
            <w:r>
              <w:rPr>
                <w:rFonts w:hint="eastAsia" w:ascii="宋体" w:hAnsi="宋体" w:cs="Arial"/>
                <w:b/>
                <w:bCs/>
                <w:sz w:val="21"/>
                <w:szCs w:val="21"/>
              </w:rPr>
              <w:t>序号</w:t>
            </w:r>
          </w:p>
        </w:tc>
        <w:tc>
          <w:tcPr>
            <w:tcW w:w="1141"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1"/>
                <w:szCs w:val="21"/>
              </w:rPr>
            </w:pPr>
            <w:r>
              <w:rPr>
                <w:rFonts w:hint="eastAsia" w:ascii="宋体" w:hAnsi="宋体" w:cs="Arial"/>
                <w:b/>
                <w:bCs/>
                <w:sz w:val="21"/>
                <w:szCs w:val="21"/>
              </w:rPr>
              <w:t>项目名称</w:t>
            </w:r>
          </w:p>
        </w:tc>
        <w:tc>
          <w:tcPr>
            <w:tcW w:w="1202"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1"/>
                <w:szCs w:val="21"/>
              </w:rPr>
            </w:pPr>
            <w:r>
              <w:rPr>
                <w:rFonts w:hint="eastAsia" w:ascii="宋体" w:hAnsi="宋体" w:cs="Arial"/>
                <w:b/>
                <w:bCs/>
                <w:sz w:val="21"/>
                <w:szCs w:val="21"/>
              </w:rPr>
              <w:t>项目地址</w:t>
            </w:r>
          </w:p>
        </w:tc>
        <w:tc>
          <w:tcPr>
            <w:tcW w:w="1318"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1"/>
                <w:szCs w:val="21"/>
              </w:rPr>
            </w:pPr>
            <w:r>
              <w:rPr>
                <w:rFonts w:hint="eastAsia" w:ascii="宋体" w:hAnsi="宋体" w:cs="Arial"/>
                <w:b/>
                <w:bCs/>
                <w:sz w:val="21"/>
                <w:szCs w:val="21"/>
              </w:rPr>
              <w:t>合同总价</w:t>
            </w:r>
          </w:p>
        </w:tc>
        <w:tc>
          <w:tcPr>
            <w:tcW w:w="1263"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1"/>
                <w:szCs w:val="21"/>
              </w:rPr>
            </w:pPr>
            <w:r>
              <w:rPr>
                <w:rFonts w:hint="eastAsia" w:ascii="宋体" w:hAnsi="宋体" w:cs="Arial"/>
                <w:b/>
                <w:bCs/>
                <w:sz w:val="21"/>
                <w:szCs w:val="21"/>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1"/>
                <w:szCs w:val="21"/>
              </w:rPr>
            </w:pPr>
            <w:r>
              <w:rPr>
                <w:rFonts w:hint="eastAsia" w:ascii="宋体" w:hAnsi="宋体" w:cs="Arial"/>
                <w:b/>
                <w:bCs/>
                <w:sz w:val="21"/>
                <w:szCs w:val="21"/>
              </w:rPr>
              <w:t>项目质量</w:t>
            </w:r>
          </w:p>
        </w:tc>
        <w:tc>
          <w:tcPr>
            <w:tcW w:w="1935"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1"/>
                <w:szCs w:val="21"/>
              </w:rPr>
            </w:pPr>
            <w:r>
              <w:rPr>
                <w:rFonts w:hint="eastAsia" w:ascii="宋体" w:hAnsi="宋体" w:cs="Arial"/>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689"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Arial"/>
                <w:sz w:val="21"/>
                <w:szCs w:val="21"/>
              </w:rPr>
            </w:pPr>
            <w:r>
              <w:rPr>
                <w:rFonts w:hint="eastAsia" w:ascii="宋体" w:hAnsi="宋体" w:cs="Arial"/>
                <w:sz w:val="21"/>
                <w:szCs w:val="21"/>
              </w:rPr>
              <w:t>1</w:t>
            </w:r>
          </w:p>
        </w:tc>
        <w:tc>
          <w:tcPr>
            <w:tcW w:w="114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89"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Arial"/>
                <w:sz w:val="21"/>
                <w:szCs w:val="21"/>
              </w:rPr>
            </w:pPr>
            <w:r>
              <w:rPr>
                <w:rFonts w:hint="eastAsia" w:ascii="宋体" w:hAnsi="宋体" w:cs="Arial"/>
                <w:sz w:val="21"/>
                <w:szCs w:val="21"/>
              </w:rPr>
              <w:t>2</w:t>
            </w:r>
          </w:p>
        </w:tc>
        <w:tc>
          <w:tcPr>
            <w:tcW w:w="114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89"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Arial"/>
                <w:sz w:val="21"/>
                <w:szCs w:val="21"/>
              </w:rPr>
            </w:pPr>
            <w:r>
              <w:rPr>
                <w:rFonts w:hint="eastAsia" w:ascii="宋体" w:hAnsi="宋体" w:cs="Arial"/>
                <w:sz w:val="21"/>
                <w:szCs w:val="21"/>
              </w:rPr>
              <w:t>3</w:t>
            </w:r>
          </w:p>
        </w:tc>
        <w:tc>
          <w:tcPr>
            <w:tcW w:w="114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r>
              <w:rPr>
                <w:rFonts w:hint="eastAsia" w:ascii="宋体" w:hAnsi="宋体" w:cs="Arial"/>
                <w:sz w:val="21"/>
                <w:szCs w:val="21"/>
              </w:rPr>
              <w:t>…</w:t>
            </w:r>
          </w:p>
        </w:tc>
        <w:tc>
          <w:tcPr>
            <w:tcW w:w="114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14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14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141"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20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318"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26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c>
          <w:tcPr>
            <w:tcW w:w="193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可只提供首页、含金额页、盖章页并加盖供应商公章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8"/>
        <w:tabs>
          <w:tab w:val="left" w:pos="1050"/>
        </w:tabs>
        <w:spacing w:line="360" w:lineRule="auto"/>
        <w:rPr>
          <w:rFonts w:ascii="宋体" w:hAnsi="宋体"/>
          <w:b/>
          <w:sz w:val="28"/>
        </w:rPr>
      </w:pPr>
    </w:p>
    <w:p>
      <w:pPr>
        <w:pStyle w:val="38"/>
        <w:tabs>
          <w:tab w:val="left" w:pos="1050"/>
        </w:tabs>
        <w:spacing w:line="360" w:lineRule="auto"/>
        <w:rPr>
          <w:rFonts w:ascii="宋体" w:hAnsi="宋体"/>
          <w:b/>
          <w:sz w:val="28"/>
        </w:rPr>
      </w:pPr>
    </w:p>
    <w:p>
      <w:pPr>
        <w:pStyle w:val="38"/>
        <w:tabs>
          <w:tab w:val="left" w:pos="1050"/>
        </w:tabs>
        <w:spacing w:line="360" w:lineRule="auto"/>
        <w:rPr>
          <w:rFonts w:hint="eastAsia" w:ascii="宋体" w:hAnsi="宋体"/>
          <w:b/>
          <w:sz w:val="28"/>
        </w:rPr>
      </w:pPr>
    </w:p>
    <w:p>
      <w:pPr>
        <w:pStyle w:val="38"/>
        <w:tabs>
          <w:tab w:val="left" w:pos="1050"/>
        </w:tabs>
        <w:spacing w:line="360" w:lineRule="auto"/>
        <w:rPr>
          <w:rFonts w:hint="eastAsia" w:ascii="宋体" w:hAnsi="宋体"/>
          <w:b/>
          <w:sz w:val="28"/>
        </w:rPr>
      </w:pPr>
    </w:p>
    <w:p>
      <w:pPr>
        <w:pStyle w:val="38"/>
        <w:tabs>
          <w:tab w:val="left" w:pos="1050"/>
        </w:tabs>
        <w:spacing w:line="360" w:lineRule="auto"/>
        <w:rPr>
          <w:rFonts w:hint="eastAsia" w:ascii="宋体" w:hAnsi="宋体"/>
          <w:b/>
          <w:sz w:val="28"/>
        </w:rPr>
      </w:pPr>
    </w:p>
    <w:p>
      <w:pPr>
        <w:pStyle w:val="38"/>
        <w:tabs>
          <w:tab w:val="left" w:pos="1050"/>
        </w:tabs>
        <w:spacing w:line="360" w:lineRule="auto"/>
        <w:rPr>
          <w:rFonts w:hint="eastAsia" w:ascii="宋体" w:hAnsi="宋体"/>
          <w:b/>
          <w:sz w:val="28"/>
        </w:rPr>
      </w:pPr>
    </w:p>
    <w:p>
      <w:pPr>
        <w:pStyle w:val="38"/>
        <w:tabs>
          <w:tab w:val="left" w:pos="1050"/>
        </w:tabs>
        <w:spacing w:line="360" w:lineRule="auto"/>
        <w:rPr>
          <w:rFonts w:hint="eastAsia" w:ascii="仿宋_GB2312" w:hAnsi="宋体" w:eastAsia="宋体"/>
          <w:sz w:val="24"/>
          <w:lang w:eastAsia="zh-CN"/>
        </w:rPr>
      </w:pPr>
      <w:r>
        <w:rPr>
          <w:rFonts w:hint="eastAsia" w:ascii="宋体" w:hAnsi="宋体"/>
          <w:b/>
          <w:sz w:val="28"/>
        </w:rPr>
        <w:t>附件1</w:t>
      </w:r>
      <w:r>
        <w:rPr>
          <w:rFonts w:hint="eastAsia" w:ascii="宋体" w:hAnsi="宋体"/>
          <w:b/>
          <w:sz w:val="28"/>
          <w:lang w:val="en-US" w:eastAsia="zh-CN"/>
        </w:rPr>
        <w:t>2</w:t>
      </w:r>
    </w:p>
    <w:p>
      <w:pPr>
        <w:spacing w:line="360" w:lineRule="auto"/>
        <w:ind w:left="549" w:hanging="549" w:hangingChars="171"/>
        <w:jc w:val="center"/>
        <w:rPr>
          <w:rFonts w:ascii="宋体" w:hAnsi="宋体"/>
          <w:b/>
          <w:sz w:val="18"/>
          <w:szCs w:val="18"/>
        </w:rPr>
      </w:pPr>
      <w:bookmarkStart w:id="74" w:name="_Toc21582_WPSOffice_Level1"/>
      <w:bookmarkStart w:id="75" w:name="_Toc3068_WPSOffice_Level1"/>
      <w:r>
        <w:rPr>
          <w:rFonts w:hint="eastAsia" w:ascii="宋体" w:hAnsi="宋体"/>
          <w:b/>
          <w:sz w:val="32"/>
          <w:szCs w:val="32"/>
        </w:rPr>
        <w:t>商务需求响应表</w:t>
      </w:r>
      <w:bookmarkEnd w:id="74"/>
      <w:bookmarkEnd w:id="75"/>
    </w:p>
    <w:tbl>
      <w:tblPr>
        <w:tblStyle w:val="24"/>
        <w:tblpPr w:leftFromText="181" w:rightFromText="181" w:bottomFromText="170" w:vertAnchor="text" w:tblpXSpec="center" w:tblpY="1"/>
        <w:tblOverlap w:val="never"/>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序号</w:t>
            </w:r>
          </w:p>
        </w:tc>
        <w:tc>
          <w:tcPr>
            <w:tcW w:w="178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内容</w:t>
            </w:r>
          </w:p>
        </w:tc>
        <w:tc>
          <w:tcPr>
            <w:tcW w:w="1785" w:type="dxa"/>
            <w:tcMar>
              <w:top w:w="57" w:type="dxa"/>
              <w:left w:w="108" w:type="dxa"/>
              <w:bottom w:w="0" w:type="dxa"/>
              <w:right w:w="108" w:type="dxa"/>
            </w:tcMar>
            <w:vAlign w:val="center"/>
          </w:tcPr>
          <w:p>
            <w:pPr>
              <w:ind w:left="53" w:leftChars="25" w:firstLine="211" w:firstLineChars="100"/>
              <w:jc w:val="center"/>
              <w:rPr>
                <w:rFonts w:ascii="宋体" w:hAnsi="宋体"/>
                <w:b/>
                <w:sz w:val="21"/>
                <w:szCs w:val="21"/>
              </w:rPr>
            </w:pPr>
            <w:r>
              <w:rPr>
                <w:rFonts w:hint="eastAsia" w:ascii="宋体" w:hAnsi="宋体"/>
                <w:b/>
                <w:sz w:val="21"/>
                <w:szCs w:val="21"/>
              </w:rPr>
              <w:t>项目需求</w:t>
            </w:r>
          </w:p>
        </w:tc>
        <w:tc>
          <w:tcPr>
            <w:tcW w:w="1365" w:type="dxa"/>
            <w:tcMar>
              <w:top w:w="57" w:type="dxa"/>
              <w:left w:w="108" w:type="dxa"/>
              <w:bottom w:w="0" w:type="dxa"/>
              <w:right w:w="108" w:type="dxa"/>
            </w:tcMar>
            <w:vAlign w:val="center"/>
          </w:tcPr>
          <w:p>
            <w:pPr>
              <w:ind w:left="152"/>
              <w:jc w:val="center"/>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r>
              <w:rPr>
                <w:rFonts w:hint="eastAsia" w:ascii="宋体" w:hAnsi="宋体"/>
                <w:sz w:val="21"/>
                <w:szCs w:val="21"/>
              </w:rPr>
              <w:t>维保期</w:t>
            </w: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r>
              <w:rPr>
                <w:rFonts w:hint="eastAsia" w:ascii="宋体" w:hAnsi="宋体"/>
                <w:sz w:val="21"/>
                <w:szCs w:val="21"/>
              </w:rPr>
              <w:t>备品备件及耗材等要求</w:t>
            </w: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r>
              <w:rPr>
                <w:rFonts w:hint="eastAsia" w:ascii="宋体" w:hAnsi="宋体"/>
                <w:sz w:val="21"/>
                <w:szCs w:val="21"/>
              </w:rPr>
              <w:t>……</w:t>
            </w: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jc w:val="both"/>
              <w:rPr>
                <w:rFonts w:ascii="宋体" w:hAnsi="宋体"/>
                <w:sz w:val="21"/>
                <w:szCs w:val="21"/>
              </w:rPr>
            </w:pPr>
          </w:p>
        </w:tc>
        <w:tc>
          <w:tcPr>
            <w:tcW w:w="1785" w:type="dxa"/>
            <w:tcMar>
              <w:top w:w="57" w:type="dxa"/>
              <w:left w:w="108" w:type="dxa"/>
              <w:bottom w:w="0" w:type="dxa"/>
              <w:right w:w="108" w:type="dxa"/>
            </w:tcMar>
            <w:vAlign w:val="center"/>
          </w:tcPr>
          <w:p>
            <w:pPr>
              <w:snapToGrid w:val="0"/>
              <w:jc w:val="both"/>
              <w:rPr>
                <w:rFonts w:ascii="宋体" w:hAnsi="宋体"/>
                <w:sz w:val="21"/>
                <w:szCs w:val="21"/>
              </w:rPr>
            </w:pPr>
          </w:p>
        </w:tc>
        <w:tc>
          <w:tcPr>
            <w:tcW w:w="1785" w:type="dxa"/>
            <w:tcMar>
              <w:top w:w="57" w:type="dxa"/>
              <w:left w:w="108" w:type="dxa"/>
              <w:bottom w:w="0" w:type="dxa"/>
              <w:right w:w="108" w:type="dxa"/>
            </w:tcMar>
            <w:vAlign w:val="center"/>
          </w:tcPr>
          <w:p>
            <w:pPr>
              <w:jc w:val="both"/>
              <w:rPr>
                <w:rFonts w:ascii="宋体" w:hAnsi="宋体"/>
                <w:sz w:val="21"/>
                <w:szCs w:val="21"/>
              </w:rPr>
            </w:pPr>
          </w:p>
        </w:tc>
        <w:tc>
          <w:tcPr>
            <w:tcW w:w="1365" w:type="dxa"/>
            <w:tcMar>
              <w:top w:w="57" w:type="dxa"/>
              <w:left w:w="108" w:type="dxa"/>
              <w:bottom w:w="0" w:type="dxa"/>
              <w:right w:w="108" w:type="dxa"/>
            </w:tcMar>
            <w:vAlign w:val="center"/>
          </w:tcPr>
          <w:p>
            <w:pPr>
              <w:jc w:val="both"/>
              <w:rPr>
                <w:rFonts w:ascii="宋体" w:hAnsi="宋体"/>
                <w:sz w:val="21"/>
                <w:szCs w:val="21"/>
              </w:rPr>
            </w:pPr>
          </w:p>
        </w:tc>
        <w:tc>
          <w:tcPr>
            <w:tcW w:w="2625" w:type="dxa"/>
            <w:tcMar>
              <w:top w:w="57" w:type="dxa"/>
              <w:left w:w="108" w:type="dxa"/>
              <w:bottom w:w="0" w:type="dxa"/>
              <w:right w:w="108" w:type="dxa"/>
            </w:tcMar>
            <w:vAlign w:val="center"/>
          </w:tcPr>
          <w:p>
            <w:pPr>
              <w:jc w:val="both"/>
              <w:rPr>
                <w:rFonts w:ascii="宋体" w:hAnsi="宋体"/>
                <w:sz w:val="21"/>
                <w:szCs w:val="21"/>
              </w:rPr>
            </w:pPr>
          </w:p>
        </w:tc>
      </w:tr>
    </w:tbl>
    <w:p>
      <w:pPr>
        <w:spacing w:line="360" w:lineRule="auto"/>
        <w:rPr>
          <w:rFonts w:ascii="宋体" w:hAnsi="宋体"/>
          <w:sz w:val="24"/>
        </w:rPr>
      </w:pPr>
    </w:p>
    <w:p>
      <w:pPr>
        <w:pStyle w:val="23"/>
      </w:pPr>
    </w:p>
    <w:p>
      <w:pPr>
        <w:spacing w:line="360" w:lineRule="auto"/>
        <w:ind w:left="42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jc w:val="center"/>
        <w:rPr>
          <w:rFonts w:hint="eastAsia" w:ascii="宋体" w:hAnsi="宋体"/>
          <w:b/>
          <w:sz w:val="28"/>
          <w:lang w:val="en-US" w:eastAsia="zh-CN"/>
        </w:rPr>
      </w:pPr>
      <w:bookmarkStart w:id="76" w:name="_Toc29537_WPSOffice_Level1"/>
      <w:bookmarkStart w:id="77" w:name="_Toc19972_WPSOffice_Level1"/>
      <w:r>
        <w:rPr>
          <w:rFonts w:hint="eastAsia" w:ascii="宋体" w:hAnsi="宋体"/>
          <w:b/>
          <w:sz w:val="28"/>
          <w:lang w:val="en-US" w:eastAsia="zh-CN"/>
        </w:rPr>
        <w:t xml:space="preserve"> </w:t>
      </w:r>
    </w:p>
    <w:p>
      <w:pPr>
        <w:pStyle w:val="23"/>
        <w:rPr>
          <w:rFonts w:hint="eastAsia"/>
          <w:lang w:eastAsia="zh-CN"/>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spacing w:line="480" w:lineRule="auto"/>
        <w:jc w:val="center"/>
        <w:rPr>
          <w:rFonts w:hint="eastAsia" w:ascii="宋体" w:hAnsi="宋体"/>
          <w:b/>
          <w:bCs/>
          <w:sz w:val="36"/>
          <w:szCs w:val="36"/>
        </w:rPr>
      </w:pPr>
      <w:r>
        <w:rPr>
          <w:rFonts w:hint="eastAsia" w:ascii="宋体" w:hAnsi="宋体"/>
          <w:b/>
          <w:bCs/>
          <w:sz w:val="36"/>
          <w:szCs w:val="36"/>
        </w:rPr>
        <w:t>报价内容目录</w:t>
      </w:r>
      <w:bookmarkEnd w:id="76"/>
      <w:bookmarkEnd w:id="77"/>
    </w:p>
    <w:p>
      <w:pPr>
        <w:rPr>
          <w:sz w:val="28"/>
          <w:szCs w:val="28"/>
        </w:rPr>
      </w:pPr>
    </w:p>
    <w:p>
      <w:pPr>
        <w:rPr>
          <w:sz w:val="28"/>
          <w:szCs w:val="28"/>
        </w:rPr>
      </w:pPr>
    </w:p>
    <w:p>
      <w:pPr>
        <w:pStyle w:val="23"/>
      </w:pPr>
    </w:p>
    <w:p>
      <w:pPr>
        <w:numPr>
          <w:ilvl w:val="0"/>
          <w:numId w:val="25"/>
        </w:numPr>
        <w:spacing w:line="360" w:lineRule="auto"/>
        <w:ind w:left="425" w:leftChars="0" w:hanging="425" w:firstLineChars="0"/>
        <w:jc w:val="both"/>
        <w:rPr>
          <w:rFonts w:hint="eastAsia" w:asciiTheme="minorEastAsia" w:hAnsiTheme="minorEastAsia" w:eastAsiaTheme="minorEastAsia" w:cstheme="minorEastAsia"/>
          <w:sz w:val="28"/>
          <w:szCs w:val="28"/>
        </w:rPr>
      </w:pPr>
      <w:bookmarkStart w:id="78" w:name="_Toc6778_WPSOffice_Level1"/>
      <w:bookmarkStart w:id="79" w:name="_Toc29988_WPSOffice_Level1"/>
      <w:r>
        <w:rPr>
          <w:rFonts w:hint="eastAsia" w:asciiTheme="minorEastAsia" w:hAnsiTheme="minorEastAsia" w:eastAsiaTheme="minorEastAsia" w:cstheme="minorEastAsia"/>
          <w:sz w:val="28"/>
          <w:szCs w:val="28"/>
        </w:rPr>
        <w:t>首次报价一览表（附件1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bookmarkEnd w:id="78"/>
      <w:bookmarkEnd w:id="79"/>
    </w:p>
    <w:p>
      <w:pPr>
        <w:numPr>
          <w:ilvl w:val="0"/>
          <w:numId w:val="25"/>
        </w:numPr>
        <w:spacing w:line="360" w:lineRule="auto"/>
        <w:ind w:left="425" w:leftChars="0" w:hanging="425" w:firstLineChars="0"/>
        <w:jc w:val="both"/>
        <w:rPr>
          <w:rFonts w:hint="eastAsia" w:asciiTheme="minorEastAsia" w:hAnsiTheme="minorEastAsia" w:eastAsiaTheme="minorEastAsia" w:cstheme="minorEastAsia"/>
          <w:sz w:val="28"/>
          <w:szCs w:val="28"/>
        </w:rPr>
      </w:pPr>
      <w:bookmarkStart w:id="80" w:name="_Toc15601_WPSOffice_Level1"/>
      <w:bookmarkStart w:id="81" w:name="_Toc11601_WPSOffice_Level1"/>
      <w:r>
        <w:rPr>
          <w:rFonts w:hint="eastAsia" w:asciiTheme="minorEastAsia" w:hAnsiTheme="minorEastAsia" w:eastAsiaTheme="minorEastAsia" w:cstheme="minorEastAsia"/>
          <w:sz w:val="28"/>
          <w:szCs w:val="28"/>
        </w:rPr>
        <w:t>报价明细表（附件</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w:t>
      </w:r>
      <w:bookmarkEnd w:id="80"/>
      <w:bookmarkEnd w:id="81"/>
    </w:p>
    <w:p>
      <w:pPr>
        <w:numPr>
          <w:ilvl w:val="0"/>
          <w:numId w:val="25"/>
        </w:numPr>
        <w:spacing w:line="360" w:lineRule="auto"/>
        <w:ind w:left="425" w:leftChars="0" w:hanging="425" w:firstLineChars="0"/>
        <w:jc w:val="both"/>
        <w:rPr>
          <w:rFonts w:hint="eastAsia" w:asciiTheme="minorEastAsia" w:hAnsiTheme="minorEastAsia" w:eastAsiaTheme="minorEastAsia" w:cstheme="minorEastAsia"/>
          <w:sz w:val="28"/>
          <w:szCs w:val="28"/>
        </w:rPr>
      </w:pPr>
      <w:bookmarkStart w:id="82" w:name="_Toc45_WPSOffice_Level1"/>
      <w:bookmarkStart w:id="83" w:name="_Toc17543_WPSOffice_Level1"/>
      <w:r>
        <w:rPr>
          <w:rFonts w:hint="eastAsia" w:asciiTheme="minorEastAsia" w:hAnsiTheme="minorEastAsia" w:eastAsiaTheme="minorEastAsia" w:cstheme="minorEastAsia"/>
          <w:kern w:val="2"/>
          <w:sz w:val="28"/>
          <w:szCs w:val="28"/>
          <w:lang w:val="en-US" w:eastAsia="zh-CN" w:bidi="ar-SA"/>
        </w:rPr>
        <w:t>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bookmarkEnd w:id="82"/>
      <w:bookmarkEnd w:id="83"/>
    </w:p>
    <w:p>
      <w:pPr>
        <w:numPr>
          <w:ilvl w:val="0"/>
          <w:numId w:val="25"/>
        </w:numPr>
        <w:spacing w:line="360" w:lineRule="auto"/>
        <w:ind w:left="425" w:leftChars="0" w:hanging="425" w:firstLineChars="0"/>
        <w:jc w:val="both"/>
        <w:rPr>
          <w:rFonts w:hint="eastAsia" w:asciiTheme="minorEastAsia" w:hAnsiTheme="minorEastAsia" w:eastAsiaTheme="minorEastAsia" w:cstheme="minorEastAsia"/>
          <w:sz w:val="28"/>
          <w:szCs w:val="28"/>
        </w:rPr>
      </w:pPr>
      <w:bookmarkStart w:id="84" w:name="_Toc3001_WPSOffice_Level1"/>
      <w:bookmarkStart w:id="85" w:name="_Toc14672_WPSOffice_Level1"/>
      <w:r>
        <w:rPr>
          <w:rFonts w:hint="eastAsia" w:asciiTheme="minorEastAsia" w:hAnsiTheme="minorEastAsia" w:eastAsiaTheme="minorEastAsia" w:cstheme="minorEastAsia"/>
          <w:sz w:val="28"/>
          <w:szCs w:val="28"/>
        </w:rPr>
        <w:t>针对报价供应商认为其他需要说明的</w:t>
      </w:r>
      <w:bookmarkEnd w:id="84"/>
      <w:bookmarkEnd w:id="85"/>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before="91" w:line="220" w:lineRule="auto"/>
        <w:ind w:left="248"/>
        <w:rPr>
          <w:rFonts w:ascii="宋体" w:hAnsi="宋体" w:eastAsia="宋体" w:cs="宋体"/>
          <w:spacing w:val="-16"/>
          <w:sz w:val="28"/>
          <w:szCs w:val="28"/>
          <w14:textOutline w14:w="5103" w14:cap="sq" w14:cmpd="sng">
            <w14:solidFill>
              <w14:srgbClr w14:val="000000"/>
            </w14:solidFill>
            <w14:prstDash w14:val="solid"/>
            <w14:bevel/>
          </w14:textOutline>
        </w:rPr>
      </w:pPr>
    </w:p>
    <w:p>
      <w:pPr>
        <w:spacing w:before="91" w:line="220" w:lineRule="auto"/>
        <w:ind w:left="248"/>
        <w:rPr>
          <w:rFonts w:ascii="宋体" w:hAnsi="宋体" w:eastAsia="宋体" w:cs="宋体"/>
          <w:spacing w:val="-16"/>
          <w:sz w:val="28"/>
          <w:szCs w:val="28"/>
          <w14:textOutline w14:w="5103" w14:cap="sq" w14:cmpd="sng">
            <w14:solidFill>
              <w14:srgbClr w14:val="000000"/>
            </w14:solidFill>
            <w14:prstDash w14:val="solid"/>
            <w14:bevel/>
          </w14:textOutline>
        </w:rPr>
      </w:pPr>
    </w:p>
    <w:p>
      <w:pPr>
        <w:spacing w:before="91" w:line="220" w:lineRule="auto"/>
        <w:ind w:left="248"/>
        <w:rPr>
          <w:rFonts w:ascii="宋体" w:hAnsi="宋体" w:eastAsia="宋体" w:cs="宋体"/>
          <w:spacing w:val="-16"/>
          <w:sz w:val="28"/>
          <w:szCs w:val="28"/>
          <w14:textOutline w14:w="5103" w14:cap="sq" w14:cmpd="sng">
            <w14:solidFill>
              <w14:srgbClr w14:val="000000"/>
            </w14:solidFill>
            <w14:prstDash w14:val="solid"/>
            <w14:bevel/>
          </w14:textOutline>
        </w:rPr>
      </w:pPr>
    </w:p>
    <w:p>
      <w:pPr>
        <w:spacing w:before="91" w:line="220" w:lineRule="auto"/>
        <w:ind w:left="248"/>
        <w:rPr>
          <w:rFonts w:ascii="宋体" w:hAnsi="宋体" w:eastAsia="宋体" w:cs="宋体"/>
          <w:spacing w:val="-16"/>
          <w:sz w:val="28"/>
          <w:szCs w:val="28"/>
          <w14:textOutline w14:w="5103" w14:cap="sq" w14:cmpd="sng">
            <w14:solidFill>
              <w14:srgbClr w14:val="000000"/>
            </w14:solidFill>
            <w14:prstDash w14:val="solid"/>
            <w14:bevel/>
          </w14:textOutline>
        </w:rPr>
      </w:pPr>
    </w:p>
    <w:p>
      <w:pPr>
        <w:spacing w:before="91" w:line="220" w:lineRule="auto"/>
        <w:ind w:left="248"/>
        <w:rPr>
          <w:rFonts w:ascii="宋体" w:hAnsi="宋体" w:eastAsia="宋体" w:cs="宋体"/>
          <w:spacing w:val="-16"/>
          <w:sz w:val="28"/>
          <w:szCs w:val="28"/>
          <w14:textOutline w14:w="5103" w14:cap="sq" w14:cmpd="sng">
            <w14:solidFill>
              <w14:srgbClr w14:val="000000"/>
            </w14:solidFill>
            <w14:prstDash w14:val="solid"/>
            <w14:bevel/>
          </w14:textOutline>
        </w:rPr>
      </w:pPr>
    </w:p>
    <w:p>
      <w:pPr>
        <w:spacing w:before="91" w:line="220" w:lineRule="auto"/>
        <w:ind w:left="248"/>
        <w:rPr>
          <w:rFonts w:ascii="宋体" w:hAnsi="宋体" w:eastAsia="宋体" w:cs="宋体"/>
          <w:spacing w:val="-16"/>
          <w:sz w:val="28"/>
          <w:szCs w:val="28"/>
          <w14:textOutline w14:w="5103" w14:cap="sq" w14:cmpd="sng">
            <w14:solidFill>
              <w14:srgbClr w14:val="000000"/>
            </w14:solidFill>
            <w14:prstDash w14:val="solid"/>
            <w14:bevel/>
          </w14:textOutline>
        </w:rPr>
      </w:pPr>
    </w:p>
    <w:p>
      <w:pPr>
        <w:spacing w:before="91" w:line="220" w:lineRule="auto"/>
        <w:ind w:left="248"/>
        <w:rPr>
          <w:rFonts w:ascii="宋体" w:hAnsi="宋体" w:eastAsia="宋体" w:cs="宋体"/>
          <w:spacing w:val="-16"/>
          <w:sz w:val="28"/>
          <w:szCs w:val="28"/>
          <w14:textOutline w14:w="5103" w14:cap="sq" w14:cmpd="sng">
            <w14:solidFill>
              <w14:srgbClr w14:val="000000"/>
            </w14:solidFill>
            <w14:prstDash w14:val="solid"/>
            <w14:bevel/>
          </w14:textOutline>
        </w:rPr>
      </w:pPr>
    </w:p>
    <w:p>
      <w:pPr>
        <w:spacing w:before="91" w:line="220" w:lineRule="auto"/>
        <w:ind w:left="248"/>
        <w:rPr>
          <w:rFonts w:ascii="宋体" w:hAnsi="宋体" w:eastAsia="宋体" w:cs="宋体"/>
          <w:sz w:val="28"/>
          <w:szCs w:val="28"/>
        </w:rPr>
      </w:pPr>
      <w:r>
        <w:rPr>
          <w:rFonts w:ascii="宋体" w:hAnsi="宋体" w:eastAsia="宋体" w:cs="宋体"/>
          <w:spacing w:val="-16"/>
          <w:sz w:val="28"/>
          <w:szCs w:val="28"/>
          <w14:textOutline w14:w="5103" w14:cap="sq" w14:cmpd="sng">
            <w14:solidFill>
              <w14:srgbClr w14:val="000000"/>
            </w14:solidFill>
            <w14:prstDash w14:val="solid"/>
            <w14:bevel/>
          </w14:textOutline>
        </w:rPr>
        <w:t>附件</w:t>
      </w:r>
      <w:r>
        <w:rPr>
          <w:rFonts w:ascii="宋体" w:hAnsi="宋体" w:eastAsia="宋体" w:cs="宋体"/>
          <w:spacing w:val="-37"/>
          <w:sz w:val="28"/>
          <w:szCs w:val="28"/>
        </w:rPr>
        <w:t xml:space="preserve"> </w:t>
      </w:r>
      <w:r>
        <w:rPr>
          <w:rFonts w:ascii="宋体" w:hAnsi="宋体" w:eastAsia="宋体" w:cs="宋体"/>
          <w:spacing w:val="-16"/>
          <w:sz w:val="28"/>
          <w:szCs w:val="28"/>
          <w14:textOutline w14:w="5103" w14:cap="sq" w14:cmpd="sng">
            <w14:solidFill>
              <w14:srgbClr w14:val="000000"/>
            </w14:solidFill>
            <w14:prstDash w14:val="solid"/>
            <w14:bevel/>
          </w14:textOutline>
        </w:rPr>
        <w:t>13</w:t>
      </w:r>
    </w:p>
    <w:p>
      <w:pPr>
        <w:spacing w:before="219" w:line="226" w:lineRule="auto"/>
        <w:ind w:left="3944"/>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开标一览表</w:t>
      </w:r>
    </w:p>
    <w:p>
      <w:pPr>
        <w:spacing w:line="196" w:lineRule="exact"/>
      </w:pPr>
    </w:p>
    <w:p>
      <w:pPr>
        <w:spacing w:line="196" w:lineRule="exact"/>
        <w:sectPr>
          <w:headerReference r:id="rId7" w:type="default"/>
          <w:footerReference r:id="rId8" w:type="default"/>
          <w:pgSz w:w="11906" w:h="16839"/>
          <w:pgMar w:top="1066" w:right="1356" w:bottom="1010" w:left="1203" w:header="878" w:footer="847" w:gutter="0"/>
          <w:cols w:equalWidth="0" w:num="1">
            <w:col w:w="9347"/>
          </w:cols>
        </w:sectPr>
      </w:pPr>
    </w:p>
    <w:p>
      <w:pPr>
        <w:spacing w:before="48" w:line="234" w:lineRule="auto"/>
        <w:ind w:left="70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项目编号：</w:t>
      </w:r>
    </w:p>
    <w:p>
      <w:pPr>
        <w:spacing w:line="185" w:lineRule="auto"/>
        <w:ind w:left="70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项目名称：</w:t>
      </w:r>
    </w:p>
    <w:p>
      <w:pPr>
        <w:pStyle w:val="10"/>
        <w:spacing w:line="14" w:lineRule="auto"/>
        <w:rPr>
          <w:sz w:val="2"/>
        </w:rPr>
      </w:pPr>
      <w:r>
        <w:rPr>
          <w:sz w:val="2"/>
          <w:szCs w:val="2"/>
        </w:rPr>
        <w:br w:type="column"/>
      </w:r>
    </w:p>
    <w:p>
      <w:pPr>
        <w:pStyle w:val="10"/>
        <w:spacing w:line="272" w:lineRule="auto"/>
      </w:pPr>
    </w:p>
    <w:p>
      <w:pPr>
        <w:spacing w:before="78" w:line="185" w:lineRule="auto"/>
        <w:rPr>
          <w:rFonts w:ascii="宋体" w:hAnsi="宋体" w:eastAsia="宋体" w:cs="宋体"/>
          <w:sz w:val="24"/>
          <w:szCs w:val="24"/>
        </w:rPr>
      </w:pPr>
      <w:r>
        <w:rPr>
          <w:rFonts w:ascii="宋体" w:hAnsi="宋体" w:eastAsia="宋体" w:cs="宋体"/>
          <w:spacing w:val="-5"/>
          <w:sz w:val="24"/>
          <w:szCs w:val="24"/>
        </w:rPr>
        <w:t>[货币单位：人民币元]</w:t>
      </w:r>
    </w:p>
    <w:p>
      <w:pPr>
        <w:spacing w:line="185" w:lineRule="auto"/>
        <w:rPr>
          <w:rFonts w:ascii="宋体" w:hAnsi="宋体" w:eastAsia="宋体" w:cs="宋体"/>
          <w:sz w:val="24"/>
          <w:szCs w:val="24"/>
        </w:rPr>
        <w:sectPr>
          <w:type w:val="continuous"/>
          <w:pgSz w:w="11906" w:h="16839"/>
          <w:pgMar w:top="1066" w:right="1356" w:bottom="1010" w:left="1203" w:header="878" w:footer="847" w:gutter="0"/>
          <w:cols w:equalWidth="0" w:num="2">
            <w:col w:w="6285" w:space="100"/>
            <w:col w:w="2963"/>
          </w:cols>
        </w:sectPr>
      </w:pPr>
    </w:p>
    <w:p>
      <w:pPr>
        <w:spacing w:line="189" w:lineRule="exact"/>
      </w:pPr>
    </w:p>
    <w:tbl>
      <w:tblPr>
        <w:tblStyle w:val="65"/>
        <w:tblW w:w="93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1379"/>
        <w:gridCol w:w="1499"/>
        <w:gridCol w:w="1149"/>
        <w:gridCol w:w="2066"/>
        <w:gridCol w:w="24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844" w:type="dxa"/>
            <w:vAlign w:val="top"/>
          </w:tcPr>
          <w:p>
            <w:pPr>
              <w:spacing w:line="377" w:lineRule="auto"/>
              <w:rPr>
                <w:rFonts w:ascii="Arial"/>
                <w:sz w:val="21"/>
              </w:rPr>
            </w:pPr>
          </w:p>
          <w:p>
            <w:pPr>
              <w:pStyle w:val="64"/>
              <w:spacing w:before="65" w:line="230" w:lineRule="auto"/>
              <w:ind w:left="217"/>
              <w:rPr>
                <w:sz w:val="20"/>
                <w:szCs w:val="20"/>
              </w:rPr>
            </w:pPr>
            <w:r>
              <w:rPr>
                <w:spacing w:val="5"/>
                <w:sz w:val="20"/>
                <w:szCs w:val="20"/>
              </w:rPr>
              <w:t>序号</w:t>
            </w:r>
          </w:p>
        </w:tc>
        <w:tc>
          <w:tcPr>
            <w:tcW w:w="1379" w:type="dxa"/>
            <w:vAlign w:val="top"/>
          </w:tcPr>
          <w:p>
            <w:pPr>
              <w:spacing w:line="378" w:lineRule="auto"/>
              <w:rPr>
                <w:rFonts w:ascii="Arial"/>
                <w:sz w:val="21"/>
              </w:rPr>
            </w:pPr>
          </w:p>
          <w:p>
            <w:pPr>
              <w:pStyle w:val="64"/>
              <w:spacing w:before="65" w:line="228" w:lineRule="auto"/>
              <w:ind w:left="114"/>
              <w:rPr>
                <w:sz w:val="20"/>
                <w:szCs w:val="20"/>
              </w:rPr>
            </w:pPr>
            <w:r>
              <w:rPr>
                <w:spacing w:val="6"/>
                <w:sz w:val="20"/>
                <w:szCs w:val="20"/>
              </w:rPr>
              <w:t>项目名称</w:t>
            </w:r>
          </w:p>
        </w:tc>
        <w:tc>
          <w:tcPr>
            <w:tcW w:w="1499" w:type="dxa"/>
            <w:vAlign w:val="top"/>
          </w:tcPr>
          <w:p>
            <w:pPr>
              <w:spacing w:line="378" w:lineRule="auto"/>
              <w:rPr>
                <w:rFonts w:ascii="Arial"/>
                <w:sz w:val="21"/>
              </w:rPr>
            </w:pPr>
          </w:p>
          <w:p>
            <w:pPr>
              <w:pStyle w:val="64"/>
              <w:spacing w:before="65" w:line="228" w:lineRule="auto"/>
              <w:ind w:left="335"/>
              <w:rPr>
                <w:sz w:val="20"/>
                <w:szCs w:val="20"/>
              </w:rPr>
            </w:pPr>
            <w:r>
              <w:rPr>
                <w:spacing w:val="7"/>
                <w:sz w:val="20"/>
                <w:szCs w:val="20"/>
              </w:rPr>
              <w:t>服务期限</w:t>
            </w:r>
          </w:p>
        </w:tc>
        <w:tc>
          <w:tcPr>
            <w:tcW w:w="1149" w:type="dxa"/>
            <w:vAlign w:val="top"/>
          </w:tcPr>
          <w:p>
            <w:pPr>
              <w:spacing w:line="378" w:lineRule="auto"/>
              <w:rPr>
                <w:rFonts w:ascii="Arial"/>
                <w:sz w:val="21"/>
              </w:rPr>
            </w:pPr>
          </w:p>
          <w:p>
            <w:pPr>
              <w:pStyle w:val="64"/>
              <w:spacing w:before="65" w:line="228" w:lineRule="auto"/>
              <w:ind w:left="275"/>
              <w:rPr>
                <w:sz w:val="20"/>
                <w:szCs w:val="20"/>
              </w:rPr>
            </w:pPr>
            <w:r>
              <w:rPr>
                <w:spacing w:val="-1"/>
                <w:sz w:val="20"/>
                <w:szCs w:val="20"/>
              </w:rPr>
              <w:t>岗位数</w:t>
            </w:r>
          </w:p>
        </w:tc>
        <w:tc>
          <w:tcPr>
            <w:tcW w:w="2066" w:type="dxa"/>
            <w:vAlign w:val="top"/>
          </w:tcPr>
          <w:p>
            <w:pPr>
              <w:pStyle w:val="64"/>
              <w:spacing w:before="241" w:line="229" w:lineRule="auto"/>
              <w:ind w:left="818"/>
              <w:rPr>
                <w:sz w:val="20"/>
                <w:szCs w:val="20"/>
              </w:rPr>
            </w:pPr>
            <w:r>
              <w:rPr>
                <w:spacing w:val="3"/>
                <w:sz w:val="20"/>
                <w:szCs w:val="20"/>
              </w:rPr>
              <w:t>单位</w:t>
            </w:r>
          </w:p>
          <w:p>
            <w:pPr>
              <w:pStyle w:val="64"/>
              <w:spacing w:before="129" w:line="274" w:lineRule="exact"/>
              <w:ind w:left="351"/>
              <w:rPr>
                <w:sz w:val="20"/>
                <w:szCs w:val="20"/>
              </w:rPr>
            </w:pPr>
            <w:r>
              <w:rPr>
                <w:spacing w:val="4"/>
                <w:position w:val="1"/>
                <w:sz w:val="20"/>
                <w:szCs w:val="20"/>
              </w:rPr>
              <w:t>（元</w:t>
            </w:r>
            <w:r>
              <w:rPr>
                <w:rFonts w:ascii="Times New Roman" w:hAnsi="Times New Roman" w:eastAsia="Times New Roman" w:cs="Times New Roman"/>
                <w:spacing w:val="4"/>
                <w:position w:val="1"/>
                <w:sz w:val="20"/>
                <w:szCs w:val="20"/>
              </w:rPr>
              <w:t>/</w:t>
            </w:r>
            <w:r>
              <w:rPr>
                <w:spacing w:val="4"/>
                <w:position w:val="1"/>
                <w:sz w:val="20"/>
                <w:szCs w:val="20"/>
              </w:rPr>
              <w:t>每岗</w:t>
            </w:r>
            <w:r>
              <w:rPr>
                <w:rFonts w:ascii="Times New Roman" w:hAnsi="Times New Roman" w:eastAsia="Times New Roman" w:cs="Times New Roman"/>
                <w:spacing w:val="4"/>
                <w:position w:val="1"/>
                <w:sz w:val="20"/>
                <w:szCs w:val="20"/>
              </w:rPr>
              <w:t>.</w:t>
            </w:r>
            <w:r>
              <w:rPr>
                <w:spacing w:val="4"/>
                <w:position w:val="1"/>
                <w:sz w:val="20"/>
                <w:szCs w:val="20"/>
              </w:rPr>
              <w:t>月）</w:t>
            </w:r>
          </w:p>
        </w:tc>
        <w:tc>
          <w:tcPr>
            <w:tcW w:w="2404" w:type="dxa"/>
            <w:vAlign w:val="top"/>
          </w:tcPr>
          <w:p>
            <w:pPr>
              <w:spacing w:line="378" w:lineRule="auto"/>
              <w:rPr>
                <w:rFonts w:ascii="Arial"/>
                <w:sz w:val="21"/>
              </w:rPr>
            </w:pPr>
          </w:p>
          <w:p>
            <w:pPr>
              <w:pStyle w:val="64"/>
              <w:spacing w:before="65" w:line="227" w:lineRule="auto"/>
              <w:ind w:left="750"/>
              <w:rPr>
                <w:sz w:val="20"/>
                <w:szCs w:val="20"/>
              </w:rPr>
            </w:pPr>
            <w:r>
              <w:rPr>
                <w:spacing w:val="5"/>
                <w:sz w:val="20"/>
                <w:szCs w:val="20"/>
              </w:rPr>
              <w:t>总价（元）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44" w:type="dxa"/>
            <w:vAlign w:val="top"/>
          </w:tcPr>
          <w:p>
            <w:pPr>
              <w:spacing w:before="122" w:line="195" w:lineRule="auto"/>
              <w:ind w:left="3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79" w:type="dxa"/>
            <w:vAlign w:val="top"/>
          </w:tcPr>
          <w:p>
            <w:pPr>
              <w:rPr>
                <w:rFonts w:ascii="Arial"/>
                <w:sz w:val="21"/>
              </w:rPr>
            </w:pPr>
          </w:p>
        </w:tc>
        <w:tc>
          <w:tcPr>
            <w:tcW w:w="1499" w:type="dxa"/>
            <w:vAlign w:val="top"/>
          </w:tcPr>
          <w:p>
            <w:pPr>
              <w:pStyle w:val="64"/>
              <w:spacing w:before="146" w:line="228" w:lineRule="auto"/>
              <w:ind w:left="581"/>
              <w:rPr>
                <w:sz w:val="20"/>
                <w:szCs w:val="20"/>
              </w:rPr>
            </w:pPr>
            <w:r>
              <w:rPr>
                <w:rFonts w:hint="eastAsia" w:ascii="Times New Roman" w:hAnsi="Times New Roman" w:cs="Times New Roman"/>
                <w:spacing w:val="5"/>
                <w:sz w:val="20"/>
                <w:szCs w:val="20"/>
                <w:lang w:val="en-US" w:eastAsia="zh-CN"/>
              </w:rPr>
              <w:t>1</w:t>
            </w:r>
            <w:r>
              <w:rPr>
                <w:spacing w:val="5"/>
                <w:sz w:val="20"/>
                <w:szCs w:val="20"/>
              </w:rPr>
              <w:t>年</w:t>
            </w:r>
          </w:p>
        </w:tc>
        <w:tc>
          <w:tcPr>
            <w:tcW w:w="1149" w:type="dxa"/>
            <w:vAlign w:val="top"/>
          </w:tcPr>
          <w:p>
            <w:pPr>
              <w:pStyle w:val="64"/>
              <w:spacing w:before="79" w:line="231" w:lineRule="auto"/>
              <w:ind w:left="518"/>
              <w:rPr>
                <w:sz w:val="20"/>
                <w:szCs w:val="20"/>
              </w:rPr>
            </w:pPr>
            <w:r>
              <w:rPr>
                <w:sz w:val="20"/>
                <w:szCs w:val="20"/>
              </w:rPr>
              <w:t>人</w:t>
            </w:r>
          </w:p>
        </w:tc>
        <w:tc>
          <w:tcPr>
            <w:tcW w:w="2066" w:type="dxa"/>
            <w:vAlign w:val="top"/>
          </w:tcPr>
          <w:p>
            <w:pPr>
              <w:rPr>
                <w:rFonts w:ascii="Arial"/>
                <w:sz w:val="21"/>
              </w:rPr>
            </w:pPr>
          </w:p>
        </w:tc>
        <w:tc>
          <w:tcPr>
            <w:tcW w:w="24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9341" w:type="dxa"/>
            <w:gridSpan w:val="6"/>
            <w:vAlign w:val="top"/>
          </w:tcPr>
          <w:p>
            <w:pPr>
              <w:pStyle w:val="64"/>
              <w:spacing w:before="234" w:line="227" w:lineRule="auto"/>
              <w:ind w:left="113"/>
              <w:rPr>
                <w:sz w:val="20"/>
                <w:szCs w:val="20"/>
              </w:rPr>
            </w:pPr>
            <w:r>
              <w:rPr>
                <w:spacing w:val="7"/>
                <w:sz w:val="20"/>
                <w:szCs w:val="20"/>
              </w:rPr>
              <w:t>报价说明：总价＝服务期限</w:t>
            </w:r>
            <w:r>
              <w:rPr>
                <w:rFonts w:ascii="Times New Roman" w:hAnsi="Times New Roman" w:eastAsia="Times New Roman" w:cs="Times New Roman"/>
                <w:spacing w:val="7"/>
                <w:sz w:val="20"/>
                <w:szCs w:val="20"/>
              </w:rPr>
              <w:t>*</w:t>
            </w:r>
            <w:r>
              <w:rPr>
                <w:rFonts w:ascii="Times New Roman" w:hAnsi="Times New Roman" w:eastAsia="Times New Roman" w:cs="Times New Roman"/>
                <w:spacing w:val="-13"/>
                <w:sz w:val="20"/>
                <w:szCs w:val="20"/>
              </w:rPr>
              <w:t xml:space="preserve"> </w:t>
            </w:r>
            <w:r>
              <w:rPr>
                <w:spacing w:val="7"/>
                <w:sz w:val="20"/>
                <w:szCs w:val="20"/>
              </w:rPr>
              <w:t>岗位数</w:t>
            </w:r>
            <w:r>
              <w:rPr>
                <w:rFonts w:ascii="Times New Roman" w:hAnsi="Times New Roman" w:eastAsia="Times New Roman" w:cs="Times New Roman"/>
                <w:spacing w:val="7"/>
                <w:sz w:val="20"/>
                <w:szCs w:val="20"/>
              </w:rPr>
              <w:t>*</w:t>
            </w:r>
            <w:r>
              <w:rPr>
                <w:spacing w:val="7"/>
                <w:sz w:val="20"/>
                <w:szCs w:val="20"/>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9341" w:type="dxa"/>
            <w:gridSpan w:val="6"/>
            <w:vAlign w:val="top"/>
          </w:tcPr>
          <w:p>
            <w:pPr>
              <w:pStyle w:val="64"/>
              <w:spacing w:before="266" w:line="227" w:lineRule="auto"/>
              <w:ind w:left="115"/>
              <w:rPr>
                <w:sz w:val="20"/>
                <w:szCs w:val="20"/>
              </w:rPr>
            </w:pPr>
            <w:r>
              <w:rPr>
                <w:spacing w:val="5"/>
                <w:sz w:val="20"/>
                <w:szCs w:val="20"/>
              </w:rPr>
              <w:t>合计人民币（总价</w:t>
            </w:r>
            <w:r>
              <w:rPr>
                <w:spacing w:val="20"/>
                <w:sz w:val="20"/>
                <w:szCs w:val="20"/>
              </w:rPr>
              <w:t>）：</w:t>
            </w:r>
            <w:r>
              <w:rPr>
                <w:spacing w:val="5"/>
                <w:sz w:val="20"/>
                <w:szCs w:val="20"/>
              </w:rPr>
              <w:t>大写：</w:t>
            </w:r>
            <w:r>
              <w:rPr>
                <w:spacing w:val="1"/>
                <w:sz w:val="20"/>
                <w:szCs w:val="20"/>
              </w:rPr>
              <w:t xml:space="preserve">                       </w:t>
            </w:r>
            <w:r>
              <w:rPr>
                <w:spacing w:val="5"/>
                <w:sz w:val="20"/>
                <w:szCs w:val="20"/>
              </w:rPr>
              <w:t>小写：</w:t>
            </w:r>
          </w:p>
          <w:p>
            <w:pPr>
              <w:pStyle w:val="64"/>
              <w:spacing w:before="162" w:line="227" w:lineRule="auto"/>
              <w:ind w:left="5887"/>
              <w:rPr>
                <w:sz w:val="20"/>
                <w:szCs w:val="20"/>
              </w:rPr>
            </w:pPr>
            <w:r>
              <w:rPr>
                <w:spacing w:val="8"/>
                <w:sz w:val="20"/>
                <w:szCs w:val="20"/>
              </w:rPr>
              <w:t>（商务报价小数点后保留两位小数）</w:t>
            </w:r>
          </w:p>
        </w:tc>
      </w:tr>
    </w:tbl>
    <w:p>
      <w:pPr>
        <w:pStyle w:val="10"/>
        <w:spacing w:line="428" w:lineRule="auto"/>
      </w:pPr>
    </w:p>
    <w:p>
      <w:pPr>
        <w:spacing w:before="65" w:line="239" w:lineRule="auto"/>
        <w:ind w:left="225" w:right="12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填报要求：</w:t>
      </w:r>
      <w:r>
        <w:rPr>
          <w:rFonts w:ascii="宋体" w:hAnsi="宋体" w:eastAsia="宋体" w:cs="宋体"/>
          <w:spacing w:val="9"/>
          <w:sz w:val="20"/>
          <w:szCs w:val="20"/>
        </w:rPr>
        <w:t>投标报价包括本项目采购需求和投入使用的所有费用，包括但不限于主件、标准附件、</w:t>
      </w:r>
      <w:r>
        <w:rPr>
          <w:rFonts w:ascii="宋体" w:hAnsi="宋体" w:eastAsia="宋体" w:cs="宋体"/>
          <w:spacing w:val="5"/>
          <w:sz w:val="20"/>
          <w:szCs w:val="20"/>
        </w:rPr>
        <w:t xml:space="preserve"> </w:t>
      </w:r>
      <w:r>
        <w:rPr>
          <w:rFonts w:ascii="宋体" w:hAnsi="宋体" w:eastAsia="宋体" w:cs="宋体"/>
          <w:spacing w:val="9"/>
          <w:sz w:val="20"/>
          <w:szCs w:val="20"/>
        </w:rPr>
        <w:t>备品备件、施工、服务、专用工具、安装、调试、检验、培训、运输、保险、税款等。</w:t>
      </w:r>
    </w:p>
    <w:p>
      <w:pPr>
        <w:pStyle w:val="10"/>
        <w:spacing w:line="251" w:lineRule="auto"/>
      </w:pPr>
    </w:p>
    <w:p>
      <w:pPr>
        <w:pStyle w:val="10"/>
        <w:spacing w:line="252" w:lineRule="auto"/>
      </w:pPr>
    </w:p>
    <w:p>
      <w:pPr>
        <w:spacing w:before="79" w:line="219" w:lineRule="auto"/>
        <w:ind w:left="647"/>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p>
    <w:p>
      <w:pPr>
        <w:pStyle w:val="10"/>
        <w:spacing w:line="283" w:lineRule="auto"/>
      </w:pPr>
    </w:p>
    <w:p>
      <w:pPr>
        <w:pStyle w:val="10"/>
        <w:spacing w:line="283" w:lineRule="auto"/>
      </w:pPr>
    </w:p>
    <w:p>
      <w:pPr>
        <w:spacing w:before="78" w:line="219" w:lineRule="auto"/>
        <w:ind w:left="661"/>
        <w:rPr>
          <w:rFonts w:ascii="宋体" w:hAnsi="宋体" w:eastAsia="宋体" w:cs="宋体"/>
          <w:sz w:val="24"/>
          <w:szCs w:val="24"/>
        </w:rPr>
      </w:pPr>
      <w:r>
        <w:rPr>
          <w:rFonts w:ascii="宋体" w:hAnsi="宋体" w:eastAsia="宋体" w:cs="宋体"/>
          <w:spacing w:val="-2"/>
          <w:sz w:val="24"/>
          <w:szCs w:val="24"/>
        </w:rPr>
        <w:t>投标人代表签字：</w:t>
      </w:r>
    </w:p>
    <w:p>
      <w:pPr>
        <w:spacing w:before="84"/>
      </w:pPr>
    </w:p>
    <w:p>
      <w:pPr>
        <w:spacing w:before="78" w:line="360" w:lineRule="auto"/>
        <w:ind w:left="445" w:firstLine="224" w:firstLineChars="100"/>
        <w:rPr>
          <w:rFonts w:ascii="宋体" w:hAnsi="宋体" w:eastAsia="宋体" w:cs="宋体"/>
          <w:sz w:val="24"/>
          <w:szCs w:val="24"/>
        </w:rPr>
      </w:pPr>
      <w:r>
        <w:rPr>
          <w:rFonts w:ascii="宋体" w:hAnsi="宋体" w:eastAsia="宋体" w:cs="宋体"/>
          <w:spacing w:val="-8"/>
          <w:position w:val="29"/>
          <w:sz w:val="24"/>
          <w:szCs w:val="24"/>
        </w:rPr>
        <w:t>职</w:t>
      </w:r>
      <w:r>
        <w:rPr>
          <w:rFonts w:ascii="宋体" w:hAnsi="宋体" w:eastAsia="宋体" w:cs="宋体"/>
          <w:spacing w:val="1"/>
          <w:position w:val="29"/>
          <w:sz w:val="24"/>
          <w:szCs w:val="24"/>
        </w:rPr>
        <w:t xml:space="preserve">        </w:t>
      </w:r>
      <w:r>
        <w:rPr>
          <w:rFonts w:ascii="宋体" w:hAnsi="宋体" w:eastAsia="宋体" w:cs="宋体"/>
          <w:spacing w:val="-8"/>
          <w:position w:val="29"/>
          <w:sz w:val="24"/>
          <w:szCs w:val="24"/>
        </w:rPr>
        <w:t>务：</w:t>
      </w:r>
    </w:p>
    <w:p>
      <w:pPr>
        <w:spacing w:line="360" w:lineRule="auto"/>
        <w:ind w:left="485" w:firstLine="198" w:firstLineChars="100"/>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
          <w:sz w:val="24"/>
          <w:szCs w:val="24"/>
        </w:rPr>
        <w:t xml:space="preserve">        </w:t>
      </w:r>
      <w:r>
        <w:rPr>
          <w:rFonts w:ascii="宋体" w:hAnsi="宋体" w:eastAsia="宋体" w:cs="宋体"/>
          <w:spacing w:val="-21"/>
          <w:sz w:val="24"/>
          <w:szCs w:val="24"/>
        </w:rPr>
        <w:t>期：</w:t>
      </w:r>
    </w:p>
    <w:p>
      <w:pPr>
        <w:spacing w:line="360" w:lineRule="auto"/>
        <w:rPr>
          <w:rFonts w:ascii="宋体" w:hAnsi="宋体" w:eastAsia="宋体" w:cs="宋体"/>
          <w:sz w:val="24"/>
          <w:szCs w:val="24"/>
        </w:rPr>
        <w:sectPr>
          <w:type w:val="continuous"/>
          <w:pgSz w:w="11906" w:h="16839"/>
          <w:pgMar w:top="1066" w:right="1392" w:bottom="1010" w:left="1418" w:header="878" w:footer="847" w:gutter="0"/>
          <w:cols w:equalWidth="0" w:num="1">
            <w:col w:w="9096"/>
          </w:cols>
        </w:sectPr>
      </w:pPr>
    </w:p>
    <w:p>
      <w:pPr>
        <w:pStyle w:val="2"/>
      </w:pPr>
    </w:p>
    <w:p>
      <w:pPr>
        <w:spacing w:before="83"/>
      </w:pPr>
    </w:p>
    <w:p>
      <w:pPr>
        <w:pStyle w:val="10"/>
        <w:spacing w:line="14" w:lineRule="auto"/>
        <w:rPr>
          <w:sz w:val="2"/>
        </w:rPr>
      </w:pPr>
    </w:p>
    <w:p>
      <w:pPr>
        <w:spacing w:line="14" w:lineRule="auto"/>
        <w:rPr>
          <w:sz w:val="2"/>
          <w:szCs w:val="2"/>
        </w:rPr>
        <w:sectPr>
          <w:type w:val="continuous"/>
          <w:pgSz w:w="11906" w:h="16839"/>
          <w:pgMar w:top="1066" w:right="1356" w:bottom="1010" w:left="1203" w:header="878" w:footer="847" w:gutter="0"/>
          <w:cols w:equalWidth="0" w:num="1">
            <w:col w:w="9347"/>
          </w:cols>
        </w:sectPr>
      </w:pPr>
    </w:p>
    <w:p>
      <w:pPr>
        <w:pStyle w:val="10"/>
        <w:spacing w:line="290" w:lineRule="auto"/>
      </w:pPr>
    </w:p>
    <w:p>
      <w:pPr>
        <w:pStyle w:val="10"/>
        <w:spacing w:line="291" w:lineRule="auto"/>
      </w:pPr>
    </w:p>
    <w:p>
      <w:pPr>
        <w:spacing w:before="91" w:line="220" w:lineRule="auto"/>
        <w:ind w:left="33"/>
        <w:rPr>
          <w:rFonts w:ascii="宋体" w:hAnsi="宋体" w:eastAsia="宋体" w:cs="宋体"/>
          <w:sz w:val="28"/>
          <w:szCs w:val="28"/>
        </w:rPr>
      </w:pPr>
      <w:r>
        <w:rPr>
          <w:rFonts w:ascii="宋体" w:hAnsi="宋体" w:eastAsia="宋体" w:cs="宋体"/>
          <w:spacing w:val="-16"/>
          <w:sz w:val="28"/>
          <w:szCs w:val="28"/>
          <w14:textOutline w14:w="5103" w14:cap="sq" w14:cmpd="sng">
            <w14:solidFill>
              <w14:srgbClr w14:val="000000"/>
            </w14:solidFill>
            <w14:prstDash w14:val="solid"/>
            <w14:bevel/>
          </w14:textOutline>
        </w:rPr>
        <w:t>附件</w:t>
      </w:r>
      <w:r>
        <w:rPr>
          <w:rFonts w:ascii="宋体" w:hAnsi="宋体" w:eastAsia="宋体" w:cs="宋体"/>
          <w:spacing w:val="-37"/>
          <w:sz w:val="28"/>
          <w:szCs w:val="28"/>
        </w:rPr>
        <w:t xml:space="preserve"> </w:t>
      </w:r>
      <w:r>
        <w:rPr>
          <w:rFonts w:ascii="宋体" w:hAnsi="宋体" w:eastAsia="宋体" w:cs="宋体"/>
          <w:spacing w:val="-16"/>
          <w:sz w:val="28"/>
          <w:szCs w:val="28"/>
          <w14:textOutline w14:w="5103" w14:cap="sq" w14:cmpd="sng">
            <w14:solidFill>
              <w14:srgbClr w14:val="000000"/>
            </w14:solidFill>
            <w14:prstDash w14:val="solid"/>
            <w14:bevel/>
          </w14:textOutline>
        </w:rPr>
        <w:t>14</w:t>
      </w:r>
    </w:p>
    <w:p>
      <w:pPr>
        <w:spacing w:before="219" w:line="224" w:lineRule="auto"/>
        <w:ind w:left="3967"/>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报价明细表</w:t>
      </w:r>
    </w:p>
    <w:p>
      <w:pPr>
        <w:spacing w:line="200" w:lineRule="exact"/>
      </w:pPr>
    </w:p>
    <w:p>
      <w:pPr>
        <w:spacing w:line="200" w:lineRule="exact"/>
        <w:sectPr>
          <w:headerReference r:id="rId9" w:type="default"/>
          <w:footerReference r:id="rId10" w:type="default"/>
          <w:pgSz w:w="11906" w:h="16839"/>
          <w:pgMar w:top="1066" w:right="1392" w:bottom="1010" w:left="1418" w:header="878" w:footer="847" w:gutter="0"/>
          <w:cols w:equalWidth="0" w:num="1">
            <w:col w:w="9096"/>
          </w:cols>
        </w:sectPr>
      </w:pPr>
    </w:p>
    <w:p>
      <w:pPr>
        <w:spacing w:before="48" w:line="234" w:lineRule="auto"/>
        <w:ind w:left="493"/>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项目编号：</w:t>
      </w:r>
    </w:p>
    <w:p>
      <w:pPr>
        <w:spacing w:line="185" w:lineRule="auto"/>
        <w:ind w:left="493"/>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项目名称：</w:t>
      </w:r>
    </w:p>
    <w:p>
      <w:pPr>
        <w:pStyle w:val="10"/>
        <w:spacing w:line="14" w:lineRule="auto"/>
        <w:rPr>
          <w:sz w:val="2"/>
        </w:rPr>
      </w:pPr>
      <w:r>
        <w:rPr>
          <w:sz w:val="2"/>
          <w:szCs w:val="2"/>
        </w:rPr>
        <w:br w:type="column"/>
      </w:r>
    </w:p>
    <w:p>
      <w:pPr>
        <w:pStyle w:val="10"/>
        <w:spacing w:line="272" w:lineRule="auto"/>
      </w:pPr>
    </w:p>
    <w:p>
      <w:pPr>
        <w:spacing w:before="78" w:line="185" w:lineRule="auto"/>
        <w:rPr>
          <w:rFonts w:ascii="宋体" w:hAnsi="宋体" w:eastAsia="宋体" w:cs="宋体"/>
          <w:sz w:val="24"/>
          <w:szCs w:val="24"/>
        </w:rPr>
      </w:pPr>
      <w:r>
        <w:rPr>
          <w:rFonts w:ascii="宋体" w:hAnsi="宋体" w:eastAsia="宋体" w:cs="宋体"/>
          <w:spacing w:val="-5"/>
          <w:sz w:val="24"/>
          <w:szCs w:val="24"/>
        </w:rPr>
        <w:t>[货币单位：人民币元]</w:t>
      </w:r>
    </w:p>
    <w:p>
      <w:pPr>
        <w:spacing w:line="185" w:lineRule="auto"/>
        <w:rPr>
          <w:rFonts w:ascii="宋体" w:hAnsi="宋体" w:eastAsia="宋体" w:cs="宋体"/>
          <w:sz w:val="24"/>
          <w:szCs w:val="24"/>
        </w:rPr>
        <w:sectPr>
          <w:type w:val="continuous"/>
          <w:pgSz w:w="11906" w:h="16839"/>
          <w:pgMar w:top="1066" w:right="1392" w:bottom="1010" w:left="1418" w:header="878" w:footer="847" w:gutter="0"/>
          <w:cols w:equalWidth="0" w:num="2">
            <w:col w:w="6070" w:space="100"/>
            <w:col w:w="2926"/>
          </w:cols>
        </w:sectPr>
      </w:pPr>
    </w:p>
    <w:p>
      <w:pPr>
        <w:spacing w:line="189" w:lineRule="exact"/>
      </w:pPr>
    </w:p>
    <w:tbl>
      <w:tblPr>
        <w:tblStyle w:val="65"/>
        <w:tblW w:w="8648"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915"/>
        <w:gridCol w:w="1391"/>
        <w:gridCol w:w="1367"/>
        <w:gridCol w:w="1467"/>
        <w:gridCol w:w="18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08" w:type="dxa"/>
            <w:vAlign w:val="top"/>
          </w:tcPr>
          <w:p>
            <w:pPr>
              <w:pStyle w:val="64"/>
              <w:spacing w:before="195" w:line="222" w:lineRule="auto"/>
              <w:ind w:left="118"/>
            </w:pPr>
            <w:r>
              <w:rPr>
                <w:spacing w:val="-5"/>
                <w14:textOutline w14:w="4358" w14:cap="sq" w14:cmpd="sng">
                  <w14:solidFill>
                    <w14:srgbClr w14:val="000000"/>
                  </w14:solidFill>
                  <w14:prstDash w14:val="solid"/>
                  <w14:bevel/>
                </w14:textOutline>
              </w:rPr>
              <w:t>序号</w:t>
            </w:r>
          </w:p>
        </w:tc>
        <w:tc>
          <w:tcPr>
            <w:tcW w:w="1915" w:type="dxa"/>
            <w:vAlign w:val="top"/>
          </w:tcPr>
          <w:p>
            <w:pPr>
              <w:pStyle w:val="64"/>
              <w:spacing w:before="195" w:line="222" w:lineRule="auto"/>
              <w:ind w:left="724"/>
            </w:pPr>
            <w:r>
              <w:rPr>
                <w:spacing w:val="-7"/>
                <w14:textOutline w14:w="4358" w14:cap="sq" w14:cmpd="sng">
                  <w14:solidFill>
                    <w14:srgbClr w14:val="000000"/>
                  </w14:solidFill>
                  <w14:prstDash w14:val="solid"/>
                  <w14:bevel/>
                </w14:textOutline>
              </w:rPr>
              <w:t>名称</w:t>
            </w:r>
          </w:p>
        </w:tc>
        <w:tc>
          <w:tcPr>
            <w:tcW w:w="1391" w:type="dxa"/>
            <w:vAlign w:val="top"/>
          </w:tcPr>
          <w:p>
            <w:pPr>
              <w:pStyle w:val="64"/>
              <w:spacing w:before="25" w:line="208" w:lineRule="auto"/>
              <w:ind w:left="418"/>
            </w:pPr>
            <w:r>
              <w:rPr>
                <w:spacing w:val="-6"/>
                <w14:textOutline w14:w="4358" w14:cap="sq" w14:cmpd="sng">
                  <w14:solidFill>
                    <w14:srgbClr w14:val="000000"/>
                  </w14:solidFill>
                  <w14:prstDash w14:val="solid"/>
                  <w14:bevel/>
                </w14:textOutline>
              </w:rPr>
              <w:t>价</w:t>
            </w:r>
            <w:bookmarkStart w:id="86" w:name="_GoBack"/>
            <w:bookmarkEnd w:id="86"/>
            <w:r>
              <w:rPr>
                <w:spacing w:val="-6"/>
                <w14:textOutline w14:w="4358" w14:cap="sq" w14:cmpd="sng">
                  <w14:solidFill>
                    <w14:srgbClr w14:val="000000"/>
                  </w14:solidFill>
                  <w14:prstDash w14:val="solid"/>
                  <w14:bevel/>
                </w14:textOutline>
              </w:rPr>
              <w:t>格</w:t>
            </w:r>
          </w:p>
        </w:tc>
        <w:tc>
          <w:tcPr>
            <w:tcW w:w="1367" w:type="dxa"/>
            <w:tcBorders>
              <w:left w:val="single" w:color="auto" w:sz="4" w:space="0"/>
            </w:tcBorders>
            <w:vAlign w:val="top"/>
          </w:tcPr>
          <w:p>
            <w:pPr>
              <w:pStyle w:val="64"/>
              <w:spacing w:before="195" w:line="222" w:lineRule="auto"/>
              <w:ind w:left="188"/>
              <w:rPr>
                <w:spacing w:val="-8"/>
                <w14:textOutline w14:w="4358" w14:cap="sq" w14:cmpd="sng">
                  <w14:solidFill>
                    <w14:srgbClr w14:val="000000"/>
                  </w14:solidFill>
                  <w14:prstDash w14:val="solid"/>
                  <w14:bevel/>
                </w14:textOutline>
              </w:rPr>
            </w:pPr>
            <w:r>
              <w:rPr>
                <w:spacing w:val="-6"/>
                <w14:textOutline w14:w="4358" w14:cap="sq" w14:cmpd="sng">
                  <w14:solidFill>
                    <w14:srgbClr w14:val="000000"/>
                  </w14:solidFill>
                  <w14:prstDash w14:val="solid"/>
                  <w14:bevel/>
                </w14:textOutline>
              </w:rPr>
              <w:t>价格</w:t>
            </w:r>
            <w:r>
              <w:rPr>
                <w:spacing w:val="-8"/>
                <w14:textOutline w14:w="4358" w14:cap="sq" w14:cmpd="sng">
                  <w14:solidFill>
                    <w14:srgbClr w14:val="000000"/>
                  </w14:solidFill>
                  <w14:prstDash w14:val="solid"/>
                  <w14:bevel/>
                </w14:textOutline>
              </w:rPr>
              <w:t>小计</w:t>
            </w:r>
          </w:p>
        </w:tc>
        <w:tc>
          <w:tcPr>
            <w:tcW w:w="1467" w:type="dxa"/>
            <w:vAlign w:val="top"/>
          </w:tcPr>
          <w:p>
            <w:pPr>
              <w:pStyle w:val="64"/>
              <w:spacing w:before="39"/>
              <w:ind w:left="309"/>
            </w:pPr>
            <w:r>
              <w:rPr>
                <w:spacing w:val="-8"/>
                <w14:textOutline w14:w="4358" w14:cap="sq" w14:cmpd="sng">
                  <w14:solidFill>
                    <w14:srgbClr w14:val="000000"/>
                  </w14:solidFill>
                  <w14:prstDash w14:val="solid"/>
                  <w14:bevel/>
                </w14:textOutline>
              </w:rPr>
              <w:t>结算</w:t>
            </w:r>
            <w:r>
              <w:rPr>
                <w:spacing w:val="-6"/>
                <w14:textOutline w14:w="4358" w14:cap="sq" w14:cmpd="sng">
                  <w14:solidFill>
                    <w14:srgbClr w14:val="000000"/>
                  </w14:solidFill>
                  <w14:prstDash w14:val="solid"/>
                  <w14:bevel/>
                </w14:textOutline>
              </w:rPr>
              <w:t>方式</w:t>
            </w:r>
          </w:p>
        </w:tc>
        <w:tc>
          <w:tcPr>
            <w:tcW w:w="1800" w:type="dxa"/>
            <w:vAlign w:val="top"/>
          </w:tcPr>
          <w:p>
            <w:pPr>
              <w:pStyle w:val="64"/>
              <w:spacing w:before="195" w:line="222" w:lineRule="auto"/>
              <w:ind w:firstLine="226" w:firstLineChars="100"/>
            </w:pPr>
            <w:r>
              <w:rPr>
                <w:spacing w:val="-7"/>
                <w14:textOutline w14:w="435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pPr>
              <w:pStyle w:val="64"/>
              <w:spacing w:before="142" w:line="184" w:lineRule="auto"/>
              <w:ind w:left="319"/>
            </w:pPr>
            <w:r>
              <w:t>1</w:t>
            </w:r>
          </w:p>
        </w:tc>
        <w:tc>
          <w:tcPr>
            <w:tcW w:w="1915" w:type="dxa"/>
            <w:vAlign w:val="top"/>
          </w:tcPr>
          <w:p>
            <w:pPr>
              <w:pStyle w:val="64"/>
              <w:spacing w:before="60" w:line="230" w:lineRule="auto"/>
              <w:ind w:firstLine="480" w:firstLineChars="200"/>
              <w:jc w:val="both"/>
              <w:rPr>
                <w:rFonts w:hint="eastAsia" w:eastAsia="宋体"/>
                <w:lang w:eastAsia="zh-CN"/>
              </w:rPr>
            </w:pPr>
            <w:r>
              <w:rPr>
                <w:rFonts w:hint="eastAsia"/>
                <w:lang w:eastAsia="zh-CN"/>
              </w:rPr>
              <w:t>项目负责人</w:t>
            </w:r>
          </w:p>
        </w:tc>
        <w:tc>
          <w:tcPr>
            <w:tcW w:w="1391" w:type="dxa"/>
            <w:vAlign w:val="top"/>
          </w:tcPr>
          <w:p>
            <w:pPr>
              <w:rPr>
                <w:rFonts w:ascii="Arial"/>
                <w:sz w:val="21"/>
              </w:rPr>
            </w:pPr>
          </w:p>
        </w:tc>
        <w:tc>
          <w:tcPr>
            <w:tcW w:w="1367" w:type="dxa"/>
            <w:tcBorders>
              <w:left w:val="single" w:color="auto" w:sz="4" w:space="0"/>
            </w:tcBorders>
            <w:vAlign w:val="top"/>
          </w:tcPr>
          <w:p>
            <w:pPr>
              <w:rPr>
                <w:rFonts w:ascii="Arial"/>
                <w:sz w:val="21"/>
              </w:rPr>
            </w:pPr>
          </w:p>
        </w:tc>
        <w:tc>
          <w:tcPr>
            <w:tcW w:w="1467" w:type="dxa"/>
            <w:vAlign w:val="top"/>
          </w:tcPr>
          <w:p>
            <w:pPr>
              <w:rPr>
                <w:rFonts w:ascii="Arial"/>
                <w:sz w:val="21"/>
              </w:rPr>
            </w:pPr>
          </w:p>
        </w:tc>
        <w:tc>
          <w:tcPr>
            <w:tcW w:w="1800" w:type="dxa"/>
            <w:vAlign w:val="top"/>
          </w:tcPr>
          <w:p>
            <w:pPr>
              <w:pStyle w:val="64"/>
              <w:spacing w:before="105" w:line="220" w:lineRule="auto"/>
              <w:ind w:left="186"/>
            </w:pPr>
            <w:r>
              <w:rPr>
                <w:spacing w:val="-3"/>
              </w:rPr>
              <w:t>详见技术需求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08" w:type="dxa"/>
            <w:vAlign w:val="top"/>
          </w:tcPr>
          <w:p>
            <w:pPr>
              <w:pStyle w:val="64"/>
              <w:spacing w:before="119" w:line="183" w:lineRule="auto"/>
              <w:ind w:left="304"/>
            </w:pPr>
            <w:r>
              <w:t>2</w:t>
            </w:r>
          </w:p>
        </w:tc>
        <w:tc>
          <w:tcPr>
            <w:tcW w:w="1915" w:type="dxa"/>
            <w:vAlign w:val="top"/>
          </w:tcPr>
          <w:p>
            <w:pPr>
              <w:pStyle w:val="64"/>
              <w:spacing w:before="37" w:line="221" w:lineRule="auto"/>
              <w:ind w:left="485" w:leftChars="0"/>
              <w:jc w:val="both"/>
              <w:rPr>
                <w:rFonts w:hint="eastAsia" w:ascii="宋体" w:hAnsi="宋体" w:eastAsia="宋体" w:cs="宋体"/>
                <w:snapToGrid w:val="0"/>
                <w:color w:val="000000"/>
                <w:kern w:val="0"/>
                <w:sz w:val="24"/>
                <w:szCs w:val="24"/>
                <w:lang w:val="en-US" w:eastAsia="zh-CN" w:bidi="ar-SA"/>
              </w:rPr>
            </w:pPr>
            <w:r>
              <w:rPr>
                <w:rFonts w:hint="eastAsia"/>
                <w:spacing w:val="-3"/>
                <w:lang w:eastAsia="zh-CN"/>
              </w:rPr>
              <w:t>安保</w:t>
            </w:r>
            <w:r>
              <w:rPr>
                <w:spacing w:val="-3"/>
              </w:rPr>
              <w:t>人员</w:t>
            </w:r>
          </w:p>
        </w:tc>
        <w:tc>
          <w:tcPr>
            <w:tcW w:w="1391" w:type="dxa"/>
            <w:vAlign w:val="top"/>
          </w:tcPr>
          <w:p>
            <w:pPr>
              <w:rPr>
                <w:rFonts w:ascii="Arial"/>
                <w:sz w:val="21"/>
              </w:rPr>
            </w:pPr>
          </w:p>
        </w:tc>
        <w:tc>
          <w:tcPr>
            <w:tcW w:w="1367" w:type="dxa"/>
            <w:tcBorders>
              <w:left w:val="single" w:color="auto" w:sz="4" w:space="0"/>
            </w:tcBorders>
            <w:vAlign w:val="top"/>
          </w:tcPr>
          <w:p>
            <w:pPr>
              <w:rPr>
                <w:rFonts w:ascii="Arial"/>
                <w:sz w:val="21"/>
              </w:rPr>
            </w:pPr>
          </w:p>
        </w:tc>
        <w:tc>
          <w:tcPr>
            <w:tcW w:w="1467" w:type="dxa"/>
            <w:vAlign w:val="top"/>
          </w:tcPr>
          <w:p>
            <w:pPr>
              <w:rPr>
                <w:rFonts w:ascii="Arial"/>
                <w:sz w:val="21"/>
              </w:rPr>
            </w:pPr>
          </w:p>
        </w:tc>
        <w:tc>
          <w:tcPr>
            <w:tcW w:w="1800" w:type="dxa"/>
            <w:vAlign w:val="top"/>
          </w:tcPr>
          <w:p>
            <w:pPr>
              <w:spacing w:before="52" w:line="213" w:lineRule="auto"/>
              <w:ind w:left="626"/>
              <w:rPr>
                <w:rFonts w:ascii="仿宋" w:hAnsi="仿宋" w:eastAsia="仿宋" w:cs="仿宋"/>
                <w:sz w:val="30"/>
                <w:szCs w:val="30"/>
              </w:rPr>
            </w:pPr>
            <w:r>
              <w:rPr>
                <w:rFonts w:ascii="仿宋" w:hAnsi="仿宋" w:eastAsia="仿宋" w:cs="仿宋"/>
                <w:spacing w:val="-16"/>
                <w:sz w:val="30"/>
                <w:szCs w:val="3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08" w:type="dxa"/>
            <w:vAlign w:val="top"/>
          </w:tcPr>
          <w:p>
            <w:pPr>
              <w:pStyle w:val="64"/>
              <w:spacing w:before="121" w:line="183" w:lineRule="auto"/>
              <w:ind w:left="306"/>
            </w:pPr>
            <w:r>
              <w:t>3</w:t>
            </w:r>
          </w:p>
        </w:tc>
        <w:tc>
          <w:tcPr>
            <w:tcW w:w="1915" w:type="dxa"/>
            <w:vAlign w:val="top"/>
          </w:tcPr>
          <w:p>
            <w:pPr>
              <w:pStyle w:val="64"/>
              <w:spacing w:before="38" w:line="221" w:lineRule="auto"/>
              <w:ind w:firstLine="642" w:firstLineChars="300"/>
              <w:jc w:val="both"/>
              <w:rPr>
                <w:rFonts w:ascii="宋体" w:hAnsi="宋体" w:eastAsia="宋体" w:cs="宋体"/>
                <w:snapToGrid w:val="0"/>
                <w:color w:val="000000"/>
                <w:kern w:val="0"/>
                <w:sz w:val="24"/>
                <w:szCs w:val="24"/>
                <w:lang w:val="en-US" w:eastAsia="en-US" w:bidi="ar-SA"/>
              </w:rPr>
            </w:pPr>
            <w:r>
              <w:rPr>
                <w:spacing w:val="-13"/>
              </w:rPr>
              <w:t>……</w:t>
            </w:r>
          </w:p>
        </w:tc>
        <w:tc>
          <w:tcPr>
            <w:tcW w:w="1391" w:type="dxa"/>
            <w:vAlign w:val="top"/>
          </w:tcPr>
          <w:p>
            <w:pPr>
              <w:rPr>
                <w:rFonts w:ascii="Arial"/>
                <w:sz w:val="21"/>
              </w:rPr>
            </w:pPr>
          </w:p>
        </w:tc>
        <w:tc>
          <w:tcPr>
            <w:tcW w:w="1367" w:type="dxa"/>
            <w:tcBorders>
              <w:left w:val="single" w:color="auto" w:sz="4" w:space="0"/>
            </w:tcBorders>
            <w:vAlign w:val="top"/>
          </w:tcPr>
          <w:p>
            <w:pPr>
              <w:rPr>
                <w:rFonts w:ascii="Arial"/>
                <w:sz w:val="21"/>
              </w:rPr>
            </w:pPr>
          </w:p>
        </w:tc>
        <w:tc>
          <w:tcPr>
            <w:tcW w:w="1467" w:type="dxa"/>
            <w:vAlign w:val="top"/>
          </w:tcPr>
          <w:p>
            <w:pPr>
              <w:rPr>
                <w:rFonts w:ascii="Arial"/>
                <w:sz w:val="21"/>
              </w:rPr>
            </w:pPr>
          </w:p>
        </w:tc>
        <w:tc>
          <w:tcPr>
            <w:tcW w:w="18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08" w:type="dxa"/>
            <w:vAlign w:val="top"/>
          </w:tcPr>
          <w:p>
            <w:pPr>
              <w:pStyle w:val="64"/>
              <w:spacing w:before="122" w:line="183" w:lineRule="auto"/>
              <w:ind w:left="300"/>
            </w:pPr>
            <w:r>
              <w:t>4</w:t>
            </w:r>
          </w:p>
        </w:tc>
        <w:tc>
          <w:tcPr>
            <w:tcW w:w="1915" w:type="dxa"/>
            <w:vAlign w:val="top"/>
          </w:tcPr>
          <w:p>
            <w:pPr>
              <w:pStyle w:val="64"/>
              <w:spacing w:before="40" w:line="221" w:lineRule="auto"/>
              <w:ind w:left="485" w:leftChars="0" w:firstLine="230" w:firstLineChars="100"/>
              <w:jc w:val="both"/>
              <w:rPr>
                <w:rFonts w:hint="eastAsia" w:ascii="宋体" w:hAnsi="宋体" w:eastAsia="宋体" w:cs="宋体"/>
                <w:snapToGrid w:val="0"/>
                <w:color w:val="000000"/>
                <w:kern w:val="0"/>
                <w:sz w:val="24"/>
                <w:szCs w:val="24"/>
                <w:lang w:val="en-US" w:eastAsia="zh-CN" w:bidi="ar-SA"/>
              </w:rPr>
            </w:pPr>
            <w:r>
              <w:rPr>
                <w:spacing w:val="-5"/>
              </w:rPr>
              <w:t>工作服</w:t>
            </w:r>
          </w:p>
        </w:tc>
        <w:tc>
          <w:tcPr>
            <w:tcW w:w="1391" w:type="dxa"/>
            <w:vAlign w:val="top"/>
          </w:tcPr>
          <w:p>
            <w:pPr>
              <w:rPr>
                <w:rFonts w:ascii="Arial"/>
                <w:sz w:val="21"/>
              </w:rPr>
            </w:pPr>
          </w:p>
        </w:tc>
        <w:tc>
          <w:tcPr>
            <w:tcW w:w="1367" w:type="dxa"/>
            <w:tcBorders>
              <w:left w:val="single" w:color="auto" w:sz="4" w:space="0"/>
            </w:tcBorders>
            <w:vAlign w:val="top"/>
          </w:tcPr>
          <w:p>
            <w:pPr>
              <w:rPr>
                <w:rFonts w:ascii="Arial"/>
                <w:sz w:val="21"/>
              </w:rPr>
            </w:pPr>
          </w:p>
        </w:tc>
        <w:tc>
          <w:tcPr>
            <w:tcW w:w="1467" w:type="dxa"/>
            <w:vAlign w:val="top"/>
          </w:tcPr>
          <w:p>
            <w:pPr>
              <w:rPr>
                <w:rFonts w:ascii="Arial"/>
                <w:sz w:val="21"/>
              </w:rPr>
            </w:pPr>
          </w:p>
        </w:tc>
        <w:tc>
          <w:tcPr>
            <w:tcW w:w="18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08" w:type="dxa"/>
            <w:vAlign w:val="top"/>
          </w:tcPr>
          <w:p>
            <w:pPr>
              <w:pStyle w:val="64"/>
              <w:spacing w:before="125" w:line="182" w:lineRule="auto"/>
              <w:ind w:left="306"/>
            </w:pPr>
            <w:r>
              <w:t>5</w:t>
            </w:r>
          </w:p>
        </w:tc>
        <w:tc>
          <w:tcPr>
            <w:tcW w:w="1915" w:type="dxa"/>
            <w:vAlign w:val="top"/>
          </w:tcPr>
          <w:p>
            <w:pPr>
              <w:pStyle w:val="64"/>
              <w:spacing w:before="38" w:line="221" w:lineRule="auto"/>
              <w:jc w:val="both"/>
              <w:rPr>
                <w:rFonts w:hint="eastAsia" w:ascii="宋体" w:hAnsi="宋体"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安保器械、工具</w:t>
            </w:r>
          </w:p>
        </w:tc>
        <w:tc>
          <w:tcPr>
            <w:tcW w:w="1391" w:type="dxa"/>
            <w:vAlign w:val="top"/>
          </w:tcPr>
          <w:p>
            <w:pPr>
              <w:rPr>
                <w:rFonts w:hint="default" w:ascii="Arial" w:eastAsia="宋体"/>
                <w:sz w:val="21"/>
                <w:lang w:val="en-US" w:eastAsia="zh-CN"/>
              </w:rPr>
            </w:pPr>
            <w:r>
              <w:rPr>
                <w:rFonts w:hint="eastAsia" w:eastAsia="宋体"/>
                <w:sz w:val="21"/>
                <w:lang w:val="en-US" w:eastAsia="zh-CN"/>
              </w:rPr>
              <w:t xml:space="preserve">  </w:t>
            </w:r>
          </w:p>
        </w:tc>
        <w:tc>
          <w:tcPr>
            <w:tcW w:w="1367" w:type="dxa"/>
            <w:tcBorders>
              <w:left w:val="single" w:color="auto" w:sz="4" w:space="0"/>
            </w:tcBorders>
            <w:vAlign w:val="top"/>
          </w:tcPr>
          <w:p>
            <w:pPr>
              <w:rPr>
                <w:rFonts w:ascii="Arial"/>
                <w:sz w:val="21"/>
              </w:rPr>
            </w:pPr>
          </w:p>
        </w:tc>
        <w:tc>
          <w:tcPr>
            <w:tcW w:w="1467" w:type="dxa"/>
            <w:vAlign w:val="top"/>
          </w:tcPr>
          <w:p>
            <w:pPr>
              <w:rPr>
                <w:rFonts w:ascii="Arial"/>
                <w:sz w:val="21"/>
              </w:rPr>
            </w:pPr>
          </w:p>
        </w:tc>
        <w:tc>
          <w:tcPr>
            <w:tcW w:w="18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08" w:type="dxa"/>
            <w:vAlign w:val="top"/>
          </w:tcPr>
          <w:p>
            <w:pPr>
              <w:pStyle w:val="64"/>
              <w:spacing w:before="125" w:line="183" w:lineRule="auto"/>
              <w:ind w:left="303"/>
            </w:pPr>
            <w:r>
              <w:t>6</w:t>
            </w:r>
          </w:p>
        </w:tc>
        <w:tc>
          <w:tcPr>
            <w:tcW w:w="1915" w:type="dxa"/>
            <w:vAlign w:val="top"/>
          </w:tcPr>
          <w:p>
            <w:pPr>
              <w:pStyle w:val="64"/>
              <w:spacing w:before="39" w:line="205" w:lineRule="auto"/>
              <w:ind w:left="607" w:leftChars="0"/>
              <w:rPr>
                <w:rFonts w:ascii="宋体" w:hAnsi="宋体" w:eastAsia="宋体" w:cs="宋体"/>
                <w:snapToGrid w:val="0"/>
                <w:color w:val="000000"/>
                <w:kern w:val="0"/>
                <w:sz w:val="24"/>
                <w:szCs w:val="24"/>
                <w:lang w:val="en-US" w:eastAsia="en-US" w:bidi="ar-SA"/>
              </w:rPr>
            </w:pPr>
            <w:r>
              <w:rPr>
                <w:spacing w:val="-4"/>
              </w:rPr>
              <w:t>劳保用品</w:t>
            </w:r>
          </w:p>
        </w:tc>
        <w:tc>
          <w:tcPr>
            <w:tcW w:w="1391" w:type="dxa"/>
            <w:vAlign w:val="top"/>
          </w:tcPr>
          <w:p>
            <w:pPr>
              <w:rPr>
                <w:rFonts w:ascii="Arial"/>
                <w:sz w:val="21"/>
              </w:rPr>
            </w:pPr>
          </w:p>
        </w:tc>
        <w:tc>
          <w:tcPr>
            <w:tcW w:w="1367" w:type="dxa"/>
            <w:tcBorders>
              <w:left w:val="single" w:color="auto" w:sz="4" w:space="0"/>
            </w:tcBorders>
            <w:vAlign w:val="top"/>
          </w:tcPr>
          <w:p>
            <w:pPr>
              <w:rPr>
                <w:rFonts w:ascii="Arial"/>
                <w:sz w:val="21"/>
              </w:rPr>
            </w:pPr>
          </w:p>
        </w:tc>
        <w:tc>
          <w:tcPr>
            <w:tcW w:w="1467" w:type="dxa"/>
            <w:vAlign w:val="top"/>
          </w:tcPr>
          <w:p>
            <w:pPr>
              <w:rPr>
                <w:rFonts w:ascii="Arial"/>
                <w:sz w:val="21"/>
              </w:rPr>
            </w:pPr>
          </w:p>
        </w:tc>
        <w:tc>
          <w:tcPr>
            <w:tcW w:w="1800" w:type="dxa"/>
            <w:vAlign w:val="top"/>
          </w:tcPr>
          <w:p>
            <w:pPr>
              <w:ind w:firstLine="204" w:firstLineChars="100"/>
              <w:rPr>
                <w:rFonts w:ascii="Arial"/>
                <w:sz w:val="21"/>
              </w:rPr>
            </w:pPr>
            <w:r>
              <w:rPr>
                <w:spacing w:val="-3"/>
              </w:rPr>
              <w:t>详见技术需求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8" w:type="dxa"/>
            <w:vAlign w:val="top"/>
          </w:tcPr>
          <w:p>
            <w:pPr>
              <w:pStyle w:val="64"/>
              <w:spacing w:before="77" w:line="176" w:lineRule="auto"/>
              <w:ind w:left="259"/>
              <w:rPr>
                <w:rFonts w:hint="eastAsia" w:eastAsia="宋体"/>
                <w:lang w:eastAsia="zh-CN"/>
              </w:rPr>
            </w:pPr>
            <w:r>
              <w:rPr>
                <w:rFonts w:hint="eastAsia"/>
                <w:spacing w:val="-14"/>
                <w:lang w:val="en-US" w:eastAsia="zh-CN"/>
              </w:rPr>
              <w:t>7</w:t>
            </w:r>
          </w:p>
        </w:tc>
        <w:tc>
          <w:tcPr>
            <w:tcW w:w="1915" w:type="dxa"/>
            <w:vAlign w:val="top"/>
          </w:tcPr>
          <w:p>
            <w:pPr>
              <w:pStyle w:val="64"/>
              <w:spacing w:before="42" w:line="203" w:lineRule="auto"/>
              <w:ind w:left="739" w:leftChars="0"/>
              <w:rPr>
                <w:rFonts w:ascii="宋体" w:hAnsi="宋体" w:eastAsia="宋体" w:cs="宋体"/>
                <w:snapToGrid w:val="0"/>
                <w:color w:val="000000"/>
                <w:kern w:val="0"/>
                <w:sz w:val="24"/>
                <w:szCs w:val="24"/>
                <w:lang w:val="en-US" w:eastAsia="en-US" w:bidi="ar-SA"/>
              </w:rPr>
            </w:pPr>
            <w:r>
              <w:rPr>
                <w:spacing w:val="-13"/>
              </w:rPr>
              <w:t>……</w:t>
            </w:r>
          </w:p>
        </w:tc>
        <w:tc>
          <w:tcPr>
            <w:tcW w:w="1391" w:type="dxa"/>
            <w:vAlign w:val="top"/>
          </w:tcPr>
          <w:p>
            <w:pPr>
              <w:rPr>
                <w:rFonts w:ascii="Arial"/>
                <w:sz w:val="21"/>
              </w:rPr>
            </w:pPr>
          </w:p>
        </w:tc>
        <w:tc>
          <w:tcPr>
            <w:tcW w:w="1367" w:type="dxa"/>
            <w:tcBorders>
              <w:left w:val="single" w:color="auto" w:sz="4" w:space="0"/>
            </w:tcBorders>
            <w:vAlign w:val="top"/>
          </w:tcPr>
          <w:p>
            <w:pPr>
              <w:rPr>
                <w:rFonts w:ascii="Arial"/>
                <w:sz w:val="21"/>
              </w:rPr>
            </w:pPr>
          </w:p>
        </w:tc>
        <w:tc>
          <w:tcPr>
            <w:tcW w:w="1467" w:type="dxa"/>
            <w:vAlign w:val="top"/>
          </w:tcPr>
          <w:p>
            <w:pPr>
              <w:rPr>
                <w:rFonts w:ascii="Arial"/>
                <w:sz w:val="21"/>
              </w:rPr>
            </w:pPr>
          </w:p>
        </w:tc>
        <w:tc>
          <w:tcPr>
            <w:tcW w:w="1800" w:type="dxa"/>
            <w:vAlign w:val="top"/>
          </w:tcPr>
          <w:p>
            <w:pPr>
              <w:pStyle w:val="64"/>
              <w:spacing w:before="39" w:line="205" w:lineRule="auto"/>
              <w:ind w:left="18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8" w:type="dxa"/>
            <w:vAlign w:val="top"/>
          </w:tcPr>
          <w:p>
            <w:pPr>
              <w:pStyle w:val="64"/>
              <w:spacing w:before="77" w:line="176" w:lineRule="auto"/>
              <w:ind w:left="259"/>
              <w:rPr>
                <w:rFonts w:hint="eastAsia" w:eastAsia="宋体"/>
                <w:lang w:eastAsia="zh-CN"/>
              </w:rPr>
            </w:pPr>
            <w:r>
              <w:rPr>
                <w:rFonts w:hint="eastAsia"/>
                <w:spacing w:val="-14"/>
                <w:lang w:val="en-US" w:eastAsia="zh-CN"/>
              </w:rPr>
              <w:t>8</w:t>
            </w:r>
          </w:p>
        </w:tc>
        <w:tc>
          <w:tcPr>
            <w:tcW w:w="1915" w:type="dxa"/>
            <w:vAlign w:val="top"/>
          </w:tcPr>
          <w:p>
            <w:pPr>
              <w:pStyle w:val="64"/>
              <w:spacing w:before="40" w:line="208" w:lineRule="auto"/>
              <w:ind w:left="725" w:leftChars="0"/>
              <w:rPr>
                <w:rFonts w:ascii="宋体" w:hAnsi="宋体" w:eastAsia="宋体" w:cs="宋体"/>
                <w:snapToGrid w:val="0"/>
                <w:color w:val="000000"/>
                <w:kern w:val="0"/>
                <w:sz w:val="24"/>
                <w:szCs w:val="24"/>
                <w:lang w:val="en-US" w:eastAsia="en-US" w:bidi="ar-SA"/>
              </w:rPr>
            </w:pPr>
            <w:r>
              <w:rPr>
                <w:spacing w:val="-6"/>
              </w:rPr>
              <w:t>合计</w:t>
            </w:r>
          </w:p>
        </w:tc>
        <w:tc>
          <w:tcPr>
            <w:tcW w:w="1391" w:type="dxa"/>
            <w:vAlign w:val="top"/>
          </w:tcPr>
          <w:p>
            <w:pPr>
              <w:rPr>
                <w:rFonts w:ascii="Arial"/>
                <w:sz w:val="21"/>
              </w:rPr>
            </w:pPr>
          </w:p>
        </w:tc>
        <w:tc>
          <w:tcPr>
            <w:tcW w:w="1367" w:type="dxa"/>
            <w:tcBorders>
              <w:left w:val="single" w:color="auto" w:sz="4" w:space="0"/>
            </w:tcBorders>
            <w:vAlign w:val="top"/>
          </w:tcPr>
          <w:p>
            <w:pPr>
              <w:rPr>
                <w:rFonts w:ascii="Arial"/>
                <w:sz w:val="21"/>
              </w:rPr>
            </w:pPr>
          </w:p>
        </w:tc>
        <w:tc>
          <w:tcPr>
            <w:tcW w:w="1467" w:type="dxa"/>
            <w:vAlign w:val="top"/>
          </w:tcPr>
          <w:p>
            <w:pPr>
              <w:rPr>
                <w:rFonts w:ascii="Arial"/>
                <w:sz w:val="21"/>
              </w:rPr>
            </w:pPr>
          </w:p>
        </w:tc>
        <w:tc>
          <w:tcPr>
            <w:tcW w:w="1800" w:type="dxa"/>
            <w:vAlign w:val="top"/>
          </w:tcPr>
          <w:p>
            <w:pPr>
              <w:rPr>
                <w:rFonts w:ascii="Arial"/>
                <w:sz w:val="21"/>
              </w:rPr>
            </w:pPr>
          </w:p>
        </w:tc>
      </w:tr>
    </w:tbl>
    <w:p>
      <w:pPr>
        <w:spacing w:before="30" w:line="230" w:lineRule="auto"/>
        <w:ind w:left="429"/>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要求：</w:t>
      </w:r>
    </w:p>
    <w:p>
      <w:pPr>
        <w:spacing w:before="161" w:line="408" w:lineRule="exact"/>
        <w:jc w:val="right"/>
        <w:rPr>
          <w:rFonts w:ascii="宋体" w:hAnsi="宋体" w:eastAsia="宋体" w:cs="宋体"/>
          <w:sz w:val="20"/>
          <w:szCs w:val="20"/>
        </w:rPr>
      </w:pPr>
      <w:r>
        <w:rPr>
          <w:rFonts w:ascii="宋体" w:hAnsi="宋体" w:eastAsia="宋体" w:cs="宋体"/>
          <w:spacing w:val="8"/>
          <w:position w:val="15"/>
          <w:sz w:val="20"/>
          <w:szCs w:val="20"/>
        </w:rPr>
        <w:t>1. 本表为《开标一览表》的报价明细表，如有缺项、漏项，视为投标报价</w:t>
      </w:r>
      <w:r>
        <w:rPr>
          <w:rFonts w:ascii="宋体" w:hAnsi="宋体" w:eastAsia="宋体" w:cs="宋体"/>
          <w:spacing w:val="7"/>
          <w:position w:val="15"/>
          <w:sz w:val="20"/>
          <w:szCs w:val="20"/>
        </w:rPr>
        <w:t>中已包含相关费用，</w:t>
      </w:r>
    </w:p>
    <w:p>
      <w:pPr>
        <w:spacing w:before="1" w:line="227" w:lineRule="auto"/>
        <w:ind w:left="442"/>
        <w:rPr>
          <w:rFonts w:ascii="宋体" w:hAnsi="宋体" w:eastAsia="宋体" w:cs="宋体"/>
          <w:sz w:val="20"/>
          <w:szCs w:val="20"/>
        </w:rPr>
      </w:pPr>
      <w:r>
        <w:rPr>
          <w:rFonts w:ascii="宋体" w:hAnsi="宋体" w:eastAsia="宋体" w:cs="宋体"/>
          <w:spacing w:val="8"/>
          <w:sz w:val="20"/>
          <w:szCs w:val="20"/>
        </w:rPr>
        <w:t>采购人无需另外支付任何费用。</w:t>
      </w:r>
    </w:p>
    <w:p>
      <w:pPr>
        <w:spacing w:before="161" w:line="408" w:lineRule="exact"/>
        <w:ind w:right="58"/>
        <w:jc w:val="right"/>
        <w:rPr>
          <w:rFonts w:ascii="宋体" w:hAnsi="宋体" w:eastAsia="宋体" w:cs="宋体"/>
          <w:sz w:val="20"/>
          <w:szCs w:val="20"/>
        </w:rPr>
      </w:pPr>
      <w:r>
        <w:rPr>
          <w:rFonts w:ascii="宋体" w:hAnsi="宋体" w:eastAsia="宋体" w:cs="宋体"/>
          <w:spacing w:val="8"/>
          <w:position w:val="15"/>
          <w:sz w:val="20"/>
          <w:szCs w:val="20"/>
        </w:rPr>
        <w:t>2.“报价明细表</w:t>
      </w:r>
      <w:r>
        <w:rPr>
          <w:rFonts w:ascii="宋体" w:hAnsi="宋体" w:eastAsia="宋体" w:cs="宋体"/>
          <w:spacing w:val="-72"/>
          <w:position w:val="15"/>
          <w:sz w:val="20"/>
          <w:szCs w:val="20"/>
        </w:rPr>
        <w:t xml:space="preserve"> </w:t>
      </w:r>
      <w:r>
        <w:rPr>
          <w:rFonts w:ascii="宋体" w:hAnsi="宋体" w:eastAsia="宋体" w:cs="宋体"/>
          <w:spacing w:val="8"/>
          <w:position w:val="15"/>
          <w:sz w:val="20"/>
          <w:szCs w:val="20"/>
        </w:rPr>
        <w:t>”中的报价合计应与“开标一览表</w:t>
      </w:r>
      <w:r>
        <w:rPr>
          <w:rFonts w:ascii="宋体" w:hAnsi="宋体" w:eastAsia="宋体" w:cs="宋体"/>
          <w:spacing w:val="-70"/>
          <w:position w:val="15"/>
          <w:sz w:val="20"/>
          <w:szCs w:val="20"/>
        </w:rPr>
        <w:t xml:space="preserve"> </w:t>
      </w:r>
      <w:r>
        <w:rPr>
          <w:rFonts w:ascii="宋体" w:hAnsi="宋体" w:eastAsia="宋体" w:cs="宋体"/>
          <w:spacing w:val="8"/>
          <w:position w:val="15"/>
          <w:sz w:val="20"/>
          <w:szCs w:val="20"/>
        </w:rPr>
        <w:t>”中的投标总报价相一致，不一致</w:t>
      </w:r>
      <w:r>
        <w:rPr>
          <w:rFonts w:ascii="宋体" w:hAnsi="宋体" w:eastAsia="宋体" w:cs="宋体"/>
          <w:spacing w:val="7"/>
          <w:position w:val="15"/>
          <w:sz w:val="20"/>
          <w:szCs w:val="20"/>
        </w:rPr>
        <w:t>时，以开</w:t>
      </w:r>
    </w:p>
    <w:p>
      <w:pPr>
        <w:spacing w:line="229" w:lineRule="auto"/>
        <w:ind w:left="443"/>
        <w:rPr>
          <w:rFonts w:ascii="宋体" w:hAnsi="宋体" w:eastAsia="宋体" w:cs="宋体"/>
          <w:sz w:val="20"/>
          <w:szCs w:val="20"/>
        </w:rPr>
      </w:pPr>
      <w:r>
        <w:rPr>
          <w:rFonts w:ascii="宋体" w:hAnsi="宋体" w:eastAsia="宋体" w:cs="宋体"/>
          <w:spacing w:val="6"/>
          <w:sz w:val="20"/>
          <w:szCs w:val="20"/>
        </w:rPr>
        <w:t>标一览表为准。</w:t>
      </w:r>
    </w:p>
    <w:p>
      <w:pPr>
        <w:spacing w:before="164" w:line="360" w:lineRule="auto"/>
        <w:ind w:left="492"/>
        <w:rPr>
          <w:rFonts w:ascii="宋体" w:hAnsi="宋体" w:eastAsia="宋体" w:cs="宋体"/>
          <w:sz w:val="24"/>
          <w:szCs w:val="24"/>
        </w:rPr>
      </w:pPr>
      <w:r>
        <w:rPr>
          <w:rFonts w:ascii="宋体" w:hAnsi="宋体" w:eastAsia="宋体" w:cs="宋体"/>
          <w:spacing w:val="-2"/>
          <w:position w:val="29"/>
          <w:sz w:val="24"/>
          <w:szCs w:val="24"/>
        </w:rPr>
        <w:t>投标人名称（公章</w:t>
      </w:r>
      <w:r>
        <w:rPr>
          <w:rFonts w:ascii="宋体" w:hAnsi="宋体" w:eastAsia="宋体" w:cs="宋体"/>
          <w:spacing w:val="1"/>
          <w:position w:val="29"/>
          <w:sz w:val="24"/>
          <w:szCs w:val="24"/>
        </w:rPr>
        <w:t>）：</w:t>
      </w:r>
    </w:p>
    <w:p>
      <w:pPr>
        <w:spacing w:line="360" w:lineRule="auto"/>
        <w:ind w:left="447"/>
        <w:rPr>
          <w:rFonts w:ascii="宋体" w:hAnsi="宋体" w:eastAsia="宋体" w:cs="宋体"/>
          <w:sz w:val="24"/>
          <w:szCs w:val="24"/>
        </w:rPr>
      </w:pPr>
      <w:r>
        <w:rPr>
          <w:rFonts w:ascii="宋体" w:hAnsi="宋体" w:eastAsia="宋体" w:cs="宋体"/>
          <w:spacing w:val="-2"/>
          <w:sz w:val="24"/>
          <w:szCs w:val="24"/>
        </w:rPr>
        <w:t>投标人代表签字：</w:t>
      </w:r>
    </w:p>
    <w:p>
      <w:pPr>
        <w:pStyle w:val="10"/>
        <w:spacing w:line="360" w:lineRule="auto"/>
      </w:pPr>
    </w:p>
    <w:p>
      <w:pPr>
        <w:spacing w:before="78" w:line="360" w:lineRule="auto"/>
        <w:ind w:left="445"/>
        <w:rPr>
          <w:rFonts w:ascii="宋体" w:hAnsi="宋体" w:eastAsia="宋体" w:cs="宋体"/>
          <w:spacing w:val="-8"/>
          <w:position w:val="29"/>
          <w:sz w:val="24"/>
          <w:szCs w:val="24"/>
        </w:rPr>
      </w:pPr>
      <w:r>
        <w:rPr>
          <w:rFonts w:ascii="宋体" w:hAnsi="宋体" w:eastAsia="宋体" w:cs="宋体"/>
          <w:spacing w:val="-8"/>
          <w:position w:val="29"/>
          <w:sz w:val="24"/>
          <w:szCs w:val="24"/>
        </w:rPr>
        <w:t>职</w:t>
      </w:r>
      <w:r>
        <w:rPr>
          <w:rFonts w:ascii="宋体" w:hAnsi="宋体" w:eastAsia="宋体" w:cs="宋体"/>
          <w:spacing w:val="1"/>
          <w:position w:val="29"/>
          <w:sz w:val="24"/>
          <w:szCs w:val="24"/>
        </w:rPr>
        <w:t xml:space="preserve">        </w:t>
      </w:r>
      <w:r>
        <w:rPr>
          <w:rFonts w:ascii="宋体" w:hAnsi="宋体" w:eastAsia="宋体" w:cs="宋体"/>
          <w:spacing w:val="-8"/>
          <w:position w:val="29"/>
          <w:sz w:val="24"/>
          <w:szCs w:val="24"/>
        </w:rPr>
        <w:t>务：</w:t>
      </w:r>
    </w:p>
    <w:p>
      <w:pPr>
        <w:pStyle w:val="2"/>
      </w:pPr>
    </w:p>
    <w:p>
      <w:pPr>
        <w:spacing w:line="360" w:lineRule="auto"/>
        <w:ind w:left="485"/>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
          <w:sz w:val="24"/>
          <w:szCs w:val="24"/>
        </w:rPr>
        <w:t xml:space="preserve">        </w:t>
      </w:r>
      <w:r>
        <w:rPr>
          <w:rFonts w:ascii="宋体" w:hAnsi="宋体" w:eastAsia="宋体" w:cs="宋体"/>
          <w:spacing w:val="-21"/>
          <w:sz w:val="24"/>
          <w:szCs w:val="24"/>
        </w:rPr>
        <w:t>期：</w:t>
      </w:r>
    </w:p>
    <w:p>
      <w:pPr>
        <w:spacing w:line="360" w:lineRule="auto"/>
        <w:rPr>
          <w:rFonts w:ascii="宋体" w:hAnsi="宋体" w:eastAsia="宋体" w:cs="宋体"/>
          <w:sz w:val="24"/>
          <w:szCs w:val="24"/>
        </w:rPr>
        <w:sectPr>
          <w:type w:val="continuous"/>
          <w:pgSz w:w="11906" w:h="16839"/>
          <w:pgMar w:top="1066" w:right="1392" w:bottom="1010" w:left="1418" w:header="878" w:footer="847" w:gutter="0"/>
          <w:cols w:equalWidth="0" w:num="1">
            <w:col w:w="9096"/>
          </w:cols>
        </w:sectPr>
      </w:pPr>
    </w:p>
    <w:p>
      <w:pPr>
        <w:pStyle w:val="10"/>
        <w:spacing w:line="290" w:lineRule="auto"/>
      </w:pPr>
    </w:p>
    <w:p>
      <w:pPr>
        <w:pStyle w:val="10"/>
        <w:spacing w:line="291" w:lineRule="auto"/>
      </w:pPr>
    </w:p>
    <w:p>
      <w:pPr>
        <w:spacing w:before="91" w:line="220" w:lineRule="auto"/>
        <w:ind w:left="33"/>
        <w:rPr>
          <w:rFonts w:ascii="宋体" w:hAnsi="宋体" w:eastAsia="宋体" w:cs="宋体"/>
          <w:sz w:val="28"/>
          <w:szCs w:val="28"/>
        </w:rPr>
      </w:pPr>
      <w:r>
        <w:rPr>
          <w:rFonts w:ascii="宋体" w:hAnsi="宋体" w:eastAsia="宋体" w:cs="宋体"/>
          <w:spacing w:val="-16"/>
          <w:sz w:val="28"/>
          <w:szCs w:val="28"/>
          <w14:textOutline w14:w="5103" w14:cap="sq" w14:cmpd="sng">
            <w14:solidFill>
              <w14:srgbClr w14:val="000000"/>
            </w14:solidFill>
            <w14:prstDash w14:val="solid"/>
            <w14:bevel/>
          </w14:textOutline>
        </w:rPr>
        <w:t>附件</w:t>
      </w:r>
      <w:r>
        <w:rPr>
          <w:rFonts w:ascii="宋体" w:hAnsi="宋体" w:eastAsia="宋体" w:cs="宋体"/>
          <w:spacing w:val="-37"/>
          <w:sz w:val="28"/>
          <w:szCs w:val="28"/>
        </w:rPr>
        <w:t xml:space="preserve"> </w:t>
      </w:r>
      <w:r>
        <w:rPr>
          <w:rFonts w:ascii="宋体" w:hAnsi="宋体" w:eastAsia="宋体" w:cs="宋体"/>
          <w:spacing w:val="-16"/>
          <w:sz w:val="28"/>
          <w:szCs w:val="28"/>
          <w14:textOutline w14:w="5103" w14:cap="sq" w14:cmpd="sng">
            <w14:solidFill>
              <w14:srgbClr w14:val="000000"/>
            </w14:solidFill>
            <w14:prstDash w14:val="solid"/>
            <w14:bevel/>
          </w14:textOutline>
        </w:rPr>
        <w:t>15</w:t>
      </w:r>
    </w:p>
    <w:p>
      <w:pPr>
        <w:spacing w:before="267" w:line="224" w:lineRule="auto"/>
        <w:ind w:left="2763"/>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配置服务人员费用报价明细表</w:t>
      </w:r>
    </w:p>
    <w:p>
      <w:pPr>
        <w:spacing w:before="233" w:line="221" w:lineRule="auto"/>
        <w:ind w:left="12"/>
        <w:rPr>
          <w:rFonts w:ascii="宋体" w:hAnsi="宋体" w:eastAsia="宋体" w:cs="宋体"/>
          <w:sz w:val="24"/>
          <w:szCs w:val="24"/>
        </w:rPr>
      </w:pPr>
      <w:r>
        <w:rPr>
          <w:rFonts w:ascii="宋体" w:hAnsi="宋体" w:eastAsia="宋体" w:cs="宋体"/>
          <w:spacing w:val="-3"/>
          <w:sz w:val="24"/>
          <w:szCs w:val="24"/>
        </w:rPr>
        <w:t>投标人名称：</w:t>
      </w:r>
    </w:p>
    <w:p>
      <w:pPr>
        <w:spacing w:before="181" w:line="220" w:lineRule="auto"/>
        <w:ind w:left="13"/>
        <w:rPr>
          <w:rFonts w:ascii="宋体" w:hAnsi="宋体" w:eastAsia="宋体" w:cs="宋体"/>
          <w:sz w:val="24"/>
          <w:szCs w:val="24"/>
        </w:rPr>
      </w:pP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p>
      <w:pPr>
        <w:spacing w:before="179" w:line="219" w:lineRule="auto"/>
        <w:ind w:left="6685"/>
        <w:rPr>
          <w:rFonts w:ascii="宋体" w:hAnsi="宋体" w:eastAsia="宋体" w:cs="宋体"/>
          <w:sz w:val="24"/>
          <w:szCs w:val="24"/>
        </w:rPr>
      </w:pPr>
      <w:r>
        <w:rPr>
          <w:rFonts w:ascii="宋体" w:hAnsi="宋体" w:eastAsia="宋体" w:cs="宋体"/>
          <w:spacing w:val="-5"/>
          <w:sz w:val="24"/>
          <w:szCs w:val="24"/>
        </w:rPr>
        <w:t>[货币单位：人民币元]</w:t>
      </w:r>
    </w:p>
    <w:p>
      <w:pPr>
        <w:spacing w:line="178" w:lineRule="exact"/>
      </w:pPr>
    </w:p>
    <w:tbl>
      <w:tblPr>
        <w:tblStyle w:val="65"/>
        <w:tblW w:w="9225"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900"/>
        <w:gridCol w:w="1109"/>
        <w:gridCol w:w="1034"/>
        <w:gridCol w:w="710"/>
        <w:gridCol w:w="850"/>
        <w:gridCol w:w="840"/>
        <w:gridCol w:w="1169"/>
        <w:gridCol w:w="9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679" w:type="dxa"/>
            <w:vMerge w:val="restart"/>
            <w:tcBorders>
              <w:bottom w:val="nil"/>
            </w:tcBorders>
            <w:textDirection w:val="tbRlV"/>
            <w:vAlign w:val="top"/>
          </w:tcPr>
          <w:p>
            <w:pPr>
              <w:spacing w:before="217" w:line="209" w:lineRule="auto"/>
              <w:ind w:left="568"/>
              <w:rPr>
                <w:rFonts w:ascii="黑体" w:hAnsi="黑体" w:eastAsia="黑体" w:cs="黑体"/>
                <w:sz w:val="24"/>
                <w:szCs w:val="24"/>
              </w:rPr>
            </w:pPr>
            <w:r>
              <w:rPr>
                <w:rFonts w:ascii="黑体" w:hAnsi="黑体" w:eastAsia="黑体" w:cs="黑体"/>
                <w:spacing w:val="37"/>
                <w:sz w:val="24"/>
                <w:szCs w:val="24"/>
              </w:rPr>
              <w:t>序号</w:t>
            </w:r>
          </w:p>
        </w:tc>
        <w:tc>
          <w:tcPr>
            <w:tcW w:w="1900" w:type="dxa"/>
            <w:vMerge w:val="restart"/>
            <w:tcBorders>
              <w:bottom w:val="nil"/>
            </w:tcBorders>
            <w:vAlign w:val="top"/>
          </w:tcPr>
          <w:p>
            <w:pPr>
              <w:spacing w:line="321" w:lineRule="auto"/>
              <w:rPr>
                <w:rFonts w:ascii="Arial"/>
                <w:sz w:val="21"/>
              </w:rPr>
            </w:pPr>
          </w:p>
          <w:p>
            <w:pPr>
              <w:spacing w:line="321" w:lineRule="auto"/>
              <w:rPr>
                <w:rFonts w:ascii="Arial"/>
                <w:sz w:val="21"/>
              </w:rPr>
            </w:pPr>
          </w:p>
          <w:p>
            <w:pPr>
              <w:spacing w:before="78" w:line="222" w:lineRule="auto"/>
              <w:ind w:left="490"/>
              <w:rPr>
                <w:rFonts w:ascii="黑体" w:hAnsi="黑体" w:eastAsia="黑体" w:cs="黑体"/>
                <w:sz w:val="24"/>
                <w:szCs w:val="24"/>
              </w:rPr>
            </w:pPr>
            <w:r>
              <w:rPr>
                <w:rFonts w:ascii="黑体" w:hAnsi="黑体" w:eastAsia="黑体" w:cs="黑体"/>
                <w:spacing w:val="-7"/>
                <w:sz w:val="24"/>
                <w:szCs w:val="24"/>
              </w:rPr>
              <w:t>岗位名称</w:t>
            </w:r>
          </w:p>
        </w:tc>
        <w:tc>
          <w:tcPr>
            <w:tcW w:w="1109" w:type="dxa"/>
            <w:vMerge w:val="restart"/>
            <w:tcBorders>
              <w:bottom w:val="nil"/>
            </w:tcBorders>
            <w:vAlign w:val="top"/>
          </w:tcPr>
          <w:p>
            <w:pPr>
              <w:spacing w:before="38" w:line="230" w:lineRule="auto"/>
              <w:ind w:left="116" w:right="16" w:firstLine="1"/>
              <w:rPr>
                <w:rFonts w:ascii="黑体" w:hAnsi="黑体" w:eastAsia="黑体" w:cs="黑体"/>
                <w:sz w:val="22"/>
                <w:szCs w:val="22"/>
              </w:rPr>
            </w:pPr>
            <w:r>
              <w:rPr>
                <w:rFonts w:ascii="黑体" w:hAnsi="黑体" w:eastAsia="黑体" w:cs="黑体"/>
                <w:spacing w:val="-2"/>
                <w:sz w:val="22"/>
                <w:szCs w:val="22"/>
              </w:rPr>
              <w:t>要求配备</w:t>
            </w:r>
            <w:r>
              <w:rPr>
                <w:rFonts w:ascii="黑体" w:hAnsi="黑体" w:eastAsia="黑体" w:cs="黑体"/>
                <w:sz w:val="22"/>
                <w:szCs w:val="22"/>
              </w:rPr>
              <w:t xml:space="preserve">  </w:t>
            </w:r>
            <w:r>
              <w:rPr>
                <w:rFonts w:ascii="黑体" w:hAnsi="黑体" w:eastAsia="黑体" w:cs="黑体"/>
                <w:spacing w:val="-26"/>
                <w:sz w:val="22"/>
                <w:szCs w:val="22"/>
              </w:rPr>
              <w:t>人数（人）</w:t>
            </w:r>
          </w:p>
        </w:tc>
        <w:tc>
          <w:tcPr>
            <w:tcW w:w="1034" w:type="dxa"/>
            <w:vMerge w:val="restart"/>
            <w:tcBorders>
              <w:bottom w:val="nil"/>
            </w:tcBorders>
            <w:vAlign w:val="top"/>
          </w:tcPr>
          <w:p>
            <w:pPr>
              <w:spacing w:before="38" w:line="234" w:lineRule="auto"/>
              <w:ind w:left="209" w:right="183" w:hanging="15"/>
              <w:jc w:val="both"/>
              <w:rPr>
                <w:rFonts w:ascii="黑体" w:hAnsi="黑体" w:eastAsia="黑体" w:cs="黑体"/>
                <w:sz w:val="22"/>
                <w:szCs w:val="22"/>
              </w:rPr>
            </w:pPr>
            <w:r>
              <w:rPr>
                <w:rFonts w:ascii="黑体" w:hAnsi="黑体" w:eastAsia="黑体" w:cs="黑体"/>
                <w:spacing w:val="-3"/>
                <w:sz w:val="22"/>
                <w:szCs w:val="22"/>
              </w:rPr>
              <w:t>拟派驻</w:t>
            </w:r>
            <w:r>
              <w:rPr>
                <w:rFonts w:ascii="黑体" w:hAnsi="黑体" w:eastAsia="黑体" w:cs="黑体"/>
                <w:sz w:val="22"/>
                <w:szCs w:val="22"/>
              </w:rPr>
              <w:t xml:space="preserve"> </w:t>
            </w:r>
            <w:r>
              <w:rPr>
                <w:rFonts w:ascii="黑体" w:hAnsi="黑体" w:eastAsia="黑体" w:cs="黑体"/>
                <w:spacing w:val="35"/>
                <w:sz w:val="22"/>
                <w:szCs w:val="22"/>
              </w:rPr>
              <w:t xml:space="preserve">人数 </w:t>
            </w:r>
            <w:r>
              <w:rPr>
                <w:rFonts w:ascii="黑体" w:hAnsi="黑体" w:eastAsia="黑体" w:cs="黑体"/>
                <w:spacing w:val="-16"/>
                <w:sz w:val="22"/>
                <w:szCs w:val="22"/>
              </w:rPr>
              <w:t>（人）</w:t>
            </w:r>
          </w:p>
        </w:tc>
        <w:tc>
          <w:tcPr>
            <w:tcW w:w="2400" w:type="dxa"/>
            <w:gridSpan w:val="3"/>
            <w:vAlign w:val="top"/>
          </w:tcPr>
          <w:p>
            <w:pPr>
              <w:spacing w:before="39" w:line="228" w:lineRule="auto"/>
              <w:ind w:left="926" w:right="103" w:hanging="795"/>
              <w:rPr>
                <w:rFonts w:ascii="黑体" w:hAnsi="黑体" w:eastAsia="黑体" w:cs="黑体"/>
                <w:sz w:val="22"/>
                <w:szCs w:val="22"/>
              </w:rPr>
            </w:pPr>
            <w:r>
              <w:rPr>
                <w:rFonts w:ascii="仿宋" w:hAnsi="仿宋" w:eastAsia="仿宋" w:cs="仿宋"/>
                <w:spacing w:val="-6"/>
                <w:sz w:val="24"/>
                <w:szCs w:val="24"/>
              </w:rPr>
              <w:t>每人每月费用</w:t>
            </w:r>
            <w:r>
              <w:rPr>
                <w:rFonts w:ascii="黑体" w:hAnsi="黑体" w:eastAsia="黑体" w:cs="黑体"/>
                <w:spacing w:val="-6"/>
                <w:sz w:val="22"/>
                <w:szCs w:val="22"/>
              </w:rPr>
              <w:t>（元/人</w:t>
            </w:r>
            <w:r>
              <w:rPr>
                <w:rFonts w:ascii="黑体" w:hAnsi="黑体" w:eastAsia="黑体" w:cs="黑体"/>
                <w:spacing w:val="8"/>
                <w:sz w:val="22"/>
                <w:szCs w:val="22"/>
              </w:rPr>
              <w:t xml:space="preserve"> </w:t>
            </w:r>
            <w:r>
              <w:rPr>
                <w:rFonts w:ascii="黑体" w:hAnsi="黑体" w:eastAsia="黑体" w:cs="黑体"/>
                <w:spacing w:val="-1"/>
                <w:sz w:val="22"/>
                <w:szCs w:val="22"/>
              </w:rPr>
              <w:t>/月）</w:t>
            </w:r>
          </w:p>
        </w:tc>
        <w:tc>
          <w:tcPr>
            <w:tcW w:w="1169" w:type="dxa"/>
            <w:vMerge w:val="restart"/>
            <w:tcBorders>
              <w:bottom w:val="nil"/>
            </w:tcBorders>
            <w:vAlign w:val="top"/>
          </w:tcPr>
          <w:p>
            <w:pPr>
              <w:spacing w:before="40" w:line="466" w:lineRule="exact"/>
              <w:ind w:left="249"/>
              <w:rPr>
                <w:rFonts w:ascii="仿宋" w:hAnsi="仿宋" w:eastAsia="仿宋" w:cs="仿宋"/>
                <w:sz w:val="24"/>
                <w:szCs w:val="24"/>
              </w:rPr>
            </w:pPr>
            <w:r>
              <w:rPr>
                <w:rFonts w:ascii="仿宋" w:hAnsi="仿宋" w:eastAsia="仿宋" w:cs="仿宋"/>
                <w:spacing w:val="-9"/>
                <w:position w:val="16"/>
                <w:sz w:val="24"/>
                <w:szCs w:val="24"/>
              </w:rPr>
              <w:t>每月费</w:t>
            </w:r>
          </w:p>
          <w:p>
            <w:pPr>
              <w:spacing w:line="223" w:lineRule="auto"/>
              <w:ind w:left="480"/>
              <w:rPr>
                <w:rFonts w:ascii="仿宋" w:hAnsi="仿宋" w:eastAsia="仿宋" w:cs="仿宋"/>
                <w:sz w:val="24"/>
                <w:szCs w:val="24"/>
              </w:rPr>
            </w:pPr>
            <w:r>
              <w:rPr>
                <w:rFonts w:ascii="仿宋" w:hAnsi="仿宋" w:eastAsia="仿宋" w:cs="仿宋"/>
                <w:sz w:val="24"/>
                <w:szCs w:val="24"/>
              </w:rPr>
              <w:t>用</w:t>
            </w:r>
          </w:p>
          <w:p>
            <w:pPr>
              <w:spacing w:before="175" w:line="232" w:lineRule="auto"/>
              <w:ind w:left="152" w:right="117" w:firstLine="93"/>
              <w:rPr>
                <w:rFonts w:ascii="仿宋" w:hAnsi="仿宋" w:eastAsia="仿宋" w:cs="仿宋"/>
                <w:sz w:val="24"/>
                <w:szCs w:val="24"/>
              </w:rPr>
            </w:pPr>
            <w:r>
              <w:rPr>
                <w:rFonts w:ascii="仿宋" w:hAnsi="仿宋" w:eastAsia="仿宋" w:cs="仿宋"/>
                <w:spacing w:val="-7"/>
                <w:sz w:val="24"/>
                <w:szCs w:val="24"/>
              </w:rPr>
              <w:t>（小计</w:t>
            </w:r>
            <w:r>
              <w:rPr>
                <w:rFonts w:ascii="仿宋" w:hAnsi="仿宋" w:eastAsia="仿宋" w:cs="仿宋"/>
                <w:sz w:val="24"/>
                <w:szCs w:val="24"/>
              </w:rPr>
              <w:t xml:space="preserve">  </w:t>
            </w:r>
            <w:r>
              <w:rPr>
                <w:rFonts w:ascii="仿宋" w:hAnsi="仿宋" w:eastAsia="仿宋" w:cs="仿宋"/>
                <w:spacing w:val="-17"/>
                <w:sz w:val="24"/>
                <w:szCs w:val="24"/>
              </w:rPr>
              <w:t>×人数）</w:t>
            </w:r>
          </w:p>
        </w:tc>
        <w:tc>
          <w:tcPr>
            <w:tcW w:w="934" w:type="dxa"/>
            <w:vMerge w:val="restart"/>
            <w:tcBorders>
              <w:bottom w:val="nil"/>
            </w:tcBorders>
            <w:vAlign w:val="top"/>
          </w:tcPr>
          <w:p>
            <w:pPr>
              <w:spacing w:before="38" w:line="222" w:lineRule="auto"/>
              <w:ind w:left="252"/>
              <w:rPr>
                <w:rFonts w:ascii="黑体" w:hAnsi="黑体" w:eastAsia="黑体" w:cs="黑体"/>
                <w:sz w:val="22"/>
                <w:szCs w:val="22"/>
              </w:rPr>
            </w:pPr>
            <w:r>
              <w:rPr>
                <w:rFonts w:ascii="黑体" w:hAnsi="黑体" w:eastAsia="黑体" w:cs="黑体"/>
                <w:spacing w:val="-4"/>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679" w:type="dxa"/>
            <w:vMerge w:val="continue"/>
            <w:tcBorders>
              <w:top w:val="nil"/>
            </w:tcBorders>
            <w:textDirection w:val="tbRlV"/>
            <w:vAlign w:val="top"/>
          </w:tcPr>
          <w:p>
            <w:pPr>
              <w:rPr>
                <w:rFonts w:ascii="Arial"/>
                <w:sz w:val="21"/>
              </w:rPr>
            </w:pPr>
          </w:p>
        </w:tc>
        <w:tc>
          <w:tcPr>
            <w:tcW w:w="1900" w:type="dxa"/>
            <w:vMerge w:val="continue"/>
            <w:tcBorders>
              <w:top w:val="nil"/>
            </w:tcBorders>
            <w:vAlign w:val="top"/>
          </w:tcPr>
          <w:p>
            <w:pPr>
              <w:rPr>
                <w:rFonts w:ascii="Arial"/>
                <w:sz w:val="21"/>
              </w:rPr>
            </w:pPr>
          </w:p>
        </w:tc>
        <w:tc>
          <w:tcPr>
            <w:tcW w:w="1109" w:type="dxa"/>
            <w:vMerge w:val="continue"/>
            <w:tcBorders>
              <w:top w:val="nil"/>
            </w:tcBorders>
            <w:vAlign w:val="top"/>
          </w:tcPr>
          <w:p>
            <w:pPr>
              <w:rPr>
                <w:rFonts w:ascii="Arial"/>
                <w:sz w:val="21"/>
              </w:rPr>
            </w:pPr>
          </w:p>
        </w:tc>
        <w:tc>
          <w:tcPr>
            <w:tcW w:w="1034" w:type="dxa"/>
            <w:vMerge w:val="continue"/>
            <w:tcBorders>
              <w:top w:val="nil"/>
            </w:tcBorders>
            <w:vAlign w:val="top"/>
          </w:tcPr>
          <w:p>
            <w:pPr>
              <w:rPr>
                <w:rFonts w:ascii="Arial"/>
                <w:sz w:val="21"/>
              </w:rPr>
            </w:pPr>
          </w:p>
        </w:tc>
        <w:tc>
          <w:tcPr>
            <w:tcW w:w="710" w:type="dxa"/>
            <w:vAlign w:val="top"/>
          </w:tcPr>
          <w:p>
            <w:pPr>
              <w:spacing w:line="252" w:lineRule="auto"/>
              <w:rPr>
                <w:rFonts w:ascii="Arial"/>
                <w:sz w:val="21"/>
              </w:rPr>
            </w:pPr>
          </w:p>
          <w:p>
            <w:pPr>
              <w:spacing w:before="78" w:line="224" w:lineRule="auto"/>
              <w:ind w:left="135"/>
              <w:rPr>
                <w:rFonts w:ascii="仿宋" w:hAnsi="仿宋" w:eastAsia="仿宋" w:cs="仿宋"/>
                <w:sz w:val="24"/>
                <w:szCs w:val="24"/>
              </w:rPr>
            </w:pPr>
            <w:r>
              <w:rPr>
                <w:rFonts w:ascii="仿宋" w:hAnsi="仿宋" w:eastAsia="仿宋" w:cs="仿宋"/>
                <w:spacing w:val="-11"/>
                <w:sz w:val="24"/>
                <w:szCs w:val="24"/>
              </w:rPr>
              <w:t>工资</w:t>
            </w:r>
          </w:p>
        </w:tc>
        <w:tc>
          <w:tcPr>
            <w:tcW w:w="850" w:type="dxa"/>
            <w:vAlign w:val="top"/>
          </w:tcPr>
          <w:p>
            <w:pPr>
              <w:spacing w:before="99" w:line="221" w:lineRule="auto"/>
              <w:ind w:left="200"/>
              <w:rPr>
                <w:rFonts w:ascii="仿宋" w:hAnsi="仿宋" w:eastAsia="仿宋" w:cs="仿宋"/>
                <w:sz w:val="24"/>
                <w:szCs w:val="24"/>
              </w:rPr>
            </w:pPr>
            <w:r>
              <w:rPr>
                <w:rFonts w:ascii="仿宋" w:hAnsi="仿宋" w:eastAsia="仿宋" w:cs="仿宋"/>
                <w:spacing w:val="-8"/>
                <w:sz w:val="24"/>
                <w:szCs w:val="24"/>
              </w:rPr>
              <w:t>社保</w:t>
            </w:r>
          </w:p>
          <w:p>
            <w:pPr>
              <w:spacing w:before="178" w:line="224" w:lineRule="auto"/>
              <w:ind w:left="328"/>
              <w:rPr>
                <w:rFonts w:ascii="仿宋" w:hAnsi="仿宋" w:eastAsia="仿宋" w:cs="仿宋"/>
                <w:sz w:val="24"/>
                <w:szCs w:val="24"/>
              </w:rPr>
            </w:pPr>
            <w:r>
              <w:rPr>
                <w:rFonts w:ascii="仿宋" w:hAnsi="仿宋" w:eastAsia="仿宋" w:cs="仿宋"/>
                <w:sz w:val="24"/>
                <w:szCs w:val="24"/>
              </w:rPr>
              <w:t>等</w:t>
            </w:r>
          </w:p>
        </w:tc>
        <w:tc>
          <w:tcPr>
            <w:tcW w:w="840" w:type="dxa"/>
            <w:vAlign w:val="top"/>
          </w:tcPr>
          <w:p>
            <w:pPr>
              <w:spacing w:line="252" w:lineRule="auto"/>
              <w:rPr>
                <w:rFonts w:ascii="Arial"/>
                <w:sz w:val="21"/>
              </w:rPr>
            </w:pPr>
          </w:p>
          <w:p>
            <w:pPr>
              <w:spacing w:before="78" w:line="222" w:lineRule="auto"/>
              <w:ind w:left="194"/>
              <w:rPr>
                <w:rFonts w:ascii="仿宋" w:hAnsi="仿宋" w:eastAsia="仿宋" w:cs="仿宋"/>
                <w:sz w:val="24"/>
                <w:szCs w:val="24"/>
              </w:rPr>
            </w:pPr>
            <w:r>
              <w:rPr>
                <w:rFonts w:ascii="仿宋" w:hAnsi="仿宋" w:eastAsia="仿宋" w:cs="仿宋"/>
                <w:spacing w:val="-8"/>
                <w:sz w:val="24"/>
                <w:szCs w:val="24"/>
              </w:rPr>
              <w:t>小计</w:t>
            </w:r>
          </w:p>
        </w:tc>
        <w:tc>
          <w:tcPr>
            <w:tcW w:w="1169" w:type="dxa"/>
            <w:vMerge w:val="continue"/>
            <w:tcBorders>
              <w:top w:val="nil"/>
            </w:tcBorders>
            <w:vAlign w:val="top"/>
          </w:tcPr>
          <w:p>
            <w:pPr>
              <w:rPr>
                <w:rFonts w:ascii="Arial"/>
                <w:sz w:val="21"/>
              </w:rPr>
            </w:pPr>
          </w:p>
        </w:tc>
        <w:tc>
          <w:tcPr>
            <w:tcW w:w="93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79" w:type="dxa"/>
            <w:vAlign w:val="top"/>
          </w:tcPr>
          <w:p>
            <w:pPr>
              <w:spacing w:before="124" w:line="181" w:lineRule="auto"/>
              <w:ind w:left="302"/>
              <w:rPr>
                <w:rFonts w:ascii="仿宋" w:hAnsi="仿宋" w:eastAsia="仿宋" w:cs="仿宋"/>
                <w:sz w:val="24"/>
                <w:szCs w:val="24"/>
              </w:rPr>
            </w:pPr>
            <w:r>
              <w:rPr>
                <w:rFonts w:ascii="仿宋" w:hAnsi="仿宋" w:eastAsia="仿宋" w:cs="仿宋"/>
                <w:sz w:val="24"/>
                <w:szCs w:val="24"/>
              </w:rPr>
              <w:t>1</w:t>
            </w:r>
          </w:p>
        </w:tc>
        <w:tc>
          <w:tcPr>
            <w:tcW w:w="1900" w:type="dxa"/>
            <w:vAlign w:val="top"/>
          </w:tcPr>
          <w:p>
            <w:pPr>
              <w:pStyle w:val="64"/>
              <w:spacing w:before="60" w:line="230" w:lineRule="auto"/>
              <w:ind w:firstLine="456" w:firstLineChars="200"/>
              <w:jc w:val="both"/>
              <w:rPr>
                <w:rFonts w:hint="eastAsia" w:eastAsia="宋体"/>
                <w:lang w:eastAsia="zh-CN"/>
              </w:rPr>
            </w:pPr>
            <w:r>
              <w:rPr>
                <w:rFonts w:hint="eastAsia"/>
                <w:spacing w:val="-6"/>
                <w:lang w:val="en-US" w:eastAsia="zh-CN"/>
              </w:rPr>
              <w:t>项目</w:t>
            </w:r>
            <w:r>
              <w:rPr>
                <w:rFonts w:hint="eastAsia"/>
                <w:spacing w:val="-6"/>
                <w:lang w:eastAsia="zh-CN"/>
              </w:rPr>
              <w:t>负责人</w:t>
            </w:r>
          </w:p>
        </w:tc>
        <w:tc>
          <w:tcPr>
            <w:tcW w:w="1109" w:type="dxa"/>
            <w:vAlign w:val="top"/>
          </w:tcPr>
          <w:p>
            <w:pPr>
              <w:pStyle w:val="64"/>
              <w:spacing w:before="74" w:line="184" w:lineRule="auto"/>
              <w:ind w:left="517"/>
            </w:pPr>
          </w:p>
        </w:tc>
        <w:tc>
          <w:tcPr>
            <w:tcW w:w="1034" w:type="dxa"/>
            <w:vAlign w:val="top"/>
          </w:tcPr>
          <w:p>
            <w:pPr>
              <w:rPr>
                <w:rFonts w:ascii="Arial"/>
                <w:sz w:val="21"/>
              </w:rPr>
            </w:pPr>
          </w:p>
        </w:tc>
        <w:tc>
          <w:tcPr>
            <w:tcW w:w="710" w:type="dxa"/>
            <w:vAlign w:val="top"/>
          </w:tcPr>
          <w:p>
            <w:pPr>
              <w:rPr>
                <w:rFonts w:ascii="Arial"/>
                <w:sz w:val="21"/>
              </w:rPr>
            </w:pPr>
          </w:p>
        </w:tc>
        <w:tc>
          <w:tcPr>
            <w:tcW w:w="850" w:type="dxa"/>
            <w:vAlign w:val="top"/>
          </w:tcPr>
          <w:p>
            <w:pPr>
              <w:rPr>
                <w:rFonts w:ascii="Arial"/>
                <w:sz w:val="21"/>
              </w:rPr>
            </w:pPr>
          </w:p>
        </w:tc>
        <w:tc>
          <w:tcPr>
            <w:tcW w:w="840" w:type="dxa"/>
            <w:vAlign w:val="top"/>
          </w:tcPr>
          <w:p>
            <w:pPr>
              <w:rPr>
                <w:rFonts w:ascii="Arial"/>
                <w:sz w:val="21"/>
              </w:rPr>
            </w:pPr>
          </w:p>
        </w:tc>
        <w:tc>
          <w:tcPr>
            <w:tcW w:w="1169" w:type="dxa"/>
            <w:vAlign w:val="top"/>
          </w:tcPr>
          <w:p>
            <w:pPr>
              <w:rPr>
                <w:rFonts w:ascii="Arial"/>
                <w:sz w:val="21"/>
              </w:rPr>
            </w:pPr>
          </w:p>
        </w:tc>
        <w:tc>
          <w:tcPr>
            <w:tcW w:w="934" w:type="dxa"/>
            <w:vAlign w:val="top"/>
          </w:tcPr>
          <w:p>
            <w:pPr>
              <w:spacing w:before="33" w:line="223" w:lineRule="auto"/>
              <w:ind w:left="280"/>
              <w:rPr>
                <w:rFonts w:ascii="仿宋" w:hAnsi="仿宋" w:eastAsia="仿宋" w:cs="仿宋"/>
                <w:sz w:val="22"/>
                <w:szCs w:val="22"/>
              </w:rPr>
            </w:pPr>
            <w:r>
              <w:rPr>
                <w:rFonts w:hint="eastAsia" w:ascii="仿宋" w:hAnsi="仿宋" w:eastAsia="仿宋" w:cs="仿宋"/>
                <w:spacing w:val="-5"/>
                <w:sz w:val="22"/>
                <w:szCs w:val="22"/>
                <w:lang w:val="en-US" w:eastAsia="zh-CN"/>
                <w14:textOutline w14:w="4013" w14:cap="sq" w14:cmpd="sng">
                  <w14:solidFill>
                    <w14:srgbClr w14:val="000000"/>
                  </w14:solidFill>
                  <w14:prstDash w14:val="solid"/>
                  <w14:bevel/>
                </w14:textOutline>
              </w:rPr>
              <w:t>1</w:t>
            </w:r>
            <w:r>
              <w:rPr>
                <w:rFonts w:ascii="仿宋" w:hAnsi="仿宋" w:eastAsia="仿宋" w:cs="仿宋"/>
                <w:spacing w:val="-36"/>
                <w:sz w:val="22"/>
                <w:szCs w:val="22"/>
              </w:rPr>
              <w:t xml:space="preserve"> </w:t>
            </w:r>
            <w:r>
              <w:rPr>
                <w:rFonts w:ascii="仿宋" w:hAnsi="仿宋" w:eastAsia="仿宋" w:cs="仿宋"/>
                <w:spacing w:val="-5"/>
                <w:sz w:val="22"/>
                <w:szCs w:val="22"/>
                <w14:textOutline w14:w="4013" w14:cap="sq" w14:cmpd="sng">
                  <w14:solidFill>
                    <w14:srgbClr w14:val="000000"/>
                  </w14:solidFill>
                  <w14:prstDash w14:val="solid"/>
                  <w14:bevel/>
                </w14:textOutli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79" w:type="dxa"/>
            <w:vAlign w:val="top"/>
          </w:tcPr>
          <w:p>
            <w:pPr>
              <w:spacing w:before="124" w:line="180" w:lineRule="auto"/>
              <w:ind w:left="287"/>
              <w:rPr>
                <w:rFonts w:ascii="仿宋" w:hAnsi="仿宋" w:eastAsia="仿宋" w:cs="仿宋"/>
                <w:sz w:val="24"/>
                <w:szCs w:val="24"/>
              </w:rPr>
            </w:pPr>
            <w:r>
              <w:rPr>
                <w:rFonts w:ascii="仿宋" w:hAnsi="仿宋" w:eastAsia="仿宋" w:cs="仿宋"/>
                <w:sz w:val="24"/>
                <w:szCs w:val="24"/>
              </w:rPr>
              <w:t>2</w:t>
            </w:r>
          </w:p>
        </w:tc>
        <w:tc>
          <w:tcPr>
            <w:tcW w:w="1900" w:type="dxa"/>
            <w:vAlign w:val="top"/>
          </w:tcPr>
          <w:p>
            <w:pPr>
              <w:pStyle w:val="64"/>
              <w:spacing w:before="37" w:line="221" w:lineRule="auto"/>
              <w:ind w:left="485" w:leftChars="0"/>
              <w:jc w:val="both"/>
            </w:pPr>
            <w:r>
              <w:rPr>
                <w:rFonts w:hint="eastAsia"/>
                <w:spacing w:val="-3"/>
                <w:lang w:eastAsia="zh-CN"/>
              </w:rPr>
              <w:t>安保</w:t>
            </w:r>
            <w:r>
              <w:rPr>
                <w:spacing w:val="-3"/>
              </w:rPr>
              <w:t>人员</w:t>
            </w:r>
          </w:p>
        </w:tc>
        <w:tc>
          <w:tcPr>
            <w:tcW w:w="1109" w:type="dxa"/>
            <w:vAlign w:val="top"/>
          </w:tcPr>
          <w:p>
            <w:pPr>
              <w:pStyle w:val="64"/>
              <w:spacing w:before="74" w:line="183" w:lineRule="auto"/>
              <w:ind w:left="503"/>
            </w:pPr>
          </w:p>
        </w:tc>
        <w:tc>
          <w:tcPr>
            <w:tcW w:w="1034" w:type="dxa"/>
            <w:vAlign w:val="top"/>
          </w:tcPr>
          <w:p>
            <w:pPr>
              <w:rPr>
                <w:rFonts w:ascii="Arial"/>
                <w:sz w:val="21"/>
              </w:rPr>
            </w:pPr>
          </w:p>
        </w:tc>
        <w:tc>
          <w:tcPr>
            <w:tcW w:w="710" w:type="dxa"/>
            <w:vAlign w:val="top"/>
          </w:tcPr>
          <w:p>
            <w:pPr>
              <w:rPr>
                <w:rFonts w:ascii="Arial"/>
                <w:sz w:val="21"/>
              </w:rPr>
            </w:pPr>
          </w:p>
        </w:tc>
        <w:tc>
          <w:tcPr>
            <w:tcW w:w="850" w:type="dxa"/>
            <w:vAlign w:val="top"/>
          </w:tcPr>
          <w:p>
            <w:pPr>
              <w:rPr>
                <w:rFonts w:ascii="Arial"/>
                <w:sz w:val="21"/>
              </w:rPr>
            </w:pPr>
          </w:p>
        </w:tc>
        <w:tc>
          <w:tcPr>
            <w:tcW w:w="840" w:type="dxa"/>
            <w:vAlign w:val="top"/>
          </w:tcPr>
          <w:p>
            <w:pPr>
              <w:rPr>
                <w:rFonts w:ascii="Arial"/>
                <w:sz w:val="21"/>
              </w:rPr>
            </w:pPr>
          </w:p>
        </w:tc>
        <w:tc>
          <w:tcPr>
            <w:tcW w:w="1169" w:type="dxa"/>
            <w:vAlign w:val="top"/>
          </w:tcPr>
          <w:p>
            <w:pPr>
              <w:rPr>
                <w:rFonts w:ascii="Arial"/>
                <w:sz w:val="21"/>
              </w:rPr>
            </w:pPr>
          </w:p>
        </w:tc>
        <w:tc>
          <w:tcPr>
            <w:tcW w:w="9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79" w:type="dxa"/>
            <w:vAlign w:val="top"/>
          </w:tcPr>
          <w:p>
            <w:pPr>
              <w:spacing w:before="125" w:line="180" w:lineRule="auto"/>
              <w:ind w:left="289"/>
              <w:rPr>
                <w:rFonts w:ascii="仿宋" w:hAnsi="仿宋" w:eastAsia="仿宋" w:cs="仿宋"/>
                <w:sz w:val="24"/>
                <w:szCs w:val="24"/>
              </w:rPr>
            </w:pPr>
            <w:r>
              <w:rPr>
                <w:rFonts w:ascii="仿宋" w:hAnsi="仿宋" w:eastAsia="仿宋" w:cs="仿宋"/>
                <w:sz w:val="24"/>
                <w:szCs w:val="24"/>
              </w:rPr>
              <w:t>3</w:t>
            </w:r>
          </w:p>
        </w:tc>
        <w:tc>
          <w:tcPr>
            <w:tcW w:w="1900" w:type="dxa"/>
            <w:vAlign w:val="top"/>
          </w:tcPr>
          <w:p>
            <w:pPr>
              <w:pStyle w:val="64"/>
              <w:spacing w:before="38" w:line="221" w:lineRule="auto"/>
              <w:ind w:left="725" w:leftChars="0"/>
              <w:jc w:val="both"/>
            </w:pPr>
            <w:r>
              <w:rPr>
                <w:spacing w:val="-13"/>
              </w:rPr>
              <w:t>……</w:t>
            </w:r>
          </w:p>
        </w:tc>
        <w:tc>
          <w:tcPr>
            <w:tcW w:w="1109" w:type="dxa"/>
            <w:vAlign w:val="top"/>
          </w:tcPr>
          <w:p>
            <w:pPr>
              <w:pStyle w:val="64"/>
              <w:spacing w:before="74" w:line="184" w:lineRule="auto"/>
              <w:ind w:left="517"/>
            </w:pPr>
          </w:p>
        </w:tc>
        <w:tc>
          <w:tcPr>
            <w:tcW w:w="1034" w:type="dxa"/>
            <w:vAlign w:val="top"/>
          </w:tcPr>
          <w:p>
            <w:pPr>
              <w:rPr>
                <w:rFonts w:ascii="Arial"/>
                <w:sz w:val="21"/>
              </w:rPr>
            </w:pPr>
          </w:p>
        </w:tc>
        <w:tc>
          <w:tcPr>
            <w:tcW w:w="710" w:type="dxa"/>
            <w:vAlign w:val="top"/>
          </w:tcPr>
          <w:p>
            <w:pPr>
              <w:rPr>
                <w:rFonts w:ascii="Arial"/>
                <w:sz w:val="21"/>
              </w:rPr>
            </w:pPr>
          </w:p>
        </w:tc>
        <w:tc>
          <w:tcPr>
            <w:tcW w:w="850" w:type="dxa"/>
            <w:vAlign w:val="top"/>
          </w:tcPr>
          <w:p>
            <w:pPr>
              <w:rPr>
                <w:rFonts w:ascii="Arial"/>
                <w:sz w:val="21"/>
              </w:rPr>
            </w:pPr>
          </w:p>
        </w:tc>
        <w:tc>
          <w:tcPr>
            <w:tcW w:w="840" w:type="dxa"/>
            <w:vAlign w:val="top"/>
          </w:tcPr>
          <w:p>
            <w:pPr>
              <w:rPr>
                <w:rFonts w:ascii="Arial"/>
                <w:sz w:val="21"/>
              </w:rPr>
            </w:pPr>
          </w:p>
        </w:tc>
        <w:tc>
          <w:tcPr>
            <w:tcW w:w="1169" w:type="dxa"/>
            <w:vAlign w:val="top"/>
          </w:tcPr>
          <w:p>
            <w:pPr>
              <w:rPr>
                <w:rFonts w:ascii="Arial"/>
                <w:sz w:val="21"/>
              </w:rPr>
            </w:pPr>
          </w:p>
        </w:tc>
        <w:tc>
          <w:tcPr>
            <w:tcW w:w="9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79" w:type="dxa"/>
            <w:vAlign w:val="top"/>
          </w:tcPr>
          <w:p>
            <w:pPr>
              <w:spacing w:before="126" w:line="180" w:lineRule="auto"/>
              <w:ind w:left="283"/>
              <w:rPr>
                <w:rFonts w:ascii="仿宋" w:hAnsi="仿宋" w:eastAsia="仿宋" w:cs="仿宋"/>
                <w:sz w:val="24"/>
                <w:szCs w:val="24"/>
              </w:rPr>
            </w:pPr>
            <w:r>
              <w:rPr>
                <w:rFonts w:ascii="仿宋" w:hAnsi="仿宋" w:eastAsia="仿宋" w:cs="仿宋"/>
                <w:sz w:val="24"/>
                <w:szCs w:val="24"/>
              </w:rPr>
              <w:t>4</w:t>
            </w:r>
          </w:p>
        </w:tc>
        <w:tc>
          <w:tcPr>
            <w:tcW w:w="1900" w:type="dxa"/>
            <w:vAlign w:val="top"/>
          </w:tcPr>
          <w:p>
            <w:pPr>
              <w:pStyle w:val="64"/>
              <w:spacing w:before="40" w:line="221" w:lineRule="auto"/>
              <w:ind w:left="485" w:leftChars="0"/>
              <w:jc w:val="both"/>
            </w:pPr>
          </w:p>
        </w:tc>
        <w:tc>
          <w:tcPr>
            <w:tcW w:w="1109" w:type="dxa"/>
            <w:vAlign w:val="top"/>
          </w:tcPr>
          <w:p>
            <w:pPr>
              <w:pStyle w:val="64"/>
              <w:spacing w:before="76" w:line="184" w:lineRule="auto"/>
              <w:ind w:left="457"/>
            </w:pPr>
          </w:p>
        </w:tc>
        <w:tc>
          <w:tcPr>
            <w:tcW w:w="1034" w:type="dxa"/>
            <w:vAlign w:val="top"/>
          </w:tcPr>
          <w:p>
            <w:pPr>
              <w:rPr>
                <w:rFonts w:ascii="Arial"/>
                <w:sz w:val="21"/>
              </w:rPr>
            </w:pPr>
          </w:p>
        </w:tc>
        <w:tc>
          <w:tcPr>
            <w:tcW w:w="710" w:type="dxa"/>
            <w:vAlign w:val="top"/>
          </w:tcPr>
          <w:p>
            <w:pPr>
              <w:rPr>
                <w:rFonts w:ascii="Arial"/>
                <w:sz w:val="21"/>
              </w:rPr>
            </w:pPr>
          </w:p>
        </w:tc>
        <w:tc>
          <w:tcPr>
            <w:tcW w:w="850" w:type="dxa"/>
            <w:vAlign w:val="top"/>
          </w:tcPr>
          <w:p>
            <w:pPr>
              <w:rPr>
                <w:rFonts w:ascii="Arial"/>
                <w:sz w:val="21"/>
              </w:rPr>
            </w:pPr>
          </w:p>
        </w:tc>
        <w:tc>
          <w:tcPr>
            <w:tcW w:w="840" w:type="dxa"/>
            <w:vAlign w:val="top"/>
          </w:tcPr>
          <w:p>
            <w:pPr>
              <w:rPr>
                <w:rFonts w:ascii="Arial"/>
                <w:sz w:val="21"/>
              </w:rPr>
            </w:pPr>
          </w:p>
        </w:tc>
        <w:tc>
          <w:tcPr>
            <w:tcW w:w="1169" w:type="dxa"/>
            <w:vAlign w:val="top"/>
          </w:tcPr>
          <w:p>
            <w:pPr>
              <w:rPr>
                <w:rFonts w:ascii="Arial"/>
                <w:sz w:val="21"/>
              </w:rPr>
            </w:pPr>
          </w:p>
        </w:tc>
        <w:tc>
          <w:tcPr>
            <w:tcW w:w="9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79" w:type="dxa"/>
            <w:vAlign w:val="top"/>
          </w:tcPr>
          <w:p>
            <w:pPr>
              <w:spacing w:before="128" w:line="179" w:lineRule="auto"/>
              <w:ind w:left="289"/>
              <w:rPr>
                <w:rFonts w:ascii="仿宋" w:hAnsi="仿宋" w:eastAsia="仿宋" w:cs="仿宋"/>
                <w:sz w:val="24"/>
                <w:szCs w:val="24"/>
              </w:rPr>
            </w:pPr>
            <w:r>
              <w:rPr>
                <w:rFonts w:ascii="仿宋" w:hAnsi="仿宋" w:eastAsia="仿宋" w:cs="仿宋"/>
                <w:sz w:val="24"/>
                <w:szCs w:val="24"/>
              </w:rPr>
              <w:t>5</w:t>
            </w:r>
          </w:p>
        </w:tc>
        <w:tc>
          <w:tcPr>
            <w:tcW w:w="1900" w:type="dxa"/>
            <w:vAlign w:val="top"/>
          </w:tcPr>
          <w:p>
            <w:pPr>
              <w:pStyle w:val="64"/>
              <w:spacing w:before="38" w:line="221" w:lineRule="auto"/>
              <w:ind w:left="485" w:leftChars="0"/>
              <w:jc w:val="both"/>
            </w:pPr>
          </w:p>
        </w:tc>
        <w:tc>
          <w:tcPr>
            <w:tcW w:w="1109" w:type="dxa"/>
            <w:vAlign w:val="top"/>
          </w:tcPr>
          <w:p>
            <w:pPr>
              <w:pStyle w:val="64"/>
              <w:spacing w:before="78" w:line="182" w:lineRule="auto"/>
              <w:ind w:left="505"/>
            </w:pPr>
          </w:p>
        </w:tc>
        <w:tc>
          <w:tcPr>
            <w:tcW w:w="1034" w:type="dxa"/>
            <w:vAlign w:val="top"/>
          </w:tcPr>
          <w:p>
            <w:pPr>
              <w:rPr>
                <w:rFonts w:ascii="Arial"/>
                <w:sz w:val="21"/>
              </w:rPr>
            </w:pPr>
          </w:p>
        </w:tc>
        <w:tc>
          <w:tcPr>
            <w:tcW w:w="710" w:type="dxa"/>
            <w:vAlign w:val="top"/>
          </w:tcPr>
          <w:p>
            <w:pPr>
              <w:rPr>
                <w:rFonts w:ascii="Arial"/>
                <w:sz w:val="21"/>
              </w:rPr>
            </w:pPr>
          </w:p>
        </w:tc>
        <w:tc>
          <w:tcPr>
            <w:tcW w:w="850" w:type="dxa"/>
            <w:vAlign w:val="top"/>
          </w:tcPr>
          <w:p>
            <w:pPr>
              <w:rPr>
                <w:rFonts w:ascii="Arial"/>
                <w:sz w:val="21"/>
              </w:rPr>
            </w:pPr>
          </w:p>
        </w:tc>
        <w:tc>
          <w:tcPr>
            <w:tcW w:w="840" w:type="dxa"/>
            <w:vAlign w:val="top"/>
          </w:tcPr>
          <w:p>
            <w:pPr>
              <w:rPr>
                <w:rFonts w:ascii="Arial"/>
                <w:sz w:val="21"/>
              </w:rPr>
            </w:pPr>
          </w:p>
        </w:tc>
        <w:tc>
          <w:tcPr>
            <w:tcW w:w="1169" w:type="dxa"/>
            <w:vAlign w:val="top"/>
          </w:tcPr>
          <w:p>
            <w:pPr>
              <w:rPr>
                <w:rFonts w:ascii="Arial"/>
                <w:sz w:val="21"/>
              </w:rPr>
            </w:pPr>
          </w:p>
        </w:tc>
        <w:tc>
          <w:tcPr>
            <w:tcW w:w="9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579" w:type="dxa"/>
            <w:gridSpan w:val="2"/>
            <w:tcBorders>
              <w:top w:val="single" w:color="auto" w:sz="4" w:space="0"/>
            </w:tcBorders>
            <w:vAlign w:val="top"/>
          </w:tcPr>
          <w:p>
            <w:pPr>
              <w:pStyle w:val="64"/>
              <w:spacing w:before="38" w:line="221" w:lineRule="auto"/>
              <w:ind w:left="636"/>
            </w:pPr>
            <w:r>
              <w:rPr>
                <w:spacing w:val="-4"/>
              </w:rPr>
              <w:t>合</w:t>
            </w:r>
            <w:r>
              <w:rPr>
                <w:spacing w:val="4"/>
              </w:rPr>
              <w:t xml:space="preserve">  </w:t>
            </w:r>
            <w:r>
              <w:rPr>
                <w:spacing w:val="-4"/>
              </w:rPr>
              <w:t>计(元）</w:t>
            </w:r>
          </w:p>
        </w:tc>
        <w:tc>
          <w:tcPr>
            <w:tcW w:w="1109" w:type="dxa"/>
            <w:vAlign w:val="top"/>
          </w:tcPr>
          <w:p>
            <w:pPr>
              <w:pStyle w:val="64"/>
              <w:spacing w:before="76" w:line="183" w:lineRule="auto"/>
              <w:ind w:left="439"/>
            </w:pPr>
          </w:p>
        </w:tc>
        <w:tc>
          <w:tcPr>
            <w:tcW w:w="1034" w:type="dxa"/>
            <w:vAlign w:val="top"/>
          </w:tcPr>
          <w:p>
            <w:pPr>
              <w:rPr>
                <w:rFonts w:ascii="Arial"/>
                <w:sz w:val="21"/>
              </w:rPr>
            </w:pPr>
          </w:p>
        </w:tc>
        <w:tc>
          <w:tcPr>
            <w:tcW w:w="2400" w:type="dxa"/>
            <w:gridSpan w:val="3"/>
            <w:vAlign w:val="top"/>
          </w:tcPr>
          <w:p>
            <w:pPr>
              <w:pStyle w:val="64"/>
              <w:spacing w:before="38" w:line="223" w:lineRule="auto"/>
              <w:ind w:left="1139"/>
            </w:pPr>
            <w:r>
              <w:t>∕</w:t>
            </w:r>
          </w:p>
        </w:tc>
        <w:tc>
          <w:tcPr>
            <w:tcW w:w="1169" w:type="dxa"/>
            <w:vAlign w:val="top"/>
          </w:tcPr>
          <w:p>
            <w:pPr>
              <w:rPr>
                <w:rFonts w:ascii="Arial"/>
                <w:sz w:val="21"/>
              </w:rPr>
            </w:pPr>
          </w:p>
        </w:tc>
        <w:tc>
          <w:tcPr>
            <w:tcW w:w="9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9225" w:type="dxa"/>
            <w:gridSpan w:val="9"/>
            <w:vAlign w:val="top"/>
          </w:tcPr>
          <w:p>
            <w:pPr>
              <w:pStyle w:val="64"/>
              <w:spacing w:before="35" w:line="227" w:lineRule="auto"/>
              <w:ind w:left="117"/>
              <w:rPr>
                <w:sz w:val="20"/>
                <w:szCs w:val="20"/>
              </w:rPr>
            </w:pPr>
            <w:r>
              <w:rPr>
                <w:spacing w:val="5"/>
                <w:sz w:val="20"/>
                <w:szCs w:val="20"/>
              </w:rPr>
              <w:t>合计人民币（总价</w:t>
            </w:r>
            <w:r>
              <w:rPr>
                <w:spacing w:val="20"/>
                <w:sz w:val="20"/>
                <w:szCs w:val="20"/>
              </w:rPr>
              <w:t>）：</w:t>
            </w:r>
            <w:r>
              <w:rPr>
                <w:spacing w:val="5"/>
                <w:sz w:val="20"/>
                <w:szCs w:val="20"/>
              </w:rPr>
              <w:t>大写：</w:t>
            </w:r>
            <w:r>
              <w:rPr>
                <w:spacing w:val="1"/>
                <w:sz w:val="20"/>
                <w:szCs w:val="20"/>
              </w:rPr>
              <w:t xml:space="preserve">                       </w:t>
            </w:r>
            <w:r>
              <w:rPr>
                <w:spacing w:val="5"/>
                <w:sz w:val="20"/>
                <w:szCs w:val="20"/>
              </w:rPr>
              <w:t>小写：</w:t>
            </w:r>
          </w:p>
          <w:p>
            <w:pPr>
              <w:pStyle w:val="64"/>
              <w:spacing w:before="267" w:line="218" w:lineRule="auto"/>
              <w:ind w:left="5795"/>
              <w:rPr>
                <w:sz w:val="20"/>
                <w:szCs w:val="20"/>
              </w:rPr>
            </w:pPr>
            <w:r>
              <w:rPr>
                <w:spacing w:val="8"/>
                <w:sz w:val="20"/>
                <w:szCs w:val="20"/>
              </w:rPr>
              <w:t>（商务报价小数点后保留两位小数）</w:t>
            </w:r>
          </w:p>
        </w:tc>
      </w:tr>
    </w:tbl>
    <w:p>
      <w:pPr>
        <w:spacing w:before="31" w:line="228" w:lineRule="auto"/>
        <w:ind w:left="24"/>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附注</w:t>
      </w:r>
    </w:p>
    <w:p>
      <w:pPr>
        <w:spacing w:before="161" w:line="227" w:lineRule="auto"/>
        <w:ind w:left="24"/>
        <w:rPr>
          <w:rFonts w:ascii="宋体" w:hAnsi="宋体" w:eastAsia="宋体" w:cs="宋体"/>
          <w:sz w:val="20"/>
          <w:szCs w:val="20"/>
        </w:rPr>
      </w:pPr>
      <w:r>
        <w:rPr>
          <w:rFonts w:ascii="宋体" w:hAnsi="宋体" w:eastAsia="宋体" w:cs="宋体"/>
          <w:spacing w:val="9"/>
          <w:sz w:val="20"/>
          <w:szCs w:val="20"/>
        </w:rPr>
        <w:t>1.此表为配置服务人员费用的报价明细表，投标人可视人员配置情况</w:t>
      </w:r>
      <w:r>
        <w:rPr>
          <w:rFonts w:ascii="宋体" w:hAnsi="宋体" w:eastAsia="宋体" w:cs="宋体"/>
          <w:spacing w:val="8"/>
          <w:sz w:val="20"/>
          <w:szCs w:val="20"/>
        </w:rPr>
        <w:t>补充分项内容。</w:t>
      </w:r>
    </w:p>
    <w:p>
      <w:pPr>
        <w:spacing w:before="165" w:line="408" w:lineRule="exact"/>
        <w:ind w:left="11"/>
        <w:rPr>
          <w:rFonts w:ascii="宋体" w:hAnsi="宋体" w:eastAsia="宋体" w:cs="宋体"/>
          <w:sz w:val="20"/>
          <w:szCs w:val="20"/>
        </w:rPr>
      </w:pPr>
      <w:r>
        <w:rPr>
          <w:rFonts w:ascii="宋体" w:hAnsi="宋体" w:eastAsia="宋体" w:cs="宋体"/>
          <w:spacing w:val="8"/>
          <w:position w:val="15"/>
          <w:sz w:val="20"/>
          <w:szCs w:val="20"/>
        </w:rPr>
        <w:t>2. 合计价应与附件15《报价明细表》中的人员费用的每月报价相符。</w:t>
      </w:r>
    </w:p>
    <w:p>
      <w:pPr>
        <w:spacing w:before="1" w:line="227" w:lineRule="auto"/>
        <w:ind w:left="12"/>
        <w:rPr>
          <w:rFonts w:ascii="宋体" w:hAnsi="宋体" w:eastAsia="宋体" w:cs="宋体"/>
          <w:sz w:val="20"/>
          <w:szCs w:val="20"/>
        </w:rPr>
      </w:pPr>
      <w:r>
        <w:rPr>
          <w:rFonts w:ascii="宋体" w:hAnsi="宋体" w:eastAsia="宋体" w:cs="宋体"/>
          <w:spacing w:val="8"/>
          <w:sz w:val="20"/>
          <w:szCs w:val="20"/>
        </w:rPr>
        <w:t>3. 每人每月工资不得低于台州市企业职工最低工资标准。</w:t>
      </w:r>
    </w:p>
    <w:p>
      <w:pPr>
        <w:spacing w:before="161" w:line="228" w:lineRule="auto"/>
        <w:ind w:left="7"/>
        <w:rPr>
          <w:rFonts w:ascii="宋体" w:hAnsi="宋体" w:eastAsia="宋体" w:cs="宋体"/>
          <w:sz w:val="20"/>
          <w:szCs w:val="20"/>
        </w:rPr>
      </w:pPr>
      <w:r>
        <w:rPr>
          <w:rFonts w:ascii="宋体" w:hAnsi="宋体" w:eastAsia="宋体" w:cs="宋体"/>
          <w:spacing w:val="9"/>
          <w:sz w:val="20"/>
          <w:szCs w:val="20"/>
        </w:rPr>
        <w:t>4. 社保等费用指企业按国家规定必须为服务人员支付的社会保险费用及其他应付费用。</w:t>
      </w:r>
    </w:p>
    <w:p>
      <w:pPr>
        <w:spacing w:before="166" w:line="480" w:lineRule="auto"/>
        <w:ind w:left="12"/>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pPr>
        <w:spacing w:line="220" w:lineRule="auto"/>
        <w:ind w:left="12"/>
        <w:rPr>
          <w:rFonts w:ascii="宋体" w:hAnsi="宋体" w:eastAsia="宋体" w:cs="宋体"/>
          <w:sz w:val="24"/>
          <w:szCs w:val="24"/>
        </w:rPr>
      </w:pPr>
      <w:r>
        <w:rPr>
          <w:rFonts w:ascii="宋体" w:hAnsi="宋体" w:eastAsia="宋体" w:cs="宋体"/>
          <w:spacing w:val="-2"/>
          <w:sz w:val="24"/>
          <w:szCs w:val="24"/>
        </w:rPr>
        <w:t>投标人代表签字：</w:t>
      </w:r>
      <w:r>
        <w:rPr>
          <w:rFonts w:ascii="宋体" w:hAnsi="宋体" w:eastAsia="宋体" w:cs="宋体"/>
          <w:sz w:val="24"/>
          <w:szCs w:val="24"/>
          <w:u w:val="single" w:color="auto"/>
        </w:rPr>
        <w:t xml:space="preserve">                         </w:t>
      </w:r>
    </w:p>
    <w:p>
      <w:pPr>
        <w:pStyle w:val="10"/>
        <w:spacing w:line="256" w:lineRule="auto"/>
      </w:pPr>
    </w:p>
    <w:p>
      <w:pPr>
        <w:spacing w:before="78" w:line="220" w:lineRule="auto"/>
        <w:ind w:left="10"/>
        <w:rPr>
          <w:rFonts w:ascii="宋体" w:hAnsi="宋体" w:eastAsia="宋体" w:cs="宋体"/>
          <w:sz w:val="24"/>
          <w:szCs w:val="24"/>
        </w:rPr>
      </w:pPr>
      <w:r>
        <w:rPr>
          <w:rFonts w:ascii="宋体" w:hAnsi="宋体" w:eastAsia="宋体" w:cs="宋体"/>
          <w:spacing w:val="-5"/>
          <w:sz w:val="24"/>
          <w:szCs w:val="24"/>
        </w:rPr>
        <w:t>职</w:t>
      </w:r>
      <w:r>
        <w:rPr>
          <w:rFonts w:ascii="宋体" w:hAnsi="宋体" w:eastAsia="宋体" w:cs="宋体"/>
          <w:spacing w:val="2"/>
          <w:sz w:val="24"/>
          <w:szCs w:val="24"/>
        </w:rPr>
        <w:t xml:space="preserve">        </w:t>
      </w:r>
      <w:r>
        <w:rPr>
          <w:rFonts w:ascii="宋体" w:hAnsi="宋体" w:eastAsia="宋体" w:cs="宋体"/>
          <w:spacing w:val="-5"/>
          <w:sz w:val="24"/>
          <w:szCs w:val="24"/>
        </w:rPr>
        <w:t>务：</w:t>
      </w:r>
      <w:r>
        <w:rPr>
          <w:rFonts w:ascii="宋体" w:hAnsi="宋体" w:eastAsia="宋体" w:cs="宋体"/>
          <w:spacing w:val="-5"/>
          <w:sz w:val="24"/>
          <w:szCs w:val="24"/>
          <w:u w:val="single" w:color="auto"/>
        </w:rPr>
        <w:t xml:space="preserve">                            </w:t>
      </w:r>
    </w:p>
    <w:p>
      <w:pPr>
        <w:pStyle w:val="10"/>
        <w:spacing w:line="258" w:lineRule="auto"/>
      </w:pPr>
    </w:p>
    <w:p>
      <w:pPr>
        <w:spacing w:before="78" w:line="221" w:lineRule="auto"/>
        <w:ind w:left="51"/>
        <w:rPr>
          <w:rFonts w:ascii="宋体" w:hAnsi="宋体" w:eastAsia="宋体" w:cs="宋体"/>
          <w:sz w:val="24"/>
          <w:szCs w:val="24"/>
        </w:rPr>
      </w:pPr>
      <w:r>
        <w:rPr>
          <w:rFonts w:ascii="宋体" w:hAnsi="宋体" w:eastAsia="宋体" w:cs="宋体"/>
          <w:spacing w:val="-22"/>
          <w:sz w:val="24"/>
          <w:szCs w:val="24"/>
        </w:rPr>
        <w:t>日</w:t>
      </w:r>
      <w:r>
        <w:rPr>
          <w:rFonts w:ascii="宋体" w:hAnsi="宋体" w:eastAsia="宋体" w:cs="宋体"/>
          <w:spacing w:val="1"/>
          <w:sz w:val="24"/>
          <w:szCs w:val="24"/>
        </w:rPr>
        <w:t xml:space="preserve">        </w:t>
      </w:r>
      <w:r>
        <w:rPr>
          <w:rFonts w:ascii="宋体" w:hAnsi="宋体" w:eastAsia="宋体" w:cs="宋体"/>
          <w:spacing w:val="-22"/>
          <w:sz w:val="24"/>
          <w:szCs w:val="24"/>
        </w:rPr>
        <w:t>期：</w:t>
      </w:r>
      <w:r>
        <w:rPr>
          <w:rFonts w:ascii="宋体" w:hAnsi="宋体" w:eastAsia="宋体" w:cs="宋体"/>
          <w:sz w:val="24"/>
          <w:szCs w:val="24"/>
          <w:u w:val="single" w:color="auto"/>
        </w:rPr>
        <w:t xml:space="preserve">                            </w:t>
      </w:r>
    </w:p>
    <w:p>
      <w:pPr>
        <w:spacing w:line="221" w:lineRule="auto"/>
        <w:rPr>
          <w:rFonts w:ascii="宋体" w:hAnsi="宋体" w:eastAsia="宋体" w:cs="宋体"/>
          <w:sz w:val="24"/>
          <w:szCs w:val="24"/>
        </w:rPr>
        <w:sectPr>
          <w:headerReference r:id="rId11" w:type="default"/>
          <w:footerReference r:id="rId12" w:type="default"/>
          <w:pgSz w:w="11906" w:h="16839"/>
          <w:pgMar w:top="1066" w:right="1214" w:bottom="1007" w:left="1418" w:header="878" w:footer="847" w:gutter="0"/>
          <w:cols w:space="720" w:num="1"/>
        </w:sectPr>
      </w:pPr>
    </w:p>
    <w:p>
      <w:pPr>
        <w:pStyle w:val="10"/>
        <w:spacing w:line="265" w:lineRule="auto"/>
      </w:pPr>
    </w:p>
    <w:p>
      <w:pPr>
        <w:pStyle w:val="10"/>
        <w:spacing w:line="265" w:lineRule="auto"/>
      </w:pPr>
    </w:p>
    <w:p>
      <w:pPr>
        <w:pStyle w:val="10"/>
        <w:spacing w:line="265" w:lineRule="auto"/>
      </w:pPr>
    </w:p>
    <w:p>
      <w:pPr>
        <w:spacing w:before="91" w:line="220" w:lineRule="auto"/>
        <w:ind w:left="472"/>
        <w:rPr>
          <w:rFonts w:ascii="宋体" w:hAnsi="宋体" w:eastAsia="宋体" w:cs="宋体"/>
          <w:sz w:val="28"/>
          <w:szCs w:val="28"/>
        </w:rPr>
      </w:pPr>
      <w:r>
        <w:rPr>
          <w:rFonts w:ascii="宋体" w:hAnsi="宋体" w:eastAsia="宋体" w:cs="宋体"/>
          <w:spacing w:val="-16"/>
          <w:sz w:val="28"/>
          <w:szCs w:val="28"/>
          <w14:textOutline w14:w="5103" w14:cap="sq" w14:cmpd="sng">
            <w14:solidFill>
              <w14:srgbClr w14:val="000000"/>
            </w14:solidFill>
            <w14:prstDash w14:val="solid"/>
            <w14:bevel/>
          </w14:textOutline>
        </w:rPr>
        <w:t>附件</w:t>
      </w:r>
      <w:r>
        <w:rPr>
          <w:rFonts w:ascii="宋体" w:hAnsi="宋体" w:eastAsia="宋体" w:cs="宋体"/>
          <w:spacing w:val="-37"/>
          <w:sz w:val="28"/>
          <w:szCs w:val="28"/>
        </w:rPr>
        <w:t xml:space="preserve"> </w:t>
      </w:r>
      <w:r>
        <w:rPr>
          <w:rFonts w:ascii="宋体" w:hAnsi="宋体" w:eastAsia="宋体" w:cs="宋体"/>
          <w:spacing w:val="-16"/>
          <w:sz w:val="28"/>
          <w:szCs w:val="28"/>
          <w14:textOutline w14:w="5103" w14:cap="sq" w14:cmpd="sng">
            <w14:solidFill>
              <w14:srgbClr w14:val="000000"/>
            </w14:solidFill>
            <w14:prstDash w14:val="solid"/>
            <w14:bevel/>
          </w14:textOutline>
        </w:rPr>
        <w:t>16</w:t>
      </w:r>
    </w:p>
    <w:p>
      <w:pPr>
        <w:spacing w:before="62" w:line="490" w:lineRule="exact"/>
        <w:ind w:left="2291"/>
        <w:rPr>
          <w:rFonts w:ascii="宋体" w:hAnsi="宋体" w:eastAsia="宋体" w:cs="宋体"/>
          <w:sz w:val="28"/>
          <w:szCs w:val="28"/>
        </w:rPr>
      </w:pPr>
      <w:r>
        <w:rPr>
          <w:rFonts w:ascii="宋体" w:hAnsi="宋体" w:eastAsia="宋体" w:cs="宋体"/>
          <w:position w:val="15"/>
          <w:sz w:val="28"/>
          <w:szCs w:val="28"/>
          <w14:textOutline w14:w="5103" w14:cap="sq" w14:cmpd="sng">
            <w14:solidFill>
              <w14:srgbClr w14:val="000000"/>
            </w14:solidFill>
            <w14:prstDash w14:val="solid"/>
            <w14:bevel/>
          </w14:textOutline>
        </w:rPr>
        <w:t>设备机械、器材、工具物资配备清单</w:t>
      </w:r>
    </w:p>
    <w:p>
      <w:pPr>
        <w:spacing w:line="225" w:lineRule="auto"/>
        <w:ind w:left="4189"/>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(标项</w:t>
      </w:r>
      <w:r>
        <w:rPr>
          <w:rFonts w:ascii="宋体" w:hAnsi="宋体" w:eastAsia="宋体" w:cs="宋体"/>
          <w:spacing w:val="11"/>
          <w:sz w:val="31"/>
          <w:szCs w:val="31"/>
        </w:rPr>
        <w:t xml:space="preserve">   </w:t>
      </w:r>
      <w:r>
        <w:rPr>
          <w:rFonts w:ascii="宋体" w:hAnsi="宋体" w:eastAsia="宋体" w:cs="宋体"/>
          <w:spacing w:val="-11"/>
          <w:sz w:val="31"/>
          <w:szCs w:val="31"/>
          <w14:textOutline w14:w="5793" w14:cap="sq" w14:cmpd="sng">
            <w14:solidFill>
              <w14:srgbClr w14:val="000000"/>
            </w14:solidFill>
            <w14:prstDash w14:val="solid"/>
            <w14:bevel/>
          </w14:textOutline>
        </w:rPr>
        <w:t>)</w:t>
      </w:r>
    </w:p>
    <w:p>
      <w:pPr>
        <w:spacing w:before="308" w:line="220" w:lineRule="auto"/>
        <w:ind w:left="258"/>
        <w:rPr>
          <w:rFonts w:ascii="宋体" w:hAnsi="宋体" w:eastAsia="宋体" w:cs="宋体"/>
          <w:sz w:val="24"/>
          <w:szCs w:val="24"/>
        </w:rPr>
      </w:pPr>
      <w:r>
        <w:rPr>
          <w:rFonts w:ascii="宋体" w:hAnsi="宋体" w:eastAsia="宋体" w:cs="宋体"/>
          <w:spacing w:val="-3"/>
          <w:sz w:val="24"/>
          <w:szCs w:val="24"/>
        </w:rPr>
        <w:t>项目编号：</w:t>
      </w:r>
    </w:p>
    <w:p>
      <w:pPr>
        <w:spacing w:before="64"/>
      </w:pPr>
    </w:p>
    <w:tbl>
      <w:tblPr>
        <w:tblStyle w:val="65"/>
        <w:tblW w:w="86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964"/>
        <w:gridCol w:w="911"/>
        <w:gridCol w:w="1700"/>
        <w:gridCol w:w="1133"/>
        <w:gridCol w:w="992"/>
        <w:gridCol w:w="1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30" w:type="dxa"/>
            <w:textDirection w:val="tbRlV"/>
            <w:vAlign w:val="top"/>
          </w:tcPr>
          <w:p>
            <w:pPr>
              <w:pStyle w:val="64"/>
              <w:spacing w:before="176" w:line="210" w:lineRule="auto"/>
              <w:ind w:left="39"/>
            </w:pPr>
            <w:r>
              <w:rPr>
                <w14:textOutline w14:w="4358" w14:cap="sq" w14:cmpd="sng">
                  <w14:solidFill>
                    <w14:srgbClr w14:val="000000"/>
                  </w14:solidFill>
                  <w14:prstDash w14:val="solid"/>
                  <w14:bevel/>
                </w14:textOutline>
              </w:rPr>
              <w:t>序</w:t>
            </w:r>
            <w:r>
              <w:rPr>
                <w:spacing w:val="105"/>
              </w:rPr>
              <w:t xml:space="preserve"> </w:t>
            </w:r>
            <w:r>
              <w:rPr>
                <w14:textOutline w14:w="4358" w14:cap="sq" w14:cmpd="sng">
                  <w14:solidFill>
                    <w14:srgbClr w14:val="000000"/>
                  </w14:solidFill>
                  <w14:prstDash w14:val="solid"/>
                  <w14:bevel/>
                </w14:textOutline>
              </w:rPr>
              <w:t>号</w:t>
            </w:r>
          </w:p>
        </w:tc>
        <w:tc>
          <w:tcPr>
            <w:tcW w:w="1964" w:type="dxa"/>
            <w:vAlign w:val="top"/>
          </w:tcPr>
          <w:p>
            <w:pPr>
              <w:pStyle w:val="64"/>
              <w:spacing w:before="272" w:line="222" w:lineRule="auto"/>
              <w:ind w:left="915"/>
            </w:pPr>
            <w:r>
              <w:rPr>
                <w:spacing w:val="-7"/>
                <w14:textOutline w14:w="4358" w14:cap="sq" w14:cmpd="sng">
                  <w14:solidFill>
                    <w14:srgbClr w14:val="000000"/>
                  </w14:solidFill>
                  <w14:prstDash w14:val="solid"/>
                  <w14:bevel/>
                </w14:textOutline>
              </w:rPr>
              <w:t>名称</w:t>
            </w:r>
          </w:p>
        </w:tc>
        <w:tc>
          <w:tcPr>
            <w:tcW w:w="911" w:type="dxa"/>
            <w:vAlign w:val="top"/>
          </w:tcPr>
          <w:p>
            <w:pPr>
              <w:pStyle w:val="64"/>
              <w:spacing w:before="272" w:line="220" w:lineRule="auto"/>
              <w:ind w:left="225"/>
            </w:pPr>
            <w:r>
              <w:rPr>
                <w:spacing w:val="-15"/>
                <w14:textOutline w14:w="4358" w14:cap="sq" w14:cmpd="sng">
                  <w14:solidFill>
                    <w14:srgbClr w14:val="000000"/>
                  </w14:solidFill>
                  <w14:prstDash w14:val="solid"/>
                  <w14:bevel/>
                </w14:textOutline>
              </w:rPr>
              <w:t>品牌</w:t>
            </w:r>
          </w:p>
        </w:tc>
        <w:tc>
          <w:tcPr>
            <w:tcW w:w="1700" w:type="dxa"/>
            <w:vAlign w:val="top"/>
          </w:tcPr>
          <w:p>
            <w:pPr>
              <w:pStyle w:val="64"/>
              <w:spacing w:before="272" w:line="220" w:lineRule="auto"/>
              <w:ind w:left="363"/>
            </w:pPr>
            <w:r>
              <w:rPr>
                <w:spacing w:val="-2"/>
                <w14:textOutline w14:w="4358" w14:cap="sq" w14:cmpd="sng">
                  <w14:solidFill>
                    <w14:srgbClr w14:val="000000"/>
                  </w14:solidFill>
                  <w14:prstDash w14:val="solid"/>
                  <w14:bevel/>
                </w14:textOutline>
              </w:rPr>
              <w:t>规格型号</w:t>
            </w:r>
          </w:p>
        </w:tc>
        <w:tc>
          <w:tcPr>
            <w:tcW w:w="1133" w:type="dxa"/>
            <w:vAlign w:val="top"/>
          </w:tcPr>
          <w:p>
            <w:pPr>
              <w:pStyle w:val="64"/>
              <w:spacing w:before="272" w:line="220" w:lineRule="auto"/>
              <w:ind w:left="359"/>
            </w:pPr>
            <w:r>
              <w:rPr>
                <w:spacing w:val="-5"/>
                <w14:textOutline w14:w="4358" w14:cap="sq" w14:cmpd="sng">
                  <w14:solidFill>
                    <w14:srgbClr w14:val="000000"/>
                  </w14:solidFill>
                  <w14:prstDash w14:val="solid"/>
                  <w14:bevel/>
                </w14:textOutline>
              </w:rPr>
              <w:t>产地</w:t>
            </w:r>
          </w:p>
        </w:tc>
        <w:tc>
          <w:tcPr>
            <w:tcW w:w="992" w:type="dxa"/>
            <w:vAlign w:val="top"/>
          </w:tcPr>
          <w:p>
            <w:pPr>
              <w:pStyle w:val="64"/>
              <w:spacing w:before="272" w:line="220" w:lineRule="auto"/>
              <w:ind w:left="339"/>
            </w:pPr>
            <w:r>
              <w:rPr>
                <w:spacing w:val="-6"/>
                <w14:textOutline w14:w="4358" w14:cap="sq" w14:cmpd="sng">
                  <w14:solidFill>
                    <w14:srgbClr w14:val="000000"/>
                  </w14:solidFill>
                  <w14:prstDash w14:val="solid"/>
                  <w14:bevel/>
                </w14:textOutline>
              </w:rPr>
              <w:t>数量</w:t>
            </w:r>
          </w:p>
        </w:tc>
        <w:tc>
          <w:tcPr>
            <w:tcW w:w="1421" w:type="dxa"/>
            <w:vAlign w:val="top"/>
          </w:tcPr>
          <w:p>
            <w:pPr>
              <w:pStyle w:val="64"/>
              <w:spacing w:before="39" w:line="220" w:lineRule="auto"/>
              <w:ind w:left="261"/>
            </w:pPr>
            <w:r>
              <w:rPr>
                <w:spacing w:val="-2"/>
                <w14:textOutline w14:w="4358" w14:cap="sq" w14:cmpd="sng">
                  <w14:solidFill>
                    <w14:srgbClr w14:val="000000"/>
                  </w14:solidFill>
                  <w14:prstDash w14:val="solid"/>
                  <w14:bevel/>
                </w14:textOutline>
              </w:rPr>
              <w:t>技术指标</w:t>
            </w:r>
          </w:p>
          <w:p>
            <w:pPr>
              <w:pStyle w:val="64"/>
              <w:spacing w:before="179" w:line="220" w:lineRule="auto"/>
              <w:ind w:left="383"/>
            </w:pPr>
            <w:r>
              <w:rPr>
                <w:spacing w:val="-3"/>
                <w14:textOutline w14:w="4358" w14:cap="sq" w14:cmpd="sng">
                  <w14:solidFill>
                    <w14:srgbClr w14:val="000000"/>
                  </w14:solidFill>
                  <w14:prstDash w14:val="solid"/>
                  <w14:bevel/>
                </w14:textOutline>
              </w:rPr>
              <w:t>和参数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30" w:type="dxa"/>
            <w:vAlign w:val="top"/>
          </w:tcPr>
          <w:p>
            <w:pPr>
              <w:rPr>
                <w:rFonts w:ascii="Arial"/>
                <w:sz w:val="21"/>
              </w:rPr>
            </w:pPr>
          </w:p>
        </w:tc>
        <w:tc>
          <w:tcPr>
            <w:tcW w:w="1964" w:type="dxa"/>
            <w:vAlign w:val="top"/>
          </w:tcPr>
          <w:p>
            <w:pPr>
              <w:rPr>
                <w:rFonts w:ascii="Arial"/>
                <w:sz w:val="21"/>
              </w:rPr>
            </w:pPr>
          </w:p>
        </w:tc>
        <w:tc>
          <w:tcPr>
            <w:tcW w:w="911" w:type="dxa"/>
            <w:vAlign w:val="top"/>
          </w:tcPr>
          <w:p>
            <w:pPr>
              <w:rPr>
                <w:rFonts w:ascii="Arial"/>
                <w:sz w:val="21"/>
              </w:rPr>
            </w:pPr>
          </w:p>
        </w:tc>
        <w:tc>
          <w:tcPr>
            <w:tcW w:w="1700" w:type="dxa"/>
            <w:vAlign w:val="top"/>
          </w:tcPr>
          <w:p>
            <w:pPr>
              <w:rPr>
                <w:rFonts w:ascii="Arial"/>
                <w:sz w:val="21"/>
              </w:rPr>
            </w:pPr>
          </w:p>
        </w:tc>
        <w:tc>
          <w:tcPr>
            <w:tcW w:w="1133" w:type="dxa"/>
            <w:vAlign w:val="top"/>
          </w:tcPr>
          <w:p>
            <w:pPr>
              <w:rPr>
                <w:rFonts w:ascii="Arial"/>
                <w:sz w:val="21"/>
              </w:rPr>
            </w:pPr>
          </w:p>
        </w:tc>
        <w:tc>
          <w:tcPr>
            <w:tcW w:w="992"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30" w:type="dxa"/>
            <w:vAlign w:val="top"/>
          </w:tcPr>
          <w:p>
            <w:pPr>
              <w:rPr>
                <w:rFonts w:ascii="Arial"/>
                <w:sz w:val="21"/>
              </w:rPr>
            </w:pPr>
          </w:p>
        </w:tc>
        <w:tc>
          <w:tcPr>
            <w:tcW w:w="1964" w:type="dxa"/>
            <w:vAlign w:val="top"/>
          </w:tcPr>
          <w:p>
            <w:pPr>
              <w:rPr>
                <w:rFonts w:ascii="Arial"/>
                <w:sz w:val="21"/>
              </w:rPr>
            </w:pPr>
          </w:p>
        </w:tc>
        <w:tc>
          <w:tcPr>
            <w:tcW w:w="911" w:type="dxa"/>
            <w:vAlign w:val="top"/>
          </w:tcPr>
          <w:p>
            <w:pPr>
              <w:rPr>
                <w:rFonts w:ascii="Arial"/>
                <w:sz w:val="21"/>
              </w:rPr>
            </w:pPr>
          </w:p>
        </w:tc>
        <w:tc>
          <w:tcPr>
            <w:tcW w:w="1700" w:type="dxa"/>
            <w:vAlign w:val="top"/>
          </w:tcPr>
          <w:p>
            <w:pPr>
              <w:rPr>
                <w:rFonts w:ascii="Arial"/>
                <w:sz w:val="21"/>
              </w:rPr>
            </w:pPr>
          </w:p>
        </w:tc>
        <w:tc>
          <w:tcPr>
            <w:tcW w:w="1133" w:type="dxa"/>
            <w:vAlign w:val="top"/>
          </w:tcPr>
          <w:p>
            <w:pPr>
              <w:rPr>
                <w:rFonts w:ascii="Arial"/>
                <w:sz w:val="21"/>
              </w:rPr>
            </w:pPr>
          </w:p>
        </w:tc>
        <w:tc>
          <w:tcPr>
            <w:tcW w:w="992"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30" w:type="dxa"/>
            <w:vAlign w:val="top"/>
          </w:tcPr>
          <w:p>
            <w:pPr>
              <w:rPr>
                <w:rFonts w:ascii="Arial"/>
                <w:sz w:val="21"/>
              </w:rPr>
            </w:pPr>
          </w:p>
        </w:tc>
        <w:tc>
          <w:tcPr>
            <w:tcW w:w="1964" w:type="dxa"/>
            <w:vAlign w:val="top"/>
          </w:tcPr>
          <w:p>
            <w:pPr>
              <w:rPr>
                <w:rFonts w:ascii="Arial"/>
                <w:sz w:val="21"/>
              </w:rPr>
            </w:pPr>
          </w:p>
        </w:tc>
        <w:tc>
          <w:tcPr>
            <w:tcW w:w="911" w:type="dxa"/>
            <w:vAlign w:val="top"/>
          </w:tcPr>
          <w:p>
            <w:pPr>
              <w:rPr>
                <w:rFonts w:ascii="Arial"/>
                <w:sz w:val="21"/>
              </w:rPr>
            </w:pPr>
          </w:p>
        </w:tc>
        <w:tc>
          <w:tcPr>
            <w:tcW w:w="1700" w:type="dxa"/>
            <w:vAlign w:val="top"/>
          </w:tcPr>
          <w:p>
            <w:pPr>
              <w:rPr>
                <w:rFonts w:ascii="Arial"/>
                <w:sz w:val="21"/>
              </w:rPr>
            </w:pPr>
          </w:p>
        </w:tc>
        <w:tc>
          <w:tcPr>
            <w:tcW w:w="1133" w:type="dxa"/>
            <w:vAlign w:val="top"/>
          </w:tcPr>
          <w:p>
            <w:pPr>
              <w:rPr>
                <w:rFonts w:ascii="Arial"/>
                <w:sz w:val="21"/>
              </w:rPr>
            </w:pPr>
          </w:p>
        </w:tc>
        <w:tc>
          <w:tcPr>
            <w:tcW w:w="992"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30" w:type="dxa"/>
            <w:vAlign w:val="top"/>
          </w:tcPr>
          <w:p>
            <w:pPr>
              <w:rPr>
                <w:rFonts w:ascii="Arial"/>
                <w:sz w:val="21"/>
              </w:rPr>
            </w:pPr>
          </w:p>
        </w:tc>
        <w:tc>
          <w:tcPr>
            <w:tcW w:w="1964" w:type="dxa"/>
            <w:vAlign w:val="top"/>
          </w:tcPr>
          <w:p>
            <w:pPr>
              <w:rPr>
                <w:rFonts w:ascii="Arial"/>
                <w:sz w:val="21"/>
              </w:rPr>
            </w:pPr>
          </w:p>
        </w:tc>
        <w:tc>
          <w:tcPr>
            <w:tcW w:w="911" w:type="dxa"/>
            <w:vAlign w:val="top"/>
          </w:tcPr>
          <w:p>
            <w:pPr>
              <w:rPr>
                <w:rFonts w:ascii="Arial"/>
                <w:sz w:val="21"/>
              </w:rPr>
            </w:pPr>
          </w:p>
        </w:tc>
        <w:tc>
          <w:tcPr>
            <w:tcW w:w="1700" w:type="dxa"/>
            <w:vAlign w:val="top"/>
          </w:tcPr>
          <w:p>
            <w:pPr>
              <w:rPr>
                <w:rFonts w:ascii="Arial"/>
                <w:sz w:val="21"/>
              </w:rPr>
            </w:pPr>
          </w:p>
        </w:tc>
        <w:tc>
          <w:tcPr>
            <w:tcW w:w="1133" w:type="dxa"/>
            <w:vAlign w:val="top"/>
          </w:tcPr>
          <w:p>
            <w:pPr>
              <w:rPr>
                <w:rFonts w:ascii="Arial"/>
                <w:sz w:val="21"/>
              </w:rPr>
            </w:pPr>
          </w:p>
        </w:tc>
        <w:tc>
          <w:tcPr>
            <w:tcW w:w="992"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30" w:type="dxa"/>
            <w:vAlign w:val="top"/>
          </w:tcPr>
          <w:p>
            <w:pPr>
              <w:rPr>
                <w:rFonts w:ascii="Arial"/>
                <w:sz w:val="21"/>
              </w:rPr>
            </w:pPr>
          </w:p>
        </w:tc>
        <w:tc>
          <w:tcPr>
            <w:tcW w:w="1964" w:type="dxa"/>
            <w:vAlign w:val="top"/>
          </w:tcPr>
          <w:p>
            <w:pPr>
              <w:rPr>
                <w:rFonts w:ascii="Arial"/>
                <w:sz w:val="21"/>
              </w:rPr>
            </w:pPr>
          </w:p>
        </w:tc>
        <w:tc>
          <w:tcPr>
            <w:tcW w:w="911" w:type="dxa"/>
            <w:vAlign w:val="top"/>
          </w:tcPr>
          <w:p>
            <w:pPr>
              <w:rPr>
                <w:rFonts w:ascii="Arial"/>
                <w:sz w:val="21"/>
              </w:rPr>
            </w:pPr>
          </w:p>
        </w:tc>
        <w:tc>
          <w:tcPr>
            <w:tcW w:w="1700" w:type="dxa"/>
            <w:vAlign w:val="top"/>
          </w:tcPr>
          <w:p>
            <w:pPr>
              <w:rPr>
                <w:rFonts w:ascii="Arial"/>
                <w:sz w:val="21"/>
              </w:rPr>
            </w:pPr>
          </w:p>
        </w:tc>
        <w:tc>
          <w:tcPr>
            <w:tcW w:w="1133" w:type="dxa"/>
            <w:vAlign w:val="top"/>
          </w:tcPr>
          <w:p>
            <w:pPr>
              <w:rPr>
                <w:rFonts w:ascii="Arial"/>
                <w:sz w:val="21"/>
              </w:rPr>
            </w:pPr>
          </w:p>
        </w:tc>
        <w:tc>
          <w:tcPr>
            <w:tcW w:w="992"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30" w:type="dxa"/>
            <w:vAlign w:val="top"/>
          </w:tcPr>
          <w:p>
            <w:pPr>
              <w:rPr>
                <w:rFonts w:ascii="Arial"/>
                <w:sz w:val="21"/>
              </w:rPr>
            </w:pPr>
          </w:p>
        </w:tc>
        <w:tc>
          <w:tcPr>
            <w:tcW w:w="1964" w:type="dxa"/>
            <w:vAlign w:val="top"/>
          </w:tcPr>
          <w:p>
            <w:pPr>
              <w:rPr>
                <w:rFonts w:ascii="Arial"/>
                <w:sz w:val="21"/>
              </w:rPr>
            </w:pPr>
          </w:p>
        </w:tc>
        <w:tc>
          <w:tcPr>
            <w:tcW w:w="911" w:type="dxa"/>
            <w:vAlign w:val="top"/>
          </w:tcPr>
          <w:p>
            <w:pPr>
              <w:rPr>
                <w:rFonts w:ascii="Arial"/>
                <w:sz w:val="21"/>
              </w:rPr>
            </w:pPr>
          </w:p>
        </w:tc>
        <w:tc>
          <w:tcPr>
            <w:tcW w:w="1700" w:type="dxa"/>
            <w:vAlign w:val="top"/>
          </w:tcPr>
          <w:p>
            <w:pPr>
              <w:rPr>
                <w:rFonts w:ascii="Arial"/>
                <w:sz w:val="21"/>
              </w:rPr>
            </w:pPr>
          </w:p>
        </w:tc>
        <w:tc>
          <w:tcPr>
            <w:tcW w:w="1133" w:type="dxa"/>
            <w:vAlign w:val="top"/>
          </w:tcPr>
          <w:p>
            <w:pPr>
              <w:rPr>
                <w:rFonts w:ascii="Arial"/>
                <w:sz w:val="21"/>
              </w:rPr>
            </w:pPr>
          </w:p>
        </w:tc>
        <w:tc>
          <w:tcPr>
            <w:tcW w:w="992" w:type="dxa"/>
            <w:vAlign w:val="top"/>
          </w:tcPr>
          <w:p>
            <w:pPr>
              <w:rPr>
                <w:rFonts w:ascii="Arial"/>
                <w:sz w:val="21"/>
              </w:rPr>
            </w:pPr>
          </w:p>
        </w:tc>
        <w:tc>
          <w:tcPr>
            <w:tcW w:w="14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30" w:type="dxa"/>
            <w:vAlign w:val="top"/>
          </w:tcPr>
          <w:p>
            <w:pPr>
              <w:rPr>
                <w:rFonts w:ascii="Arial"/>
                <w:sz w:val="21"/>
              </w:rPr>
            </w:pPr>
          </w:p>
        </w:tc>
        <w:tc>
          <w:tcPr>
            <w:tcW w:w="1964" w:type="dxa"/>
            <w:vAlign w:val="top"/>
          </w:tcPr>
          <w:p>
            <w:pPr>
              <w:rPr>
                <w:rFonts w:ascii="Arial"/>
                <w:sz w:val="21"/>
              </w:rPr>
            </w:pPr>
          </w:p>
        </w:tc>
        <w:tc>
          <w:tcPr>
            <w:tcW w:w="911" w:type="dxa"/>
            <w:vAlign w:val="top"/>
          </w:tcPr>
          <w:p>
            <w:pPr>
              <w:rPr>
                <w:rFonts w:ascii="Arial"/>
                <w:sz w:val="21"/>
              </w:rPr>
            </w:pPr>
          </w:p>
        </w:tc>
        <w:tc>
          <w:tcPr>
            <w:tcW w:w="1700" w:type="dxa"/>
            <w:vAlign w:val="top"/>
          </w:tcPr>
          <w:p>
            <w:pPr>
              <w:rPr>
                <w:rFonts w:ascii="Arial"/>
                <w:sz w:val="21"/>
              </w:rPr>
            </w:pPr>
          </w:p>
        </w:tc>
        <w:tc>
          <w:tcPr>
            <w:tcW w:w="1133" w:type="dxa"/>
            <w:vAlign w:val="top"/>
          </w:tcPr>
          <w:p>
            <w:pPr>
              <w:rPr>
                <w:rFonts w:ascii="Arial"/>
                <w:sz w:val="21"/>
              </w:rPr>
            </w:pPr>
          </w:p>
        </w:tc>
        <w:tc>
          <w:tcPr>
            <w:tcW w:w="992" w:type="dxa"/>
            <w:vAlign w:val="top"/>
          </w:tcPr>
          <w:p>
            <w:pPr>
              <w:rPr>
                <w:rFonts w:ascii="Arial"/>
                <w:sz w:val="21"/>
              </w:rPr>
            </w:pPr>
          </w:p>
        </w:tc>
        <w:tc>
          <w:tcPr>
            <w:tcW w:w="1421" w:type="dxa"/>
            <w:vAlign w:val="top"/>
          </w:tcPr>
          <w:p>
            <w:pPr>
              <w:rPr>
                <w:rFonts w:ascii="Arial"/>
                <w:sz w:val="21"/>
              </w:rPr>
            </w:pPr>
          </w:p>
        </w:tc>
      </w:tr>
    </w:tbl>
    <w:p>
      <w:pPr>
        <w:pStyle w:val="10"/>
        <w:spacing w:line="285" w:lineRule="auto"/>
      </w:pPr>
    </w:p>
    <w:p>
      <w:pPr>
        <w:spacing w:before="66" w:line="229" w:lineRule="auto"/>
        <w:ind w:left="448"/>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要求：</w:t>
      </w:r>
    </w:p>
    <w:p>
      <w:pPr>
        <w:spacing w:before="160" w:line="227" w:lineRule="auto"/>
        <w:ind w:left="102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1.</w:t>
      </w:r>
      <w:r>
        <w:rPr>
          <w:rFonts w:ascii="宋体" w:hAnsi="宋体" w:eastAsia="宋体" w:cs="宋体"/>
          <w:spacing w:val="9"/>
          <w:sz w:val="20"/>
          <w:szCs w:val="20"/>
        </w:rPr>
        <w:t>本表中的名称、数量应与报价明细表中相对应的报价名称、</w:t>
      </w:r>
      <w:r>
        <w:rPr>
          <w:rFonts w:ascii="宋体" w:hAnsi="宋体" w:eastAsia="宋体" w:cs="宋体"/>
          <w:spacing w:val="8"/>
          <w:sz w:val="20"/>
          <w:szCs w:val="20"/>
        </w:rPr>
        <w:t>数量一致</w:t>
      </w:r>
    </w:p>
    <w:p>
      <w:pPr>
        <w:pStyle w:val="10"/>
        <w:spacing w:line="246" w:lineRule="auto"/>
      </w:pPr>
    </w:p>
    <w:p>
      <w:pPr>
        <w:pStyle w:val="10"/>
        <w:spacing w:line="246" w:lineRule="auto"/>
      </w:pPr>
    </w:p>
    <w:p>
      <w:pPr>
        <w:pStyle w:val="10"/>
        <w:spacing w:line="247" w:lineRule="auto"/>
      </w:pPr>
    </w:p>
    <w:p>
      <w:pPr>
        <w:spacing w:before="78" w:line="641" w:lineRule="exact"/>
        <w:ind w:left="1008"/>
        <w:rPr>
          <w:rFonts w:ascii="宋体" w:hAnsi="宋体" w:eastAsia="宋体" w:cs="宋体"/>
          <w:sz w:val="24"/>
          <w:szCs w:val="24"/>
        </w:rPr>
      </w:pPr>
      <w:r>
        <w:rPr>
          <w:rFonts w:ascii="宋体" w:hAnsi="宋体" w:eastAsia="宋体" w:cs="宋体"/>
          <w:spacing w:val="-2"/>
          <w:position w:val="31"/>
          <w:sz w:val="24"/>
          <w:szCs w:val="24"/>
        </w:rPr>
        <w:t>投标人名称（公章</w:t>
      </w:r>
      <w:r>
        <w:rPr>
          <w:rFonts w:ascii="宋体" w:hAnsi="宋体" w:eastAsia="宋体" w:cs="宋体"/>
          <w:spacing w:val="1"/>
          <w:position w:val="31"/>
          <w:sz w:val="24"/>
          <w:szCs w:val="24"/>
        </w:rPr>
        <w:t>）：</w:t>
      </w:r>
    </w:p>
    <w:p>
      <w:pPr>
        <w:spacing w:line="220" w:lineRule="auto"/>
        <w:ind w:left="1011"/>
        <w:rPr>
          <w:rFonts w:ascii="宋体" w:hAnsi="宋体" w:eastAsia="宋体" w:cs="宋体"/>
          <w:sz w:val="24"/>
          <w:szCs w:val="24"/>
        </w:rPr>
      </w:pPr>
      <w:r>
        <w:rPr>
          <w:rFonts w:ascii="宋体" w:hAnsi="宋体" w:eastAsia="宋体" w:cs="宋体"/>
          <w:spacing w:val="-2"/>
          <w:sz w:val="24"/>
          <w:szCs w:val="24"/>
        </w:rPr>
        <w:t>投标人代表签字：</w:t>
      </w:r>
    </w:p>
    <w:p>
      <w:pPr>
        <w:pStyle w:val="10"/>
        <w:spacing w:line="272" w:lineRule="auto"/>
      </w:pPr>
    </w:p>
    <w:p>
      <w:pPr>
        <w:spacing w:before="78" w:line="641" w:lineRule="exact"/>
        <w:ind w:left="1009"/>
        <w:rPr>
          <w:rFonts w:ascii="宋体" w:hAnsi="宋体" w:eastAsia="宋体" w:cs="宋体"/>
          <w:sz w:val="24"/>
          <w:szCs w:val="24"/>
        </w:rPr>
      </w:pPr>
      <w:r>
        <w:rPr>
          <w:rFonts w:ascii="宋体" w:hAnsi="宋体" w:eastAsia="宋体" w:cs="宋体"/>
          <w:spacing w:val="-8"/>
          <w:position w:val="31"/>
          <w:sz w:val="24"/>
          <w:szCs w:val="24"/>
        </w:rPr>
        <w:t>职</w:t>
      </w:r>
      <w:r>
        <w:rPr>
          <w:rFonts w:ascii="宋体" w:hAnsi="宋体" w:eastAsia="宋体" w:cs="宋体"/>
          <w:spacing w:val="1"/>
          <w:position w:val="31"/>
          <w:sz w:val="24"/>
          <w:szCs w:val="24"/>
        </w:rPr>
        <w:t xml:space="preserve">        </w:t>
      </w:r>
      <w:r>
        <w:rPr>
          <w:rFonts w:ascii="宋体" w:hAnsi="宋体" w:eastAsia="宋体" w:cs="宋体"/>
          <w:spacing w:val="-8"/>
          <w:position w:val="31"/>
          <w:sz w:val="24"/>
          <w:szCs w:val="24"/>
        </w:rPr>
        <w:t>务：</w:t>
      </w:r>
    </w:p>
    <w:p>
      <w:pPr>
        <w:spacing w:before="1" w:line="220" w:lineRule="auto"/>
        <w:ind w:left="1049"/>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
          <w:sz w:val="24"/>
          <w:szCs w:val="24"/>
        </w:rPr>
        <w:t xml:space="preserve">        </w:t>
      </w:r>
      <w:r>
        <w:rPr>
          <w:rFonts w:ascii="宋体" w:hAnsi="宋体" w:eastAsia="宋体" w:cs="宋体"/>
          <w:spacing w:val="-21"/>
          <w:sz w:val="24"/>
          <w:szCs w:val="24"/>
        </w:rPr>
        <w:t>期：</w:t>
      </w:r>
    </w:p>
    <w:p>
      <w:pPr>
        <w:spacing w:line="220" w:lineRule="auto"/>
        <w:rPr>
          <w:rFonts w:ascii="宋体" w:hAnsi="宋体" w:eastAsia="宋体" w:cs="宋体"/>
          <w:sz w:val="24"/>
          <w:szCs w:val="24"/>
        </w:rPr>
        <w:sectPr>
          <w:headerReference r:id="rId13" w:type="default"/>
          <w:footerReference r:id="rId14" w:type="default"/>
          <w:pgSz w:w="11906" w:h="16839"/>
          <w:pgMar w:top="1066" w:right="1706" w:bottom="1010" w:left="1413" w:header="878" w:footer="847" w:gutter="0"/>
          <w:cols w:space="720" w:num="1"/>
        </w:sectPr>
      </w:pPr>
    </w:p>
    <w:p>
      <w:pPr>
        <w:pStyle w:val="10"/>
        <w:spacing w:line="290" w:lineRule="auto"/>
      </w:pPr>
    </w:p>
    <w:p>
      <w:pPr>
        <w:pStyle w:val="10"/>
        <w:spacing w:line="291" w:lineRule="auto"/>
      </w:pPr>
    </w:p>
    <w:p>
      <w:pPr>
        <w:spacing w:before="91" w:line="220" w:lineRule="auto"/>
        <w:ind w:left="615"/>
        <w:rPr>
          <w:rFonts w:ascii="宋体" w:hAnsi="宋体" w:eastAsia="宋体" w:cs="宋体"/>
          <w:sz w:val="28"/>
          <w:szCs w:val="28"/>
        </w:rPr>
      </w:pPr>
      <w:r>
        <w:rPr>
          <w:rFonts w:ascii="宋体" w:hAnsi="宋体" w:eastAsia="宋体" w:cs="宋体"/>
          <w:spacing w:val="-16"/>
          <w:sz w:val="28"/>
          <w:szCs w:val="28"/>
          <w14:textOutline w14:w="5103" w14:cap="sq" w14:cmpd="sng">
            <w14:solidFill>
              <w14:srgbClr w14:val="000000"/>
            </w14:solidFill>
            <w14:prstDash w14:val="solid"/>
            <w14:bevel/>
          </w14:textOutline>
        </w:rPr>
        <w:t>附件</w:t>
      </w:r>
      <w:r>
        <w:rPr>
          <w:rFonts w:ascii="宋体" w:hAnsi="宋体" w:eastAsia="宋体" w:cs="宋体"/>
          <w:spacing w:val="-37"/>
          <w:sz w:val="28"/>
          <w:szCs w:val="28"/>
        </w:rPr>
        <w:t xml:space="preserve"> </w:t>
      </w:r>
      <w:r>
        <w:rPr>
          <w:rFonts w:ascii="宋体" w:hAnsi="宋体" w:eastAsia="宋体" w:cs="宋体"/>
          <w:spacing w:val="-16"/>
          <w:sz w:val="28"/>
          <w:szCs w:val="28"/>
          <w14:textOutline w14:w="5103" w14:cap="sq" w14:cmpd="sng">
            <w14:solidFill>
              <w14:srgbClr w14:val="000000"/>
            </w14:solidFill>
            <w14:prstDash w14:val="solid"/>
            <w14:bevel/>
          </w14:textOutline>
        </w:rPr>
        <w:t>17</w:t>
      </w:r>
    </w:p>
    <w:p>
      <w:pPr>
        <w:pStyle w:val="10"/>
        <w:spacing w:line="269" w:lineRule="auto"/>
      </w:pPr>
    </w:p>
    <w:p>
      <w:pPr>
        <w:spacing w:before="91" w:line="224" w:lineRule="auto"/>
        <w:ind w:left="3470"/>
        <w:rPr>
          <w:rFonts w:ascii="黑体" w:hAnsi="黑体" w:eastAsia="黑体" w:cs="黑体"/>
          <w:sz w:val="28"/>
          <w:szCs w:val="28"/>
        </w:rPr>
      </w:pPr>
      <w:r>
        <w:rPr>
          <w:rFonts w:ascii="黑体" w:hAnsi="黑体" w:eastAsia="黑体" w:cs="黑体"/>
          <w:spacing w:val="66"/>
          <w:sz w:val="28"/>
          <w:szCs w:val="28"/>
          <w14:textOutline w14:w="5103" w14:cap="sq" w14:cmpd="sng">
            <w14:solidFill>
              <w14:srgbClr w14:val="000000"/>
            </w14:solidFill>
            <w14:prstDash w14:val="solid"/>
            <w14:bevel/>
          </w14:textOutline>
        </w:rPr>
        <w:t>耗材配备表</w:t>
      </w:r>
    </w:p>
    <w:p>
      <w:pPr>
        <w:pStyle w:val="10"/>
        <w:spacing w:line="467" w:lineRule="auto"/>
      </w:pPr>
    </w:p>
    <w:p>
      <w:pPr>
        <w:spacing w:before="65" w:line="228" w:lineRule="auto"/>
        <w:ind w:left="2364"/>
        <w:rPr>
          <w:rFonts w:ascii="宋体" w:hAnsi="宋体" w:eastAsia="宋体" w:cs="宋体"/>
          <w:sz w:val="20"/>
          <w:szCs w:val="20"/>
        </w:rPr>
      </w:pPr>
      <w:r>
        <w:rPr>
          <w:rFonts w:ascii="宋体" w:hAnsi="宋体" w:eastAsia="宋体" w:cs="宋体"/>
          <w:spacing w:val="-2"/>
          <w:sz w:val="20"/>
          <w:szCs w:val="20"/>
        </w:rPr>
        <w:t>（低 值 易 耗 品 、 一 次 性 用 品 、 清 洁 材</w:t>
      </w:r>
      <w:r>
        <w:rPr>
          <w:rFonts w:ascii="宋体" w:hAnsi="宋体" w:eastAsia="宋体" w:cs="宋体"/>
          <w:spacing w:val="-7"/>
          <w:sz w:val="20"/>
          <w:szCs w:val="20"/>
        </w:rPr>
        <w:t xml:space="preserve"> </w:t>
      </w:r>
      <w:r>
        <w:rPr>
          <w:rFonts w:ascii="宋体" w:hAnsi="宋体" w:eastAsia="宋体" w:cs="宋体"/>
          <w:spacing w:val="-2"/>
          <w:sz w:val="20"/>
          <w:szCs w:val="20"/>
        </w:rPr>
        <w:t>料</w:t>
      </w:r>
      <w:r>
        <w:rPr>
          <w:rFonts w:ascii="宋体" w:hAnsi="宋体" w:eastAsia="宋体" w:cs="宋体"/>
          <w:spacing w:val="-8"/>
          <w:sz w:val="20"/>
          <w:szCs w:val="20"/>
        </w:rPr>
        <w:t xml:space="preserve"> </w:t>
      </w:r>
      <w:r>
        <w:rPr>
          <w:rFonts w:ascii="宋体" w:hAnsi="宋体" w:eastAsia="宋体" w:cs="宋体"/>
          <w:spacing w:val="-2"/>
          <w:sz w:val="20"/>
          <w:szCs w:val="20"/>
        </w:rPr>
        <w:t>等</w:t>
      </w:r>
      <w:r>
        <w:rPr>
          <w:rFonts w:ascii="宋体" w:hAnsi="宋体" w:eastAsia="宋体" w:cs="宋体"/>
          <w:spacing w:val="-17"/>
          <w:sz w:val="20"/>
          <w:szCs w:val="20"/>
        </w:rPr>
        <w:t xml:space="preserve"> </w:t>
      </w:r>
      <w:r>
        <w:rPr>
          <w:rFonts w:ascii="宋体" w:hAnsi="宋体" w:eastAsia="宋体" w:cs="宋体"/>
          <w:spacing w:val="-2"/>
          <w:sz w:val="20"/>
          <w:szCs w:val="20"/>
        </w:rPr>
        <w:t>）</w:t>
      </w:r>
    </w:p>
    <w:p>
      <w:pPr>
        <w:spacing w:before="3"/>
      </w:pPr>
    </w:p>
    <w:p>
      <w:pPr>
        <w:spacing w:before="3"/>
      </w:pPr>
    </w:p>
    <w:p>
      <w:pPr>
        <w:spacing w:before="3"/>
      </w:pPr>
    </w:p>
    <w:p>
      <w:pPr>
        <w:spacing w:before="3"/>
      </w:pPr>
    </w:p>
    <w:tbl>
      <w:tblPr>
        <w:tblStyle w:val="65"/>
        <w:tblW w:w="10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442"/>
        <w:gridCol w:w="2716"/>
        <w:gridCol w:w="956"/>
        <w:gridCol w:w="1259"/>
        <w:gridCol w:w="1532"/>
        <w:gridCol w:w="15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45" w:type="dxa"/>
            <w:vAlign w:val="top"/>
          </w:tcPr>
          <w:p>
            <w:pPr>
              <w:spacing w:line="298" w:lineRule="auto"/>
              <w:rPr>
                <w:rFonts w:ascii="Arial"/>
                <w:sz w:val="21"/>
              </w:rPr>
            </w:pPr>
          </w:p>
          <w:p>
            <w:pPr>
              <w:pStyle w:val="64"/>
              <w:spacing w:before="65" w:line="230" w:lineRule="auto"/>
              <w:ind w:left="166"/>
              <w:rPr>
                <w:sz w:val="20"/>
                <w:szCs w:val="20"/>
              </w:rPr>
            </w:pPr>
            <w:r>
              <w:rPr>
                <w:spacing w:val="5"/>
                <w:sz w:val="20"/>
                <w:szCs w:val="20"/>
              </w:rPr>
              <w:t>序号</w:t>
            </w:r>
          </w:p>
        </w:tc>
        <w:tc>
          <w:tcPr>
            <w:tcW w:w="1442" w:type="dxa"/>
            <w:vAlign w:val="top"/>
          </w:tcPr>
          <w:p>
            <w:pPr>
              <w:spacing w:line="298" w:lineRule="auto"/>
              <w:rPr>
                <w:rFonts w:ascii="Arial"/>
                <w:sz w:val="21"/>
              </w:rPr>
            </w:pPr>
          </w:p>
          <w:p>
            <w:pPr>
              <w:pStyle w:val="64"/>
              <w:spacing w:before="65" w:line="231" w:lineRule="auto"/>
              <w:ind w:left="517"/>
              <w:rPr>
                <w:sz w:val="20"/>
                <w:szCs w:val="20"/>
              </w:rPr>
            </w:pPr>
            <w:r>
              <w:rPr>
                <w:spacing w:val="3"/>
                <w:sz w:val="20"/>
                <w:szCs w:val="20"/>
              </w:rPr>
              <w:t>名称</w:t>
            </w:r>
          </w:p>
        </w:tc>
        <w:tc>
          <w:tcPr>
            <w:tcW w:w="2716" w:type="dxa"/>
            <w:vAlign w:val="top"/>
          </w:tcPr>
          <w:p>
            <w:pPr>
              <w:spacing w:line="299" w:lineRule="auto"/>
              <w:rPr>
                <w:rFonts w:ascii="Arial"/>
                <w:sz w:val="21"/>
              </w:rPr>
            </w:pPr>
          </w:p>
          <w:p>
            <w:pPr>
              <w:pStyle w:val="64"/>
              <w:spacing w:before="65" w:line="228" w:lineRule="auto"/>
              <w:ind w:left="853"/>
              <w:rPr>
                <w:sz w:val="20"/>
                <w:szCs w:val="20"/>
              </w:rPr>
            </w:pPr>
            <w:r>
              <w:rPr>
                <w:spacing w:val="4"/>
                <w:sz w:val="20"/>
                <w:szCs w:val="20"/>
              </w:rPr>
              <w:t>品牌、规格</w:t>
            </w:r>
          </w:p>
        </w:tc>
        <w:tc>
          <w:tcPr>
            <w:tcW w:w="956" w:type="dxa"/>
            <w:vAlign w:val="top"/>
          </w:tcPr>
          <w:p>
            <w:pPr>
              <w:spacing w:line="299" w:lineRule="auto"/>
              <w:rPr>
                <w:rFonts w:ascii="Arial"/>
                <w:sz w:val="21"/>
              </w:rPr>
            </w:pPr>
          </w:p>
          <w:p>
            <w:pPr>
              <w:pStyle w:val="64"/>
              <w:spacing w:before="65" w:line="228" w:lineRule="auto"/>
              <w:ind w:left="273"/>
              <w:rPr>
                <w:sz w:val="20"/>
                <w:szCs w:val="20"/>
              </w:rPr>
            </w:pPr>
            <w:r>
              <w:rPr>
                <w:spacing w:val="4"/>
                <w:sz w:val="20"/>
                <w:szCs w:val="20"/>
              </w:rPr>
              <w:t>产地</w:t>
            </w:r>
          </w:p>
        </w:tc>
        <w:tc>
          <w:tcPr>
            <w:tcW w:w="1259" w:type="dxa"/>
            <w:vAlign w:val="top"/>
          </w:tcPr>
          <w:p>
            <w:pPr>
              <w:spacing w:line="299" w:lineRule="auto"/>
              <w:rPr>
                <w:rFonts w:ascii="Arial"/>
                <w:sz w:val="21"/>
              </w:rPr>
            </w:pPr>
          </w:p>
          <w:p>
            <w:pPr>
              <w:pStyle w:val="64"/>
              <w:spacing w:before="65" w:line="228" w:lineRule="auto"/>
              <w:ind w:left="428"/>
              <w:rPr>
                <w:sz w:val="20"/>
                <w:szCs w:val="20"/>
              </w:rPr>
            </w:pPr>
            <w:r>
              <w:rPr>
                <w:spacing w:val="3"/>
                <w:sz w:val="20"/>
                <w:szCs w:val="20"/>
              </w:rPr>
              <w:t>数量</w:t>
            </w:r>
          </w:p>
        </w:tc>
        <w:tc>
          <w:tcPr>
            <w:tcW w:w="1532" w:type="dxa"/>
            <w:vAlign w:val="top"/>
          </w:tcPr>
          <w:p>
            <w:pPr>
              <w:pStyle w:val="64"/>
              <w:spacing w:before="133" w:line="307" w:lineRule="auto"/>
              <w:ind w:left="563" w:right="103" w:hanging="448"/>
              <w:rPr>
                <w:sz w:val="20"/>
                <w:szCs w:val="20"/>
              </w:rPr>
            </w:pPr>
            <w:r>
              <w:rPr>
                <w:spacing w:val="7"/>
                <w:sz w:val="20"/>
                <w:szCs w:val="20"/>
              </w:rPr>
              <w:t>估算价格（月</w:t>
            </w:r>
            <w:r>
              <w:rPr>
                <w:rFonts w:ascii="Times New Roman" w:hAnsi="Times New Roman" w:eastAsia="Times New Roman" w:cs="Times New Roman"/>
                <w:spacing w:val="7"/>
                <w:sz w:val="20"/>
                <w:szCs w:val="20"/>
              </w:rPr>
              <w:t>/</w:t>
            </w:r>
            <w:r>
              <w:rPr>
                <w:rFonts w:ascii="Times New Roman" w:hAnsi="Times New Roman" w:eastAsia="Times New Roman" w:cs="Times New Roman"/>
                <w:spacing w:val="2"/>
                <w:sz w:val="20"/>
                <w:szCs w:val="20"/>
              </w:rPr>
              <w:t xml:space="preserve"> </w:t>
            </w:r>
            <w:r>
              <w:rPr>
                <w:spacing w:val="-1"/>
                <w:sz w:val="20"/>
                <w:szCs w:val="20"/>
              </w:rPr>
              <w:t>元）</w:t>
            </w:r>
          </w:p>
        </w:tc>
        <w:tc>
          <w:tcPr>
            <w:tcW w:w="1547" w:type="dxa"/>
            <w:vAlign w:val="top"/>
          </w:tcPr>
          <w:p>
            <w:pPr>
              <w:pStyle w:val="64"/>
              <w:spacing w:before="133" w:line="274" w:lineRule="exact"/>
              <w:ind w:left="119"/>
              <w:rPr>
                <w:rFonts w:ascii="Times New Roman" w:hAnsi="Times New Roman" w:eastAsia="Times New Roman" w:cs="Times New Roman"/>
                <w:sz w:val="20"/>
                <w:szCs w:val="20"/>
              </w:rPr>
            </w:pPr>
            <w:r>
              <w:rPr>
                <w:spacing w:val="7"/>
                <w:position w:val="1"/>
                <w:sz w:val="20"/>
                <w:szCs w:val="20"/>
              </w:rPr>
              <w:t>估算价格（年</w:t>
            </w:r>
            <w:r>
              <w:rPr>
                <w:rFonts w:ascii="Times New Roman" w:hAnsi="Times New Roman" w:eastAsia="Times New Roman" w:cs="Times New Roman"/>
                <w:spacing w:val="7"/>
                <w:position w:val="1"/>
                <w:sz w:val="20"/>
                <w:szCs w:val="20"/>
              </w:rPr>
              <w:t>/</w:t>
            </w:r>
          </w:p>
          <w:p>
            <w:pPr>
              <w:pStyle w:val="64"/>
              <w:spacing w:before="157" w:line="216" w:lineRule="auto"/>
              <w:ind w:left="569"/>
              <w:rPr>
                <w:sz w:val="20"/>
                <w:szCs w:val="20"/>
              </w:rPr>
            </w:pPr>
            <w:r>
              <w:rPr>
                <w:spacing w:val="-1"/>
                <w:sz w:val="20"/>
                <w:szCs w:val="20"/>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pPr>
              <w:rPr>
                <w:rFonts w:ascii="Arial"/>
                <w:sz w:val="21"/>
              </w:rPr>
            </w:pPr>
          </w:p>
        </w:tc>
        <w:tc>
          <w:tcPr>
            <w:tcW w:w="1442" w:type="dxa"/>
            <w:vAlign w:val="top"/>
          </w:tcPr>
          <w:p>
            <w:pPr>
              <w:rPr>
                <w:rFonts w:ascii="Arial"/>
                <w:sz w:val="21"/>
              </w:rPr>
            </w:pPr>
          </w:p>
        </w:tc>
        <w:tc>
          <w:tcPr>
            <w:tcW w:w="2716" w:type="dxa"/>
            <w:vAlign w:val="top"/>
          </w:tcPr>
          <w:p>
            <w:pPr>
              <w:rPr>
                <w:rFonts w:ascii="Arial"/>
                <w:sz w:val="21"/>
              </w:rPr>
            </w:pPr>
          </w:p>
        </w:tc>
        <w:tc>
          <w:tcPr>
            <w:tcW w:w="956" w:type="dxa"/>
            <w:vAlign w:val="top"/>
          </w:tcPr>
          <w:p>
            <w:pPr>
              <w:rPr>
                <w:rFonts w:ascii="Arial"/>
                <w:sz w:val="21"/>
              </w:rPr>
            </w:pPr>
          </w:p>
        </w:tc>
        <w:tc>
          <w:tcPr>
            <w:tcW w:w="1259" w:type="dxa"/>
            <w:vAlign w:val="top"/>
          </w:tcPr>
          <w:p>
            <w:pPr>
              <w:rPr>
                <w:rFonts w:ascii="Arial"/>
                <w:sz w:val="21"/>
              </w:rPr>
            </w:pPr>
          </w:p>
        </w:tc>
        <w:tc>
          <w:tcPr>
            <w:tcW w:w="1532" w:type="dxa"/>
            <w:vAlign w:val="top"/>
          </w:tcPr>
          <w:p>
            <w:pPr>
              <w:rPr>
                <w:rFonts w:ascii="Arial"/>
                <w:sz w:val="21"/>
              </w:rPr>
            </w:pPr>
          </w:p>
        </w:tc>
        <w:tc>
          <w:tcPr>
            <w:tcW w:w="15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pPr>
              <w:rPr>
                <w:rFonts w:ascii="Arial"/>
                <w:sz w:val="21"/>
              </w:rPr>
            </w:pPr>
          </w:p>
        </w:tc>
        <w:tc>
          <w:tcPr>
            <w:tcW w:w="1442" w:type="dxa"/>
            <w:vAlign w:val="top"/>
          </w:tcPr>
          <w:p>
            <w:pPr>
              <w:rPr>
                <w:rFonts w:ascii="Arial"/>
                <w:sz w:val="21"/>
              </w:rPr>
            </w:pPr>
          </w:p>
        </w:tc>
        <w:tc>
          <w:tcPr>
            <w:tcW w:w="2716" w:type="dxa"/>
            <w:vAlign w:val="top"/>
          </w:tcPr>
          <w:p>
            <w:pPr>
              <w:rPr>
                <w:rFonts w:ascii="Arial"/>
                <w:sz w:val="21"/>
              </w:rPr>
            </w:pPr>
          </w:p>
        </w:tc>
        <w:tc>
          <w:tcPr>
            <w:tcW w:w="956" w:type="dxa"/>
            <w:vAlign w:val="top"/>
          </w:tcPr>
          <w:p>
            <w:pPr>
              <w:rPr>
                <w:rFonts w:ascii="Arial"/>
                <w:sz w:val="21"/>
              </w:rPr>
            </w:pPr>
          </w:p>
        </w:tc>
        <w:tc>
          <w:tcPr>
            <w:tcW w:w="1259" w:type="dxa"/>
            <w:vAlign w:val="top"/>
          </w:tcPr>
          <w:p>
            <w:pPr>
              <w:rPr>
                <w:rFonts w:ascii="Arial"/>
                <w:sz w:val="21"/>
              </w:rPr>
            </w:pPr>
          </w:p>
        </w:tc>
        <w:tc>
          <w:tcPr>
            <w:tcW w:w="1532" w:type="dxa"/>
            <w:vAlign w:val="top"/>
          </w:tcPr>
          <w:p>
            <w:pPr>
              <w:rPr>
                <w:rFonts w:ascii="Arial"/>
                <w:sz w:val="21"/>
              </w:rPr>
            </w:pPr>
          </w:p>
        </w:tc>
        <w:tc>
          <w:tcPr>
            <w:tcW w:w="15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pPr>
              <w:rPr>
                <w:rFonts w:ascii="Arial"/>
                <w:sz w:val="21"/>
              </w:rPr>
            </w:pPr>
          </w:p>
        </w:tc>
        <w:tc>
          <w:tcPr>
            <w:tcW w:w="1442" w:type="dxa"/>
            <w:vAlign w:val="top"/>
          </w:tcPr>
          <w:p>
            <w:pPr>
              <w:rPr>
                <w:rFonts w:ascii="Arial"/>
                <w:sz w:val="21"/>
              </w:rPr>
            </w:pPr>
          </w:p>
        </w:tc>
        <w:tc>
          <w:tcPr>
            <w:tcW w:w="2716" w:type="dxa"/>
            <w:vAlign w:val="top"/>
          </w:tcPr>
          <w:p>
            <w:pPr>
              <w:rPr>
                <w:rFonts w:ascii="Arial"/>
                <w:sz w:val="21"/>
              </w:rPr>
            </w:pPr>
          </w:p>
        </w:tc>
        <w:tc>
          <w:tcPr>
            <w:tcW w:w="956" w:type="dxa"/>
            <w:vAlign w:val="top"/>
          </w:tcPr>
          <w:p>
            <w:pPr>
              <w:rPr>
                <w:rFonts w:ascii="Arial"/>
                <w:sz w:val="21"/>
              </w:rPr>
            </w:pPr>
          </w:p>
        </w:tc>
        <w:tc>
          <w:tcPr>
            <w:tcW w:w="1259" w:type="dxa"/>
            <w:vAlign w:val="top"/>
          </w:tcPr>
          <w:p>
            <w:pPr>
              <w:rPr>
                <w:rFonts w:ascii="Arial"/>
                <w:sz w:val="21"/>
              </w:rPr>
            </w:pPr>
          </w:p>
        </w:tc>
        <w:tc>
          <w:tcPr>
            <w:tcW w:w="1532" w:type="dxa"/>
            <w:vAlign w:val="top"/>
          </w:tcPr>
          <w:p>
            <w:pPr>
              <w:rPr>
                <w:rFonts w:ascii="Arial"/>
                <w:sz w:val="21"/>
              </w:rPr>
            </w:pPr>
          </w:p>
        </w:tc>
        <w:tc>
          <w:tcPr>
            <w:tcW w:w="15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pPr>
              <w:rPr>
                <w:rFonts w:ascii="Arial"/>
                <w:sz w:val="21"/>
              </w:rPr>
            </w:pPr>
          </w:p>
        </w:tc>
        <w:tc>
          <w:tcPr>
            <w:tcW w:w="1442" w:type="dxa"/>
            <w:vAlign w:val="top"/>
          </w:tcPr>
          <w:p>
            <w:pPr>
              <w:rPr>
                <w:rFonts w:ascii="Arial"/>
                <w:sz w:val="21"/>
              </w:rPr>
            </w:pPr>
          </w:p>
        </w:tc>
        <w:tc>
          <w:tcPr>
            <w:tcW w:w="2716" w:type="dxa"/>
            <w:vAlign w:val="top"/>
          </w:tcPr>
          <w:p>
            <w:pPr>
              <w:rPr>
                <w:rFonts w:ascii="Arial"/>
                <w:sz w:val="21"/>
              </w:rPr>
            </w:pPr>
          </w:p>
        </w:tc>
        <w:tc>
          <w:tcPr>
            <w:tcW w:w="956" w:type="dxa"/>
            <w:vAlign w:val="top"/>
          </w:tcPr>
          <w:p>
            <w:pPr>
              <w:rPr>
                <w:rFonts w:ascii="Arial"/>
                <w:sz w:val="21"/>
              </w:rPr>
            </w:pPr>
          </w:p>
        </w:tc>
        <w:tc>
          <w:tcPr>
            <w:tcW w:w="1259" w:type="dxa"/>
            <w:vAlign w:val="top"/>
          </w:tcPr>
          <w:p>
            <w:pPr>
              <w:rPr>
                <w:rFonts w:ascii="Arial"/>
                <w:sz w:val="21"/>
              </w:rPr>
            </w:pPr>
          </w:p>
        </w:tc>
        <w:tc>
          <w:tcPr>
            <w:tcW w:w="1532" w:type="dxa"/>
            <w:vAlign w:val="top"/>
          </w:tcPr>
          <w:p>
            <w:pPr>
              <w:rPr>
                <w:rFonts w:ascii="Arial"/>
                <w:sz w:val="21"/>
              </w:rPr>
            </w:pPr>
          </w:p>
        </w:tc>
        <w:tc>
          <w:tcPr>
            <w:tcW w:w="15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45" w:type="dxa"/>
            <w:vAlign w:val="top"/>
          </w:tcPr>
          <w:p>
            <w:pPr>
              <w:rPr>
                <w:rFonts w:ascii="Arial"/>
                <w:sz w:val="21"/>
              </w:rPr>
            </w:pPr>
          </w:p>
        </w:tc>
        <w:tc>
          <w:tcPr>
            <w:tcW w:w="1442" w:type="dxa"/>
            <w:vAlign w:val="top"/>
          </w:tcPr>
          <w:p>
            <w:pPr>
              <w:rPr>
                <w:rFonts w:ascii="Arial"/>
                <w:sz w:val="21"/>
              </w:rPr>
            </w:pPr>
          </w:p>
        </w:tc>
        <w:tc>
          <w:tcPr>
            <w:tcW w:w="2716" w:type="dxa"/>
            <w:vAlign w:val="top"/>
          </w:tcPr>
          <w:p>
            <w:pPr>
              <w:rPr>
                <w:rFonts w:ascii="Arial"/>
                <w:sz w:val="21"/>
              </w:rPr>
            </w:pPr>
          </w:p>
        </w:tc>
        <w:tc>
          <w:tcPr>
            <w:tcW w:w="956" w:type="dxa"/>
            <w:vAlign w:val="top"/>
          </w:tcPr>
          <w:p>
            <w:pPr>
              <w:rPr>
                <w:rFonts w:ascii="Arial"/>
                <w:sz w:val="21"/>
              </w:rPr>
            </w:pPr>
          </w:p>
        </w:tc>
        <w:tc>
          <w:tcPr>
            <w:tcW w:w="1259" w:type="dxa"/>
            <w:vAlign w:val="top"/>
          </w:tcPr>
          <w:p>
            <w:pPr>
              <w:rPr>
                <w:rFonts w:ascii="Arial"/>
                <w:sz w:val="21"/>
              </w:rPr>
            </w:pPr>
          </w:p>
        </w:tc>
        <w:tc>
          <w:tcPr>
            <w:tcW w:w="1532" w:type="dxa"/>
            <w:vAlign w:val="top"/>
          </w:tcPr>
          <w:p>
            <w:pPr>
              <w:rPr>
                <w:rFonts w:ascii="Arial"/>
                <w:sz w:val="21"/>
              </w:rPr>
            </w:pPr>
          </w:p>
        </w:tc>
        <w:tc>
          <w:tcPr>
            <w:tcW w:w="15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45" w:type="dxa"/>
            <w:vAlign w:val="top"/>
          </w:tcPr>
          <w:p>
            <w:pPr>
              <w:rPr>
                <w:rFonts w:ascii="Arial"/>
                <w:sz w:val="21"/>
              </w:rPr>
            </w:pPr>
          </w:p>
        </w:tc>
        <w:tc>
          <w:tcPr>
            <w:tcW w:w="1442" w:type="dxa"/>
            <w:vAlign w:val="top"/>
          </w:tcPr>
          <w:p>
            <w:pPr>
              <w:rPr>
                <w:rFonts w:ascii="Arial"/>
                <w:sz w:val="21"/>
              </w:rPr>
            </w:pPr>
          </w:p>
        </w:tc>
        <w:tc>
          <w:tcPr>
            <w:tcW w:w="2716" w:type="dxa"/>
            <w:vAlign w:val="top"/>
          </w:tcPr>
          <w:p>
            <w:pPr>
              <w:rPr>
                <w:rFonts w:ascii="Arial"/>
                <w:sz w:val="21"/>
              </w:rPr>
            </w:pPr>
          </w:p>
        </w:tc>
        <w:tc>
          <w:tcPr>
            <w:tcW w:w="956" w:type="dxa"/>
            <w:vAlign w:val="top"/>
          </w:tcPr>
          <w:p>
            <w:pPr>
              <w:rPr>
                <w:rFonts w:ascii="Arial"/>
                <w:sz w:val="21"/>
              </w:rPr>
            </w:pPr>
          </w:p>
        </w:tc>
        <w:tc>
          <w:tcPr>
            <w:tcW w:w="1259" w:type="dxa"/>
            <w:vAlign w:val="top"/>
          </w:tcPr>
          <w:p>
            <w:pPr>
              <w:rPr>
                <w:rFonts w:ascii="Arial"/>
                <w:sz w:val="21"/>
              </w:rPr>
            </w:pPr>
          </w:p>
        </w:tc>
        <w:tc>
          <w:tcPr>
            <w:tcW w:w="1532" w:type="dxa"/>
            <w:vAlign w:val="top"/>
          </w:tcPr>
          <w:p>
            <w:pPr>
              <w:rPr>
                <w:rFonts w:ascii="Arial"/>
                <w:sz w:val="21"/>
              </w:rPr>
            </w:pPr>
          </w:p>
        </w:tc>
        <w:tc>
          <w:tcPr>
            <w:tcW w:w="1547" w:type="dxa"/>
            <w:vAlign w:val="top"/>
          </w:tcPr>
          <w:p>
            <w:pPr>
              <w:rPr>
                <w:rFonts w:ascii="Arial"/>
                <w:sz w:val="21"/>
              </w:rPr>
            </w:pPr>
          </w:p>
        </w:tc>
      </w:tr>
    </w:tbl>
    <w:p>
      <w:pPr>
        <w:pStyle w:val="10"/>
        <w:spacing w:line="261" w:lineRule="auto"/>
      </w:pPr>
    </w:p>
    <w:p>
      <w:pPr>
        <w:pStyle w:val="10"/>
        <w:spacing w:line="262" w:lineRule="auto"/>
      </w:pPr>
    </w:p>
    <w:p>
      <w:pPr>
        <w:pStyle w:val="10"/>
        <w:spacing w:line="262" w:lineRule="auto"/>
      </w:pPr>
    </w:p>
    <w:p>
      <w:pPr>
        <w:spacing w:before="65" w:line="228" w:lineRule="auto"/>
        <w:ind w:left="1012"/>
        <w:rPr>
          <w:rFonts w:ascii="宋体" w:hAnsi="宋体" w:eastAsia="宋体" w:cs="宋体"/>
          <w:sz w:val="20"/>
          <w:szCs w:val="20"/>
        </w:rPr>
      </w:pPr>
      <w:r>
        <w:rPr>
          <w:rFonts w:ascii="宋体" w:hAnsi="宋体" w:eastAsia="宋体" w:cs="宋体"/>
          <w:spacing w:val="8"/>
          <w:sz w:val="20"/>
          <w:szCs w:val="20"/>
        </w:rPr>
        <w:t>投标人名称（盖章</w:t>
      </w:r>
      <w:r>
        <w:rPr>
          <w:rFonts w:ascii="宋体" w:hAnsi="宋体" w:eastAsia="宋体" w:cs="宋体"/>
          <w:spacing w:val="1"/>
          <w:sz w:val="20"/>
          <w:szCs w:val="20"/>
        </w:rPr>
        <w:t>）：</w:t>
      </w:r>
    </w:p>
    <w:p>
      <w:pPr>
        <w:pStyle w:val="10"/>
        <w:spacing w:line="456" w:lineRule="auto"/>
      </w:pPr>
    </w:p>
    <w:p>
      <w:pPr>
        <w:spacing w:before="65" w:line="228" w:lineRule="auto"/>
        <w:ind w:left="1027"/>
        <w:rPr>
          <w:rFonts w:ascii="宋体" w:hAnsi="宋体" w:eastAsia="宋体" w:cs="宋体"/>
          <w:sz w:val="20"/>
          <w:szCs w:val="20"/>
        </w:rPr>
      </w:pPr>
      <w:r>
        <w:rPr>
          <w:rFonts w:ascii="宋体" w:hAnsi="宋体" w:eastAsia="宋体" w:cs="宋体"/>
          <w:spacing w:val="7"/>
          <w:sz w:val="20"/>
          <w:szCs w:val="20"/>
        </w:rPr>
        <w:t>投标人代表签字：</w:t>
      </w:r>
    </w:p>
    <w:p>
      <w:pPr>
        <w:pStyle w:val="10"/>
        <w:spacing w:line="457" w:lineRule="auto"/>
      </w:pPr>
    </w:p>
    <w:p>
      <w:pPr>
        <w:spacing w:before="66" w:line="228" w:lineRule="auto"/>
        <w:ind w:left="1025"/>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6"/>
          <w:sz w:val="20"/>
          <w:szCs w:val="20"/>
        </w:rPr>
        <w:t xml:space="preserve">        </w:t>
      </w:r>
      <w:r>
        <w:rPr>
          <w:rFonts w:ascii="宋体" w:hAnsi="宋体" w:eastAsia="宋体" w:cs="宋体"/>
          <w:spacing w:val="-1"/>
          <w:sz w:val="20"/>
          <w:szCs w:val="20"/>
        </w:rPr>
        <w:t>务：</w:t>
      </w:r>
    </w:p>
    <w:p>
      <w:pPr>
        <w:pStyle w:val="10"/>
        <w:spacing w:line="455" w:lineRule="auto"/>
      </w:pPr>
    </w:p>
    <w:p>
      <w:pPr>
        <w:spacing w:before="65" w:line="229" w:lineRule="auto"/>
        <w:ind w:left="1063"/>
        <w:rPr>
          <w:rFonts w:ascii="宋体" w:hAnsi="宋体" w:eastAsia="宋体" w:cs="宋体"/>
          <w:sz w:val="20"/>
          <w:szCs w:val="20"/>
        </w:rPr>
      </w:pPr>
      <w:r>
        <w:rPr>
          <w:rFonts w:ascii="宋体" w:hAnsi="宋体" w:eastAsia="宋体" w:cs="宋体"/>
          <w:spacing w:val="-8"/>
          <w:sz w:val="20"/>
          <w:szCs w:val="20"/>
        </w:rPr>
        <w:t>日         期：</w:t>
      </w:r>
    </w:p>
    <w:p>
      <w:pPr>
        <w:spacing w:line="229" w:lineRule="auto"/>
        <w:rPr>
          <w:rFonts w:ascii="宋体" w:hAnsi="宋体" w:eastAsia="宋体" w:cs="宋体"/>
          <w:sz w:val="20"/>
          <w:szCs w:val="20"/>
        </w:rPr>
        <w:sectPr>
          <w:headerReference r:id="rId15" w:type="default"/>
          <w:footerReference r:id="rId16" w:type="default"/>
          <w:pgSz w:w="11906" w:h="16839"/>
          <w:pgMar w:top="1066" w:right="867" w:bottom="1007" w:left="836" w:header="878" w:footer="847" w:gutter="0"/>
          <w:cols w:space="720" w:num="1"/>
        </w:sectPr>
      </w:pPr>
    </w:p>
    <w:p>
      <w:pPr>
        <w:pStyle w:val="10"/>
        <w:spacing w:line="277" w:lineRule="auto"/>
      </w:pPr>
    </w:p>
    <w:p>
      <w:pPr>
        <w:pStyle w:val="10"/>
        <w:spacing w:line="277" w:lineRule="auto"/>
      </w:pPr>
    </w:p>
    <w:p>
      <w:pPr>
        <w:spacing w:before="91" w:line="220" w:lineRule="auto"/>
        <w:ind w:left="467"/>
        <w:rPr>
          <w:rFonts w:ascii="宋体" w:hAnsi="宋体" w:eastAsia="宋体" w:cs="宋体"/>
          <w:sz w:val="28"/>
          <w:szCs w:val="28"/>
        </w:rPr>
      </w:pPr>
      <w:r>
        <w:rPr>
          <w:rFonts w:ascii="宋体" w:hAnsi="宋体" w:eastAsia="宋体" w:cs="宋体"/>
          <w:spacing w:val="-16"/>
          <w:sz w:val="28"/>
          <w:szCs w:val="28"/>
          <w14:textOutline w14:w="5103" w14:cap="sq" w14:cmpd="sng">
            <w14:solidFill>
              <w14:srgbClr w14:val="000000"/>
            </w14:solidFill>
            <w14:prstDash w14:val="solid"/>
            <w14:bevel/>
          </w14:textOutline>
        </w:rPr>
        <w:t>附件</w:t>
      </w:r>
      <w:r>
        <w:rPr>
          <w:rFonts w:ascii="宋体" w:hAnsi="宋体" w:eastAsia="宋体" w:cs="宋体"/>
          <w:spacing w:val="-37"/>
          <w:sz w:val="28"/>
          <w:szCs w:val="28"/>
        </w:rPr>
        <w:t xml:space="preserve"> </w:t>
      </w:r>
      <w:r>
        <w:rPr>
          <w:rFonts w:ascii="宋体" w:hAnsi="宋体" w:eastAsia="宋体" w:cs="宋体"/>
          <w:spacing w:val="-16"/>
          <w:sz w:val="28"/>
          <w:szCs w:val="28"/>
          <w14:textOutline w14:w="5103" w14:cap="sq" w14:cmpd="sng">
            <w14:solidFill>
              <w14:srgbClr w14:val="000000"/>
            </w14:solidFill>
            <w14:prstDash w14:val="solid"/>
            <w14:bevel/>
          </w14:textOutline>
        </w:rPr>
        <w:t>18</w:t>
      </w:r>
    </w:p>
    <w:p>
      <w:pPr>
        <w:pStyle w:val="10"/>
        <w:spacing w:line="318" w:lineRule="auto"/>
      </w:pPr>
    </w:p>
    <w:p>
      <w:pPr>
        <w:pStyle w:val="10"/>
        <w:spacing w:line="318" w:lineRule="auto"/>
      </w:pPr>
    </w:p>
    <w:p>
      <w:pPr>
        <w:spacing w:before="100" w:line="225" w:lineRule="auto"/>
        <w:ind w:left="2795"/>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中小企业声明函（标项）</w:t>
      </w:r>
    </w:p>
    <w:p>
      <w:pPr>
        <w:pStyle w:val="10"/>
        <w:spacing w:line="308" w:lineRule="auto"/>
      </w:pPr>
    </w:p>
    <w:p>
      <w:pPr>
        <w:pStyle w:val="10"/>
        <w:spacing w:line="308" w:lineRule="auto"/>
      </w:pPr>
    </w:p>
    <w:p>
      <w:pPr>
        <w:spacing w:before="78" w:line="359" w:lineRule="auto"/>
        <w:ind w:left="10" w:firstLine="480"/>
        <w:rPr>
          <w:rFonts w:ascii="宋体" w:hAnsi="宋体" w:eastAsia="宋体" w:cs="宋体"/>
          <w:sz w:val="24"/>
          <w:szCs w:val="24"/>
        </w:rPr>
      </w:pPr>
      <w:r>
        <w:rPr>
          <w:rFonts w:ascii="宋体" w:hAnsi="宋体" w:eastAsia="宋体" w:cs="宋体"/>
          <w:spacing w:val="-3"/>
          <w:sz w:val="24"/>
          <w:szCs w:val="24"/>
        </w:rPr>
        <w:t>本公司（联合体）郑重声明，根据《政府采购促进中小企业发展管理办法》（财库</w:t>
      </w:r>
      <w:r>
        <w:rPr>
          <w:rFonts w:ascii="宋体" w:hAnsi="宋体" w:eastAsia="宋体" w:cs="宋体"/>
          <w:spacing w:val="15"/>
          <w:sz w:val="24"/>
          <w:szCs w:val="24"/>
        </w:rPr>
        <w:t xml:space="preserve"> </w:t>
      </w:r>
      <w:r>
        <w:rPr>
          <w:rFonts w:ascii="宋体" w:hAnsi="宋体" w:eastAsia="宋体" w:cs="宋体"/>
          <w:spacing w:val="2"/>
          <w:sz w:val="24"/>
          <w:szCs w:val="24"/>
        </w:rPr>
        <w:t>﹝2020﹞46</w:t>
      </w:r>
      <w:r>
        <w:rPr>
          <w:rFonts w:ascii="宋体" w:hAnsi="宋体" w:eastAsia="宋体" w:cs="宋体"/>
          <w:spacing w:val="-43"/>
          <w:sz w:val="24"/>
          <w:szCs w:val="24"/>
        </w:rPr>
        <w:t xml:space="preserve"> </w:t>
      </w:r>
      <w:r>
        <w:rPr>
          <w:rFonts w:ascii="宋体" w:hAnsi="宋体" w:eastAsia="宋体" w:cs="宋体"/>
          <w:spacing w:val="2"/>
          <w:sz w:val="24"/>
          <w:szCs w:val="24"/>
        </w:rPr>
        <w:t>号）的规定，本公司（联合体）参加（单位名称</w:t>
      </w:r>
      <w:r>
        <w:rPr>
          <w:rFonts w:ascii="宋体" w:hAnsi="宋体" w:eastAsia="宋体" w:cs="宋体"/>
          <w:spacing w:val="1"/>
          <w:sz w:val="24"/>
          <w:szCs w:val="24"/>
        </w:rPr>
        <w:t>）的（项目名称）采购活</w:t>
      </w:r>
      <w:r>
        <w:rPr>
          <w:rFonts w:ascii="宋体" w:hAnsi="宋体" w:eastAsia="宋体" w:cs="宋体"/>
          <w:sz w:val="24"/>
          <w:szCs w:val="24"/>
        </w:rPr>
        <w:t xml:space="preserve"> </w:t>
      </w:r>
      <w:r>
        <w:rPr>
          <w:rFonts w:ascii="宋体" w:hAnsi="宋体" w:eastAsia="宋体" w:cs="宋体"/>
          <w:spacing w:val="-1"/>
          <w:sz w:val="24"/>
          <w:szCs w:val="24"/>
        </w:rPr>
        <w:t>动，服务全部由符合政策要求的中小企业承接）。相关</w:t>
      </w:r>
      <w:r>
        <w:rPr>
          <w:rFonts w:ascii="宋体" w:hAnsi="宋体" w:eastAsia="宋体" w:cs="宋体"/>
          <w:spacing w:val="-2"/>
          <w:sz w:val="24"/>
          <w:szCs w:val="24"/>
        </w:rPr>
        <w:t>企业（含联合体中的中小企业、</w:t>
      </w:r>
    </w:p>
    <w:p>
      <w:pPr>
        <w:spacing w:before="1" w:line="220" w:lineRule="auto"/>
        <w:ind w:left="9"/>
        <w:rPr>
          <w:rFonts w:ascii="宋体" w:hAnsi="宋体" w:eastAsia="宋体" w:cs="宋体"/>
          <w:sz w:val="24"/>
          <w:szCs w:val="24"/>
        </w:rPr>
      </w:pPr>
      <w:r>
        <w:rPr>
          <w:rFonts w:ascii="宋体" w:hAnsi="宋体" w:eastAsia="宋体" w:cs="宋体"/>
          <w:spacing w:val="-1"/>
          <w:sz w:val="24"/>
          <w:szCs w:val="24"/>
        </w:rPr>
        <w:t>签订分包意向协议的中小企业）的具体情况如下：</w:t>
      </w:r>
    </w:p>
    <w:p>
      <w:pPr>
        <w:spacing w:before="179" w:line="359" w:lineRule="auto"/>
        <w:ind w:left="8" w:right="41" w:firstLine="498"/>
        <w:rPr>
          <w:rFonts w:ascii="宋体" w:hAnsi="宋体" w:eastAsia="宋体" w:cs="宋体"/>
          <w:sz w:val="24"/>
          <w:szCs w:val="24"/>
        </w:rPr>
      </w:pPr>
      <w:r>
        <w:rPr>
          <w:rFonts w:ascii="宋体" w:hAnsi="宋体" w:eastAsia="宋体" w:cs="宋体"/>
          <w:spacing w:val="-4"/>
          <w:sz w:val="24"/>
          <w:szCs w:val="24"/>
        </w:rPr>
        <w:t xml:space="preserve">1. </w:t>
      </w:r>
      <w:r>
        <w:rPr>
          <w:rFonts w:ascii="宋体" w:hAnsi="宋体" w:eastAsia="宋体" w:cs="宋体"/>
          <w:spacing w:val="-4"/>
          <w:sz w:val="24"/>
          <w:szCs w:val="24"/>
          <w:u w:val="single" w:color="auto"/>
        </w:rPr>
        <w:t>（标的名称</w:t>
      </w:r>
      <w:r>
        <w:rPr>
          <w:rFonts w:ascii="宋体" w:hAnsi="宋体" w:eastAsia="宋体" w:cs="宋体"/>
          <w:spacing w:val="-20"/>
          <w:sz w:val="24"/>
          <w:szCs w:val="24"/>
          <w:u w:val="single" w:color="auto"/>
        </w:rPr>
        <w:t>）</w:t>
      </w:r>
      <w:r>
        <w:rPr>
          <w:rFonts w:ascii="宋体" w:hAnsi="宋体" w:eastAsia="宋体" w:cs="宋体"/>
          <w:spacing w:val="-20"/>
          <w:sz w:val="24"/>
          <w:szCs w:val="24"/>
        </w:rPr>
        <w:t>，</w:t>
      </w:r>
      <w:r>
        <w:rPr>
          <w:rFonts w:ascii="宋体" w:hAnsi="宋体" w:eastAsia="宋体" w:cs="宋体"/>
          <w:spacing w:val="-4"/>
          <w:sz w:val="24"/>
          <w:szCs w:val="24"/>
        </w:rPr>
        <w:t>属于</w:t>
      </w:r>
      <w:r>
        <w:rPr>
          <w:rFonts w:ascii="宋体" w:hAnsi="宋体" w:eastAsia="宋体" w:cs="宋体"/>
          <w:spacing w:val="-4"/>
          <w:sz w:val="24"/>
          <w:szCs w:val="24"/>
          <w:u w:val="single" w:color="auto"/>
        </w:rPr>
        <w:t>（招标文件中明确的所</w:t>
      </w:r>
      <w:r>
        <w:rPr>
          <w:rFonts w:ascii="宋体" w:hAnsi="宋体" w:eastAsia="宋体" w:cs="宋体"/>
          <w:spacing w:val="-5"/>
          <w:sz w:val="24"/>
          <w:szCs w:val="24"/>
          <w:u w:val="single" w:color="auto"/>
        </w:rPr>
        <w:t>属行业</w:t>
      </w:r>
      <w:r>
        <w:rPr>
          <w:rFonts w:ascii="宋体" w:hAnsi="宋体" w:eastAsia="宋体" w:cs="宋体"/>
          <w:spacing w:val="-20"/>
          <w:sz w:val="24"/>
          <w:szCs w:val="24"/>
          <w:u w:val="single" w:color="auto"/>
        </w:rPr>
        <w:t>）</w:t>
      </w:r>
      <w:r>
        <w:rPr>
          <w:rFonts w:ascii="宋体" w:hAnsi="宋体" w:eastAsia="宋体" w:cs="宋体"/>
          <w:spacing w:val="-20"/>
          <w:sz w:val="24"/>
          <w:szCs w:val="24"/>
        </w:rPr>
        <w:t>；</w:t>
      </w:r>
      <w:r>
        <w:rPr>
          <w:rFonts w:ascii="宋体" w:hAnsi="宋体" w:eastAsia="宋体" w:cs="宋体"/>
          <w:spacing w:val="-5"/>
          <w:sz w:val="24"/>
          <w:szCs w:val="24"/>
        </w:rPr>
        <w:t>承建（承接）企业为</w:t>
      </w:r>
      <w:r>
        <w:rPr>
          <w:rFonts w:ascii="宋体" w:hAnsi="宋体" w:eastAsia="宋体" w:cs="宋体"/>
          <w:spacing w:val="-5"/>
          <w:sz w:val="24"/>
          <w:szCs w:val="24"/>
          <w:u w:val="single" w:color="auto"/>
        </w:rPr>
        <w:t>（企</w:t>
      </w:r>
      <w:r>
        <w:rPr>
          <w:rFonts w:ascii="宋体" w:hAnsi="宋体" w:eastAsia="宋体" w:cs="宋体"/>
          <w:sz w:val="24"/>
          <w:szCs w:val="24"/>
        </w:rPr>
        <w:t xml:space="preserve"> </w:t>
      </w:r>
      <w:r>
        <w:rPr>
          <w:rFonts w:ascii="宋体" w:hAnsi="宋体" w:eastAsia="宋体" w:cs="宋体"/>
          <w:spacing w:val="-4"/>
          <w:sz w:val="24"/>
          <w:szCs w:val="24"/>
          <w:u w:val="single" w:color="auto"/>
        </w:rPr>
        <w:t>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4"/>
          <w:sz w:val="24"/>
          <w:szCs w:val="24"/>
        </w:rPr>
        <w:t>从业人员人，营业收入为万元，资产总额为万</w:t>
      </w:r>
      <w:r>
        <w:rPr>
          <w:rFonts w:ascii="宋体" w:hAnsi="宋体" w:eastAsia="宋体" w:cs="宋体"/>
          <w:spacing w:val="-5"/>
          <w:sz w:val="24"/>
          <w:szCs w:val="24"/>
        </w:rPr>
        <w:t>元①</w:t>
      </w:r>
      <w:r>
        <w:rPr>
          <w:rFonts w:ascii="宋体" w:hAnsi="宋体" w:eastAsia="宋体" w:cs="宋体"/>
          <w:spacing w:val="-93"/>
          <w:sz w:val="24"/>
          <w:szCs w:val="24"/>
        </w:rPr>
        <w:t xml:space="preserve"> </w:t>
      </w:r>
      <w:r>
        <w:rPr>
          <w:rFonts w:ascii="宋体" w:hAnsi="宋体" w:eastAsia="宋体" w:cs="宋体"/>
          <w:spacing w:val="-5"/>
          <w:sz w:val="24"/>
          <w:szCs w:val="24"/>
        </w:rPr>
        <w:t>,</w:t>
      </w:r>
      <w:r>
        <w:rPr>
          <w:rFonts w:ascii="宋体" w:hAnsi="宋体" w:eastAsia="宋体" w:cs="宋体"/>
          <w:spacing w:val="50"/>
          <w:sz w:val="24"/>
          <w:szCs w:val="24"/>
        </w:rPr>
        <w:t xml:space="preserve"> </w:t>
      </w:r>
      <w:r>
        <w:rPr>
          <w:rFonts w:ascii="宋体" w:hAnsi="宋体" w:eastAsia="宋体" w:cs="宋体"/>
          <w:spacing w:val="-5"/>
          <w:sz w:val="24"/>
          <w:szCs w:val="24"/>
        </w:rPr>
        <w:t>属于（中型企业、小型</w:t>
      </w:r>
    </w:p>
    <w:p>
      <w:pPr>
        <w:spacing w:line="220" w:lineRule="auto"/>
        <w:ind w:left="13"/>
        <w:rPr>
          <w:rFonts w:ascii="宋体" w:hAnsi="宋体" w:eastAsia="宋体" w:cs="宋体"/>
          <w:sz w:val="24"/>
          <w:szCs w:val="24"/>
        </w:rPr>
      </w:pPr>
      <w:r>
        <w:rPr>
          <w:rFonts w:ascii="宋体" w:hAnsi="宋体" w:eastAsia="宋体" w:cs="宋体"/>
          <w:spacing w:val="-2"/>
          <w:sz w:val="24"/>
          <w:szCs w:val="24"/>
        </w:rPr>
        <w:t>企业、微型企业</w:t>
      </w:r>
      <w:r>
        <w:rPr>
          <w:rFonts w:ascii="宋体" w:hAnsi="宋体" w:eastAsia="宋体" w:cs="宋体"/>
          <w:sz w:val="24"/>
          <w:szCs w:val="24"/>
        </w:rPr>
        <w:t>）；</w:t>
      </w:r>
    </w:p>
    <w:p>
      <w:pPr>
        <w:spacing w:before="182" w:line="359" w:lineRule="auto"/>
        <w:ind w:left="8" w:right="41" w:firstLine="483"/>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2"/>
          <w:sz w:val="24"/>
          <w:szCs w:val="24"/>
          <w:u w:val="single" w:color="auto"/>
        </w:rPr>
        <w:t>（标的名称</w:t>
      </w:r>
      <w:r>
        <w:rPr>
          <w:rFonts w:ascii="宋体" w:hAnsi="宋体" w:eastAsia="宋体" w:cs="宋体"/>
          <w:spacing w:val="-4"/>
          <w:sz w:val="24"/>
          <w:szCs w:val="24"/>
          <w:u w:val="single" w:color="auto"/>
        </w:rPr>
        <w:t>）</w:t>
      </w:r>
      <w:r>
        <w:rPr>
          <w:rFonts w:ascii="宋体" w:hAnsi="宋体" w:eastAsia="宋体" w:cs="宋体"/>
          <w:spacing w:val="-4"/>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（招标文件中明确的所</w:t>
      </w:r>
      <w:r>
        <w:rPr>
          <w:rFonts w:ascii="宋体" w:hAnsi="宋体" w:eastAsia="宋体" w:cs="宋体"/>
          <w:spacing w:val="-3"/>
          <w:sz w:val="24"/>
          <w:szCs w:val="24"/>
          <w:u w:val="single" w:color="auto"/>
        </w:rPr>
        <w:t>属行业</w:t>
      </w:r>
      <w:r>
        <w:rPr>
          <w:rFonts w:ascii="宋体" w:hAnsi="宋体" w:eastAsia="宋体" w:cs="宋体"/>
          <w:spacing w:val="-4"/>
          <w:sz w:val="24"/>
          <w:szCs w:val="24"/>
          <w:u w:val="single" w:color="auto"/>
        </w:rPr>
        <w:t>）</w:t>
      </w:r>
      <w:r>
        <w:rPr>
          <w:rFonts w:ascii="宋体" w:hAnsi="宋体" w:eastAsia="宋体" w:cs="宋体"/>
          <w:spacing w:val="-4"/>
          <w:sz w:val="24"/>
          <w:szCs w:val="24"/>
        </w:rPr>
        <w:t>；</w:t>
      </w:r>
      <w:r>
        <w:rPr>
          <w:rFonts w:ascii="宋体" w:hAnsi="宋体" w:eastAsia="宋体" w:cs="宋体"/>
          <w:spacing w:val="-3"/>
          <w:sz w:val="24"/>
          <w:szCs w:val="24"/>
        </w:rPr>
        <w:t>承建（承接）企业为</w:t>
      </w:r>
      <w:r>
        <w:rPr>
          <w:rFonts w:ascii="宋体" w:hAnsi="宋体" w:eastAsia="宋体" w:cs="宋体"/>
          <w:spacing w:val="-3"/>
          <w:sz w:val="24"/>
          <w:szCs w:val="24"/>
          <w:u w:val="single" w:color="auto"/>
        </w:rPr>
        <w:t>（企</w:t>
      </w:r>
      <w:r>
        <w:rPr>
          <w:rFonts w:ascii="宋体" w:hAnsi="宋体" w:eastAsia="宋体" w:cs="宋体"/>
          <w:spacing w:val="1"/>
          <w:sz w:val="24"/>
          <w:szCs w:val="24"/>
        </w:rPr>
        <w:t xml:space="preserve"> </w:t>
      </w:r>
      <w:r>
        <w:rPr>
          <w:rFonts w:ascii="宋体" w:hAnsi="宋体" w:eastAsia="宋体" w:cs="宋体"/>
          <w:spacing w:val="-2"/>
          <w:sz w:val="24"/>
          <w:szCs w:val="24"/>
          <w:u w:val="single" w:color="auto"/>
        </w:rPr>
        <w:t>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2"/>
          <w:sz w:val="24"/>
          <w:szCs w:val="24"/>
        </w:rPr>
        <w:t>从业人员人，营业收入为万元，资产总额为万元，属于（</w:t>
      </w:r>
      <w:r>
        <w:rPr>
          <w:rFonts w:ascii="宋体" w:hAnsi="宋体" w:eastAsia="宋体" w:cs="宋体"/>
          <w:spacing w:val="-3"/>
          <w:sz w:val="24"/>
          <w:szCs w:val="24"/>
        </w:rPr>
        <w:t>中型企业、小型企</w:t>
      </w:r>
    </w:p>
    <w:p>
      <w:pPr>
        <w:spacing w:line="220" w:lineRule="auto"/>
        <w:ind w:left="8"/>
        <w:rPr>
          <w:rFonts w:ascii="宋体" w:hAnsi="宋体" w:eastAsia="宋体" w:cs="宋体"/>
          <w:sz w:val="24"/>
          <w:szCs w:val="24"/>
        </w:rPr>
      </w:pPr>
      <w:r>
        <w:rPr>
          <w:rFonts w:ascii="宋体" w:hAnsi="宋体" w:eastAsia="宋体" w:cs="宋体"/>
          <w:spacing w:val="-2"/>
          <w:sz w:val="24"/>
          <w:szCs w:val="24"/>
        </w:rPr>
        <w:t>业、微型企业</w:t>
      </w:r>
      <w:r>
        <w:rPr>
          <w:rFonts w:ascii="宋体" w:hAnsi="宋体" w:eastAsia="宋体" w:cs="宋体"/>
          <w:spacing w:val="1"/>
          <w:sz w:val="24"/>
          <w:szCs w:val="24"/>
        </w:rPr>
        <w:t>）；</w:t>
      </w:r>
    </w:p>
    <w:p>
      <w:pPr>
        <w:spacing w:before="182" w:line="466" w:lineRule="exact"/>
        <w:ind w:right="41"/>
        <w:jc w:val="right"/>
        <w:rPr>
          <w:rFonts w:ascii="宋体" w:hAnsi="宋体" w:eastAsia="宋体" w:cs="宋体"/>
          <w:sz w:val="24"/>
          <w:szCs w:val="24"/>
        </w:rPr>
      </w:pPr>
      <w:r>
        <w:rPr>
          <w:rFonts w:ascii="宋体" w:hAnsi="宋体" w:eastAsia="宋体" w:cs="宋体"/>
          <w:spacing w:val="-3"/>
          <w:position w:val="17"/>
          <w:sz w:val="24"/>
          <w:szCs w:val="24"/>
        </w:rPr>
        <w:t>……以上企业，不属于大企业的分支机构，不存在控股股东为大企业的情形，也不</w:t>
      </w:r>
    </w:p>
    <w:p>
      <w:pPr>
        <w:spacing w:line="220" w:lineRule="auto"/>
        <w:ind w:left="8"/>
        <w:rPr>
          <w:rFonts w:ascii="宋体" w:hAnsi="宋体" w:eastAsia="宋体" w:cs="宋体"/>
          <w:sz w:val="24"/>
          <w:szCs w:val="24"/>
        </w:rPr>
      </w:pPr>
      <w:r>
        <w:rPr>
          <w:rFonts w:ascii="宋体" w:hAnsi="宋体" w:eastAsia="宋体" w:cs="宋体"/>
          <w:spacing w:val="-1"/>
          <w:sz w:val="24"/>
          <w:szCs w:val="24"/>
        </w:rPr>
        <w:t>存在与大企业的负责人为同一人的情形。</w:t>
      </w:r>
    </w:p>
    <w:p>
      <w:pPr>
        <w:spacing w:before="180" w:line="219" w:lineRule="auto"/>
        <w:ind w:left="490"/>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pPr>
        <w:spacing w:before="183" w:line="220" w:lineRule="auto"/>
        <w:ind w:left="489"/>
        <w:rPr>
          <w:rFonts w:ascii="宋体" w:hAnsi="宋体" w:eastAsia="宋体" w:cs="宋体"/>
          <w:sz w:val="24"/>
          <w:szCs w:val="24"/>
        </w:rPr>
      </w:pPr>
      <w:r>
        <w:rPr>
          <w:rFonts w:ascii="宋体" w:hAnsi="宋体" w:eastAsia="宋体" w:cs="宋体"/>
          <w:spacing w:val="-2"/>
          <w:sz w:val="24"/>
          <w:szCs w:val="24"/>
        </w:rPr>
        <w:t>信息查询网址为：</w:t>
      </w:r>
    </w:p>
    <w:p>
      <w:pPr>
        <w:pStyle w:val="10"/>
        <w:spacing w:line="257" w:lineRule="auto"/>
      </w:pPr>
    </w:p>
    <w:p>
      <w:pPr>
        <w:pStyle w:val="10"/>
        <w:spacing w:line="258" w:lineRule="auto"/>
      </w:pPr>
    </w:p>
    <w:p>
      <w:pPr>
        <w:pStyle w:val="10"/>
        <w:spacing w:line="258" w:lineRule="auto"/>
      </w:pPr>
    </w:p>
    <w:p>
      <w:pPr>
        <w:pStyle w:val="10"/>
        <w:spacing w:line="258" w:lineRule="auto"/>
      </w:pPr>
    </w:p>
    <w:p>
      <w:pPr>
        <w:spacing w:before="78" w:line="466" w:lineRule="exact"/>
        <w:ind w:left="4813"/>
        <w:rPr>
          <w:rFonts w:ascii="宋体" w:hAnsi="宋体" w:eastAsia="宋体" w:cs="宋体"/>
          <w:sz w:val="24"/>
          <w:szCs w:val="24"/>
        </w:rPr>
      </w:pPr>
      <w:r>
        <w:rPr>
          <w:rFonts w:ascii="宋体" w:hAnsi="宋体" w:eastAsia="宋体" w:cs="宋体"/>
          <w:spacing w:val="-2"/>
          <w:position w:val="17"/>
          <w:sz w:val="24"/>
          <w:szCs w:val="24"/>
        </w:rPr>
        <w:t>企业名称（盖章</w:t>
      </w:r>
      <w:r>
        <w:rPr>
          <w:rFonts w:ascii="宋体" w:hAnsi="宋体" w:eastAsia="宋体" w:cs="宋体"/>
          <w:position w:val="17"/>
          <w:sz w:val="24"/>
          <w:szCs w:val="24"/>
        </w:rPr>
        <w:t>）：</w:t>
      </w:r>
    </w:p>
    <w:p>
      <w:pPr>
        <w:spacing w:before="1" w:line="220" w:lineRule="auto"/>
        <w:ind w:left="4851"/>
        <w:rPr>
          <w:rFonts w:ascii="宋体" w:hAnsi="宋体" w:eastAsia="宋体" w:cs="宋体"/>
          <w:sz w:val="24"/>
          <w:szCs w:val="24"/>
        </w:rPr>
      </w:pPr>
      <w:r>
        <w:rPr>
          <w:rFonts w:ascii="宋体" w:hAnsi="宋体" w:eastAsia="宋体" w:cs="宋体"/>
          <w:spacing w:val="-17"/>
          <w:sz w:val="24"/>
          <w:szCs w:val="24"/>
        </w:rPr>
        <w:t>日期：</w:t>
      </w:r>
    </w:p>
    <w:p>
      <w:pPr>
        <w:pStyle w:val="10"/>
        <w:spacing w:line="269" w:lineRule="auto"/>
      </w:pPr>
    </w:p>
    <w:p>
      <w:pPr>
        <w:pStyle w:val="10"/>
        <w:spacing w:line="269" w:lineRule="auto"/>
      </w:pPr>
    </w:p>
    <w:p>
      <w:pPr>
        <w:pStyle w:val="10"/>
        <w:spacing w:line="269" w:lineRule="auto"/>
      </w:pPr>
    </w:p>
    <w:p>
      <w:pPr>
        <w:pStyle w:val="10"/>
        <w:spacing w:line="270" w:lineRule="auto"/>
      </w:pPr>
    </w:p>
    <w:p>
      <w:pPr>
        <w:spacing w:line="25" w:lineRule="exact"/>
        <w:ind w:firstLine="8"/>
      </w:pPr>
      <w:r>
        <w:drawing>
          <wp:inline distT="0" distB="0" distL="0" distR="0">
            <wp:extent cx="2983865" cy="158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3"/>
                    <a:stretch>
                      <a:fillRect/>
                    </a:stretch>
                  </pic:blipFill>
                  <pic:spPr>
                    <a:xfrm>
                      <a:off x="0" y="0"/>
                      <a:ext cx="2984499" cy="15875"/>
                    </a:xfrm>
                    <a:prstGeom prst="rect">
                      <a:avLst/>
                    </a:prstGeom>
                  </pic:spPr>
                </pic:pic>
              </a:graphicData>
            </a:graphic>
          </wp:inline>
        </w:drawing>
      </w:r>
    </w:p>
    <w:p>
      <w:pPr>
        <w:spacing w:before="162" w:line="465" w:lineRule="exact"/>
        <w:ind w:left="8"/>
        <w:rPr>
          <w:rFonts w:ascii="宋体" w:hAnsi="宋体" w:eastAsia="宋体" w:cs="宋体"/>
          <w:sz w:val="24"/>
          <w:szCs w:val="24"/>
        </w:rPr>
      </w:pPr>
      <w:r>
        <w:rPr>
          <w:rFonts w:ascii="宋体" w:hAnsi="宋体" w:eastAsia="宋体" w:cs="宋体"/>
          <w:spacing w:val="-2"/>
          <w:position w:val="17"/>
          <w:sz w:val="24"/>
          <w:szCs w:val="24"/>
        </w:rPr>
        <w:t>①从业人员、营业收入、资产总额填报上一年度数据</w:t>
      </w:r>
      <w:r>
        <w:rPr>
          <w:rFonts w:ascii="宋体" w:hAnsi="宋体" w:eastAsia="宋体" w:cs="宋体"/>
          <w:spacing w:val="-3"/>
          <w:position w:val="17"/>
          <w:sz w:val="24"/>
          <w:szCs w:val="24"/>
        </w:rPr>
        <w:t>，无上一年度数据的新成立企业可</w:t>
      </w:r>
    </w:p>
    <w:p>
      <w:pPr>
        <w:spacing w:line="220" w:lineRule="auto"/>
        <w:ind w:left="13"/>
        <w:rPr>
          <w:rFonts w:ascii="宋体" w:hAnsi="宋体" w:eastAsia="宋体" w:cs="宋体"/>
          <w:sz w:val="24"/>
          <w:szCs w:val="24"/>
        </w:rPr>
      </w:pPr>
      <w:r>
        <w:rPr>
          <w:rFonts w:ascii="宋体" w:hAnsi="宋体" w:eastAsia="宋体" w:cs="宋体"/>
          <w:spacing w:val="-4"/>
          <w:sz w:val="24"/>
          <w:szCs w:val="24"/>
        </w:rPr>
        <w:t>不填报。</w:t>
      </w:r>
    </w:p>
    <w:p>
      <w:pPr>
        <w:spacing w:before="182" w:line="218" w:lineRule="auto"/>
        <w:ind w:left="7"/>
        <w:rPr>
          <w:rFonts w:ascii="宋体" w:hAnsi="宋体" w:eastAsia="宋体" w:cs="宋体"/>
          <w:sz w:val="24"/>
          <w:szCs w:val="24"/>
        </w:rPr>
      </w:pPr>
      <w:r>
        <w:rPr>
          <w:rFonts w:ascii="宋体" w:hAnsi="宋体" w:eastAsia="宋体" w:cs="宋体"/>
          <w:spacing w:val="-1"/>
          <w:sz w:val="24"/>
          <w:szCs w:val="24"/>
        </w:rPr>
        <w:t>②本声明函将随中标结果公开，接受社会监督。</w:t>
      </w:r>
    </w:p>
    <w:p>
      <w:pPr>
        <w:spacing w:line="218" w:lineRule="auto"/>
        <w:rPr>
          <w:rFonts w:ascii="宋体" w:hAnsi="宋体" w:eastAsia="宋体" w:cs="宋体"/>
          <w:sz w:val="24"/>
          <w:szCs w:val="24"/>
        </w:rPr>
        <w:sectPr>
          <w:headerReference r:id="rId17" w:type="default"/>
          <w:footerReference r:id="rId18" w:type="default"/>
          <w:pgSz w:w="11906" w:h="16839"/>
          <w:pgMar w:top="1066" w:right="1407" w:bottom="1010" w:left="1418" w:header="878" w:footer="847" w:gutter="0"/>
          <w:cols w:space="720" w:num="1"/>
        </w:sectPr>
      </w:pPr>
    </w:p>
    <w:p>
      <w:pPr>
        <w:pStyle w:val="10"/>
        <w:spacing w:line="425" w:lineRule="auto"/>
      </w:pPr>
    </w:p>
    <w:p>
      <w:pPr>
        <w:spacing w:before="100" w:line="225" w:lineRule="auto"/>
        <w:ind w:left="2412"/>
        <w:outlineLvl w:val="1"/>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残疾人福利性单位声明函</w:t>
      </w:r>
    </w:p>
    <w:p>
      <w:pPr>
        <w:pStyle w:val="10"/>
        <w:spacing w:line="295" w:lineRule="auto"/>
      </w:pPr>
    </w:p>
    <w:p>
      <w:pPr>
        <w:pStyle w:val="10"/>
        <w:spacing w:line="296" w:lineRule="auto"/>
      </w:pPr>
    </w:p>
    <w:p>
      <w:pPr>
        <w:spacing w:before="78" w:line="360" w:lineRule="auto"/>
        <w:ind w:left="22" w:right="13" w:firstLine="481"/>
        <w:jc w:val="both"/>
        <w:rPr>
          <w:rFonts w:ascii="宋体" w:hAnsi="宋体" w:eastAsia="宋体" w:cs="宋体"/>
          <w:sz w:val="24"/>
          <w:szCs w:val="24"/>
        </w:rPr>
      </w:pPr>
      <w:r>
        <w:rPr>
          <w:rFonts w:ascii="宋体" w:hAnsi="宋体" w:eastAsia="宋体" w:cs="宋体"/>
          <w:spacing w:val="-5"/>
          <w:sz w:val="24"/>
          <w:szCs w:val="24"/>
        </w:rPr>
        <w:t>本单位郑重声明，根据《财政部</w:t>
      </w:r>
      <w:r>
        <w:rPr>
          <w:rFonts w:ascii="宋体" w:hAnsi="宋体" w:eastAsia="宋体" w:cs="宋体"/>
          <w:spacing w:val="33"/>
          <w:sz w:val="24"/>
          <w:szCs w:val="24"/>
        </w:rPr>
        <w:t xml:space="preserve"> </w:t>
      </w:r>
      <w:r>
        <w:rPr>
          <w:rFonts w:ascii="宋体" w:hAnsi="宋体" w:eastAsia="宋体" w:cs="宋体"/>
          <w:spacing w:val="-5"/>
          <w:sz w:val="24"/>
          <w:szCs w:val="24"/>
        </w:rPr>
        <w:t>民政部</w:t>
      </w:r>
      <w:r>
        <w:rPr>
          <w:rFonts w:ascii="宋体" w:hAnsi="宋体" w:eastAsia="宋体" w:cs="宋体"/>
          <w:spacing w:val="32"/>
          <w:sz w:val="24"/>
          <w:szCs w:val="24"/>
        </w:rPr>
        <w:t xml:space="preserve"> </w:t>
      </w:r>
      <w:r>
        <w:rPr>
          <w:rFonts w:ascii="宋体" w:hAnsi="宋体" w:eastAsia="宋体" w:cs="宋体"/>
          <w:spacing w:val="-5"/>
          <w:sz w:val="24"/>
          <w:szCs w:val="24"/>
        </w:rPr>
        <w:t>中国残疾人</w:t>
      </w:r>
      <w:r>
        <w:rPr>
          <w:rFonts w:ascii="宋体" w:hAnsi="宋体" w:eastAsia="宋体" w:cs="宋体"/>
          <w:spacing w:val="-6"/>
          <w:sz w:val="24"/>
          <w:szCs w:val="24"/>
        </w:rPr>
        <w:t>联合会关于促进残疾人</w:t>
      </w:r>
      <w:r>
        <w:rPr>
          <w:rFonts w:ascii="宋体" w:hAnsi="宋体" w:eastAsia="宋体" w:cs="宋体"/>
          <w:sz w:val="24"/>
          <w:szCs w:val="24"/>
        </w:rPr>
        <w:t xml:space="preserve"> </w:t>
      </w:r>
      <w:r>
        <w:rPr>
          <w:rFonts w:ascii="宋体" w:hAnsi="宋体" w:eastAsia="宋体" w:cs="宋体"/>
          <w:spacing w:val="1"/>
          <w:sz w:val="24"/>
          <w:szCs w:val="24"/>
        </w:rPr>
        <w:t>就业政府采购政策的通知》（财库〔2017〕</w:t>
      </w:r>
      <w:r>
        <w:rPr>
          <w:rFonts w:ascii="宋体" w:hAnsi="宋体" w:eastAsia="宋体" w:cs="宋体"/>
          <w:spacing w:val="34"/>
          <w:sz w:val="24"/>
          <w:szCs w:val="24"/>
        </w:rPr>
        <w:t xml:space="preserve"> </w:t>
      </w:r>
      <w:r>
        <w:rPr>
          <w:rFonts w:ascii="宋体" w:hAnsi="宋体" w:eastAsia="宋体" w:cs="宋体"/>
          <w:spacing w:val="1"/>
          <w:sz w:val="24"/>
          <w:szCs w:val="24"/>
        </w:rPr>
        <w:t>1</w:t>
      </w:r>
      <w:r>
        <w:rPr>
          <w:rFonts w:ascii="宋体" w:hAnsi="宋体" w:eastAsia="宋体" w:cs="宋体"/>
          <w:sz w:val="24"/>
          <w:szCs w:val="24"/>
        </w:rPr>
        <w:t>41</w:t>
      </w:r>
      <w:r>
        <w:rPr>
          <w:rFonts w:ascii="宋体" w:hAnsi="宋体" w:eastAsia="宋体" w:cs="宋体"/>
          <w:spacing w:val="-42"/>
          <w:sz w:val="24"/>
          <w:szCs w:val="24"/>
        </w:rPr>
        <w:t xml:space="preserve"> </w:t>
      </w:r>
      <w:r>
        <w:rPr>
          <w:rFonts w:ascii="宋体" w:hAnsi="宋体" w:eastAsia="宋体" w:cs="宋体"/>
          <w:sz w:val="24"/>
          <w:szCs w:val="24"/>
        </w:rPr>
        <w:t>号）的规定，本单位为符合条 件的残疾人福利性单位，且本单位参加</w:t>
      </w:r>
      <w:r>
        <w:rPr>
          <w:rFonts w:ascii="宋体" w:hAnsi="宋体" w:eastAsia="宋体" w:cs="宋体"/>
          <w:sz w:val="24"/>
          <w:szCs w:val="24"/>
          <w:u w:val="single" w:color="auto"/>
        </w:rPr>
        <w:t xml:space="preserve">    政府采购中心 </w:t>
      </w:r>
      <w:r>
        <w:rPr>
          <w:rFonts w:ascii="宋体" w:hAnsi="宋体" w:eastAsia="宋体" w:cs="宋体"/>
          <w:sz w:val="24"/>
          <w:szCs w:val="24"/>
        </w:rPr>
        <w:t>单位的项目采购活动</w:t>
      </w:r>
      <w:r>
        <w:rPr>
          <w:rFonts w:ascii="宋体" w:hAnsi="宋体" w:eastAsia="宋体" w:cs="宋体"/>
          <w:spacing w:val="14"/>
          <w:sz w:val="24"/>
          <w:szCs w:val="24"/>
        </w:rPr>
        <w:t xml:space="preserve"> </w:t>
      </w:r>
      <w:r>
        <w:rPr>
          <w:rFonts w:ascii="宋体" w:hAnsi="宋体" w:eastAsia="宋体" w:cs="宋体"/>
          <w:sz w:val="24"/>
          <w:szCs w:val="24"/>
        </w:rPr>
        <w:t>提供本单位制造的货物（由本单位承担工程/提供服务</w:t>
      </w:r>
      <w:r>
        <w:rPr>
          <w:rFonts w:ascii="宋体" w:hAnsi="宋体" w:eastAsia="宋体" w:cs="宋体"/>
          <w:spacing w:val="7"/>
          <w:sz w:val="24"/>
          <w:szCs w:val="24"/>
        </w:rPr>
        <w:t>），</w:t>
      </w:r>
      <w:r>
        <w:rPr>
          <w:rFonts w:ascii="宋体" w:hAnsi="宋体" w:eastAsia="宋体" w:cs="宋体"/>
          <w:sz w:val="24"/>
          <w:szCs w:val="24"/>
        </w:rPr>
        <w:t>或者提供其他残疾人</w:t>
      </w:r>
    </w:p>
    <w:p>
      <w:pPr>
        <w:spacing w:line="219" w:lineRule="auto"/>
        <w:ind w:left="22"/>
        <w:rPr>
          <w:rFonts w:ascii="宋体" w:hAnsi="宋体" w:eastAsia="宋体" w:cs="宋体"/>
          <w:sz w:val="24"/>
          <w:szCs w:val="24"/>
        </w:rPr>
      </w:pPr>
      <w:r>
        <w:rPr>
          <w:rFonts w:ascii="宋体" w:hAnsi="宋体" w:eastAsia="宋体" w:cs="宋体"/>
          <w:sz w:val="24"/>
          <w:szCs w:val="24"/>
        </w:rPr>
        <w:t>福利性单位制造的货物（不包括使用非残疾人福利性单</w:t>
      </w:r>
      <w:r>
        <w:rPr>
          <w:rFonts w:ascii="宋体" w:hAnsi="宋体" w:eastAsia="宋体" w:cs="宋体"/>
          <w:spacing w:val="-1"/>
          <w:sz w:val="24"/>
          <w:szCs w:val="24"/>
        </w:rPr>
        <w:t>位注册商标的货物）。</w:t>
      </w:r>
    </w:p>
    <w:p>
      <w:pPr>
        <w:spacing w:before="183" w:line="219" w:lineRule="auto"/>
        <w:ind w:left="504"/>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pPr>
        <w:pStyle w:val="10"/>
        <w:spacing w:line="263" w:lineRule="auto"/>
      </w:pPr>
    </w:p>
    <w:p>
      <w:pPr>
        <w:pStyle w:val="10"/>
        <w:spacing w:line="264" w:lineRule="auto"/>
      </w:pPr>
    </w:p>
    <w:p>
      <w:pPr>
        <w:pStyle w:val="10"/>
        <w:spacing w:line="264" w:lineRule="auto"/>
      </w:pPr>
    </w:p>
    <w:p>
      <w:pPr>
        <w:pStyle w:val="10"/>
        <w:spacing w:line="264" w:lineRule="auto"/>
      </w:pPr>
    </w:p>
    <w:p>
      <w:pPr>
        <w:pStyle w:val="10"/>
        <w:spacing w:line="264" w:lineRule="auto"/>
      </w:pPr>
    </w:p>
    <w:p>
      <w:pPr>
        <w:pStyle w:val="10"/>
        <w:spacing w:line="264" w:lineRule="auto"/>
      </w:pPr>
    </w:p>
    <w:p>
      <w:pPr>
        <w:spacing w:before="78" w:line="468" w:lineRule="exact"/>
        <w:ind w:left="4813"/>
        <w:rPr>
          <w:rFonts w:ascii="宋体" w:hAnsi="宋体" w:eastAsia="宋体" w:cs="宋体"/>
          <w:sz w:val="24"/>
          <w:szCs w:val="24"/>
        </w:rPr>
      </w:pPr>
      <w:r>
        <w:rPr>
          <w:rFonts w:ascii="宋体" w:hAnsi="宋体" w:eastAsia="宋体" w:cs="宋体"/>
          <w:spacing w:val="-2"/>
          <w:position w:val="17"/>
          <w:sz w:val="24"/>
          <w:szCs w:val="24"/>
        </w:rPr>
        <w:t>单位名称（盖章</w:t>
      </w:r>
      <w:r>
        <w:rPr>
          <w:rFonts w:ascii="宋体" w:hAnsi="宋体" w:eastAsia="宋体" w:cs="宋体"/>
          <w:position w:val="17"/>
          <w:sz w:val="24"/>
          <w:szCs w:val="24"/>
        </w:rPr>
        <w:t>）：</w:t>
      </w:r>
    </w:p>
    <w:p>
      <w:pPr>
        <w:spacing w:before="1" w:line="220" w:lineRule="auto"/>
        <w:ind w:left="4855"/>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6"/>
          <w:sz w:val="24"/>
          <w:szCs w:val="24"/>
        </w:rPr>
        <w:t xml:space="preserve">  </w:t>
      </w:r>
      <w:r>
        <w:rPr>
          <w:rFonts w:ascii="宋体" w:hAnsi="宋体" w:eastAsia="宋体" w:cs="宋体"/>
          <w:spacing w:val="-21"/>
          <w:sz w:val="24"/>
          <w:szCs w:val="24"/>
        </w:rPr>
        <w:t>期</w:t>
      </w:r>
      <w:r>
        <w:rPr>
          <w:rFonts w:ascii="宋体" w:hAnsi="宋体" w:eastAsia="宋体" w:cs="宋体"/>
          <w:sz w:val="24"/>
          <w:szCs w:val="24"/>
        </w:rPr>
        <w:t xml:space="preserve">  </w:t>
      </w:r>
      <w:r>
        <w:rPr>
          <w:rFonts w:ascii="宋体" w:hAnsi="宋体" w:eastAsia="宋体" w:cs="宋体"/>
          <w:spacing w:val="-21"/>
          <w:sz w:val="24"/>
          <w:szCs w:val="24"/>
        </w:rPr>
        <w:t>：</w:t>
      </w:r>
    </w:p>
    <w:p/>
    <w:sectPr>
      <w:headerReference r:id="rId19" w:type="default"/>
      <w:footerReference r:id="rId2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612C02D-F525-47F9-B3A6-5E2B2A90295B}"/>
  </w:font>
  <w:font w:name="黑体">
    <w:panose1 w:val="02010609060101010101"/>
    <w:charset w:val="86"/>
    <w:family w:val="auto"/>
    <w:pitch w:val="default"/>
    <w:sig w:usb0="800002BF" w:usb1="38CF7CFA" w:usb2="00000016" w:usb3="00000000" w:csb0="00040001" w:csb1="00000000"/>
    <w:embedRegular r:id="rId2" w:fontKey="{80C0176D-4164-4B30-BAB4-51FC8269395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5E4EEC4D-0B0A-41B5-8828-3277C16B329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4" w:fontKey="{9A6994EF-094E-44CC-8D28-07AFC409D4AA}"/>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5" w:fontKey="{D8085917-4272-4C75-AC1E-787D12253BF0}"/>
  </w:font>
  <w:font w:name="方正兰亭黑简体">
    <w:altName w:val="黑体"/>
    <w:panose1 w:val="00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embedRegular r:id="rId6" w:fontKey="{29E2E5A1-478F-45C6-ABBC-2E39766848CA}"/>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73</w:t>
                    </w:r>
                    <w:r>
                      <w:fldChar w:fldCharType="end"/>
                    </w:r>
                  </w:p>
                </w:txbxContent>
              </v:textbox>
            </v:shape>
          </w:pict>
        </mc:Fallback>
      </mc:AlternateContent>
    </w:r>
    <w:r>
      <w:rPr>
        <w:rFonts w:ascii="Times New Roman" w:hAnsi="Times New Roman" w:eastAsia="Times New Roman" w:cs="Times New Roman"/>
        <w:spacing w:val="-3"/>
        <w:sz w:val="18"/>
        <w:szCs w:val="18"/>
      </w:rPr>
      <w:t>73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74</w:t>
                    </w:r>
                    <w:r>
                      <w:fldChar w:fldCharType="end"/>
                    </w:r>
                  </w:p>
                </w:txbxContent>
              </v:textbox>
            </v:shape>
          </w:pict>
        </mc:Fallback>
      </mc:AlternateContent>
    </w:r>
    <w:r>
      <w:rPr>
        <w:rFonts w:ascii="Times New Roman" w:hAnsi="Times New Roman" w:eastAsia="Times New Roman" w:cs="Times New Roman"/>
        <w:spacing w:val="-3"/>
        <w:sz w:val="18"/>
        <w:szCs w:val="18"/>
      </w:rPr>
      <w:t>74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75</w:t>
                    </w:r>
                    <w:r>
                      <w:fldChar w:fldCharType="end"/>
                    </w:r>
                  </w:p>
                </w:txbxContent>
              </v:textbox>
            </v:shape>
          </w:pict>
        </mc:Fallback>
      </mc:AlternateContent>
    </w:r>
    <w:r>
      <w:rPr>
        <w:rFonts w:ascii="Times New Roman" w:hAnsi="Times New Roman" w:eastAsia="Times New Roman" w:cs="Times New Roman"/>
        <w:spacing w:val="-3"/>
        <w:sz w:val="18"/>
        <w:szCs w:val="18"/>
      </w:rPr>
      <w:t>75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76</w:t>
                    </w:r>
                    <w:r>
                      <w:fldChar w:fldCharType="end"/>
                    </w:r>
                  </w:p>
                </w:txbxContent>
              </v:textbox>
            </v:shape>
          </w:pict>
        </mc:Fallback>
      </mc:AlternateContent>
    </w:r>
    <w:r>
      <w:rPr>
        <w:rFonts w:ascii="Times New Roman" w:hAnsi="Times New Roman" w:eastAsia="Times New Roman" w:cs="Times New Roman"/>
        <w:spacing w:val="-3"/>
        <w:sz w:val="18"/>
        <w:szCs w:val="18"/>
      </w:rPr>
      <w:t>76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50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mc:Fallback>
      </mc:AlternateContent>
    </w:r>
    <w:r>
      <w:rPr>
        <w:rFonts w:ascii="Times New Roman" w:hAnsi="Times New Roman" w:eastAsia="Times New Roman" w:cs="Times New Roman"/>
        <w:spacing w:val="-3"/>
        <w:sz w:val="18"/>
        <w:szCs w:val="18"/>
      </w:rPr>
      <w:t>77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78</w:t>
                    </w:r>
                    <w:r>
                      <w:fldChar w:fldCharType="end"/>
                    </w:r>
                  </w:p>
                </w:txbxContent>
              </v:textbox>
            </v:shape>
          </w:pict>
        </mc:Fallback>
      </mc:AlternateContent>
    </w:r>
    <w:r>
      <w:rPr>
        <w:rFonts w:ascii="Times New Roman" w:hAnsi="Times New Roman" w:eastAsia="Times New Roman" w:cs="Times New Roman"/>
        <w:spacing w:val="-3"/>
        <w:sz w:val="18"/>
        <w:szCs w:val="18"/>
      </w:rPr>
      <w:t>78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政府采购文件公开招标服务类示范文本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227"/>
      <w:rPr>
        <w:rFonts w:ascii="宋体" w:hAnsi="宋体" w:eastAsia="宋体" w:cs="宋体"/>
        <w:sz w:val="18"/>
        <w:szCs w:val="18"/>
      </w:rPr>
    </w:pPr>
    <w:r>
      <mc:AlternateContent>
        <mc:Choice Requires="wps">
          <w:drawing>
            <wp:anchor distT="0" distB="0" distL="114300" distR="114300" simplePos="0" relativeHeight="251662336" behindDoc="0" locked="0" layoutInCell="1" allowOverlap="1">
              <wp:simplePos x="0" y="0"/>
              <wp:positionH relativeFrom="column">
                <wp:posOffset>135890</wp:posOffset>
              </wp:positionH>
              <wp:positionV relativeFrom="paragraph">
                <wp:posOffset>108585</wp:posOffset>
              </wp:positionV>
              <wp:extent cx="5518150" cy="10795"/>
              <wp:effectExtent l="0" t="0" r="0" b="0"/>
              <wp:wrapNone/>
              <wp:docPr id="2" name="任意多边形 2"/>
              <wp:cNvGraphicFramePr/>
              <a:graphic xmlns:a="http://schemas.openxmlformats.org/drawingml/2006/main">
                <a:graphicData uri="http://schemas.microsoft.com/office/word/2010/wordprocessingShape">
                  <wps:wsp>
                    <wps:cNvSpPr/>
                    <wps:spPr>
                      <a:xfrm>
                        <a:off x="0" y="0"/>
                        <a:ext cx="5518150" cy="10795"/>
                      </a:xfrm>
                      <a:custGeom>
                        <a:avLst/>
                        <a:gdLst/>
                        <a:ahLst/>
                        <a:cxnLst/>
                        <a:pathLst>
                          <a:path w="8690" h="17">
                            <a:moveTo>
                              <a:pt x="0" y="8"/>
                            </a:moveTo>
                            <a:lnTo>
                              <a:pt x="7837" y="8"/>
                            </a:lnTo>
                            <a:moveTo>
                              <a:pt x="7837" y="8"/>
                            </a:moveTo>
                            <a:lnTo>
                              <a:pt x="7977" y="8"/>
                            </a:lnTo>
                            <a:moveTo>
                              <a:pt x="7977" y="8"/>
                            </a:moveTo>
                            <a:lnTo>
                              <a:pt x="8362" y="8"/>
                            </a:lnTo>
                            <a:moveTo>
                              <a:pt x="8362" y="8"/>
                            </a:moveTo>
                            <a:lnTo>
                              <a:pt x="8500" y="8"/>
                            </a:lnTo>
                            <a:moveTo>
                              <a:pt x="8500" y="8"/>
                            </a:moveTo>
                            <a:lnTo>
                              <a:pt x="8690" y="8"/>
                            </a:lnTo>
                          </a:path>
                        </a:pathLst>
                      </a:custGeom>
                      <a:noFill/>
                      <a:ln w="10668"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0.7pt;margin-top:8.55pt;height:0.85pt;width:434.5pt;z-index:251662336;mso-width-relative:page;mso-height-relative:page;" filled="f" stroked="t" coordsize="8690,17" o:gfxdata="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wVpn9MAAAAIAQAADwAAAAAAAAABACAAAAAiAAAAZHJzL2Rvd25yZXYueG1s&#10;UEsBAhQAFAAAAAgAh07iQG/tjatvAgAA4AUAAA4AAAAAAAAAAQAgAAAAIgEAAGRycy9lMm9Eb2Mu&#10;eG1sUEsFBgAAAAAGAAYAWQEAAAMGAAAAAA==&#10;" path="m0,8l7837,8m7837,8l7977,8m7977,8l8362,8m8362,8l8500,8m8500,8l8690,8e">
              <v:fill on="f" focussize="0,0"/>
              <v:stroke weight="0.84pt" color="#000000" joinstyle="bevel"/>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4947920</wp:posOffset>
              </wp:positionH>
              <wp:positionV relativeFrom="paragraph">
                <wp:posOffset>-12065</wp:posOffset>
              </wp:positionV>
              <wp:extent cx="777240" cy="1619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77240" cy="161925"/>
                      </a:xfrm>
                      <a:prstGeom prst="rect">
                        <a:avLst/>
                      </a:prstGeom>
                      <a:noFill/>
                      <a:ln>
                        <a:noFill/>
                      </a:ln>
                    </wps:spPr>
                    <wps:txbx>
                      <w:txbxContent>
                        <w:p>
                          <w:pPr>
                            <w:spacing w:before="20" w:line="220" w:lineRule="auto"/>
                            <w:ind w:left="20"/>
                            <w:rPr>
                              <w:rFonts w:ascii="宋体" w:hAnsi="宋体" w:eastAsia="宋体" w:cs="宋体"/>
                              <w:sz w:val="18"/>
                              <w:szCs w:val="18"/>
                            </w:rPr>
                          </w:pPr>
                          <w:r>
                            <w:rPr>
                              <w:rFonts w:ascii="宋体" w:hAnsi="宋体" w:eastAsia="宋体" w:cs="宋体"/>
                              <w:i/>
                              <w:iCs/>
                              <w:spacing w:val="9"/>
                              <w:sz w:val="18"/>
                              <w:szCs w:val="18"/>
                              <w14:textOutline w14:w="3268" w14:cap="sq" w14:cmpd="sng">
                                <w14:solidFill>
                                  <w14:srgbClr w14:val="000000"/>
                                </w14:solidFill>
                                <w14:prstDash w14:val="solid"/>
                                <w14:bevel/>
                              </w14:textOutline>
                            </w:rPr>
                            <w:t>第</w:t>
                          </w:r>
                          <w:r>
                            <w:rPr>
                              <w:rFonts w:ascii="Times New Roman" w:hAnsi="Times New Roman" w:eastAsia="Times New Roman" w:cs="Times New Roman"/>
                              <w:b/>
                              <w:bCs/>
                              <w:i/>
                              <w:iCs/>
                              <w:spacing w:val="9"/>
                              <w:sz w:val="18"/>
                              <w:szCs w:val="18"/>
                            </w:rPr>
                            <w:t>73</w:t>
                          </w:r>
                          <w:r>
                            <w:rPr>
                              <w:rFonts w:ascii="宋体" w:hAnsi="宋体" w:eastAsia="宋体" w:cs="宋体"/>
                              <w:i/>
                              <w:iCs/>
                              <w:spacing w:val="9"/>
                              <w:sz w:val="18"/>
                              <w:szCs w:val="18"/>
                              <w14:textOutline w14:w="3268" w14:cap="sq" w14:cmpd="sng">
                                <w14:solidFill>
                                  <w14:srgbClr w14:val="000000"/>
                                </w14:solidFill>
                                <w14:prstDash w14:val="solid"/>
                                <w14:bevel/>
                              </w14:textOutline>
                            </w:rPr>
                            <w:t>页共</w:t>
                          </w:r>
                          <w:r>
                            <w:rPr>
                              <w:rFonts w:ascii="Times New Roman" w:hAnsi="Times New Roman" w:eastAsia="Times New Roman" w:cs="Times New Roman"/>
                              <w:b/>
                              <w:bCs/>
                              <w:i/>
                              <w:iCs/>
                              <w:spacing w:val="9"/>
                              <w:sz w:val="18"/>
                              <w:szCs w:val="18"/>
                            </w:rPr>
                            <w:t>79</w:t>
                          </w:r>
                          <w:r>
                            <w:rPr>
                              <w:rFonts w:ascii="Times New Roman" w:hAnsi="Times New Roman" w:eastAsia="Times New Roman" w:cs="Times New Roman"/>
                              <w:b/>
                              <w:bCs/>
                              <w:i/>
                              <w:iCs/>
                              <w:spacing w:val="-15"/>
                              <w:sz w:val="18"/>
                              <w:szCs w:val="18"/>
                            </w:rPr>
                            <w:t xml:space="preserve"> </w:t>
                          </w:r>
                          <w:r>
                            <w:rPr>
                              <w:rFonts w:ascii="宋体" w:hAnsi="宋体" w:eastAsia="宋体" w:cs="宋体"/>
                              <w:i/>
                              <w:iCs/>
                              <w:spacing w:val="9"/>
                              <w:sz w:val="18"/>
                              <w:szCs w:val="18"/>
                              <w14:textOutline w14:w="3268" w14:cap="sq" w14:cmpd="sng">
                                <w14:solidFill>
                                  <w14:srgbClr w14:val="000000"/>
                                </w14:solidFill>
                                <w14:prstDash w14:val="solid"/>
                                <w14:bevel/>
                              </w14:textOutline>
                            </w:rPr>
                            <w:t>页</w:t>
                          </w:r>
                        </w:p>
                      </w:txbxContent>
                    </wps:txbx>
                    <wps:bodyPr lIns="0" tIns="0" rIns="0" bIns="0" upright="1"/>
                  </wps:wsp>
                </a:graphicData>
              </a:graphic>
            </wp:anchor>
          </w:drawing>
        </mc:Choice>
        <mc:Fallback>
          <w:pict>
            <v:shape id="_x0000_s1026" o:spid="_x0000_s1026" o:spt="202" type="#_x0000_t202" style="position:absolute;left:0pt;margin-left:389.6pt;margin-top:-0.95pt;height:12.75pt;width:61.2pt;z-index:251661312;mso-width-relative:page;mso-height-relative:page;" filled="f" stroked="f" coordsize="21600,21600" o:gfxdata="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ksxATYAAAACQEAAA8AAAAAAAAAAQAgAAAAIgAAAGRycy9kb3ducmV2LnhtbFBLAQIU&#10;ABQAAAAIAIdO4kC5RcBTugEAAHEDAAAOAAAAAAAAAAEAIAAAACcBAABkcnMvZTJvRG9jLnhtbFBL&#10;BQYAAAAABgAGAFkBAABTBQAAAAA=&#10;">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i/>
                        <w:iCs/>
                        <w:spacing w:val="9"/>
                        <w:sz w:val="18"/>
                        <w:szCs w:val="18"/>
                        <w14:textOutline w14:w="3268" w14:cap="sq" w14:cmpd="sng">
                          <w14:solidFill>
                            <w14:srgbClr w14:val="000000"/>
                          </w14:solidFill>
                          <w14:prstDash w14:val="solid"/>
                          <w14:bevel/>
                        </w14:textOutline>
                      </w:rPr>
                      <w:t>第</w:t>
                    </w:r>
                    <w:r>
                      <w:rPr>
                        <w:rFonts w:ascii="Times New Roman" w:hAnsi="Times New Roman" w:eastAsia="Times New Roman" w:cs="Times New Roman"/>
                        <w:b/>
                        <w:bCs/>
                        <w:i/>
                        <w:iCs/>
                        <w:spacing w:val="9"/>
                        <w:sz w:val="18"/>
                        <w:szCs w:val="18"/>
                      </w:rPr>
                      <w:t>73</w:t>
                    </w:r>
                    <w:r>
                      <w:rPr>
                        <w:rFonts w:ascii="宋体" w:hAnsi="宋体" w:eastAsia="宋体" w:cs="宋体"/>
                        <w:i/>
                        <w:iCs/>
                        <w:spacing w:val="9"/>
                        <w:sz w:val="18"/>
                        <w:szCs w:val="18"/>
                        <w14:textOutline w14:w="3268" w14:cap="sq" w14:cmpd="sng">
                          <w14:solidFill>
                            <w14:srgbClr w14:val="000000"/>
                          </w14:solidFill>
                          <w14:prstDash w14:val="solid"/>
                          <w14:bevel/>
                        </w14:textOutline>
                      </w:rPr>
                      <w:t>页共</w:t>
                    </w:r>
                    <w:r>
                      <w:rPr>
                        <w:rFonts w:ascii="Times New Roman" w:hAnsi="Times New Roman" w:eastAsia="Times New Roman" w:cs="Times New Roman"/>
                        <w:b/>
                        <w:bCs/>
                        <w:i/>
                        <w:iCs/>
                        <w:spacing w:val="9"/>
                        <w:sz w:val="18"/>
                        <w:szCs w:val="18"/>
                      </w:rPr>
                      <w:t>79</w:t>
                    </w:r>
                    <w:r>
                      <w:rPr>
                        <w:rFonts w:ascii="Times New Roman" w:hAnsi="Times New Roman" w:eastAsia="Times New Roman" w:cs="Times New Roman"/>
                        <w:b/>
                        <w:bCs/>
                        <w:i/>
                        <w:iCs/>
                        <w:spacing w:val="-15"/>
                        <w:sz w:val="18"/>
                        <w:szCs w:val="18"/>
                      </w:rPr>
                      <w:t xml:space="preserve"> </w:t>
                    </w:r>
                    <w:r>
                      <w:rPr>
                        <w:rFonts w:ascii="宋体" w:hAnsi="宋体" w:eastAsia="宋体" w:cs="宋体"/>
                        <w:i/>
                        <w:iCs/>
                        <w:spacing w:val="9"/>
                        <w:sz w:val="18"/>
                        <w:szCs w:val="18"/>
                        <w14:textOutline w14:w="3268" w14:cap="sq" w14:cmpd="sng">
                          <w14:solidFill>
                            <w14:srgbClr w14:val="000000"/>
                          </w14:solidFill>
                          <w14:prstDash w14:val="solid"/>
                          <w14:bevel/>
                        </w14:textOutline>
                      </w:rPr>
                      <w:t>页</w:t>
                    </w:r>
                  </w:p>
                </w:txbxContent>
              </v:textbox>
            </v:shape>
          </w:pict>
        </mc:Fallback>
      </mc:AlternateContent>
    </w:r>
    <w:r>
      <w:rPr>
        <w:rFonts w:ascii="宋体" w:hAnsi="宋体" w:eastAsia="宋体" w:cs="宋体"/>
        <w:i/>
        <w:iCs/>
        <w:spacing w:val="2"/>
        <w:sz w:val="18"/>
        <w:szCs w:val="18"/>
        <w14:textOutline w14:w="3268" w14:cap="sq" w14:cmpd="sng">
          <w14:solidFill>
            <w14:srgbClr w14:val="000000"/>
          </w14:solidFill>
          <w14:prstDash w14:val="solid"/>
          <w14:bevel/>
        </w14:textOutline>
      </w:rPr>
      <w:t>台州市政府采购招标文件</w:t>
    </w:r>
    <w:r>
      <w:rPr>
        <w:rFonts w:ascii="Times New Roman" w:hAnsi="Times New Roman" w:eastAsia="Times New Roman" w:cs="Times New Roman"/>
        <w:b/>
        <w:bCs/>
        <w:i/>
        <w:iCs/>
        <w:spacing w:val="2"/>
        <w:sz w:val="18"/>
        <w:szCs w:val="18"/>
      </w:rPr>
      <w:t>--</w:t>
    </w:r>
    <w:r>
      <w:rPr>
        <w:rFonts w:ascii="宋体" w:hAnsi="宋体" w:eastAsia="宋体" w:cs="宋体"/>
        <w:i/>
        <w:iCs/>
        <w:spacing w:val="2"/>
        <w:sz w:val="18"/>
        <w:szCs w:val="18"/>
        <w14:textOutline w14:w="3268" w14:cap="sq" w14:cmpd="sng">
          <w14:solidFill>
            <w14:srgbClr w14:val="000000"/>
          </w14:solidFill>
          <w14:prstDash w14:val="solid"/>
          <w14:bevel/>
        </w14:textOutline>
      </w:rPr>
      <w:t>服务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13"/>
      <w:rPr>
        <w:rFonts w:ascii="宋体" w:hAnsi="宋体" w:eastAsia="宋体" w:cs="宋体"/>
        <w:sz w:val="18"/>
        <w:szCs w:val="18"/>
      </w:rPr>
    </w:pP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108585</wp:posOffset>
              </wp:positionV>
              <wp:extent cx="5518150" cy="10795"/>
              <wp:effectExtent l="0" t="0" r="0" b="0"/>
              <wp:wrapNone/>
              <wp:docPr id="9" name="任意多边形 9"/>
              <wp:cNvGraphicFramePr/>
              <a:graphic xmlns:a="http://schemas.openxmlformats.org/drawingml/2006/main">
                <a:graphicData uri="http://schemas.microsoft.com/office/word/2010/wordprocessingShape">
                  <wps:wsp>
                    <wps:cNvSpPr/>
                    <wps:spPr>
                      <a:xfrm>
                        <a:off x="0" y="0"/>
                        <a:ext cx="5518150" cy="10795"/>
                      </a:xfrm>
                      <a:custGeom>
                        <a:avLst/>
                        <a:gdLst/>
                        <a:ahLst/>
                        <a:cxnLst/>
                        <a:pathLst>
                          <a:path w="8690" h="17">
                            <a:moveTo>
                              <a:pt x="0" y="8"/>
                            </a:moveTo>
                            <a:lnTo>
                              <a:pt x="7837" y="8"/>
                            </a:lnTo>
                            <a:moveTo>
                              <a:pt x="7837" y="8"/>
                            </a:moveTo>
                            <a:lnTo>
                              <a:pt x="7977" y="8"/>
                            </a:lnTo>
                            <a:moveTo>
                              <a:pt x="7977" y="8"/>
                            </a:moveTo>
                            <a:lnTo>
                              <a:pt x="8362" y="8"/>
                            </a:lnTo>
                            <a:moveTo>
                              <a:pt x="8362" y="8"/>
                            </a:moveTo>
                            <a:lnTo>
                              <a:pt x="8500" y="8"/>
                            </a:lnTo>
                            <a:moveTo>
                              <a:pt x="8500" y="8"/>
                            </a:moveTo>
                            <a:lnTo>
                              <a:pt x="8690" y="8"/>
                            </a:lnTo>
                          </a:path>
                        </a:pathLst>
                      </a:custGeom>
                      <a:noFill/>
                      <a:ln w="10668"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8.55pt;height:0.85pt;width:434.5pt;z-index:251664384;mso-width-relative:page;mso-height-relative:page;" filled="f" stroked="t" coordsize="8690,17" o:gfxdata="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LVdES0QAAAAYBAAAPAAAAAAAAAAEAIAAAACIAAABkcnMvZG93bnJldi54bWxQ&#10;SwECFAAUAAAACACHTuJAchdox3ACAADgBQAADgAAAAAAAAABACAAAAAgAQAAZHJzL2Uyb0RvYy54&#10;bWxQSwUGAAAAAAYABgBZAQAAAgYAAAAA&#10;" path="m0,8l7837,8m7837,8l7977,8m7977,8l8362,8m8362,8l8500,8m8500,8l8690,8e">
              <v:fill on="f" focussize="0,0"/>
              <v:stroke weight="0.84pt" color="#000000" joinstyle="bevel"/>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4811395</wp:posOffset>
              </wp:positionH>
              <wp:positionV relativeFrom="paragraph">
                <wp:posOffset>-12065</wp:posOffset>
              </wp:positionV>
              <wp:extent cx="777240" cy="16192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77240" cy="161925"/>
                      </a:xfrm>
                      <a:prstGeom prst="rect">
                        <a:avLst/>
                      </a:prstGeom>
                      <a:noFill/>
                      <a:ln>
                        <a:noFill/>
                      </a:ln>
                    </wps:spPr>
                    <wps:txbx>
                      <w:txbxContent>
                        <w:p>
                          <w:pPr>
                            <w:spacing w:before="20" w:line="220" w:lineRule="auto"/>
                            <w:ind w:left="20"/>
                            <w:rPr>
                              <w:rFonts w:ascii="宋体" w:hAnsi="宋体" w:eastAsia="宋体" w:cs="宋体"/>
                              <w:sz w:val="18"/>
                              <w:szCs w:val="18"/>
                            </w:rPr>
                          </w:pPr>
                          <w:r>
                            <w:rPr>
                              <w:rFonts w:ascii="宋体" w:hAnsi="宋体" w:eastAsia="宋体" w:cs="宋体"/>
                              <w:i/>
                              <w:iCs/>
                              <w:spacing w:val="9"/>
                              <w:sz w:val="18"/>
                              <w:szCs w:val="18"/>
                              <w14:textOutline w14:w="3268" w14:cap="sq" w14:cmpd="sng">
                                <w14:solidFill>
                                  <w14:srgbClr w14:val="000000"/>
                                </w14:solidFill>
                                <w14:prstDash w14:val="solid"/>
                                <w14:bevel/>
                              </w14:textOutline>
                            </w:rPr>
                            <w:t>第</w:t>
                          </w:r>
                          <w:r>
                            <w:rPr>
                              <w:rFonts w:ascii="Times New Roman" w:hAnsi="Times New Roman" w:eastAsia="Times New Roman" w:cs="Times New Roman"/>
                              <w:b/>
                              <w:bCs/>
                              <w:i/>
                              <w:iCs/>
                              <w:spacing w:val="9"/>
                              <w:sz w:val="18"/>
                              <w:szCs w:val="18"/>
                            </w:rPr>
                            <w:t>74</w:t>
                          </w:r>
                          <w:r>
                            <w:rPr>
                              <w:rFonts w:ascii="宋体" w:hAnsi="宋体" w:eastAsia="宋体" w:cs="宋体"/>
                              <w:i/>
                              <w:iCs/>
                              <w:spacing w:val="9"/>
                              <w:sz w:val="18"/>
                              <w:szCs w:val="18"/>
                              <w14:textOutline w14:w="3268" w14:cap="sq" w14:cmpd="sng">
                                <w14:solidFill>
                                  <w14:srgbClr w14:val="000000"/>
                                </w14:solidFill>
                                <w14:prstDash w14:val="solid"/>
                                <w14:bevel/>
                              </w14:textOutline>
                            </w:rPr>
                            <w:t>页共</w:t>
                          </w:r>
                          <w:r>
                            <w:rPr>
                              <w:rFonts w:ascii="Times New Roman" w:hAnsi="Times New Roman" w:eastAsia="Times New Roman" w:cs="Times New Roman"/>
                              <w:b/>
                              <w:bCs/>
                              <w:i/>
                              <w:iCs/>
                              <w:spacing w:val="9"/>
                              <w:sz w:val="18"/>
                              <w:szCs w:val="18"/>
                            </w:rPr>
                            <w:t>79</w:t>
                          </w:r>
                          <w:r>
                            <w:rPr>
                              <w:rFonts w:ascii="Times New Roman" w:hAnsi="Times New Roman" w:eastAsia="Times New Roman" w:cs="Times New Roman"/>
                              <w:b/>
                              <w:bCs/>
                              <w:i/>
                              <w:iCs/>
                              <w:spacing w:val="-15"/>
                              <w:sz w:val="18"/>
                              <w:szCs w:val="18"/>
                            </w:rPr>
                            <w:t xml:space="preserve"> </w:t>
                          </w:r>
                          <w:r>
                            <w:rPr>
                              <w:rFonts w:ascii="宋体" w:hAnsi="宋体" w:eastAsia="宋体" w:cs="宋体"/>
                              <w:i/>
                              <w:iCs/>
                              <w:spacing w:val="9"/>
                              <w:sz w:val="18"/>
                              <w:szCs w:val="18"/>
                              <w14:textOutline w14:w="3268" w14:cap="sq" w14:cmpd="sng">
                                <w14:solidFill>
                                  <w14:srgbClr w14:val="000000"/>
                                </w14:solidFill>
                                <w14:prstDash w14:val="solid"/>
                                <w14:bevel/>
                              </w14:textOutline>
                            </w:rPr>
                            <w:t>页</w:t>
                          </w:r>
                        </w:p>
                      </w:txbxContent>
                    </wps:txbx>
                    <wps:bodyPr lIns="0" tIns="0" rIns="0" bIns="0" upright="1"/>
                  </wps:wsp>
                </a:graphicData>
              </a:graphic>
            </wp:anchor>
          </w:drawing>
        </mc:Choice>
        <mc:Fallback>
          <w:pict>
            <v:shape id="_x0000_s1026" o:spid="_x0000_s1026" o:spt="202" type="#_x0000_t202" style="position:absolute;left:0pt;margin-left:378.85pt;margin-top:-0.95pt;height:12.75pt;width:61.2pt;z-index:251663360;mso-width-relative:page;mso-height-relative:page;" filled="f" stroked="f" coordsize="21600,21600" o:gfxdata="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83Nb2QAAAAkBAAAPAAAAAAAAAAEAIAAAACIAAABkcnMvZG93bnJldi54bWxQSwEC&#10;FAAUAAAACACHTuJAK/NLT7oBAABzAwAADgAAAAAAAAABACAAAAAoAQAAZHJzL2Uyb0RvYy54bWxQ&#10;SwUGAAAAAAYABgBZAQAAVAUAAAAA&#10;">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i/>
                        <w:iCs/>
                        <w:spacing w:val="9"/>
                        <w:sz w:val="18"/>
                        <w:szCs w:val="18"/>
                        <w14:textOutline w14:w="3268" w14:cap="sq" w14:cmpd="sng">
                          <w14:solidFill>
                            <w14:srgbClr w14:val="000000"/>
                          </w14:solidFill>
                          <w14:prstDash w14:val="solid"/>
                          <w14:bevel/>
                        </w14:textOutline>
                      </w:rPr>
                      <w:t>第</w:t>
                    </w:r>
                    <w:r>
                      <w:rPr>
                        <w:rFonts w:ascii="Times New Roman" w:hAnsi="Times New Roman" w:eastAsia="Times New Roman" w:cs="Times New Roman"/>
                        <w:b/>
                        <w:bCs/>
                        <w:i/>
                        <w:iCs/>
                        <w:spacing w:val="9"/>
                        <w:sz w:val="18"/>
                        <w:szCs w:val="18"/>
                      </w:rPr>
                      <w:t>74</w:t>
                    </w:r>
                    <w:r>
                      <w:rPr>
                        <w:rFonts w:ascii="宋体" w:hAnsi="宋体" w:eastAsia="宋体" w:cs="宋体"/>
                        <w:i/>
                        <w:iCs/>
                        <w:spacing w:val="9"/>
                        <w:sz w:val="18"/>
                        <w:szCs w:val="18"/>
                        <w14:textOutline w14:w="3268" w14:cap="sq" w14:cmpd="sng">
                          <w14:solidFill>
                            <w14:srgbClr w14:val="000000"/>
                          </w14:solidFill>
                          <w14:prstDash w14:val="solid"/>
                          <w14:bevel/>
                        </w14:textOutline>
                      </w:rPr>
                      <w:t>页共</w:t>
                    </w:r>
                    <w:r>
                      <w:rPr>
                        <w:rFonts w:ascii="Times New Roman" w:hAnsi="Times New Roman" w:eastAsia="Times New Roman" w:cs="Times New Roman"/>
                        <w:b/>
                        <w:bCs/>
                        <w:i/>
                        <w:iCs/>
                        <w:spacing w:val="9"/>
                        <w:sz w:val="18"/>
                        <w:szCs w:val="18"/>
                      </w:rPr>
                      <w:t>79</w:t>
                    </w:r>
                    <w:r>
                      <w:rPr>
                        <w:rFonts w:ascii="Times New Roman" w:hAnsi="Times New Roman" w:eastAsia="Times New Roman" w:cs="Times New Roman"/>
                        <w:b/>
                        <w:bCs/>
                        <w:i/>
                        <w:iCs/>
                        <w:spacing w:val="-15"/>
                        <w:sz w:val="18"/>
                        <w:szCs w:val="18"/>
                      </w:rPr>
                      <w:t xml:space="preserve"> </w:t>
                    </w:r>
                    <w:r>
                      <w:rPr>
                        <w:rFonts w:ascii="宋体" w:hAnsi="宋体" w:eastAsia="宋体" w:cs="宋体"/>
                        <w:i/>
                        <w:iCs/>
                        <w:spacing w:val="9"/>
                        <w:sz w:val="18"/>
                        <w:szCs w:val="18"/>
                        <w14:textOutline w14:w="3268" w14:cap="sq" w14:cmpd="sng">
                          <w14:solidFill>
                            <w14:srgbClr w14:val="000000"/>
                          </w14:solidFill>
                          <w14:prstDash w14:val="solid"/>
                          <w14:bevel/>
                        </w14:textOutline>
                      </w:rPr>
                      <w:t>页</w:t>
                    </w:r>
                  </w:p>
                </w:txbxContent>
              </v:textbox>
            </v:shape>
          </w:pict>
        </mc:Fallback>
      </mc:AlternateContent>
    </w:r>
    <w:r>
      <w:rPr>
        <w:rFonts w:ascii="宋体" w:hAnsi="宋体" w:eastAsia="宋体" w:cs="宋体"/>
        <w:i/>
        <w:iCs/>
        <w:spacing w:val="2"/>
        <w:sz w:val="18"/>
        <w:szCs w:val="18"/>
        <w14:textOutline w14:w="3268" w14:cap="sq" w14:cmpd="sng">
          <w14:solidFill>
            <w14:srgbClr w14:val="000000"/>
          </w14:solidFill>
          <w14:prstDash w14:val="solid"/>
          <w14:bevel/>
        </w14:textOutline>
      </w:rPr>
      <w:t>台州市政府采购招标文件</w:t>
    </w:r>
    <w:r>
      <w:rPr>
        <w:rFonts w:ascii="Times New Roman" w:hAnsi="Times New Roman" w:eastAsia="Times New Roman" w:cs="Times New Roman"/>
        <w:b/>
        <w:bCs/>
        <w:i/>
        <w:iCs/>
        <w:spacing w:val="2"/>
        <w:sz w:val="18"/>
        <w:szCs w:val="18"/>
      </w:rPr>
      <w:t>--</w:t>
    </w:r>
    <w:r>
      <w:rPr>
        <w:rFonts w:ascii="宋体" w:hAnsi="宋体" w:eastAsia="宋体" w:cs="宋体"/>
        <w:i/>
        <w:iCs/>
        <w:spacing w:val="2"/>
        <w:sz w:val="18"/>
        <w:szCs w:val="18"/>
        <w14:textOutline w14:w="3268" w14:cap="sq" w14:cmpd="sng">
          <w14:solidFill>
            <w14:srgbClr w14:val="000000"/>
          </w14:solidFill>
          <w14:prstDash w14:val="solid"/>
          <w14:bevel/>
        </w14:textOutline>
      </w:rPr>
      <w:t>服务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13"/>
      <w:rPr>
        <w:rFonts w:ascii="宋体" w:hAnsi="宋体" w:eastAsia="宋体" w:cs="宋体"/>
        <w:sz w:val="18"/>
        <w:szCs w:val="18"/>
      </w:rPr>
    </w:pP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108585</wp:posOffset>
              </wp:positionV>
              <wp:extent cx="5518150" cy="10795"/>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518150" cy="10795"/>
                      </a:xfrm>
                      <a:custGeom>
                        <a:avLst/>
                        <a:gdLst/>
                        <a:ahLst/>
                        <a:cxnLst/>
                        <a:pathLst>
                          <a:path w="8690" h="17">
                            <a:moveTo>
                              <a:pt x="0" y="8"/>
                            </a:moveTo>
                            <a:lnTo>
                              <a:pt x="7837" y="8"/>
                            </a:lnTo>
                            <a:moveTo>
                              <a:pt x="7837" y="8"/>
                            </a:moveTo>
                            <a:lnTo>
                              <a:pt x="7977" y="8"/>
                            </a:lnTo>
                            <a:moveTo>
                              <a:pt x="7977" y="8"/>
                            </a:moveTo>
                            <a:lnTo>
                              <a:pt x="8362" y="8"/>
                            </a:lnTo>
                            <a:moveTo>
                              <a:pt x="8362" y="8"/>
                            </a:moveTo>
                            <a:lnTo>
                              <a:pt x="8500" y="8"/>
                            </a:lnTo>
                            <a:moveTo>
                              <a:pt x="8500" y="8"/>
                            </a:moveTo>
                            <a:lnTo>
                              <a:pt x="8690" y="8"/>
                            </a:lnTo>
                          </a:path>
                        </a:pathLst>
                      </a:custGeom>
                      <a:noFill/>
                      <a:ln w="10668"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8.55pt;height:0.85pt;width:434.5pt;z-index:251666432;mso-width-relative:page;mso-height-relative:page;" filled="f" stroked="t" coordsize="8690,17" o:gfxdata="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tV0RLRAAAABgEAAA8AAAAAAAAAAQAgAAAAIgAAAGRycy9kb3ducmV2LnhtbFBL&#10;AQIUABQAAAAIAIdO4kC1L6DdbwIAAOIFAAAOAAAAAAAAAAEAIAAAACABAABkcnMvZTJvRG9jLnht&#10;bFBLBQYAAAAABgAGAFkBAAABBgAAAAA=&#10;" path="m0,8l7837,8m7837,8l7977,8m7977,8l8362,8m8362,8l8500,8m8500,8l8690,8e">
              <v:fill on="f" focussize="0,0"/>
              <v:stroke weight="0.84pt" color="#000000" joinstyle="bevel"/>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4811395</wp:posOffset>
              </wp:positionH>
              <wp:positionV relativeFrom="paragraph">
                <wp:posOffset>-12065</wp:posOffset>
              </wp:positionV>
              <wp:extent cx="777240" cy="16192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777240" cy="161925"/>
                      </a:xfrm>
                      <a:prstGeom prst="rect">
                        <a:avLst/>
                      </a:prstGeom>
                      <a:noFill/>
                      <a:ln>
                        <a:noFill/>
                      </a:ln>
                    </wps:spPr>
                    <wps:txbx>
                      <w:txbxContent>
                        <w:p>
                          <w:pPr>
                            <w:spacing w:before="20" w:line="220" w:lineRule="auto"/>
                            <w:ind w:left="20"/>
                            <w:rPr>
                              <w:rFonts w:ascii="宋体" w:hAnsi="宋体" w:eastAsia="宋体" w:cs="宋体"/>
                              <w:sz w:val="18"/>
                              <w:szCs w:val="18"/>
                            </w:rPr>
                          </w:pPr>
                          <w:r>
                            <w:rPr>
                              <w:rFonts w:ascii="宋体" w:hAnsi="宋体" w:eastAsia="宋体" w:cs="宋体"/>
                              <w:i/>
                              <w:iCs/>
                              <w:spacing w:val="9"/>
                              <w:sz w:val="18"/>
                              <w:szCs w:val="18"/>
                              <w14:textOutline w14:w="3268" w14:cap="sq" w14:cmpd="sng">
                                <w14:solidFill>
                                  <w14:srgbClr w14:val="000000"/>
                                </w14:solidFill>
                                <w14:prstDash w14:val="solid"/>
                                <w14:bevel/>
                              </w14:textOutline>
                            </w:rPr>
                            <w:t>第</w:t>
                          </w:r>
                          <w:r>
                            <w:rPr>
                              <w:rFonts w:ascii="Times New Roman" w:hAnsi="Times New Roman" w:eastAsia="Times New Roman" w:cs="Times New Roman"/>
                              <w:b/>
                              <w:bCs/>
                              <w:i/>
                              <w:iCs/>
                              <w:spacing w:val="9"/>
                              <w:sz w:val="18"/>
                              <w:szCs w:val="18"/>
                            </w:rPr>
                            <w:t>75</w:t>
                          </w:r>
                          <w:r>
                            <w:rPr>
                              <w:rFonts w:ascii="宋体" w:hAnsi="宋体" w:eastAsia="宋体" w:cs="宋体"/>
                              <w:i/>
                              <w:iCs/>
                              <w:spacing w:val="9"/>
                              <w:sz w:val="18"/>
                              <w:szCs w:val="18"/>
                              <w14:textOutline w14:w="3268" w14:cap="sq" w14:cmpd="sng">
                                <w14:solidFill>
                                  <w14:srgbClr w14:val="000000"/>
                                </w14:solidFill>
                                <w14:prstDash w14:val="solid"/>
                                <w14:bevel/>
                              </w14:textOutline>
                            </w:rPr>
                            <w:t>页共</w:t>
                          </w:r>
                          <w:r>
                            <w:rPr>
                              <w:rFonts w:ascii="Times New Roman" w:hAnsi="Times New Roman" w:eastAsia="Times New Roman" w:cs="Times New Roman"/>
                              <w:b/>
                              <w:bCs/>
                              <w:i/>
                              <w:iCs/>
                              <w:spacing w:val="9"/>
                              <w:sz w:val="18"/>
                              <w:szCs w:val="18"/>
                            </w:rPr>
                            <w:t>79</w:t>
                          </w:r>
                          <w:r>
                            <w:rPr>
                              <w:rFonts w:ascii="Times New Roman" w:hAnsi="Times New Roman" w:eastAsia="Times New Roman" w:cs="Times New Roman"/>
                              <w:b/>
                              <w:bCs/>
                              <w:i/>
                              <w:iCs/>
                              <w:spacing w:val="-15"/>
                              <w:sz w:val="18"/>
                              <w:szCs w:val="18"/>
                            </w:rPr>
                            <w:t xml:space="preserve"> </w:t>
                          </w:r>
                          <w:r>
                            <w:rPr>
                              <w:rFonts w:ascii="宋体" w:hAnsi="宋体" w:eastAsia="宋体" w:cs="宋体"/>
                              <w:i/>
                              <w:iCs/>
                              <w:spacing w:val="9"/>
                              <w:sz w:val="18"/>
                              <w:szCs w:val="18"/>
                              <w14:textOutline w14:w="3268" w14:cap="sq" w14:cmpd="sng">
                                <w14:solidFill>
                                  <w14:srgbClr w14:val="000000"/>
                                </w14:solidFill>
                                <w14:prstDash w14:val="solid"/>
                                <w14:bevel/>
                              </w14:textOutline>
                            </w:rPr>
                            <w:t>页</w:t>
                          </w:r>
                        </w:p>
                      </w:txbxContent>
                    </wps:txbx>
                    <wps:bodyPr lIns="0" tIns="0" rIns="0" bIns="0" upright="1"/>
                  </wps:wsp>
                </a:graphicData>
              </a:graphic>
            </wp:anchor>
          </w:drawing>
        </mc:Choice>
        <mc:Fallback>
          <w:pict>
            <v:shape id="_x0000_s1026" o:spid="_x0000_s1026" o:spt="202" type="#_x0000_t202" style="position:absolute;left:0pt;margin-left:378.85pt;margin-top:-0.95pt;height:12.75pt;width:61.2pt;z-index:251665408;mso-width-relative:page;mso-height-relative:page;" filled="f" stroked="f" coordsize="21600,21600" o:gfxdata="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83Nb2QAAAAkBAAAPAAAAAAAAAAEAIAAAACIAAABkcnMvZG93bnJldi54bWxQSwEC&#10;FAAUAAAACACHTuJA4AxGJLoBAABzAwAADgAAAAAAAAABACAAAAAoAQAAZHJzL2Uyb0RvYy54bWxQ&#10;SwUGAAAAAAYABgBZAQAAVAUAAAAA&#10;">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i/>
                        <w:iCs/>
                        <w:spacing w:val="9"/>
                        <w:sz w:val="18"/>
                        <w:szCs w:val="18"/>
                        <w14:textOutline w14:w="3268" w14:cap="sq" w14:cmpd="sng">
                          <w14:solidFill>
                            <w14:srgbClr w14:val="000000"/>
                          </w14:solidFill>
                          <w14:prstDash w14:val="solid"/>
                          <w14:bevel/>
                        </w14:textOutline>
                      </w:rPr>
                      <w:t>第</w:t>
                    </w:r>
                    <w:r>
                      <w:rPr>
                        <w:rFonts w:ascii="Times New Roman" w:hAnsi="Times New Roman" w:eastAsia="Times New Roman" w:cs="Times New Roman"/>
                        <w:b/>
                        <w:bCs/>
                        <w:i/>
                        <w:iCs/>
                        <w:spacing w:val="9"/>
                        <w:sz w:val="18"/>
                        <w:szCs w:val="18"/>
                      </w:rPr>
                      <w:t>75</w:t>
                    </w:r>
                    <w:r>
                      <w:rPr>
                        <w:rFonts w:ascii="宋体" w:hAnsi="宋体" w:eastAsia="宋体" w:cs="宋体"/>
                        <w:i/>
                        <w:iCs/>
                        <w:spacing w:val="9"/>
                        <w:sz w:val="18"/>
                        <w:szCs w:val="18"/>
                        <w14:textOutline w14:w="3268" w14:cap="sq" w14:cmpd="sng">
                          <w14:solidFill>
                            <w14:srgbClr w14:val="000000"/>
                          </w14:solidFill>
                          <w14:prstDash w14:val="solid"/>
                          <w14:bevel/>
                        </w14:textOutline>
                      </w:rPr>
                      <w:t>页共</w:t>
                    </w:r>
                    <w:r>
                      <w:rPr>
                        <w:rFonts w:ascii="Times New Roman" w:hAnsi="Times New Roman" w:eastAsia="Times New Roman" w:cs="Times New Roman"/>
                        <w:b/>
                        <w:bCs/>
                        <w:i/>
                        <w:iCs/>
                        <w:spacing w:val="9"/>
                        <w:sz w:val="18"/>
                        <w:szCs w:val="18"/>
                      </w:rPr>
                      <w:t>79</w:t>
                    </w:r>
                    <w:r>
                      <w:rPr>
                        <w:rFonts w:ascii="Times New Roman" w:hAnsi="Times New Roman" w:eastAsia="Times New Roman" w:cs="Times New Roman"/>
                        <w:b/>
                        <w:bCs/>
                        <w:i/>
                        <w:iCs/>
                        <w:spacing w:val="-15"/>
                        <w:sz w:val="18"/>
                        <w:szCs w:val="18"/>
                      </w:rPr>
                      <w:t xml:space="preserve"> </w:t>
                    </w:r>
                    <w:r>
                      <w:rPr>
                        <w:rFonts w:ascii="宋体" w:hAnsi="宋体" w:eastAsia="宋体" w:cs="宋体"/>
                        <w:i/>
                        <w:iCs/>
                        <w:spacing w:val="9"/>
                        <w:sz w:val="18"/>
                        <w:szCs w:val="18"/>
                        <w14:textOutline w14:w="3268" w14:cap="sq" w14:cmpd="sng">
                          <w14:solidFill>
                            <w14:srgbClr w14:val="000000"/>
                          </w14:solidFill>
                          <w14:prstDash w14:val="solid"/>
                          <w14:bevel/>
                        </w14:textOutline>
                      </w:rPr>
                      <w:t>页</w:t>
                    </w:r>
                  </w:p>
                </w:txbxContent>
              </v:textbox>
            </v:shape>
          </w:pict>
        </mc:Fallback>
      </mc:AlternateContent>
    </w:r>
    <w:r>
      <w:rPr>
        <w:rFonts w:ascii="宋体" w:hAnsi="宋体" w:eastAsia="宋体" w:cs="宋体"/>
        <w:i/>
        <w:iCs/>
        <w:spacing w:val="2"/>
        <w:sz w:val="18"/>
        <w:szCs w:val="18"/>
        <w14:textOutline w14:w="3268" w14:cap="sq" w14:cmpd="sng">
          <w14:solidFill>
            <w14:srgbClr w14:val="000000"/>
          </w14:solidFill>
          <w14:prstDash w14:val="solid"/>
          <w14:bevel/>
        </w14:textOutline>
      </w:rPr>
      <w:t>台州市政府采购招标文件</w:t>
    </w:r>
    <w:r>
      <w:rPr>
        <w:rFonts w:ascii="Times New Roman" w:hAnsi="Times New Roman" w:eastAsia="Times New Roman" w:cs="Times New Roman"/>
        <w:b/>
        <w:bCs/>
        <w:i/>
        <w:iCs/>
        <w:spacing w:val="2"/>
        <w:sz w:val="18"/>
        <w:szCs w:val="18"/>
      </w:rPr>
      <w:t>--</w:t>
    </w:r>
    <w:r>
      <w:rPr>
        <w:rFonts w:ascii="宋体" w:hAnsi="宋体" w:eastAsia="宋体" w:cs="宋体"/>
        <w:i/>
        <w:iCs/>
        <w:spacing w:val="2"/>
        <w:sz w:val="18"/>
        <w:szCs w:val="18"/>
        <w14:textOutline w14:w="3268" w14:cap="sq" w14:cmpd="sng">
          <w14:solidFill>
            <w14:srgbClr w14:val="000000"/>
          </w14:solidFill>
          <w14:prstDash w14:val="solid"/>
          <w14:bevel/>
        </w14:textOutline>
      </w:rPr>
      <w:t>服务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17"/>
      <w:rPr>
        <w:rFonts w:ascii="宋体" w:hAnsi="宋体" w:eastAsia="宋体" w:cs="宋体"/>
        <w:sz w:val="18"/>
        <w:szCs w:val="18"/>
      </w:rPr>
    </w:pPr>
    <w:r>
      <mc:AlternateContent>
        <mc:Choice Requires="wps">
          <w:drawing>
            <wp:anchor distT="0" distB="0" distL="114300" distR="114300" simplePos="0" relativeHeight="251668480" behindDoc="0" locked="0" layoutInCell="1" allowOverlap="1">
              <wp:simplePos x="0" y="0"/>
              <wp:positionH relativeFrom="column">
                <wp:posOffset>2540</wp:posOffset>
              </wp:positionH>
              <wp:positionV relativeFrom="paragraph">
                <wp:posOffset>108585</wp:posOffset>
              </wp:positionV>
              <wp:extent cx="5518150" cy="10795"/>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518150" cy="10795"/>
                      </a:xfrm>
                      <a:custGeom>
                        <a:avLst/>
                        <a:gdLst/>
                        <a:ahLst/>
                        <a:cxnLst/>
                        <a:pathLst>
                          <a:path w="8690" h="17">
                            <a:moveTo>
                              <a:pt x="0" y="8"/>
                            </a:moveTo>
                            <a:lnTo>
                              <a:pt x="7837" y="8"/>
                            </a:lnTo>
                            <a:moveTo>
                              <a:pt x="7837" y="8"/>
                            </a:moveTo>
                            <a:lnTo>
                              <a:pt x="7977" y="8"/>
                            </a:lnTo>
                            <a:moveTo>
                              <a:pt x="7977" y="8"/>
                            </a:moveTo>
                            <a:lnTo>
                              <a:pt x="8362" y="8"/>
                            </a:lnTo>
                            <a:moveTo>
                              <a:pt x="8362" y="8"/>
                            </a:moveTo>
                            <a:lnTo>
                              <a:pt x="8500" y="8"/>
                            </a:lnTo>
                            <a:moveTo>
                              <a:pt x="8500" y="8"/>
                            </a:moveTo>
                            <a:lnTo>
                              <a:pt x="8690" y="8"/>
                            </a:lnTo>
                          </a:path>
                        </a:pathLst>
                      </a:custGeom>
                      <a:noFill/>
                      <a:ln w="10668"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8.55pt;height:0.85pt;width:434.5pt;z-index:251668480;mso-width-relative:page;mso-height-relative:page;" filled="f" stroked="t" coordsize="8690,17" o:gfxdata="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t8w29EAAAAGAQAADwAAAAAAAAABACAAAAAiAAAAZHJzL2Rvd25yZXYueG1s&#10;UEsBAhQAFAAAAAgAh07iQNAkcitxAgAA4gUAAA4AAAAAAAAAAQAgAAAAIAEAAGRycy9lMm9Eb2Mu&#10;eG1sUEsFBgAAAAAGAAYAWQEAAAMGAAAAAA==&#10;" path="m0,8l7837,8m7837,8l7977,8m7977,8l8362,8m8362,8l8500,8m8500,8l8690,8e">
              <v:fill on="f" focussize="0,0"/>
              <v:stroke weight="0.84pt" color="#000000" joinstyle="bevel"/>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4814570</wp:posOffset>
              </wp:positionH>
              <wp:positionV relativeFrom="paragraph">
                <wp:posOffset>-12065</wp:posOffset>
              </wp:positionV>
              <wp:extent cx="777240" cy="16192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777240" cy="161925"/>
                      </a:xfrm>
                      <a:prstGeom prst="rect">
                        <a:avLst/>
                      </a:prstGeom>
                      <a:noFill/>
                      <a:ln>
                        <a:noFill/>
                      </a:ln>
                    </wps:spPr>
                    <wps:txbx>
                      <w:txbxContent>
                        <w:p>
                          <w:pPr>
                            <w:spacing w:before="20" w:line="220" w:lineRule="auto"/>
                            <w:ind w:left="20"/>
                            <w:rPr>
                              <w:rFonts w:ascii="宋体" w:hAnsi="宋体" w:eastAsia="宋体" w:cs="宋体"/>
                              <w:sz w:val="18"/>
                              <w:szCs w:val="18"/>
                            </w:rPr>
                          </w:pPr>
                          <w:r>
                            <w:rPr>
                              <w:rFonts w:ascii="宋体" w:hAnsi="宋体" w:eastAsia="宋体" w:cs="宋体"/>
                              <w:i/>
                              <w:iCs/>
                              <w:spacing w:val="9"/>
                              <w:sz w:val="18"/>
                              <w:szCs w:val="18"/>
                              <w14:textOutline w14:w="3268" w14:cap="sq" w14:cmpd="sng">
                                <w14:solidFill>
                                  <w14:srgbClr w14:val="000000"/>
                                </w14:solidFill>
                                <w14:prstDash w14:val="solid"/>
                                <w14:bevel/>
                              </w14:textOutline>
                            </w:rPr>
                            <w:t>第</w:t>
                          </w:r>
                          <w:r>
                            <w:rPr>
                              <w:rFonts w:ascii="Times New Roman" w:hAnsi="Times New Roman" w:eastAsia="Times New Roman" w:cs="Times New Roman"/>
                              <w:b/>
                              <w:bCs/>
                              <w:i/>
                              <w:iCs/>
                              <w:spacing w:val="9"/>
                              <w:sz w:val="18"/>
                              <w:szCs w:val="18"/>
                            </w:rPr>
                            <w:t>76</w:t>
                          </w:r>
                          <w:r>
                            <w:rPr>
                              <w:rFonts w:ascii="宋体" w:hAnsi="宋体" w:eastAsia="宋体" w:cs="宋体"/>
                              <w:i/>
                              <w:iCs/>
                              <w:spacing w:val="9"/>
                              <w:sz w:val="18"/>
                              <w:szCs w:val="18"/>
                              <w14:textOutline w14:w="3268" w14:cap="sq" w14:cmpd="sng">
                                <w14:solidFill>
                                  <w14:srgbClr w14:val="000000"/>
                                </w14:solidFill>
                                <w14:prstDash w14:val="solid"/>
                                <w14:bevel/>
                              </w14:textOutline>
                            </w:rPr>
                            <w:t>页共</w:t>
                          </w:r>
                          <w:r>
                            <w:rPr>
                              <w:rFonts w:ascii="Times New Roman" w:hAnsi="Times New Roman" w:eastAsia="Times New Roman" w:cs="Times New Roman"/>
                              <w:b/>
                              <w:bCs/>
                              <w:i/>
                              <w:iCs/>
                              <w:spacing w:val="9"/>
                              <w:sz w:val="18"/>
                              <w:szCs w:val="18"/>
                            </w:rPr>
                            <w:t>79</w:t>
                          </w:r>
                          <w:r>
                            <w:rPr>
                              <w:rFonts w:ascii="Times New Roman" w:hAnsi="Times New Roman" w:eastAsia="Times New Roman" w:cs="Times New Roman"/>
                              <w:b/>
                              <w:bCs/>
                              <w:i/>
                              <w:iCs/>
                              <w:spacing w:val="-15"/>
                              <w:sz w:val="18"/>
                              <w:szCs w:val="18"/>
                            </w:rPr>
                            <w:t xml:space="preserve"> </w:t>
                          </w:r>
                          <w:r>
                            <w:rPr>
                              <w:rFonts w:ascii="宋体" w:hAnsi="宋体" w:eastAsia="宋体" w:cs="宋体"/>
                              <w:i/>
                              <w:iCs/>
                              <w:spacing w:val="9"/>
                              <w:sz w:val="18"/>
                              <w:szCs w:val="18"/>
                              <w14:textOutline w14:w="3268" w14:cap="sq" w14:cmpd="sng">
                                <w14:solidFill>
                                  <w14:srgbClr w14:val="000000"/>
                                </w14:solidFill>
                                <w14:prstDash w14:val="solid"/>
                                <w14:bevel/>
                              </w14:textOutline>
                            </w:rPr>
                            <w:t>页</w:t>
                          </w:r>
                        </w:p>
                      </w:txbxContent>
                    </wps:txbx>
                    <wps:bodyPr lIns="0" tIns="0" rIns="0" bIns="0" upright="1"/>
                  </wps:wsp>
                </a:graphicData>
              </a:graphic>
            </wp:anchor>
          </w:drawing>
        </mc:Choice>
        <mc:Fallback>
          <w:pict>
            <v:shape id="_x0000_s1026" o:spid="_x0000_s1026" o:spt="202" type="#_x0000_t202" style="position:absolute;left:0pt;margin-left:379.1pt;margin-top:-0.95pt;height:12.75pt;width:61.2pt;z-index:251667456;mso-width-relative:page;mso-height-relative:page;" filled="f" stroked="f" coordsize="21600,21600" o:gfxdata="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OjIy9kAAAAJAQAADwAAAAAAAAABACAAAAAiAAAAZHJzL2Rvd25yZXYueG1sUEsB&#10;AhQAFAAAAAgAh07iQL0MUJm7AQAAcwMAAA4AAAAAAAAAAQAgAAAAKAEAAGRycy9lMm9Eb2MueG1s&#10;UEsFBgAAAAAGAAYAWQEAAFUFAAAAAA==&#10;">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i/>
                        <w:iCs/>
                        <w:spacing w:val="9"/>
                        <w:sz w:val="18"/>
                        <w:szCs w:val="18"/>
                        <w14:textOutline w14:w="3268" w14:cap="sq" w14:cmpd="sng">
                          <w14:solidFill>
                            <w14:srgbClr w14:val="000000"/>
                          </w14:solidFill>
                          <w14:prstDash w14:val="solid"/>
                          <w14:bevel/>
                        </w14:textOutline>
                      </w:rPr>
                      <w:t>第</w:t>
                    </w:r>
                    <w:r>
                      <w:rPr>
                        <w:rFonts w:ascii="Times New Roman" w:hAnsi="Times New Roman" w:eastAsia="Times New Roman" w:cs="Times New Roman"/>
                        <w:b/>
                        <w:bCs/>
                        <w:i/>
                        <w:iCs/>
                        <w:spacing w:val="9"/>
                        <w:sz w:val="18"/>
                        <w:szCs w:val="18"/>
                      </w:rPr>
                      <w:t>76</w:t>
                    </w:r>
                    <w:r>
                      <w:rPr>
                        <w:rFonts w:ascii="宋体" w:hAnsi="宋体" w:eastAsia="宋体" w:cs="宋体"/>
                        <w:i/>
                        <w:iCs/>
                        <w:spacing w:val="9"/>
                        <w:sz w:val="18"/>
                        <w:szCs w:val="18"/>
                        <w14:textOutline w14:w="3268" w14:cap="sq" w14:cmpd="sng">
                          <w14:solidFill>
                            <w14:srgbClr w14:val="000000"/>
                          </w14:solidFill>
                          <w14:prstDash w14:val="solid"/>
                          <w14:bevel/>
                        </w14:textOutline>
                      </w:rPr>
                      <w:t>页共</w:t>
                    </w:r>
                    <w:r>
                      <w:rPr>
                        <w:rFonts w:ascii="Times New Roman" w:hAnsi="Times New Roman" w:eastAsia="Times New Roman" w:cs="Times New Roman"/>
                        <w:b/>
                        <w:bCs/>
                        <w:i/>
                        <w:iCs/>
                        <w:spacing w:val="9"/>
                        <w:sz w:val="18"/>
                        <w:szCs w:val="18"/>
                      </w:rPr>
                      <w:t>79</w:t>
                    </w:r>
                    <w:r>
                      <w:rPr>
                        <w:rFonts w:ascii="Times New Roman" w:hAnsi="Times New Roman" w:eastAsia="Times New Roman" w:cs="Times New Roman"/>
                        <w:b/>
                        <w:bCs/>
                        <w:i/>
                        <w:iCs/>
                        <w:spacing w:val="-15"/>
                        <w:sz w:val="18"/>
                        <w:szCs w:val="18"/>
                      </w:rPr>
                      <w:t xml:space="preserve"> </w:t>
                    </w:r>
                    <w:r>
                      <w:rPr>
                        <w:rFonts w:ascii="宋体" w:hAnsi="宋体" w:eastAsia="宋体" w:cs="宋体"/>
                        <w:i/>
                        <w:iCs/>
                        <w:spacing w:val="9"/>
                        <w:sz w:val="18"/>
                        <w:szCs w:val="18"/>
                        <w14:textOutline w14:w="3268" w14:cap="sq" w14:cmpd="sng">
                          <w14:solidFill>
                            <w14:srgbClr w14:val="000000"/>
                          </w14:solidFill>
                          <w14:prstDash w14:val="solid"/>
                          <w14:bevel/>
                        </w14:textOutline>
                      </w:rPr>
                      <w:t>页</w:t>
                    </w:r>
                  </w:p>
                </w:txbxContent>
              </v:textbox>
            </v:shape>
          </w:pict>
        </mc:Fallback>
      </mc:AlternateContent>
    </w:r>
    <w:r>
      <w:rPr>
        <w:rFonts w:ascii="宋体" w:hAnsi="宋体" w:eastAsia="宋体" w:cs="宋体"/>
        <w:i/>
        <w:iCs/>
        <w:spacing w:val="2"/>
        <w:sz w:val="18"/>
        <w:szCs w:val="18"/>
        <w14:textOutline w14:w="3268" w14:cap="sq" w14:cmpd="sng">
          <w14:solidFill>
            <w14:srgbClr w14:val="000000"/>
          </w14:solidFill>
          <w14:prstDash w14:val="solid"/>
          <w14:bevel/>
        </w14:textOutline>
      </w:rPr>
      <w:t>台州市政府采购招标文件</w:t>
    </w:r>
    <w:r>
      <w:rPr>
        <w:rFonts w:ascii="Times New Roman" w:hAnsi="Times New Roman" w:eastAsia="Times New Roman" w:cs="Times New Roman"/>
        <w:b/>
        <w:bCs/>
        <w:i/>
        <w:iCs/>
        <w:spacing w:val="2"/>
        <w:sz w:val="18"/>
        <w:szCs w:val="18"/>
      </w:rPr>
      <w:t>--</w:t>
    </w:r>
    <w:r>
      <w:rPr>
        <w:rFonts w:ascii="宋体" w:hAnsi="宋体" w:eastAsia="宋体" w:cs="宋体"/>
        <w:i/>
        <w:iCs/>
        <w:spacing w:val="2"/>
        <w:sz w:val="18"/>
        <w:szCs w:val="18"/>
        <w14:textOutline w14:w="3268" w14:cap="sq" w14:cmpd="sng">
          <w14:solidFill>
            <w14:srgbClr w14:val="000000"/>
          </w14:solidFill>
          <w14:prstDash w14:val="solid"/>
          <w14:bevel/>
        </w14:textOutline>
      </w:rPr>
      <w:t>服务</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594"/>
      <w:rPr>
        <w:rFonts w:ascii="宋体" w:hAnsi="宋体" w:eastAsia="宋体" w:cs="宋体"/>
        <w:sz w:val="18"/>
        <w:szCs w:val="18"/>
      </w:rPr>
    </w:pPr>
    <w:r>
      <mc:AlternateContent>
        <mc:Choice Requires="wps">
          <w:drawing>
            <wp:anchor distT="0" distB="0" distL="114300" distR="114300" simplePos="0" relativeHeight="251670528" behindDoc="0" locked="0" layoutInCell="1" allowOverlap="1">
              <wp:simplePos x="0" y="0"/>
              <wp:positionH relativeFrom="column">
                <wp:posOffset>368935</wp:posOffset>
              </wp:positionH>
              <wp:positionV relativeFrom="paragraph">
                <wp:posOffset>108585</wp:posOffset>
              </wp:positionV>
              <wp:extent cx="5518150" cy="10795"/>
              <wp:effectExtent l="0" t="0" r="0" b="0"/>
              <wp:wrapNone/>
              <wp:docPr id="15" name="任意多边形 15"/>
              <wp:cNvGraphicFramePr/>
              <a:graphic xmlns:a="http://schemas.openxmlformats.org/drawingml/2006/main">
                <a:graphicData uri="http://schemas.microsoft.com/office/word/2010/wordprocessingShape">
                  <wps:wsp>
                    <wps:cNvSpPr/>
                    <wps:spPr>
                      <a:xfrm>
                        <a:off x="0" y="0"/>
                        <a:ext cx="5518150" cy="10795"/>
                      </a:xfrm>
                      <a:custGeom>
                        <a:avLst/>
                        <a:gdLst/>
                        <a:ahLst/>
                        <a:cxnLst/>
                        <a:pathLst>
                          <a:path w="8690" h="17">
                            <a:moveTo>
                              <a:pt x="0" y="8"/>
                            </a:moveTo>
                            <a:lnTo>
                              <a:pt x="7837" y="8"/>
                            </a:lnTo>
                            <a:moveTo>
                              <a:pt x="7837" y="8"/>
                            </a:moveTo>
                            <a:lnTo>
                              <a:pt x="7977" y="8"/>
                            </a:lnTo>
                            <a:moveTo>
                              <a:pt x="7977" y="8"/>
                            </a:moveTo>
                            <a:lnTo>
                              <a:pt x="8362" y="8"/>
                            </a:lnTo>
                            <a:moveTo>
                              <a:pt x="8362" y="8"/>
                            </a:moveTo>
                            <a:lnTo>
                              <a:pt x="8500" y="8"/>
                            </a:lnTo>
                            <a:moveTo>
                              <a:pt x="8500" y="8"/>
                            </a:moveTo>
                            <a:lnTo>
                              <a:pt x="8690" y="8"/>
                            </a:lnTo>
                          </a:path>
                        </a:pathLst>
                      </a:custGeom>
                      <a:noFill/>
                      <a:ln w="10668"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29.05pt;margin-top:8.55pt;height:0.85pt;width:434.5pt;z-index:251670528;mso-width-relative:page;mso-height-relative:page;" filled="f" stroked="t" coordsize="8690,17" o:gfxdata="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Tr+w60gAAAAgBAAAPAAAAAAAAAAEAIAAAACIAAABkcnMvZG93bnJldi54&#10;bWxQSwECFAAUAAAACACHTuJAPj9163ICAADiBQAADgAAAAAAAAABACAAAAAhAQAAZHJzL2Uyb0Rv&#10;Yy54bWxQSwUGAAAAAAYABgBZAQAABQYAAAAA&#10;" path="m0,8l7837,8m7837,8l7977,8m7977,8l8362,8m8362,8l8500,8m8500,8l8690,8e">
              <v:fill on="f" focussize="0,0"/>
              <v:stroke weight="0.84pt" color="#000000" joinstyle="bevel"/>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5180965</wp:posOffset>
              </wp:positionH>
              <wp:positionV relativeFrom="paragraph">
                <wp:posOffset>-12065</wp:posOffset>
              </wp:positionV>
              <wp:extent cx="777240" cy="16192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777240" cy="161925"/>
                      </a:xfrm>
                      <a:prstGeom prst="rect">
                        <a:avLst/>
                      </a:prstGeom>
                      <a:noFill/>
                      <a:ln>
                        <a:noFill/>
                      </a:ln>
                    </wps:spPr>
                    <wps:txbx>
                      <w:txbxContent>
                        <w:p>
                          <w:pPr>
                            <w:spacing w:before="20" w:line="220" w:lineRule="auto"/>
                            <w:ind w:left="20"/>
                            <w:rPr>
                              <w:rFonts w:ascii="宋体" w:hAnsi="宋体" w:eastAsia="宋体" w:cs="宋体"/>
                              <w:sz w:val="18"/>
                              <w:szCs w:val="18"/>
                            </w:rPr>
                          </w:pPr>
                          <w:r>
                            <w:rPr>
                              <w:rFonts w:ascii="宋体" w:hAnsi="宋体" w:eastAsia="宋体" w:cs="宋体"/>
                              <w:i/>
                              <w:iCs/>
                              <w:spacing w:val="9"/>
                              <w:sz w:val="18"/>
                              <w:szCs w:val="18"/>
                              <w14:textOutline w14:w="3268" w14:cap="sq" w14:cmpd="sng">
                                <w14:solidFill>
                                  <w14:srgbClr w14:val="000000"/>
                                </w14:solidFill>
                                <w14:prstDash w14:val="solid"/>
                                <w14:bevel/>
                              </w14:textOutline>
                            </w:rPr>
                            <w:t>第</w:t>
                          </w:r>
                          <w:r>
                            <w:rPr>
                              <w:rFonts w:ascii="Times New Roman" w:hAnsi="Times New Roman" w:eastAsia="Times New Roman" w:cs="Times New Roman"/>
                              <w:b/>
                              <w:bCs/>
                              <w:i/>
                              <w:iCs/>
                              <w:spacing w:val="9"/>
                              <w:sz w:val="18"/>
                              <w:szCs w:val="18"/>
                            </w:rPr>
                            <w:t>77</w:t>
                          </w:r>
                          <w:r>
                            <w:rPr>
                              <w:rFonts w:ascii="宋体" w:hAnsi="宋体" w:eastAsia="宋体" w:cs="宋体"/>
                              <w:i/>
                              <w:iCs/>
                              <w:spacing w:val="9"/>
                              <w:sz w:val="18"/>
                              <w:szCs w:val="18"/>
                              <w14:textOutline w14:w="3268" w14:cap="sq" w14:cmpd="sng">
                                <w14:solidFill>
                                  <w14:srgbClr w14:val="000000"/>
                                </w14:solidFill>
                                <w14:prstDash w14:val="solid"/>
                                <w14:bevel/>
                              </w14:textOutline>
                            </w:rPr>
                            <w:t>页共</w:t>
                          </w:r>
                          <w:r>
                            <w:rPr>
                              <w:rFonts w:ascii="Times New Roman" w:hAnsi="Times New Roman" w:eastAsia="Times New Roman" w:cs="Times New Roman"/>
                              <w:b/>
                              <w:bCs/>
                              <w:i/>
                              <w:iCs/>
                              <w:spacing w:val="9"/>
                              <w:sz w:val="18"/>
                              <w:szCs w:val="18"/>
                            </w:rPr>
                            <w:t>79</w:t>
                          </w:r>
                          <w:r>
                            <w:rPr>
                              <w:rFonts w:ascii="Times New Roman" w:hAnsi="Times New Roman" w:eastAsia="Times New Roman" w:cs="Times New Roman"/>
                              <w:b/>
                              <w:bCs/>
                              <w:i/>
                              <w:iCs/>
                              <w:spacing w:val="-15"/>
                              <w:sz w:val="18"/>
                              <w:szCs w:val="18"/>
                            </w:rPr>
                            <w:t xml:space="preserve"> </w:t>
                          </w:r>
                          <w:r>
                            <w:rPr>
                              <w:rFonts w:ascii="宋体" w:hAnsi="宋体" w:eastAsia="宋体" w:cs="宋体"/>
                              <w:i/>
                              <w:iCs/>
                              <w:spacing w:val="9"/>
                              <w:sz w:val="18"/>
                              <w:szCs w:val="18"/>
                              <w14:textOutline w14:w="3268" w14:cap="sq" w14:cmpd="sng">
                                <w14:solidFill>
                                  <w14:srgbClr w14:val="000000"/>
                                </w14:solidFill>
                                <w14:prstDash w14:val="solid"/>
                                <w14:bevel/>
                              </w14:textOutline>
                            </w:rPr>
                            <w:t>页</w:t>
                          </w:r>
                        </w:p>
                      </w:txbxContent>
                    </wps:txbx>
                    <wps:bodyPr lIns="0" tIns="0" rIns="0" bIns="0" upright="1"/>
                  </wps:wsp>
                </a:graphicData>
              </a:graphic>
            </wp:anchor>
          </w:drawing>
        </mc:Choice>
        <mc:Fallback>
          <w:pict>
            <v:shape id="_x0000_s1026" o:spid="_x0000_s1026" o:spt="202" type="#_x0000_t202" style="position:absolute;left:0pt;margin-left:407.95pt;margin-top:-0.95pt;height:12.75pt;width:61.2pt;z-index:251669504;mso-width-relative:page;mso-height-relative:page;" filled="f" stroked="f" coordsize="21600,21600" o:gfxdata="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ca45K2QAAAAkBAAAPAAAAAAAAAAEAIAAAACIAAABkcnMvZG93bnJldi54bWxQSwEC&#10;FAAUAAAACACHTuJAdvNd8roBAABzAwAADgAAAAAAAAABACAAAAAoAQAAZHJzL2Uyb0RvYy54bWxQ&#10;SwUGAAAAAAYABgBZAQAAVAUAAAAA&#10;">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i/>
                        <w:iCs/>
                        <w:spacing w:val="9"/>
                        <w:sz w:val="18"/>
                        <w:szCs w:val="18"/>
                        <w14:textOutline w14:w="3268" w14:cap="sq" w14:cmpd="sng">
                          <w14:solidFill>
                            <w14:srgbClr w14:val="000000"/>
                          </w14:solidFill>
                          <w14:prstDash w14:val="solid"/>
                          <w14:bevel/>
                        </w14:textOutline>
                      </w:rPr>
                      <w:t>第</w:t>
                    </w:r>
                    <w:r>
                      <w:rPr>
                        <w:rFonts w:ascii="Times New Roman" w:hAnsi="Times New Roman" w:eastAsia="Times New Roman" w:cs="Times New Roman"/>
                        <w:b/>
                        <w:bCs/>
                        <w:i/>
                        <w:iCs/>
                        <w:spacing w:val="9"/>
                        <w:sz w:val="18"/>
                        <w:szCs w:val="18"/>
                      </w:rPr>
                      <w:t>77</w:t>
                    </w:r>
                    <w:r>
                      <w:rPr>
                        <w:rFonts w:ascii="宋体" w:hAnsi="宋体" w:eastAsia="宋体" w:cs="宋体"/>
                        <w:i/>
                        <w:iCs/>
                        <w:spacing w:val="9"/>
                        <w:sz w:val="18"/>
                        <w:szCs w:val="18"/>
                        <w14:textOutline w14:w="3268" w14:cap="sq" w14:cmpd="sng">
                          <w14:solidFill>
                            <w14:srgbClr w14:val="000000"/>
                          </w14:solidFill>
                          <w14:prstDash w14:val="solid"/>
                          <w14:bevel/>
                        </w14:textOutline>
                      </w:rPr>
                      <w:t>页共</w:t>
                    </w:r>
                    <w:r>
                      <w:rPr>
                        <w:rFonts w:ascii="Times New Roman" w:hAnsi="Times New Roman" w:eastAsia="Times New Roman" w:cs="Times New Roman"/>
                        <w:b/>
                        <w:bCs/>
                        <w:i/>
                        <w:iCs/>
                        <w:spacing w:val="9"/>
                        <w:sz w:val="18"/>
                        <w:szCs w:val="18"/>
                      </w:rPr>
                      <w:t>79</w:t>
                    </w:r>
                    <w:r>
                      <w:rPr>
                        <w:rFonts w:ascii="Times New Roman" w:hAnsi="Times New Roman" w:eastAsia="Times New Roman" w:cs="Times New Roman"/>
                        <w:b/>
                        <w:bCs/>
                        <w:i/>
                        <w:iCs/>
                        <w:spacing w:val="-15"/>
                        <w:sz w:val="18"/>
                        <w:szCs w:val="18"/>
                      </w:rPr>
                      <w:t xml:space="preserve"> </w:t>
                    </w:r>
                    <w:r>
                      <w:rPr>
                        <w:rFonts w:ascii="宋体" w:hAnsi="宋体" w:eastAsia="宋体" w:cs="宋体"/>
                        <w:i/>
                        <w:iCs/>
                        <w:spacing w:val="9"/>
                        <w:sz w:val="18"/>
                        <w:szCs w:val="18"/>
                        <w14:textOutline w14:w="3268" w14:cap="sq" w14:cmpd="sng">
                          <w14:solidFill>
                            <w14:srgbClr w14:val="000000"/>
                          </w14:solidFill>
                          <w14:prstDash w14:val="solid"/>
                          <w14:bevel/>
                        </w14:textOutline>
                      </w:rPr>
                      <w:t>页</w:t>
                    </w:r>
                  </w:p>
                </w:txbxContent>
              </v:textbox>
            </v:shape>
          </w:pict>
        </mc:Fallback>
      </mc:AlternateContent>
    </w:r>
    <w:r>
      <w:rPr>
        <w:rFonts w:ascii="宋体" w:hAnsi="宋体" w:eastAsia="宋体" w:cs="宋体"/>
        <w:i/>
        <w:iCs/>
        <w:spacing w:val="2"/>
        <w:sz w:val="18"/>
        <w:szCs w:val="18"/>
        <w14:textOutline w14:w="3268" w14:cap="sq" w14:cmpd="sng">
          <w14:solidFill>
            <w14:srgbClr w14:val="000000"/>
          </w14:solidFill>
          <w14:prstDash w14:val="solid"/>
          <w14:bevel/>
        </w14:textOutline>
      </w:rPr>
      <w:t>台州市政府采购招标文件</w:t>
    </w:r>
    <w:r>
      <w:rPr>
        <w:rFonts w:ascii="Times New Roman" w:hAnsi="Times New Roman" w:eastAsia="Times New Roman" w:cs="Times New Roman"/>
        <w:b/>
        <w:bCs/>
        <w:i/>
        <w:iCs/>
        <w:spacing w:val="2"/>
        <w:sz w:val="18"/>
        <w:szCs w:val="18"/>
      </w:rPr>
      <w:t>--</w:t>
    </w:r>
    <w:r>
      <w:rPr>
        <w:rFonts w:ascii="宋体" w:hAnsi="宋体" w:eastAsia="宋体" w:cs="宋体"/>
        <w:i/>
        <w:iCs/>
        <w:spacing w:val="2"/>
        <w:sz w:val="18"/>
        <w:szCs w:val="18"/>
        <w14:textOutline w14:w="3268" w14:cap="sq" w14:cmpd="sng">
          <w14:solidFill>
            <w14:srgbClr w14:val="000000"/>
          </w14:solidFill>
          <w14:prstDash w14:val="solid"/>
          <w14:bevel/>
        </w14:textOutline>
      </w:rPr>
      <w:t>服务</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13"/>
      <w:rPr>
        <w:rFonts w:ascii="宋体" w:hAnsi="宋体" w:eastAsia="宋体" w:cs="宋体"/>
        <w:sz w:val="18"/>
        <w:szCs w:val="18"/>
      </w:rPr>
    </w:pPr>
    <w: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108585</wp:posOffset>
              </wp:positionV>
              <wp:extent cx="5518150" cy="10795"/>
              <wp:effectExtent l="0" t="0" r="0" b="0"/>
              <wp:wrapNone/>
              <wp:docPr id="17" name="任意多边形 17"/>
              <wp:cNvGraphicFramePr/>
              <a:graphic xmlns:a="http://schemas.openxmlformats.org/drawingml/2006/main">
                <a:graphicData uri="http://schemas.microsoft.com/office/word/2010/wordprocessingShape">
                  <wps:wsp>
                    <wps:cNvSpPr/>
                    <wps:spPr>
                      <a:xfrm>
                        <a:off x="0" y="0"/>
                        <a:ext cx="5518150" cy="10795"/>
                      </a:xfrm>
                      <a:custGeom>
                        <a:avLst/>
                        <a:gdLst/>
                        <a:ahLst/>
                        <a:cxnLst/>
                        <a:pathLst>
                          <a:path w="8690" h="17">
                            <a:moveTo>
                              <a:pt x="0" y="8"/>
                            </a:moveTo>
                            <a:lnTo>
                              <a:pt x="7837" y="8"/>
                            </a:lnTo>
                            <a:moveTo>
                              <a:pt x="7837" y="8"/>
                            </a:moveTo>
                            <a:lnTo>
                              <a:pt x="7977" y="8"/>
                            </a:lnTo>
                            <a:moveTo>
                              <a:pt x="7977" y="8"/>
                            </a:moveTo>
                            <a:lnTo>
                              <a:pt x="8362" y="8"/>
                            </a:lnTo>
                            <a:moveTo>
                              <a:pt x="8362" y="8"/>
                            </a:moveTo>
                            <a:lnTo>
                              <a:pt x="8500" y="8"/>
                            </a:lnTo>
                            <a:moveTo>
                              <a:pt x="8500" y="8"/>
                            </a:moveTo>
                            <a:lnTo>
                              <a:pt x="8690" y="8"/>
                            </a:lnTo>
                          </a:path>
                        </a:pathLst>
                      </a:custGeom>
                      <a:noFill/>
                      <a:ln w="10668"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8.55pt;height:0.85pt;width:434.5pt;z-index:251672576;mso-width-relative:page;mso-height-relative:page;" filled="f" stroked="t" coordsize="8690,17" o:gfxdata="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1XREtEAAAAGAQAADwAAAAAAAAABACAAAAAiAAAAZHJzL2Rvd25yZXYueG1s&#10;UEsBAhQAFAAAAAgAh07iQFs0px1xAgAA4gUAAA4AAAAAAAAAAQAgAAAAIAEAAGRycy9lMm9Eb2Mu&#10;eG1sUEsFBgAAAAAGAAYAWQEAAAMGAAAAAA==&#10;" path="m0,8l7837,8m7837,8l7977,8m7977,8l8362,8m8362,8l8500,8m8500,8l8690,8e">
              <v:fill on="f" focussize="0,0"/>
              <v:stroke weight="0.84pt" color="#000000" joinstyle="bevel"/>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4811395</wp:posOffset>
              </wp:positionH>
              <wp:positionV relativeFrom="paragraph">
                <wp:posOffset>-12065</wp:posOffset>
              </wp:positionV>
              <wp:extent cx="777240" cy="16192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777240" cy="161925"/>
                      </a:xfrm>
                      <a:prstGeom prst="rect">
                        <a:avLst/>
                      </a:prstGeom>
                      <a:noFill/>
                      <a:ln>
                        <a:noFill/>
                      </a:ln>
                    </wps:spPr>
                    <wps:txbx>
                      <w:txbxContent>
                        <w:p>
                          <w:pPr>
                            <w:spacing w:before="20" w:line="220" w:lineRule="auto"/>
                            <w:ind w:left="20"/>
                            <w:rPr>
                              <w:rFonts w:ascii="宋体" w:hAnsi="宋体" w:eastAsia="宋体" w:cs="宋体"/>
                              <w:sz w:val="18"/>
                              <w:szCs w:val="18"/>
                            </w:rPr>
                          </w:pPr>
                          <w:r>
                            <w:rPr>
                              <w:rFonts w:ascii="宋体" w:hAnsi="宋体" w:eastAsia="宋体" w:cs="宋体"/>
                              <w:i/>
                              <w:iCs/>
                              <w:spacing w:val="9"/>
                              <w:sz w:val="18"/>
                              <w:szCs w:val="18"/>
                              <w14:textOutline w14:w="3268" w14:cap="sq" w14:cmpd="sng">
                                <w14:solidFill>
                                  <w14:srgbClr w14:val="000000"/>
                                </w14:solidFill>
                                <w14:prstDash w14:val="solid"/>
                                <w14:bevel/>
                              </w14:textOutline>
                            </w:rPr>
                            <w:t>第</w:t>
                          </w:r>
                          <w:r>
                            <w:rPr>
                              <w:rFonts w:ascii="Times New Roman" w:hAnsi="Times New Roman" w:eastAsia="Times New Roman" w:cs="Times New Roman"/>
                              <w:b/>
                              <w:bCs/>
                              <w:i/>
                              <w:iCs/>
                              <w:spacing w:val="9"/>
                              <w:sz w:val="18"/>
                              <w:szCs w:val="18"/>
                            </w:rPr>
                            <w:t>78</w:t>
                          </w:r>
                          <w:r>
                            <w:rPr>
                              <w:rFonts w:ascii="宋体" w:hAnsi="宋体" w:eastAsia="宋体" w:cs="宋体"/>
                              <w:i/>
                              <w:iCs/>
                              <w:spacing w:val="9"/>
                              <w:sz w:val="18"/>
                              <w:szCs w:val="18"/>
                              <w14:textOutline w14:w="3268" w14:cap="sq" w14:cmpd="sng">
                                <w14:solidFill>
                                  <w14:srgbClr w14:val="000000"/>
                                </w14:solidFill>
                                <w14:prstDash w14:val="solid"/>
                                <w14:bevel/>
                              </w14:textOutline>
                            </w:rPr>
                            <w:t>页共</w:t>
                          </w:r>
                          <w:r>
                            <w:rPr>
                              <w:rFonts w:ascii="Times New Roman" w:hAnsi="Times New Roman" w:eastAsia="Times New Roman" w:cs="Times New Roman"/>
                              <w:b/>
                              <w:bCs/>
                              <w:i/>
                              <w:iCs/>
                              <w:spacing w:val="9"/>
                              <w:sz w:val="18"/>
                              <w:szCs w:val="18"/>
                            </w:rPr>
                            <w:t>79</w:t>
                          </w:r>
                          <w:r>
                            <w:rPr>
                              <w:rFonts w:ascii="Times New Roman" w:hAnsi="Times New Roman" w:eastAsia="Times New Roman" w:cs="Times New Roman"/>
                              <w:b/>
                              <w:bCs/>
                              <w:i/>
                              <w:iCs/>
                              <w:spacing w:val="-15"/>
                              <w:sz w:val="18"/>
                              <w:szCs w:val="18"/>
                            </w:rPr>
                            <w:t xml:space="preserve"> </w:t>
                          </w:r>
                          <w:r>
                            <w:rPr>
                              <w:rFonts w:ascii="宋体" w:hAnsi="宋体" w:eastAsia="宋体" w:cs="宋体"/>
                              <w:i/>
                              <w:iCs/>
                              <w:spacing w:val="9"/>
                              <w:sz w:val="18"/>
                              <w:szCs w:val="18"/>
                              <w14:textOutline w14:w="3268" w14:cap="sq" w14:cmpd="sng">
                                <w14:solidFill>
                                  <w14:srgbClr w14:val="000000"/>
                                </w14:solidFill>
                                <w14:prstDash w14:val="solid"/>
                                <w14:bevel/>
                              </w14:textOutline>
                            </w:rPr>
                            <w:t>页</w:t>
                          </w:r>
                        </w:p>
                      </w:txbxContent>
                    </wps:txbx>
                    <wps:bodyPr lIns="0" tIns="0" rIns="0" bIns="0" upright="1"/>
                  </wps:wsp>
                </a:graphicData>
              </a:graphic>
            </wp:anchor>
          </w:drawing>
        </mc:Choice>
        <mc:Fallback>
          <w:pict>
            <v:shape id="_x0000_s1026" o:spid="_x0000_s1026" o:spt="202" type="#_x0000_t202" style="position:absolute;left:0pt;margin-left:378.85pt;margin-top:-0.95pt;height:12.75pt;width:61.2pt;z-index:251671552;mso-width-relative:page;mso-height-relative:page;" filled="f" stroked="f" coordsize="21600,21600" o:gfxdata="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83Nb2QAAAAkBAAAPAAAAAAAAAAEAIAAAACIAAABkcnMvZG93bnJldi54bWxQSwEC&#10;FAAUAAAACACHTuJARgoNOLoBAABzAwAADgAAAAAAAAABACAAAAAoAQAAZHJzL2Uyb0RvYy54bWxQ&#10;SwUGAAAAAAYABgBZAQAAVAUAAAAA&#10;">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i/>
                        <w:iCs/>
                        <w:spacing w:val="9"/>
                        <w:sz w:val="18"/>
                        <w:szCs w:val="18"/>
                        <w14:textOutline w14:w="3268" w14:cap="sq" w14:cmpd="sng">
                          <w14:solidFill>
                            <w14:srgbClr w14:val="000000"/>
                          </w14:solidFill>
                          <w14:prstDash w14:val="solid"/>
                          <w14:bevel/>
                        </w14:textOutline>
                      </w:rPr>
                      <w:t>第</w:t>
                    </w:r>
                    <w:r>
                      <w:rPr>
                        <w:rFonts w:ascii="Times New Roman" w:hAnsi="Times New Roman" w:eastAsia="Times New Roman" w:cs="Times New Roman"/>
                        <w:b/>
                        <w:bCs/>
                        <w:i/>
                        <w:iCs/>
                        <w:spacing w:val="9"/>
                        <w:sz w:val="18"/>
                        <w:szCs w:val="18"/>
                      </w:rPr>
                      <w:t>78</w:t>
                    </w:r>
                    <w:r>
                      <w:rPr>
                        <w:rFonts w:ascii="宋体" w:hAnsi="宋体" w:eastAsia="宋体" w:cs="宋体"/>
                        <w:i/>
                        <w:iCs/>
                        <w:spacing w:val="9"/>
                        <w:sz w:val="18"/>
                        <w:szCs w:val="18"/>
                        <w14:textOutline w14:w="3268" w14:cap="sq" w14:cmpd="sng">
                          <w14:solidFill>
                            <w14:srgbClr w14:val="000000"/>
                          </w14:solidFill>
                          <w14:prstDash w14:val="solid"/>
                          <w14:bevel/>
                        </w14:textOutline>
                      </w:rPr>
                      <w:t>页共</w:t>
                    </w:r>
                    <w:r>
                      <w:rPr>
                        <w:rFonts w:ascii="Times New Roman" w:hAnsi="Times New Roman" w:eastAsia="Times New Roman" w:cs="Times New Roman"/>
                        <w:b/>
                        <w:bCs/>
                        <w:i/>
                        <w:iCs/>
                        <w:spacing w:val="9"/>
                        <w:sz w:val="18"/>
                        <w:szCs w:val="18"/>
                      </w:rPr>
                      <w:t>79</w:t>
                    </w:r>
                    <w:r>
                      <w:rPr>
                        <w:rFonts w:ascii="Times New Roman" w:hAnsi="Times New Roman" w:eastAsia="Times New Roman" w:cs="Times New Roman"/>
                        <w:b/>
                        <w:bCs/>
                        <w:i/>
                        <w:iCs/>
                        <w:spacing w:val="-15"/>
                        <w:sz w:val="18"/>
                        <w:szCs w:val="18"/>
                      </w:rPr>
                      <w:t xml:space="preserve"> </w:t>
                    </w:r>
                    <w:r>
                      <w:rPr>
                        <w:rFonts w:ascii="宋体" w:hAnsi="宋体" w:eastAsia="宋体" w:cs="宋体"/>
                        <w:i/>
                        <w:iCs/>
                        <w:spacing w:val="9"/>
                        <w:sz w:val="18"/>
                        <w:szCs w:val="18"/>
                        <w14:textOutline w14:w="3268" w14:cap="sq" w14:cmpd="sng">
                          <w14:solidFill>
                            <w14:srgbClr w14:val="000000"/>
                          </w14:solidFill>
                          <w14:prstDash w14:val="solid"/>
                          <w14:bevel/>
                        </w14:textOutline>
                      </w:rPr>
                      <w:t>页</w:t>
                    </w:r>
                  </w:p>
                </w:txbxContent>
              </v:textbox>
            </v:shape>
          </w:pict>
        </mc:Fallback>
      </mc:AlternateContent>
    </w:r>
    <w:r>
      <w:rPr>
        <w:rFonts w:ascii="宋体" w:hAnsi="宋体" w:eastAsia="宋体" w:cs="宋体"/>
        <w:i/>
        <w:iCs/>
        <w:spacing w:val="2"/>
        <w:sz w:val="18"/>
        <w:szCs w:val="18"/>
        <w14:textOutline w14:w="3268" w14:cap="sq" w14:cmpd="sng">
          <w14:solidFill>
            <w14:srgbClr w14:val="000000"/>
          </w14:solidFill>
          <w14:prstDash w14:val="solid"/>
          <w14:bevel/>
        </w14:textOutline>
      </w:rPr>
      <w:t>台州市政府采购招标文件</w:t>
    </w:r>
    <w:r>
      <w:rPr>
        <w:rFonts w:ascii="Times New Roman" w:hAnsi="Times New Roman" w:eastAsia="Times New Roman" w:cs="Times New Roman"/>
        <w:b/>
        <w:bCs/>
        <w:i/>
        <w:iCs/>
        <w:spacing w:val="2"/>
        <w:sz w:val="18"/>
        <w:szCs w:val="18"/>
      </w:rPr>
      <w:t>--</w:t>
    </w:r>
    <w:r>
      <w:rPr>
        <w:rFonts w:ascii="宋体" w:hAnsi="宋体" w:eastAsia="宋体" w:cs="宋体"/>
        <w:i/>
        <w:iCs/>
        <w:spacing w:val="2"/>
        <w:sz w:val="18"/>
        <w:szCs w:val="18"/>
        <w14:textOutline w14:w="3268" w14:cap="sq" w14:cmpd="sng">
          <w14:solidFill>
            <w14:srgbClr w14:val="000000"/>
          </w14:solidFill>
          <w14:prstDash w14:val="solid"/>
          <w14:bevel/>
        </w14:textOutline>
      </w:rPr>
      <w:t>服务</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Xxx政府采购磋商文件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44</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44</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8D714D9E"/>
    <w:multiLevelType w:val="singleLevel"/>
    <w:tmpl w:val="8D714D9E"/>
    <w:lvl w:ilvl="0" w:tentative="0">
      <w:start w:val="1"/>
      <w:numFmt w:val="chineseCounting"/>
      <w:suff w:val="nothing"/>
      <w:lvlText w:val="（%1）"/>
      <w:lvlJc w:val="left"/>
      <w:pPr>
        <w:ind w:left="0" w:firstLine="420"/>
      </w:pPr>
      <w:rPr>
        <w:rFonts w:hint="eastAsia"/>
      </w:rPr>
    </w:lvl>
  </w:abstractNum>
  <w:abstractNum w:abstractNumId="3">
    <w:nsid w:val="9B92DF4C"/>
    <w:multiLevelType w:val="singleLevel"/>
    <w:tmpl w:val="9B92DF4C"/>
    <w:lvl w:ilvl="0" w:tentative="0">
      <w:start w:val="1"/>
      <w:numFmt w:val="decimal"/>
      <w:suff w:val="nothing"/>
      <w:lvlText w:val="%1、"/>
      <w:lvlJc w:val="left"/>
    </w:lvl>
  </w:abstractNum>
  <w:abstractNum w:abstractNumId="4">
    <w:nsid w:val="A01A39A1"/>
    <w:multiLevelType w:val="singleLevel"/>
    <w:tmpl w:val="A01A39A1"/>
    <w:lvl w:ilvl="0" w:tentative="0">
      <w:start w:val="2"/>
      <w:numFmt w:val="chineseCounting"/>
      <w:suff w:val="nothing"/>
      <w:lvlText w:val="%1、"/>
      <w:lvlJc w:val="left"/>
      <w:rPr>
        <w:rFonts w:hint="eastAsia"/>
      </w:rPr>
    </w:lvl>
  </w:abstractNum>
  <w:abstractNum w:abstractNumId="5">
    <w:nsid w:val="BBE8B27C"/>
    <w:multiLevelType w:val="singleLevel"/>
    <w:tmpl w:val="BBE8B27C"/>
    <w:lvl w:ilvl="0" w:tentative="0">
      <w:start w:val="1"/>
      <w:numFmt w:val="decimal"/>
      <w:lvlText w:val="%1."/>
      <w:lvlJc w:val="left"/>
      <w:pPr>
        <w:ind w:left="425" w:hanging="425"/>
      </w:pPr>
      <w:rPr>
        <w:rFonts w:hint="default"/>
      </w:rPr>
    </w:lvl>
  </w:abstractNum>
  <w:abstractNum w:abstractNumId="6">
    <w:nsid w:val="BD77C2AB"/>
    <w:multiLevelType w:val="singleLevel"/>
    <w:tmpl w:val="BD77C2AB"/>
    <w:lvl w:ilvl="0" w:tentative="0">
      <w:start w:val="1"/>
      <w:numFmt w:val="chineseCounting"/>
      <w:suff w:val="nothing"/>
      <w:lvlText w:val="（%1）"/>
      <w:lvlJc w:val="left"/>
      <w:pPr>
        <w:ind w:left="0" w:firstLine="420"/>
      </w:pPr>
      <w:rPr>
        <w:rFonts w:hint="eastAsia"/>
      </w:rPr>
    </w:lvl>
  </w:abstractNum>
  <w:abstractNum w:abstractNumId="7">
    <w:nsid w:val="C92066D1"/>
    <w:multiLevelType w:val="singleLevel"/>
    <w:tmpl w:val="C92066D1"/>
    <w:lvl w:ilvl="0" w:tentative="0">
      <w:start w:val="1"/>
      <w:numFmt w:val="chineseCounting"/>
      <w:suff w:val="nothing"/>
      <w:lvlText w:val="（%1）"/>
      <w:lvlJc w:val="left"/>
      <w:pPr>
        <w:ind w:left="0" w:firstLine="420"/>
      </w:pPr>
      <w:rPr>
        <w:rFonts w:hint="eastAsia"/>
      </w:rPr>
    </w:lvl>
  </w:abstractNum>
  <w:abstractNum w:abstractNumId="8">
    <w:nsid w:val="E247FB15"/>
    <w:multiLevelType w:val="singleLevel"/>
    <w:tmpl w:val="E247FB15"/>
    <w:lvl w:ilvl="0" w:tentative="0">
      <w:start w:val="1"/>
      <w:numFmt w:val="decimal"/>
      <w:lvlText w:val="%1."/>
      <w:lvlJc w:val="left"/>
      <w:pPr>
        <w:ind w:left="425" w:hanging="425"/>
      </w:pPr>
      <w:rPr>
        <w:rFonts w:hint="default"/>
      </w:rPr>
    </w:lvl>
  </w:abstractNum>
  <w:abstractNum w:abstractNumId="9">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10">
    <w:nsid w:val="F931D4A4"/>
    <w:multiLevelType w:val="singleLevel"/>
    <w:tmpl w:val="F931D4A4"/>
    <w:lvl w:ilvl="0" w:tentative="0">
      <w:start w:val="1"/>
      <w:numFmt w:val="decimal"/>
      <w:lvlText w:val="%1."/>
      <w:lvlJc w:val="left"/>
      <w:pPr>
        <w:tabs>
          <w:tab w:val="left" w:pos="312"/>
        </w:tabs>
      </w:pPr>
    </w:lvl>
  </w:abstractNum>
  <w:abstractNum w:abstractNumId="11">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12">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13">
    <w:nsid w:val="2A5EF874"/>
    <w:multiLevelType w:val="singleLevel"/>
    <w:tmpl w:val="2A5EF874"/>
    <w:lvl w:ilvl="0" w:tentative="0">
      <w:start w:val="1"/>
      <w:numFmt w:val="chineseCounting"/>
      <w:suff w:val="nothing"/>
      <w:lvlText w:val="（%1）"/>
      <w:lvlJc w:val="left"/>
      <w:pPr>
        <w:ind w:left="0" w:firstLine="420"/>
      </w:pPr>
      <w:rPr>
        <w:rFonts w:hint="eastAsia"/>
      </w:rPr>
    </w:lvl>
  </w:abstractNum>
  <w:abstractNum w:abstractNumId="14">
    <w:nsid w:val="3A84C5AA"/>
    <w:multiLevelType w:val="singleLevel"/>
    <w:tmpl w:val="3A84C5AA"/>
    <w:lvl w:ilvl="0" w:tentative="0">
      <w:start w:val="1"/>
      <w:numFmt w:val="decimal"/>
      <w:lvlText w:val="%1."/>
      <w:lvlJc w:val="left"/>
      <w:pPr>
        <w:ind w:left="425" w:hanging="425"/>
      </w:pPr>
      <w:rPr>
        <w:rFonts w:hint="default"/>
      </w:rPr>
    </w:lvl>
  </w:abstractNum>
  <w:abstractNum w:abstractNumId="15">
    <w:nsid w:val="3D67D980"/>
    <w:multiLevelType w:val="singleLevel"/>
    <w:tmpl w:val="3D67D980"/>
    <w:lvl w:ilvl="0" w:tentative="0">
      <w:start w:val="1"/>
      <w:numFmt w:val="decimal"/>
      <w:lvlText w:val="%1."/>
      <w:lvlJc w:val="left"/>
      <w:pPr>
        <w:tabs>
          <w:tab w:val="left" w:pos="312"/>
        </w:tabs>
      </w:pPr>
    </w:lvl>
  </w:abstractNum>
  <w:abstractNum w:abstractNumId="16">
    <w:nsid w:val="3EE43BDC"/>
    <w:multiLevelType w:val="singleLevel"/>
    <w:tmpl w:val="3EE43BDC"/>
    <w:lvl w:ilvl="0" w:tentative="0">
      <w:start w:val="1"/>
      <w:numFmt w:val="chineseCounting"/>
      <w:suff w:val="nothing"/>
      <w:lvlText w:val="（%1）"/>
      <w:lvlJc w:val="left"/>
      <w:pPr>
        <w:ind w:left="0" w:firstLine="420"/>
      </w:pPr>
      <w:rPr>
        <w:rFonts w:hint="eastAsia"/>
      </w:rPr>
    </w:lvl>
  </w:abstractNum>
  <w:abstractNum w:abstractNumId="17">
    <w:nsid w:val="4292DA13"/>
    <w:multiLevelType w:val="singleLevel"/>
    <w:tmpl w:val="4292DA13"/>
    <w:lvl w:ilvl="0" w:tentative="0">
      <w:start w:val="2"/>
      <w:numFmt w:val="chineseCounting"/>
      <w:suff w:val="nothing"/>
      <w:lvlText w:val="（%1）"/>
      <w:lvlJc w:val="left"/>
      <w:rPr>
        <w:rFonts w:hint="eastAsia"/>
      </w:rPr>
    </w:lvl>
  </w:abstractNum>
  <w:abstractNum w:abstractNumId="18">
    <w:nsid w:val="461E5E94"/>
    <w:multiLevelType w:val="singleLevel"/>
    <w:tmpl w:val="461E5E94"/>
    <w:lvl w:ilvl="0" w:tentative="0">
      <w:start w:val="2"/>
      <w:numFmt w:val="chineseCounting"/>
      <w:suff w:val="space"/>
      <w:lvlText w:val="第%1章"/>
      <w:lvlJc w:val="left"/>
      <w:rPr>
        <w:rFonts w:hint="eastAsia"/>
      </w:rPr>
    </w:lvl>
  </w:abstractNum>
  <w:abstractNum w:abstractNumId="19">
    <w:nsid w:val="49F360AB"/>
    <w:multiLevelType w:val="singleLevel"/>
    <w:tmpl w:val="49F360AB"/>
    <w:lvl w:ilvl="0" w:tentative="0">
      <w:start w:val="1"/>
      <w:numFmt w:val="chineseCounting"/>
      <w:suff w:val="nothing"/>
      <w:lvlText w:val="（%1）"/>
      <w:lvlJc w:val="left"/>
      <w:pPr>
        <w:ind w:left="0" w:firstLine="420"/>
      </w:pPr>
      <w:rPr>
        <w:rFonts w:hint="eastAsia"/>
      </w:rPr>
    </w:lvl>
  </w:abstractNum>
  <w:abstractNum w:abstractNumId="20">
    <w:nsid w:val="58541702"/>
    <w:multiLevelType w:val="singleLevel"/>
    <w:tmpl w:val="58541702"/>
    <w:lvl w:ilvl="0" w:tentative="0">
      <w:start w:val="1"/>
      <w:numFmt w:val="chineseCounting"/>
      <w:suff w:val="nothing"/>
      <w:lvlText w:val="（%1）"/>
      <w:lvlJc w:val="left"/>
      <w:pPr>
        <w:ind w:left="0" w:firstLine="420"/>
      </w:pPr>
      <w:rPr>
        <w:rFonts w:hint="eastAsia"/>
      </w:rPr>
    </w:lvl>
  </w:abstractNum>
  <w:abstractNum w:abstractNumId="21">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2">
    <w:nsid w:val="66DDD653"/>
    <w:multiLevelType w:val="singleLevel"/>
    <w:tmpl w:val="66DDD653"/>
    <w:lvl w:ilvl="0" w:tentative="0">
      <w:start w:val="1"/>
      <w:numFmt w:val="chineseCounting"/>
      <w:suff w:val="space"/>
      <w:lvlText w:val="第%1章"/>
      <w:lvlJc w:val="left"/>
      <w:rPr>
        <w:rFonts w:hint="eastAsia"/>
      </w:rPr>
    </w:lvl>
  </w:abstractNum>
  <w:abstractNum w:abstractNumId="23">
    <w:nsid w:val="69BCBAAB"/>
    <w:multiLevelType w:val="singleLevel"/>
    <w:tmpl w:val="69BCBAAB"/>
    <w:lvl w:ilvl="0" w:tentative="0">
      <w:start w:val="1"/>
      <w:numFmt w:val="chineseCounting"/>
      <w:suff w:val="nothing"/>
      <w:lvlText w:val="（%1）"/>
      <w:lvlJc w:val="left"/>
      <w:pPr>
        <w:ind w:left="0" w:firstLine="420"/>
      </w:pPr>
      <w:rPr>
        <w:rFonts w:hint="eastAsia"/>
      </w:rPr>
    </w:lvl>
  </w:abstractNum>
  <w:abstractNum w:abstractNumId="24">
    <w:nsid w:val="7488A27B"/>
    <w:multiLevelType w:val="singleLevel"/>
    <w:tmpl w:val="7488A27B"/>
    <w:lvl w:ilvl="0" w:tentative="0">
      <w:start w:val="1"/>
      <w:numFmt w:val="decimal"/>
      <w:lvlText w:val="%1."/>
      <w:lvlJc w:val="left"/>
      <w:pPr>
        <w:ind w:left="425" w:hanging="425"/>
      </w:pPr>
      <w:rPr>
        <w:rFonts w:hint="default"/>
      </w:rPr>
    </w:lvl>
  </w:abstractNum>
  <w:num w:numId="1">
    <w:abstractNumId w:val="21"/>
  </w:num>
  <w:num w:numId="2">
    <w:abstractNumId w:val="12"/>
  </w:num>
  <w:num w:numId="3">
    <w:abstractNumId w:val="22"/>
  </w:num>
  <w:num w:numId="4">
    <w:abstractNumId w:val="18"/>
  </w:num>
  <w:num w:numId="5">
    <w:abstractNumId w:val="10"/>
  </w:num>
  <w:num w:numId="6">
    <w:abstractNumId w:val="9"/>
  </w:num>
  <w:num w:numId="7">
    <w:abstractNumId w:val="11"/>
  </w:num>
  <w:num w:numId="8">
    <w:abstractNumId w:val="17"/>
  </w:num>
  <w:num w:numId="9">
    <w:abstractNumId w:val="4"/>
  </w:num>
  <w:num w:numId="10">
    <w:abstractNumId w:val="19"/>
  </w:num>
  <w:num w:numId="11">
    <w:abstractNumId w:val="15"/>
  </w:num>
  <w:num w:numId="12">
    <w:abstractNumId w:val="3"/>
  </w:num>
  <w:num w:numId="13">
    <w:abstractNumId w:val="23"/>
  </w:num>
  <w:num w:numId="14">
    <w:abstractNumId w:val="2"/>
  </w:num>
  <w:num w:numId="15">
    <w:abstractNumId w:val="6"/>
  </w:num>
  <w:num w:numId="16">
    <w:abstractNumId w:val="7"/>
  </w:num>
  <w:num w:numId="17">
    <w:abstractNumId w:val="20"/>
  </w:num>
  <w:num w:numId="18">
    <w:abstractNumId w:val="16"/>
  </w:num>
  <w:num w:numId="19">
    <w:abstractNumId w:val="13"/>
  </w:num>
  <w:num w:numId="20">
    <w:abstractNumId w:val="0"/>
  </w:num>
  <w:num w:numId="21">
    <w:abstractNumId w:val="5"/>
  </w:num>
  <w:num w:numId="22">
    <w:abstractNumId w:val="1"/>
  </w:num>
  <w:num w:numId="23">
    <w:abstractNumId w:val="24"/>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NDFhOWUzZDYzNDIyMjIzN2QyMDQxNmZhNWNhYzIifQ=="/>
  </w:docVars>
  <w:rsids>
    <w:rsidRoot w:val="685F2B0C"/>
    <w:rsid w:val="0007403C"/>
    <w:rsid w:val="000B3CC0"/>
    <w:rsid w:val="000D75EE"/>
    <w:rsid w:val="000F5B7F"/>
    <w:rsid w:val="00104467"/>
    <w:rsid w:val="0018274C"/>
    <w:rsid w:val="001E0077"/>
    <w:rsid w:val="0023468B"/>
    <w:rsid w:val="00267F83"/>
    <w:rsid w:val="002D298A"/>
    <w:rsid w:val="00315916"/>
    <w:rsid w:val="00355F9C"/>
    <w:rsid w:val="00366FA4"/>
    <w:rsid w:val="003E41A8"/>
    <w:rsid w:val="004A4341"/>
    <w:rsid w:val="00582208"/>
    <w:rsid w:val="005A5509"/>
    <w:rsid w:val="005B0DE9"/>
    <w:rsid w:val="00665C6E"/>
    <w:rsid w:val="006F2372"/>
    <w:rsid w:val="0073607F"/>
    <w:rsid w:val="0078143C"/>
    <w:rsid w:val="00791044"/>
    <w:rsid w:val="007A069B"/>
    <w:rsid w:val="007B3E3E"/>
    <w:rsid w:val="007B51ED"/>
    <w:rsid w:val="007B6F4D"/>
    <w:rsid w:val="007C4012"/>
    <w:rsid w:val="00817268"/>
    <w:rsid w:val="00932D08"/>
    <w:rsid w:val="00987EDA"/>
    <w:rsid w:val="00A921FD"/>
    <w:rsid w:val="00A96D55"/>
    <w:rsid w:val="00A979AB"/>
    <w:rsid w:val="00AB49B7"/>
    <w:rsid w:val="00B03224"/>
    <w:rsid w:val="00C04262"/>
    <w:rsid w:val="00C4286B"/>
    <w:rsid w:val="00C72DA1"/>
    <w:rsid w:val="00CA4AD5"/>
    <w:rsid w:val="00CF6DBE"/>
    <w:rsid w:val="00D11D56"/>
    <w:rsid w:val="00D138B9"/>
    <w:rsid w:val="00D95B65"/>
    <w:rsid w:val="00DD6C0A"/>
    <w:rsid w:val="00DD770E"/>
    <w:rsid w:val="00E243AD"/>
    <w:rsid w:val="00ED13E1"/>
    <w:rsid w:val="00F211EF"/>
    <w:rsid w:val="00F27C47"/>
    <w:rsid w:val="00FB4B8B"/>
    <w:rsid w:val="00FD5153"/>
    <w:rsid w:val="010742D5"/>
    <w:rsid w:val="011F460A"/>
    <w:rsid w:val="013A1DCB"/>
    <w:rsid w:val="013D69DB"/>
    <w:rsid w:val="0175083B"/>
    <w:rsid w:val="01851778"/>
    <w:rsid w:val="01AE11E6"/>
    <w:rsid w:val="01C3757A"/>
    <w:rsid w:val="01F5073A"/>
    <w:rsid w:val="01F53A09"/>
    <w:rsid w:val="02072CC8"/>
    <w:rsid w:val="02220C8A"/>
    <w:rsid w:val="027A4537"/>
    <w:rsid w:val="02E32A3D"/>
    <w:rsid w:val="02FA6A29"/>
    <w:rsid w:val="0328714A"/>
    <w:rsid w:val="033D3B0D"/>
    <w:rsid w:val="03400DD0"/>
    <w:rsid w:val="036B1EA4"/>
    <w:rsid w:val="03AE165D"/>
    <w:rsid w:val="03B92608"/>
    <w:rsid w:val="03E6762D"/>
    <w:rsid w:val="03EC215E"/>
    <w:rsid w:val="04087792"/>
    <w:rsid w:val="045C047C"/>
    <w:rsid w:val="046041A0"/>
    <w:rsid w:val="04604D98"/>
    <w:rsid w:val="049D3746"/>
    <w:rsid w:val="04A0717A"/>
    <w:rsid w:val="04D80590"/>
    <w:rsid w:val="053C6EDC"/>
    <w:rsid w:val="05A87DBC"/>
    <w:rsid w:val="05B01B1D"/>
    <w:rsid w:val="05EA06E6"/>
    <w:rsid w:val="06653EC4"/>
    <w:rsid w:val="06744624"/>
    <w:rsid w:val="06932A9F"/>
    <w:rsid w:val="0699402C"/>
    <w:rsid w:val="069C64C8"/>
    <w:rsid w:val="06A0112C"/>
    <w:rsid w:val="06C00E8D"/>
    <w:rsid w:val="06EE255D"/>
    <w:rsid w:val="07195727"/>
    <w:rsid w:val="07222AB0"/>
    <w:rsid w:val="072A48E8"/>
    <w:rsid w:val="074273EB"/>
    <w:rsid w:val="0743404F"/>
    <w:rsid w:val="07473237"/>
    <w:rsid w:val="07725029"/>
    <w:rsid w:val="07771798"/>
    <w:rsid w:val="077D0E6C"/>
    <w:rsid w:val="079F3EE7"/>
    <w:rsid w:val="07A9604A"/>
    <w:rsid w:val="07C86BAA"/>
    <w:rsid w:val="07C95D06"/>
    <w:rsid w:val="07D412A4"/>
    <w:rsid w:val="07D97720"/>
    <w:rsid w:val="07DA6FC5"/>
    <w:rsid w:val="07DF5164"/>
    <w:rsid w:val="07E50580"/>
    <w:rsid w:val="07FA0FC2"/>
    <w:rsid w:val="08142FA0"/>
    <w:rsid w:val="081717A6"/>
    <w:rsid w:val="081911AD"/>
    <w:rsid w:val="081F2FCD"/>
    <w:rsid w:val="08430582"/>
    <w:rsid w:val="084B5CBA"/>
    <w:rsid w:val="08597429"/>
    <w:rsid w:val="08696EDC"/>
    <w:rsid w:val="089E3A0A"/>
    <w:rsid w:val="08B30F2B"/>
    <w:rsid w:val="08CE1EA3"/>
    <w:rsid w:val="08D5567E"/>
    <w:rsid w:val="08DC3175"/>
    <w:rsid w:val="08E44D18"/>
    <w:rsid w:val="09023BFE"/>
    <w:rsid w:val="090916E4"/>
    <w:rsid w:val="092F5773"/>
    <w:rsid w:val="093D2D0F"/>
    <w:rsid w:val="093F343F"/>
    <w:rsid w:val="0975564E"/>
    <w:rsid w:val="098D7D07"/>
    <w:rsid w:val="09B63F59"/>
    <w:rsid w:val="09E0252C"/>
    <w:rsid w:val="09E04091"/>
    <w:rsid w:val="09E14FE7"/>
    <w:rsid w:val="09E70A54"/>
    <w:rsid w:val="09F15703"/>
    <w:rsid w:val="09FA5669"/>
    <w:rsid w:val="0A1C108A"/>
    <w:rsid w:val="0A851326"/>
    <w:rsid w:val="0A8528D5"/>
    <w:rsid w:val="0AC638E5"/>
    <w:rsid w:val="0AD56F1F"/>
    <w:rsid w:val="0AEA3C8C"/>
    <w:rsid w:val="0B0B6625"/>
    <w:rsid w:val="0B1E0CF0"/>
    <w:rsid w:val="0B4C5010"/>
    <w:rsid w:val="0B630581"/>
    <w:rsid w:val="0B7F5105"/>
    <w:rsid w:val="0BE141D1"/>
    <w:rsid w:val="0BE67BA2"/>
    <w:rsid w:val="0BE83010"/>
    <w:rsid w:val="0BF55127"/>
    <w:rsid w:val="0C236F19"/>
    <w:rsid w:val="0C4369A5"/>
    <w:rsid w:val="0C4B5C57"/>
    <w:rsid w:val="0C7E2237"/>
    <w:rsid w:val="0C8A3153"/>
    <w:rsid w:val="0C991BD9"/>
    <w:rsid w:val="0CD24D60"/>
    <w:rsid w:val="0D3F7F2E"/>
    <w:rsid w:val="0D705EC6"/>
    <w:rsid w:val="0D7558BB"/>
    <w:rsid w:val="0D831845"/>
    <w:rsid w:val="0D860895"/>
    <w:rsid w:val="0DB757B9"/>
    <w:rsid w:val="0DC52BE4"/>
    <w:rsid w:val="0DE7555E"/>
    <w:rsid w:val="0DF10A71"/>
    <w:rsid w:val="0E1844B4"/>
    <w:rsid w:val="0E1D3528"/>
    <w:rsid w:val="0E2B3C80"/>
    <w:rsid w:val="0E310B9F"/>
    <w:rsid w:val="0E7E696C"/>
    <w:rsid w:val="0E9F0BC2"/>
    <w:rsid w:val="0EC82556"/>
    <w:rsid w:val="0EFA552A"/>
    <w:rsid w:val="0F731A9E"/>
    <w:rsid w:val="0F764647"/>
    <w:rsid w:val="0F833EF8"/>
    <w:rsid w:val="0F965542"/>
    <w:rsid w:val="0FAC1122"/>
    <w:rsid w:val="0FBA55CD"/>
    <w:rsid w:val="0FC27645"/>
    <w:rsid w:val="0FE801DA"/>
    <w:rsid w:val="0FFC1742"/>
    <w:rsid w:val="100920B1"/>
    <w:rsid w:val="100E1453"/>
    <w:rsid w:val="10156EED"/>
    <w:rsid w:val="102D3953"/>
    <w:rsid w:val="10401AB4"/>
    <w:rsid w:val="107C2AAE"/>
    <w:rsid w:val="10802373"/>
    <w:rsid w:val="109E446F"/>
    <w:rsid w:val="10BE1B05"/>
    <w:rsid w:val="10EB02EB"/>
    <w:rsid w:val="10FA7824"/>
    <w:rsid w:val="115C632A"/>
    <w:rsid w:val="1161667C"/>
    <w:rsid w:val="117B6FDE"/>
    <w:rsid w:val="118A244C"/>
    <w:rsid w:val="11914905"/>
    <w:rsid w:val="11A2124C"/>
    <w:rsid w:val="11B330FF"/>
    <w:rsid w:val="11C20C82"/>
    <w:rsid w:val="11C93240"/>
    <w:rsid w:val="11D73BDD"/>
    <w:rsid w:val="11DA3B8F"/>
    <w:rsid w:val="12045226"/>
    <w:rsid w:val="12101447"/>
    <w:rsid w:val="122A1A28"/>
    <w:rsid w:val="12543D89"/>
    <w:rsid w:val="12550800"/>
    <w:rsid w:val="125F1817"/>
    <w:rsid w:val="12BB2C5B"/>
    <w:rsid w:val="12CF4115"/>
    <w:rsid w:val="130B6440"/>
    <w:rsid w:val="131237BC"/>
    <w:rsid w:val="134C77A5"/>
    <w:rsid w:val="1351678A"/>
    <w:rsid w:val="13731B39"/>
    <w:rsid w:val="13815663"/>
    <w:rsid w:val="13977EEA"/>
    <w:rsid w:val="13A445CA"/>
    <w:rsid w:val="13A73A80"/>
    <w:rsid w:val="13AF5327"/>
    <w:rsid w:val="13C30E6E"/>
    <w:rsid w:val="14106D62"/>
    <w:rsid w:val="14230C67"/>
    <w:rsid w:val="144D2E15"/>
    <w:rsid w:val="1466198A"/>
    <w:rsid w:val="146B4F18"/>
    <w:rsid w:val="14EA3450"/>
    <w:rsid w:val="14F767B6"/>
    <w:rsid w:val="152201E5"/>
    <w:rsid w:val="153C7B00"/>
    <w:rsid w:val="155E782B"/>
    <w:rsid w:val="15657D89"/>
    <w:rsid w:val="158D19C4"/>
    <w:rsid w:val="15A7636A"/>
    <w:rsid w:val="15B1120C"/>
    <w:rsid w:val="15B65685"/>
    <w:rsid w:val="16031113"/>
    <w:rsid w:val="163F5E5B"/>
    <w:rsid w:val="16571567"/>
    <w:rsid w:val="16625C32"/>
    <w:rsid w:val="16725D01"/>
    <w:rsid w:val="168F227C"/>
    <w:rsid w:val="16E13F3E"/>
    <w:rsid w:val="16F02A1F"/>
    <w:rsid w:val="170E6671"/>
    <w:rsid w:val="171F0861"/>
    <w:rsid w:val="173D243C"/>
    <w:rsid w:val="17534ECF"/>
    <w:rsid w:val="175E1889"/>
    <w:rsid w:val="17680005"/>
    <w:rsid w:val="178B17FC"/>
    <w:rsid w:val="17AC754E"/>
    <w:rsid w:val="17D47161"/>
    <w:rsid w:val="181011F1"/>
    <w:rsid w:val="1827115F"/>
    <w:rsid w:val="183A1E5D"/>
    <w:rsid w:val="18537282"/>
    <w:rsid w:val="188350F6"/>
    <w:rsid w:val="18866995"/>
    <w:rsid w:val="18D95378"/>
    <w:rsid w:val="18E63A43"/>
    <w:rsid w:val="18F100EB"/>
    <w:rsid w:val="19075792"/>
    <w:rsid w:val="1924523C"/>
    <w:rsid w:val="192A06DB"/>
    <w:rsid w:val="19375EE1"/>
    <w:rsid w:val="195350CC"/>
    <w:rsid w:val="19657BF3"/>
    <w:rsid w:val="198218DD"/>
    <w:rsid w:val="19836A30"/>
    <w:rsid w:val="19D659A9"/>
    <w:rsid w:val="19DA05DB"/>
    <w:rsid w:val="19EB475E"/>
    <w:rsid w:val="19EE41FA"/>
    <w:rsid w:val="1A194280"/>
    <w:rsid w:val="1A301C68"/>
    <w:rsid w:val="1A447D15"/>
    <w:rsid w:val="1A5A6066"/>
    <w:rsid w:val="1A777345"/>
    <w:rsid w:val="1ABE0A6A"/>
    <w:rsid w:val="1AFF3C05"/>
    <w:rsid w:val="1B0079CB"/>
    <w:rsid w:val="1B1D4C62"/>
    <w:rsid w:val="1B305FC7"/>
    <w:rsid w:val="1B486897"/>
    <w:rsid w:val="1B6A0B90"/>
    <w:rsid w:val="1B75684C"/>
    <w:rsid w:val="1B8465ED"/>
    <w:rsid w:val="1B8C6B7B"/>
    <w:rsid w:val="1B930815"/>
    <w:rsid w:val="1BA66CC3"/>
    <w:rsid w:val="1BB91038"/>
    <w:rsid w:val="1BBF65FB"/>
    <w:rsid w:val="1BD17EB2"/>
    <w:rsid w:val="1BD23C9F"/>
    <w:rsid w:val="1BE658B0"/>
    <w:rsid w:val="1BF657FB"/>
    <w:rsid w:val="1BF968C4"/>
    <w:rsid w:val="1C161DDD"/>
    <w:rsid w:val="1C1E55F2"/>
    <w:rsid w:val="1C3F5A00"/>
    <w:rsid w:val="1C494C47"/>
    <w:rsid w:val="1C7E5112"/>
    <w:rsid w:val="1CA94A00"/>
    <w:rsid w:val="1CC30CC1"/>
    <w:rsid w:val="1CC868AA"/>
    <w:rsid w:val="1CEF0717"/>
    <w:rsid w:val="1CFA7EEF"/>
    <w:rsid w:val="1CFB1146"/>
    <w:rsid w:val="1CFE6504"/>
    <w:rsid w:val="1D2E0D77"/>
    <w:rsid w:val="1D300C7D"/>
    <w:rsid w:val="1D37062D"/>
    <w:rsid w:val="1D3D753B"/>
    <w:rsid w:val="1D532C22"/>
    <w:rsid w:val="1D9308B3"/>
    <w:rsid w:val="1DC3072E"/>
    <w:rsid w:val="1DD515F9"/>
    <w:rsid w:val="1E326C77"/>
    <w:rsid w:val="1E331E3B"/>
    <w:rsid w:val="1E424BB8"/>
    <w:rsid w:val="1E4D682E"/>
    <w:rsid w:val="1E561B49"/>
    <w:rsid w:val="1E5B5B74"/>
    <w:rsid w:val="1E766B63"/>
    <w:rsid w:val="1E7D1B4B"/>
    <w:rsid w:val="1E8140C5"/>
    <w:rsid w:val="1E854FF8"/>
    <w:rsid w:val="1EC73159"/>
    <w:rsid w:val="1ED36885"/>
    <w:rsid w:val="1ED81A83"/>
    <w:rsid w:val="1EDB21B2"/>
    <w:rsid w:val="1EE21D29"/>
    <w:rsid w:val="1EFA6533"/>
    <w:rsid w:val="1F2A4B47"/>
    <w:rsid w:val="1F2E2C97"/>
    <w:rsid w:val="1F3E1D5D"/>
    <w:rsid w:val="1F613FCB"/>
    <w:rsid w:val="1F65379B"/>
    <w:rsid w:val="1F6E3177"/>
    <w:rsid w:val="1F6F04BA"/>
    <w:rsid w:val="1F786F59"/>
    <w:rsid w:val="1F870ADE"/>
    <w:rsid w:val="1FEE47F4"/>
    <w:rsid w:val="20027E74"/>
    <w:rsid w:val="2024650C"/>
    <w:rsid w:val="20380E59"/>
    <w:rsid w:val="20464321"/>
    <w:rsid w:val="20505BF4"/>
    <w:rsid w:val="205D622D"/>
    <w:rsid w:val="205D6C3D"/>
    <w:rsid w:val="206C4B4F"/>
    <w:rsid w:val="20797189"/>
    <w:rsid w:val="20835E3C"/>
    <w:rsid w:val="20B07511"/>
    <w:rsid w:val="20B35E4D"/>
    <w:rsid w:val="20D906EA"/>
    <w:rsid w:val="215C6880"/>
    <w:rsid w:val="216929AF"/>
    <w:rsid w:val="218F0080"/>
    <w:rsid w:val="219A6D4B"/>
    <w:rsid w:val="21A5390F"/>
    <w:rsid w:val="21AD66DD"/>
    <w:rsid w:val="21D4253C"/>
    <w:rsid w:val="21EE760E"/>
    <w:rsid w:val="21F83EB4"/>
    <w:rsid w:val="22547C58"/>
    <w:rsid w:val="22734646"/>
    <w:rsid w:val="22963494"/>
    <w:rsid w:val="22B371B5"/>
    <w:rsid w:val="22C23296"/>
    <w:rsid w:val="22CC461B"/>
    <w:rsid w:val="22FF2D63"/>
    <w:rsid w:val="230E2F31"/>
    <w:rsid w:val="233E4105"/>
    <w:rsid w:val="23666663"/>
    <w:rsid w:val="23693289"/>
    <w:rsid w:val="2375528F"/>
    <w:rsid w:val="23812232"/>
    <w:rsid w:val="239147E1"/>
    <w:rsid w:val="23BB34F7"/>
    <w:rsid w:val="23C950EF"/>
    <w:rsid w:val="241B5164"/>
    <w:rsid w:val="2435301D"/>
    <w:rsid w:val="243B4C5D"/>
    <w:rsid w:val="243C1EAF"/>
    <w:rsid w:val="249935AC"/>
    <w:rsid w:val="24DE343F"/>
    <w:rsid w:val="24FD6DFA"/>
    <w:rsid w:val="24FE0E05"/>
    <w:rsid w:val="252217F3"/>
    <w:rsid w:val="25746027"/>
    <w:rsid w:val="258E70E1"/>
    <w:rsid w:val="25A9590D"/>
    <w:rsid w:val="25AF3989"/>
    <w:rsid w:val="25B303CF"/>
    <w:rsid w:val="25B45B41"/>
    <w:rsid w:val="25C73339"/>
    <w:rsid w:val="25D43D29"/>
    <w:rsid w:val="25D62822"/>
    <w:rsid w:val="25FC409C"/>
    <w:rsid w:val="26037DA0"/>
    <w:rsid w:val="26186F4B"/>
    <w:rsid w:val="26263565"/>
    <w:rsid w:val="266A24B5"/>
    <w:rsid w:val="266C7CA7"/>
    <w:rsid w:val="267442D0"/>
    <w:rsid w:val="26A83F7A"/>
    <w:rsid w:val="26B424FB"/>
    <w:rsid w:val="26C64400"/>
    <w:rsid w:val="270C62B7"/>
    <w:rsid w:val="27116F14"/>
    <w:rsid w:val="27795787"/>
    <w:rsid w:val="27881ACA"/>
    <w:rsid w:val="27F30C40"/>
    <w:rsid w:val="282E689B"/>
    <w:rsid w:val="28482C7C"/>
    <w:rsid w:val="289447B6"/>
    <w:rsid w:val="289A255F"/>
    <w:rsid w:val="28B54BEB"/>
    <w:rsid w:val="28BE7A85"/>
    <w:rsid w:val="28D9203E"/>
    <w:rsid w:val="28E80E13"/>
    <w:rsid w:val="29080D00"/>
    <w:rsid w:val="29127BE0"/>
    <w:rsid w:val="29196245"/>
    <w:rsid w:val="29554B42"/>
    <w:rsid w:val="295A4D29"/>
    <w:rsid w:val="29606A91"/>
    <w:rsid w:val="29634188"/>
    <w:rsid w:val="29807B6C"/>
    <w:rsid w:val="29B661A7"/>
    <w:rsid w:val="29BD1AEA"/>
    <w:rsid w:val="29FA460F"/>
    <w:rsid w:val="29FC0AEF"/>
    <w:rsid w:val="2A084E42"/>
    <w:rsid w:val="2A187F5E"/>
    <w:rsid w:val="2AA378EB"/>
    <w:rsid w:val="2AA53AD3"/>
    <w:rsid w:val="2AC017A8"/>
    <w:rsid w:val="2B492F53"/>
    <w:rsid w:val="2B7F0BDE"/>
    <w:rsid w:val="2BCF77D9"/>
    <w:rsid w:val="2BDE00CD"/>
    <w:rsid w:val="2BFB29F2"/>
    <w:rsid w:val="2C232160"/>
    <w:rsid w:val="2C235700"/>
    <w:rsid w:val="2C517394"/>
    <w:rsid w:val="2C587AD3"/>
    <w:rsid w:val="2C7E6429"/>
    <w:rsid w:val="2C8206F9"/>
    <w:rsid w:val="2C963671"/>
    <w:rsid w:val="2C9D4F34"/>
    <w:rsid w:val="2C9F7276"/>
    <w:rsid w:val="2CA2073A"/>
    <w:rsid w:val="2CA80B9C"/>
    <w:rsid w:val="2CB57537"/>
    <w:rsid w:val="2CE64163"/>
    <w:rsid w:val="2CF972DD"/>
    <w:rsid w:val="2D1C1443"/>
    <w:rsid w:val="2D2F0029"/>
    <w:rsid w:val="2D7B7A3F"/>
    <w:rsid w:val="2D84410B"/>
    <w:rsid w:val="2D8C3A4E"/>
    <w:rsid w:val="2DAB174B"/>
    <w:rsid w:val="2DAC3053"/>
    <w:rsid w:val="2DFC0979"/>
    <w:rsid w:val="2E0320EB"/>
    <w:rsid w:val="2E125FC1"/>
    <w:rsid w:val="2E1B69A2"/>
    <w:rsid w:val="2E354929"/>
    <w:rsid w:val="2E4F1FFD"/>
    <w:rsid w:val="2E7B072C"/>
    <w:rsid w:val="2EF410B7"/>
    <w:rsid w:val="2F011E82"/>
    <w:rsid w:val="2F1C72B3"/>
    <w:rsid w:val="2F631DFD"/>
    <w:rsid w:val="2F6858EF"/>
    <w:rsid w:val="2F8F12D1"/>
    <w:rsid w:val="2FA71114"/>
    <w:rsid w:val="2FBD3EFE"/>
    <w:rsid w:val="2FE06B43"/>
    <w:rsid w:val="2FF93253"/>
    <w:rsid w:val="3046030C"/>
    <w:rsid w:val="304D28E8"/>
    <w:rsid w:val="30576C83"/>
    <w:rsid w:val="30670F4B"/>
    <w:rsid w:val="306727B0"/>
    <w:rsid w:val="307770A8"/>
    <w:rsid w:val="30C5287D"/>
    <w:rsid w:val="30D72609"/>
    <w:rsid w:val="30FD1799"/>
    <w:rsid w:val="310D3357"/>
    <w:rsid w:val="314F3FB0"/>
    <w:rsid w:val="31564D5A"/>
    <w:rsid w:val="3160469A"/>
    <w:rsid w:val="31A30FDD"/>
    <w:rsid w:val="31AB540D"/>
    <w:rsid w:val="31B57A67"/>
    <w:rsid w:val="31F436E7"/>
    <w:rsid w:val="321D1044"/>
    <w:rsid w:val="32413B97"/>
    <w:rsid w:val="324C0B81"/>
    <w:rsid w:val="32847649"/>
    <w:rsid w:val="328D576F"/>
    <w:rsid w:val="32A864EA"/>
    <w:rsid w:val="33091096"/>
    <w:rsid w:val="331C15B8"/>
    <w:rsid w:val="33232830"/>
    <w:rsid w:val="33266E89"/>
    <w:rsid w:val="333B7E67"/>
    <w:rsid w:val="33422047"/>
    <w:rsid w:val="33566686"/>
    <w:rsid w:val="337230AE"/>
    <w:rsid w:val="33781EF4"/>
    <w:rsid w:val="337C47C4"/>
    <w:rsid w:val="337E22EA"/>
    <w:rsid w:val="33843CA1"/>
    <w:rsid w:val="33A45B5A"/>
    <w:rsid w:val="33BE74CF"/>
    <w:rsid w:val="33D35749"/>
    <w:rsid w:val="33DD4134"/>
    <w:rsid w:val="33E47B88"/>
    <w:rsid w:val="33FA723C"/>
    <w:rsid w:val="341C55A4"/>
    <w:rsid w:val="342033A2"/>
    <w:rsid w:val="343828C2"/>
    <w:rsid w:val="346500C7"/>
    <w:rsid w:val="34662117"/>
    <w:rsid w:val="34A13A37"/>
    <w:rsid w:val="34F5177C"/>
    <w:rsid w:val="35036478"/>
    <w:rsid w:val="35043821"/>
    <w:rsid w:val="355C4178"/>
    <w:rsid w:val="3562042D"/>
    <w:rsid w:val="35803500"/>
    <w:rsid w:val="35850AE6"/>
    <w:rsid w:val="35867C30"/>
    <w:rsid w:val="35DE1818"/>
    <w:rsid w:val="3617240F"/>
    <w:rsid w:val="362D36E4"/>
    <w:rsid w:val="362F5B1E"/>
    <w:rsid w:val="3645402D"/>
    <w:rsid w:val="36787E34"/>
    <w:rsid w:val="367F3517"/>
    <w:rsid w:val="36A52258"/>
    <w:rsid w:val="36B77A33"/>
    <w:rsid w:val="36C54300"/>
    <w:rsid w:val="36FC06E4"/>
    <w:rsid w:val="372833DA"/>
    <w:rsid w:val="372D27B8"/>
    <w:rsid w:val="372E0EA9"/>
    <w:rsid w:val="37533A9C"/>
    <w:rsid w:val="378C47B1"/>
    <w:rsid w:val="37907B88"/>
    <w:rsid w:val="37930872"/>
    <w:rsid w:val="37AC0A3F"/>
    <w:rsid w:val="37DB78A9"/>
    <w:rsid w:val="37EE6B00"/>
    <w:rsid w:val="37F0663B"/>
    <w:rsid w:val="38053C44"/>
    <w:rsid w:val="38170F5F"/>
    <w:rsid w:val="381A7131"/>
    <w:rsid w:val="38281F92"/>
    <w:rsid w:val="383030B9"/>
    <w:rsid w:val="383F153C"/>
    <w:rsid w:val="384910F0"/>
    <w:rsid w:val="389642DE"/>
    <w:rsid w:val="38A81BB8"/>
    <w:rsid w:val="38B03176"/>
    <w:rsid w:val="38C14CB0"/>
    <w:rsid w:val="38D123DD"/>
    <w:rsid w:val="390169CA"/>
    <w:rsid w:val="39150581"/>
    <w:rsid w:val="392F5095"/>
    <w:rsid w:val="39465433"/>
    <w:rsid w:val="39470BC0"/>
    <w:rsid w:val="39472CE8"/>
    <w:rsid w:val="39561D5A"/>
    <w:rsid w:val="395B6912"/>
    <w:rsid w:val="397F2D08"/>
    <w:rsid w:val="3A3F6C87"/>
    <w:rsid w:val="3A4275D3"/>
    <w:rsid w:val="3A9A511E"/>
    <w:rsid w:val="3AC55D59"/>
    <w:rsid w:val="3ACE2337"/>
    <w:rsid w:val="3ADF4EC5"/>
    <w:rsid w:val="3B175B2E"/>
    <w:rsid w:val="3B625CA9"/>
    <w:rsid w:val="3BBA2067"/>
    <w:rsid w:val="3BC5147E"/>
    <w:rsid w:val="3BDF7BFD"/>
    <w:rsid w:val="3BE66696"/>
    <w:rsid w:val="3BE90506"/>
    <w:rsid w:val="3BEB1160"/>
    <w:rsid w:val="3BEB6832"/>
    <w:rsid w:val="3BF84C04"/>
    <w:rsid w:val="3BF96496"/>
    <w:rsid w:val="3C3667CF"/>
    <w:rsid w:val="3C40766B"/>
    <w:rsid w:val="3C692C22"/>
    <w:rsid w:val="3C7C7CEB"/>
    <w:rsid w:val="3CB16103"/>
    <w:rsid w:val="3CB2101F"/>
    <w:rsid w:val="3CBD35C8"/>
    <w:rsid w:val="3CBF1A99"/>
    <w:rsid w:val="3CC764A1"/>
    <w:rsid w:val="3CE566F8"/>
    <w:rsid w:val="3D097312"/>
    <w:rsid w:val="3D1001E1"/>
    <w:rsid w:val="3D2F6909"/>
    <w:rsid w:val="3D6377CC"/>
    <w:rsid w:val="3D6A0B39"/>
    <w:rsid w:val="3DAE0624"/>
    <w:rsid w:val="3DE113F3"/>
    <w:rsid w:val="3DF52802"/>
    <w:rsid w:val="3E1E7238"/>
    <w:rsid w:val="3E827592"/>
    <w:rsid w:val="3E8758EB"/>
    <w:rsid w:val="3EB648CC"/>
    <w:rsid w:val="3EBD28B3"/>
    <w:rsid w:val="3F266CA6"/>
    <w:rsid w:val="3F317F14"/>
    <w:rsid w:val="3F506818"/>
    <w:rsid w:val="3FAA4F03"/>
    <w:rsid w:val="3FE36C1C"/>
    <w:rsid w:val="3FE8752F"/>
    <w:rsid w:val="3FEB19D5"/>
    <w:rsid w:val="40225416"/>
    <w:rsid w:val="40323D4B"/>
    <w:rsid w:val="4036153F"/>
    <w:rsid w:val="40460B2B"/>
    <w:rsid w:val="40A30A33"/>
    <w:rsid w:val="40AD07BE"/>
    <w:rsid w:val="41006A35"/>
    <w:rsid w:val="415E2B2E"/>
    <w:rsid w:val="419959F4"/>
    <w:rsid w:val="419E3E89"/>
    <w:rsid w:val="41DF073B"/>
    <w:rsid w:val="420F1D94"/>
    <w:rsid w:val="4213506F"/>
    <w:rsid w:val="422952A9"/>
    <w:rsid w:val="42723304"/>
    <w:rsid w:val="42A5531C"/>
    <w:rsid w:val="42B1168A"/>
    <w:rsid w:val="42B8170C"/>
    <w:rsid w:val="42E64A63"/>
    <w:rsid w:val="430D4AC0"/>
    <w:rsid w:val="431E047F"/>
    <w:rsid w:val="431E65EF"/>
    <w:rsid w:val="432D1A78"/>
    <w:rsid w:val="434B2DCF"/>
    <w:rsid w:val="436D0A47"/>
    <w:rsid w:val="43C14D5A"/>
    <w:rsid w:val="43F16D43"/>
    <w:rsid w:val="4400649E"/>
    <w:rsid w:val="4478624B"/>
    <w:rsid w:val="4493367B"/>
    <w:rsid w:val="44A26554"/>
    <w:rsid w:val="44AB74B4"/>
    <w:rsid w:val="44C2286F"/>
    <w:rsid w:val="44D64ABE"/>
    <w:rsid w:val="44D75CFE"/>
    <w:rsid w:val="44FF34A7"/>
    <w:rsid w:val="45040706"/>
    <w:rsid w:val="451446FC"/>
    <w:rsid w:val="452905F3"/>
    <w:rsid w:val="454669E0"/>
    <w:rsid w:val="4579070F"/>
    <w:rsid w:val="457E6F7B"/>
    <w:rsid w:val="45FD70DB"/>
    <w:rsid w:val="46244F73"/>
    <w:rsid w:val="464C3285"/>
    <w:rsid w:val="468509D2"/>
    <w:rsid w:val="46977D08"/>
    <w:rsid w:val="46BA6241"/>
    <w:rsid w:val="46BC0687"/>
    <w:rsid w:val="46D14AE8"/>
    <w:rsid w:val="46DA670B"/>
    <w:rsid w:val="46F40267"/>
    <w:rsid w:val="47084895"/>
    <w:rsid w:val="47105EA9"/>
    <w:rsid w:val="471332ED"/>
    <w:rsid w:val="471A1ED2"/>
    <w:rsid w:val="472004A5"/>
    <w:rsid w:val="47CC7D6B"/>
    <w:rsid w:val="47D27940"/>
    <w:rsid w:val="47DE0285"/>
    <w:rsid w:val="47F77566"/>
    <w:rsid w:val="47F90DC6"/>
    <w:rsid w:val="480F670E"/>
    <w:rsid w:val="48194C9C"/>
    <w:rsid w:val="481C1F20"/>
    <w:rsid w:val="48266AF3"/>
    <w:rsid w:val="485B09F4"/>
    <w:rsid w:val="48701663"/>
    <w:rsid w:val="48801F0A"/>
    <w:rsid w:val="488241D3"/>
    <w:rsid w:val="489C7EA5"/>
    <w:rsid w:val="48AB197C"/>
    <w:rsid w:val="48BA1F20"/>
    <w:rsid w:val="48D75037"/>
    <w:rsid w:val="49267F46"/>
    <w:rsid w:val="493E3C2D"/>
    <w:rsid w:val="494730DF"/>
    <w:rsid w:val="494B7F85"/>
    <w:rsid w:val="497C5511"/>
    <w:rsid w:val="49B26D3A"/>
    <w:rsid w:val="49B65DC9"/>
    <w:rsid w:val="49E2412D"/>
    <w:rsid w:val="49E82B6B"/>
    <w:rsid w:val="49EC0767"/>
    <w:rsid w:val="4A151D89"/>
    <w:rsid w:val="4A1C41B3"/>
    <w:rsid w:val="4A361719"/>
    <w:rsid w:val="4A7674C1"/>
    <w:rsid w:val="4A812381"/>
    <w:rsid w:val="4ACF5EC4"/>
    <w:rsid w:val="4AE2174F"/>
    <w:rsid w:val="4B484E0E"/>
    <w:rsid w:val="4B5F395F"/>
    <w:rsid w:val="4B685902"/>
    <w:rsid w:val="4B6A35F4"/>
    <w:rsid w:val="4B9E1324"/>
    <w:rsid w:val="4BB37753"/>
    <w:rsid w:val="4BC4261D"/>
    <w:rsid w:val="4BE81CD3"/>
    <w:rsid w:val="4C0F2ADB"/>
    <w:rsid w:val="4C3B51D7"/>
    <w:rsid w:val="4C735908"/>
    <w:rsid w:val="4C9743B6"/>
    <w:rsid w:val="4CC76658"/>
    <w:rsid w:val="4CCC503A"/>
    <w:rsid w:val="4CEB6172"/>
    <w:rsid w:val="4CEE390F"/>
    <w:rsid w:val="4D417FC4"/>
    <w:rsid w:val="4D670A85"/>
    <w:rsid w:val="4D756665"/>
    <w:rsid w:val="4D806473"/>
    <w:rsid w:val="4D8207D1"/>
    <w:rsid w:val="4D981DA3"/>
    <w:rsid w:val="4DB87F6B"/>
    <w:rsid w:val="4DC03949"/>
    <w:rsid w:val="4DDF5C24"/>
    <w:rsid w:val="4DF85FC0"/>
    <w:rsid w:val="4DFF7946"/>
    <w:rsid w:val="4E46059D"/>
    <w:rsid w:val="4E50373D"/>
    <w:rsid w:val="4E7B029B"/>
    <w:rsid w:val="4ECC5D80"/>
    <w:rsid w:val="4ED61833"/>
    <w:rsid w:val="4EDA18B9"/>
    <w:rsid w:val="4EDE26E1"/>
    <w:rsid w:val="4F0153DC"/>
    <w:rsid w:val="4F16322F"/>
    <w:rsid w:val="4F1D7796"/>
    <w:rsid w:val="4F3771FC"/>
    <w:rsid w:val="4F4775DA"/>
    <w:rsid w:val="4F573543"/>
    <w:rsid w:val="4F97786A"/>
    <w:rsid w:val="4F9B4CA9"/>
    <w:rsid w:val="501C4E89"/>
    <w:rsid w:val="506A1839"/>
    <w:rsid w:val="509134C1"/>
    <w:rsid w:val="50942DAE"/>
    <w:rsid w:val="509A34B5"/>
    <w:rsid w:val="509B0528"/>
    <w:rsid w:val="50A93C64"/>
    <w:rsid w:val="50C353BD"/>
    <w:rsid w:val="50CF1F9A"/>
    <w:rsid w:val="50DD3BA3"/>
    <w:rsid w:val="50E61CAB"/>
    <w:rsid w:val="50FB2980"/>
    <w:rsid w:val="511C6CDD"/>
    <w:rsid w:val="516A3A56"/>
    <w:rsid w:val="51E00B23"/>
    <w:rsid w:val="51F91EC6"/>
    <w:rsid w:val="52233016"/>
    <w:rsid w:val="52512B8D"/>
    <w:rsid w:val="526405F3"/>
    <w:rsid w:val="52713ED9"/>
    <w:rsid w:val="52C8137C"/>
    <w:rsid w:val="52E04293"/>
    <w:rsid w:val="52F019E8"/>
    <w:rsid w:val="52F37A7A"/>
    <w:rsid w:val="530E3233"/>
    <w:rsid w:val="531E2D03"/>
    <w:rsid w:val="532513E5"/>
    <w:rsid w:val="533B0B4D"/>
    <w:rsid w:val="53477E2E"/>
    <w:rsid w:val="536270DB"/>
    <w:rsid w:val="537806AC"/>
    <w:rsid w:val="53BC34C4"/>
    <w:rsid w:val="53CE29B7"/>
    <w:rsid w:val="54210DD6"/>
    <w:rsid w:val="543F5D07"/>
    <w:rsid w:val="54451376"/>
    <w:rsid w:val="54654B80"/>
    <w:rsid w:val="5480370F"/>
    <w:rsid w:val="54902752"/>
    <w:rsid w:val="54B0514F"/>
    <w:rsid w:val="54B430EF"/>
    <w:rsid w:val="54DE257B"/>
    <w:rsid w:val="54DF7BD4"/>
    <w:rsid w:val="54E275DE"/>
    <w:rsid w:val="5504461A"/>
    <w:rsid w:val="550A5C7C"/>
    <w:rsid w:val="55122B96"/>
    <w:rsid w:val="55352717"/>
    <w:rsid w:val="553D5A1E"/>
    <w:rsid w:val="557D5456"/>
    <w:rsid w:val="559B1C90"/>
    <w:rsid w:val="55A0704C"/>
    <w:rsid w:val="55C47D86"/>
    <w:rsid w:val="55CA71B9"/>
    <w:rsid w:val="55DD38ED"/>
    <w:rsid w:val="55FE100D"/>
    <w:rsid w:val="56BA1260"/>
    <w:rsid w:val="56EA1F97"/>
    <w:rsid w:val="571B5F1F"/>
    <w:rsid w:val="575123CD"/>
    <w:rsid w:val="575C58DE"/>
    <w:rsid w:val="579273CE"/>
    <w:rsid w:val="57AA5D1A"/>
    <w:rsid w:val="57B00274"/>
    <w:rsid w:val="57BB22E7"/>
    <w:rsid w:val="57E23DE4"/>
    <w:rsid w:val="57F64E7F"/>
    <w:rsid w:val="57F67BD6"/>
    <w:rsid w:val="580B2C9B"/>
    <w:rsid w:val="58135758"/>
    <w:rsid w:val="58372026"/>
    <w:rsid w:val="58492617"/>
    <w:rsid w:val="587316C8"/>
    <w:rsid w:val="58800EF9"/>
    <w:rsid w:val="58865EF2"/>
    <w:rsid w:val="589D1393"/>
    <w:rsid w:val="58F97584"/>
    <w:rsid w:val="5920032E"/>
    <w:rsid w:val="592233B5"/>
    <w:rsid w:val="594E58E1"/>
    <w:rsid w:val="59606FFE"/>
    <w:rsid w:val="597E3F8E"/>
    <w:rsid w:val="59AF07EA"/>
    <w:rsid w:val="59B47EF2"/>
    <w:rsid w:val="59BB38EE"/>
    <w:rsid w:val="59DC1D4F"/>
    <w:rsid w:val="59FE08FA"/>
    <w:rsid w:val="5A4A3E46"/>
    <w:rsid w:val="5A5640E0"/>
    <w:rsid w:val="5A7D00E8"/>
    <w:rsid w:val="5AB521E6"/>
    <w:rsid w:val="5AC34C92"/>
    <w:rsid w:val="5ACF7403"/>
    <w:rsid w:val="5AD56953"/>
    <w:rsid w:val="5ADC307B"/>
    <w:rsid w:val="5AEB49D7"/>
    <w:rsid w:val="5B46719F"/>
    <w:rsid w:val="5B6A2A6D"/>
    <w:rsid w:val="5BA42A14"/>
    <w:rsid w:val="5BDF212D"/>
    <w:rsid w:val="5BF91159"/>
    <w:rsid w:val="5C2661F8"/>
    <w:rsid w:val="5C2869E8"/>
    <w:rsid w:val="5C2B5AC7"/>
    <w:rsid w:val="5C342CD9"/>
    <w:rsid w:val="5C352A17"/>
    <w:rsid w:val="5C36681F"/>
    <w:rsid w:val="5C9127DF"/>
    <w:rsid w:val="5C931B3A"/>
    <w:rsid w:val="5CE51647"/>
    <w:rsid w:val="5CF733E4"/>
    <w:rsid w:val="5D0B0214"/>
    <w:rsid w:val="5D1A0A42"/>
    <w:rsid w:val="5D3F4BF0"/>
    <w:rsid w:val="5D4F1710"/>
    <w:rsid w:val="5D5D7F5C"/>
    <w:rsid w:val="5D5E0913"/>
    <w:rsid w:val="5D71045F"/>
    <w:rsid w:val="5D8543BA"/>
    <w:rsid w:val="5D8F6D1E"/>
    <w:rsid w:val="5D9E16C8"/>
    <w:rsid w:val="5DAD3A86"/>
    <w:rsid w:val="5DB7371B"/>
    <w:rsid w:val="5DEB5F1F"/>
    <w:rsid w:val="5DF04321"/>
    <w:rsid w:val="5E092FDF"/>
    <w:rsid w:val="5E4A015A"/>
    <w:rsid w:val="5E700C18"/>
    <w:rsid w:val="5EB446B2"/>
    <w:rsid w:val="5EF861CE"/>
    <w:rsid w:val="5F0575D1"/>
    <w:rsid w:val="5F2D2E3D"/>
    <w:rsid w:val="5F36490D"/>
    <w:rsid w:val="5F5C0DD6"/>
    <w:rsid w:val="5F625217"/>
    <w:rsid w:val="5F744EF1"/>
    <w:rsid w:val="5F7B2335"/>
    <w:rsid w:val="5FC16B77"/>
    <w:rsid w:val="5FCF362D"/>
    <w:rsid w:val="5FDA399F"/>
    <w:rsid w:val="5FEB6673"/>
    <w:rsid w:val="5FFA79ED"/>
    <w:rsid w:val="60106671"/>
    <w:rsid w:val="602D3E37"/>
    <w:rsid w:val="603620E2"/>
    <w:rsid w:val="6037369D"/>
    <w:rsid w:val="60441617"/>
    <w:rsid w:val="606D0EF6"/>
    <w:rsid w:val="60835E90"/>
    <w:rsid w:val="60B85EAE"/>
    <w:rsid w:val="60EC443C"/>
    <w:rsid w:val="61013040"/>
    <w:rsid w:val="61107F31"/>
    <w:rsid w:val="611C35B8"/>
    <w:rsid w:val="61456201"/>
    <w:rsid w:val="61477910"/>
    <w:rsid w:val="615F2EAC"/>
    <w:rsid w:val="61AE7556"/>
    <w:rsid w:val="61D41854"/>
    <w:rsid w:val="61F13DA5"/>
    <w:rsid w:val="62282B27"/>
    <w:rsid w:val="623C3740"/>
    <w:rsid w:val="624F63B5"/>
    <w:rsid w:val="625A6442"/>
    <w:rsid w:val="628F2951"/>
    <w:rsid w:val="62E45220"/>
    <w:rsid w:val="62F86A67"/>
    <w:rsid w:val="63221256"/>
    <w:rsid w:val="63622C15"/>
    <w:rsid w:val="638B4892"/>
    <w:rsid w:val="639279AF"/>
    <w:rsid w:val="63A66A42"/>
    <w:rsid w:val="63E6795E"/>
    <w:rsid w:val="63F52BA1"/>
    <w:rsid w:val="64030466"/>
    <w:rsid w:val="641222ED"/>
    <w:rsid w:val="64134786"/>
    <w:rsid w:val="642B5582"/>
    <w:rsid w:val="64486B46"/>
    <w:rsid w:val="64643953"/>
    <w:rsid w:val="64654D54"/>
    <w:rsid w:val="64893054"/>
    <w:rsid w:val="64D97323"/>
    <w:rsid w:val="64E1793E"/>
    <w:rsid w:val="64FB2F8F"/>
    <w:rsid w:val="650D6333"/>
    <w:rsid w:val="654908E4"/>
    <w:rsid w:val="656A6C63"/>
    <w:rsid w:val="65876E75"/>
    <w:rsid w:val="658C66C4"/>
    <w:rsid w:val="65B8738C"/>
    <w:rsid w:val="65E96777"/>
    <w:rsid w:val="65F43065"/>
    <w:rsid w:val="66214EFA"/>
    <w:rsid w:val="66521BD5"/>
    <w:rsid w:val="666D65E1"/>
    <w:rsid w:val="668405BB"/>
    <w:rsid w:val="669929BC"/>
    <w:rsid w:val="66BE059B"/>
    <w:rsid w:val="66C25FFC"/>
    <w:rsid w:val="66EF31C1"/>
    <w:rsid w:val="671A59C6"/>
    <w:rsid w:val="672A6F03"/>
    <w:rsid w:val="67340A1D"/>
    <w:rsid w:val="67404335"/>
    <w:rsid w:val="674B4232"/>
    <w:rsid w:val="675D1C3B"/>
    <w:rsid w:val="678218BC"/>
    <w:rsid w:val="678E3970"/>
    <w:rsid w:val="67905785"/>
    <w:rsid w:val="67B209F7"/>
    <w:rsid w:val="67BD0185"/>
    <w:rsid w:val="67D547F3"/>
    <w:rsid w:val="67E324DD"/>
    <w:rsid w:val="680C40CD"/>
    <w:rsid w:val="683B3D7E"/>
    <w:rsid w:val="685F2B0C"/>
    <w:rsid w:val="686E4CA0"/>
    <w:rsid w:val="686F6E6A"/>
    <w:rsid w:val="68840F3C"/>
    <w:rsid w:val="68AB6ACE"/>
    <w:rsid w:val="68B631F6"/>
    <w:rsid w:val="68D953DF"/>
    <w:rsid w:val="68F51207"/>
    <w:rsid w:val="6938470E"/>
    <w:rsid w:val="69520443"/>
    <w:rsid w:val="69A47FF6"/>
    <w:rsid w:val="69B47B0D"/>
    <w:rsid w:val="69B72806"/>
    <w:rsid w:val="69BD41F9"/>
    <w:rsid w:val="69C2047C"/>
    <w:rsid w:val="69C21FC2"/>
    <w:rsid w:val="69C52477"/>
    <w:rsid w:val="69CE3188"/>
    <w:rsid w:val="69E54E74"/>
    <w:rsid w:val="69F431E5"/>
    <w:rsid w:val="6A3A3987"/>
    <w:rsid w:val="6A696B49"/>
    <w:rsid w:val="6AD5470C"/>
    <w:rsid w:val="6AE7435F"/>
    <w:rsid w:val="6AE944A4"/>
    <w:rsid w:val="6B244066"/>
    <w:rsid w:val="6B4E6ABF"/>
    <w:rsid w:val="6B6150FB"/>
    <w:rsid w:val="6BA72A8F"/>
    <w:rsid w:val="6BAE2EC2"/>
    <w:rsid w:val="6BBC7D3D"/>
    <w:rsid w:val="6BC90A31"/>
    <w:rsid w:val="6BD07509"/>
    <w:rsid w:val="6C253A83"/>
    <w:rsid w:val="6C256815"/>
    <w:rsid w:val="6C4C1DDE"/>
    <w:rsid w:val="6C526267"/>
    <w:rsid w:val="6C924AF7"/>
    <w:rsid w:val="6C9F2B60"/>
    <w:rsid w:val="6CFD78A4"/>
    <w:rsid w:val="6D082649"/>
    <w:rsid w:val="6D25144D"/>
    <w:rsid w:val="6D272E6C"/>
    <w:rsid w:val="6D73227D"/>
    <w:rsid w:val="6D886D51"/>
    <w:rsid w:val="6D9C39D1"/>
    <w:rsid w:val="6DC36C82"/>
    <w:rsid w:val="6DCC4C0D"/>
    <w:rsid w:val="6E4341AC"/>
    <w:rsid w:val="6E7C7233"/>
    <w:rsid w:val="6E8E457E"/>
    <w:rsid w:val="6E92348F"/>
    <w:rsid w:val="6EBB3DA8"/>
    <w:rsid w:val="6EC05016"/>
    <w:rsid w:val="6EC95E08"/>
    <w:rsid w:val="6ED36592"/>
    <w:rsid w:val="6F0E15C8"/>
    <w:rsid w:val="6F2E3E59"/>
    <w:rsid w:val="6F436F8F"/>
    <w:rsid w:val="6F4E3774"/>
    <w:rsid w:val="6F5850BA"/>
    <w:rsid w:val="6F6816AE"/>
    <w:rsid w:val="6F6E31AE"/>
    <w:rsid w:val="6F93693C"/>
    <w:rsid w:val="6FA8204E"/>
    <w:rsid w:val="6FAD5CAF"/>
    <w:rsid w:val="6FC9214C"/>
    <w:rsid w:val="6FE16E28"/>
    <w:rsid w:val="705D36AF"/>
    <w:rsid w:val="70885290"/>
    <w:rsid w:val="70BC0321"/>
    <w:rsid w:val="70CC02B3"/>
    <w:rsid w:val="70D45E51"/>
    <w:rsid w:val="70D53585"/>
    <w:rsid w:val="70F2273C"/>
    <w:rsid w:val="7107296B"/>
    <w:rsid w:val="711A792C"/>
    <w:rsid w:val="71321C7C"/>
    <w:rsid w:val="7170146E"/>
    <w:rsid w:val="717268C8"/>
    <w:rsid w:val="71802D0E"/>
    <w:rsid w:val="718F5890"/>
    <w:rsid w:val="71C34D91"/>
    <w:rsid w:val="72220DAF"/>
    <w:rsid w:val="722872EA"/>
    <w:rsid w:val="722F3192"/>
    <w:rsid w:val="7235573F"/>
    <w:rsid w:val="726C56B8"/>
    <w:rsid w:val="727E6C9F"/>
    <w:rsid w:val="7288771C"/>
    <w:rsid w:val="728C57EE"/>
    <w:rsid w:val="72A458E1"/>
    <w:rsid w:val="72AD500E"/>
    <w:rsid w:val="72BD2BAC"/>
    <w:rsid w:val="72CE592F"/>
    <w:rsid w:val="72D843F1"/>
    <w:rsid w:val="73197AE0"/>
    <w:rsid w:val="73221860"/>
    <w:rsid w:val="73371E11"/>
    <w:rsid w:val="73375A36"/>
    <w:rsid w:val="733A4EF6"/>
    <w:rsid w:val="733D0234"/>
    <w:rsid w:val="73471B4A"/>
    <w:rsid w:val="73773239"/>
    <w:rsid w:val="73837CC0"/>
    <w:rsid w:val="73B40BD5"/>
    <w:rsid w:val="73C4175E"/>
    <w:rsid w:val="73E80D98"/>
    <w:rsid w:val="73F11805"/>
    <w:rsid w:val="73FA14E3"/>
    <w:rsid w:val="740267E6"/>
    <w:rsid w:val="740A7F35"/>
    <w:rsid w:val="744A276A"/>
    <w:rsid w:val="74743022"/>
    <w:rsid w:val="74897210"/>
    <w:rsid w:val="74A45A74"/>
    <w:rsid w:val="74A7099A"/>
    <w:rsid w:val="74B86703"/>
    <w:rsid w:val="74D64177"/>
    <w:rsid w:val="74E52558"/>
    <w:rsid w:val="751E40FE"/>
    <w:rsid w:val="75336751"/>
    <w:rsid w:val="753D4E5A"/>
    <w:rsid w:val="755E6626"/>
    <w:rsid w:val="75641EC7"/>
    <w:rsid w:val="75841DF5"/>
    <w:rsid w:val="758D233C"/>
    <w:rsid w:val="75970A9E"/>
    <w:rsid w:val="75B025B7"/>
    <w:rsid w:val="75D9468A"/>
    <w:rsid w:val="75DE7C00"/>
    <w:rsid w:val="761A3089"/>
    <w:rsid w:val="762955DF"/>
    <w:rsid w:val="76373E70"/>
    <w:rsid w:val="764802D8"/>
    <w:rsid w:val="769054A2"/>
    <w:rsid w:val="76C54839"/>
    <w:rsid w:val="76FB601C"/>
    <w:rsid w:val="77081D08"/>
    <w:rsid w:val="77943778"/>
    <w:rsid w:val="77945DEF"/>
    <w:rsid w:val="77AB254F"/>
    <w:rsid w:val="77AB41A4"/>
    <w:rsid w:val="77B46DA4"/>
    <w:rsid w:val="77EB2D72"/>
    <w:rsid w:val="77F46A62"/>
    <w:rsid w:val="780776F7"/>
    <w:rsid w:val="780E567C"/>
    <w:rsid w:val="78163522"/>
    <w:rsid w:val="785E50A2"/>
    <w:rsid w:val="78867CFB"/>
    <w:rsid w:val="789F2C29"/>
    <w:rsid w:val="79042EE5"/>
    <w:rsid w:val="79210966"/>
    <w:rsid w:val="794321BB"/>
    <w:rsid w:val="794C2AB0"/>
    <w:rsid w:val="794D51CC"/>
    <w:rsid w:val="795F47C4"/>
    <w:rsid w:val="7967171B"/>
    <w:rsid w:val="799040F2"/>
    <w:rsid w:val="799447B2"/>
    <w:rsid w:val="79993DEC"/>
    <w:rsid w:val="799B671E"/>
    <w:rsid w:val="79B7238B"/>
    <w:rsid w:val="79C93160"/>
    <w:rsid w:val="79F16C5D"/>
    <w:rsid w:val="79F80A58"/>
    <w:rsid w:val="79F9227E"/>
    <w:rsid w:val="7A03141B"/>
    <w:rsid w:val="7A0404E5"/>
    <w:rsid w:val="7A1817A4"/>
    <w:rsid w:val="7A470DFD"/>
    <w:rsid w:val="7A7B1CFF"/>
    <w:rsid w:val="7A9E603E"/>
    <w:rsid w:val="7AB91427"/>
    <w:rsid w:val="7AF91823"/>
    <w:rsid w:val="7B144E25"/>
    <w:rsid w:val="7B225C49"/>
    <w:rsid w:val="7B34482F"/>
    <w:rsid w:val="7B4749DB"/>
    <w:rsid w:val="7B8340AE"/>
    <w:rsid w:val="7B8F7B53"/>
    <w:rsid w:val="7B9F467D"/>
    <w:rsid w:val="7BB151BD"/>
    <w:rsid w:val="7BC42654"/>
    <w:rsid w:val="7BF60404"/>
    <w:rsid w:val="7C002825"/>
    <w:rsid w:val="7C42078B"/>
    <w:rsid w:val="7C447038"/>
    <w:rsid w:val="7C460A98"/>
    <w:rsid w:val="7C897737"/>
    <w:rsid w:val="7CA50B86"/>
    <w:rsid w:val="7CD40CD3"/>
    <w:rsid w:val="7CE36171"/>
    <w:rsid w:val="7D185145"/>
    <w:rsid w:val="7D3B4EF2"/>
    <w:rsid w:val="7D6954C8"/>
    <w:rsid w:val="7D6D40C6"/>
    <w:rsid w:val="7DAA7D03"/>
    <w:rsid w:val="7DAE4568"/>
    <w:rsid w:val="7DB47549"/>
    <w:rsid w:val="7DF42A4B"/>
    <w:rsid w:val="7E660D74"/>
    <w:rsid w:val="7EAB2F61"/>
    <w:rsid w:val="7ECE28DC"/>
    <w:rsid w:val="7EE626A2"/>
    <w:rsid w:val="7EF1767C"/>
    <w:rsid w:val="7F160BF6"/>
    <w:rsid w:val="7F1747D7"/>
    <w:rsid w:val="7F2F78BB"/>
    <w:rsid w:val="7F370C17"/>
    <w:rsid w:val="7FAD0277"/>
    <w:rsid w:val="7FAF5376"/>
    <w:rsid w:val="7FDD00AC"/>
    <w:rsid w:val="7FDE6D39"/>
    <w:rsid w:val="7FE17785"/>
    <w:rsid w:val="EF7F35D7"/>
    <w:rsid w:val="FA6F28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0"/>
      <w:sz w:val="28"/>
      <w:szCs w:val="28"/>
      <w:lang w:val="zh-CN"/>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7">
    <w:name w:val="List Number"/>
    <w:basedOn w:val="1"/>
    <w:qFormat/>
    <w:uiPriority w:val="0"/>
    <w:pPr>
      <w:numPr>
        <w:ilvl w:val="0"/>
        <w:numId w:val="2"/>
      </w:numPr>
    </w:pPr>
  </w:style>
  <w:style w:type="paragraph" w:styleId="8">
    <w:name w:val="toa heading"/>
    <w:basedOn w:val="1"/>
    <w:next w:val="1"/>
    <w:semiHidden/>
    <w:qFormat/>
    <w:uiPriority w:val="99"/>
    <w:pPr>
      <w:spacing w:before="120"/>
    </w:pPr>
    <w:rPr>
      <w:rFonts w:ascii="Arial" w:hAnsi="Arial" w:cs="Arial"/>
      <w:sz w:val="24"/>
    </w:rPr>
  </w:style>
  <w:style w:type="paragraph" w:styleId="9">
    <w:name w:val="annotation text"/>
    <w:basedOn w:val="1"/>
    <w:qFormat/>
    <w:uiPriority w:val="0"/>
    <w:pPr>
      <w:jc w:val="left"/>
    </w:pPr>
  </w:style>
  <w:style w:type="paragraph" w:styleId="10">
    <w:name w:val="Body Text"/>
    <w:basedOn w:val="1"/>
    <w:qFormat/>
    <w:uiPriority w:val="0"/>
    <w:pPr>
      <w:spacing w:line="360" w:lineRule="exact"/>
    </w:pPr>
    <w:rPr>
      <w:sz w:val="24"/>
    </w:rPr>
  </w:style>
  <w:style w:type="paragraph" w:styleId="11">
    <w:name w:val="Body Text Indent"/>
    <w:basedOn w:val="1"/>
    <w:next w:val="1"/>
    <w:qFormat/>
    <w:uiPriority w:val="0"/>
    <w:pPr>
      <w:spacing w:after="120"/>
      <w:ind w:left="420" w:leftChars="200"/>
    </w:pPr>
  </w:style>
  <w:style w:type="paragraph" w:styleId="12">
    <w:name w:val="Plain Text"/>
    <w:basedOn w:val="1"/>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8">
    <w:name w:val="toc 4"/>
    <w:basedOn w:val="1"/>
    <w:next w:val="1"/>
    <w:unhideWhenUsed/>
    <w:qFormat/>
    <w:uiPriority w:val="39"/>
    <w:pPr>
      <w:ind w:left="1260" w:leftChars="600"/>
    </w:pPr>
  </w:style>
  <w:style w:type="paragraph" w:styleId="19">
    <w:name w:val="toc 6"/>
    <w:basedOn w:val="1"/>
    <w:next w:val="1"/>
    <w:qFormat/>
    <w:uiPriority w:val="39"/>
    <w:pPr>
      <w:ind w:left="1050"/>
      <w:jc w:val="left"/>
    </w:pPr>
    <w:rPr>
      <w:rFonts w:ascii="Calibri" w:hAnsi="Calibri" w:cs="Calibri"/>
      <w:sz w:val="18"/>
      <w:szCs w:val="18"/>
    </w:rPr>
  </w:style>
  <w:style w:type="paragraph" w:styleId="2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Body Text First Indent"/>
    <w:basedOn w:val="10"/>
    <w:next w:val="19"/>
    <w:qFormat/>
    <w:uiPriority w:val="0"/>
    <w:pPr>
      <w:ind w:firstLine="200" w:firstLineChars="200"/>
    </w:pPr>
  </w:style>
  <w:style w:type="paragraph" w:styleId="23">
    <w:name w:val="Body Text First Indent 2"/>
    <w:basedOn w:val="11"/>
    <w:qFormat/>
    <w:uiPriority w:val="0"/>
    <w:pPr>
      <w:ind w:firstLine="420"/>
    </w:pPr>
  </w:style>
  <w:style w:type="table" w:styleId="25">
    <w:name w:val="Table Grid"/>
    <w:basedOn w:val="24"/>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Hyperlink"/>
    <w:qFormat/>
    <w:uiPriority w:val="0"/>
    <w:rPr>
      <w:color w:val="0000FF"/>
      <w:u w:val="single"/>
    </w:rPr>
  </w:style>
  <w:style w:type="paragraph" w:customStyle="1" w:styleId="30">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rPr>
      <w:rFonts w:ascii="Times New Roman" w:hAnsi="Times New Roman" w:eastAsia="宋体" w:cs="Times New Roman"/>
      <w:sz w:val="21"/>
      <w:szCs w:val="22"/>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qFormat/>
    <w:uiPriority w:val="0"/>
    <w:pPr>
      <w:widowControl/>
      <w:jc w:val="left"/>
    </w:pPr>
    <w:rPr>
      <w:rFonts w:ascii="宋体" w:hAnsi="Courier New" w:eastAsiaTheme="minorEastAsia" w:cstheme="minorBidi"/>
      <w:szCs w:val="21"/>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font21"/>
    <w:basedOn w:val="27"/>
    <w:qFormat/>
    <w:uiPriority w:val="0"/>
    <w:rPr>
      <w:rFonts w:hint="default" w:ascii="Arial" w:hAnsi="Arial" w:cs="Arial"/>
      <w:color w:val="000000"/>
      <w:sz w:val="20"/>
      <w:szCs w:val="20"/>
      <w:u w:val="none"/>
    </w:rPr>
  </w:style>
  <w:style w:type="character" w:customStyle="1" w:styleId="47">
    <w:name w:val="font01"/>
    <w:basedOn w:val="27"/>
    <w:qFormat/>
    <w:uiPriority w:val="0"/>
    <w:rPr>
      <w:rFonts w:hint="eastAsia" w:ascii="宋体" w:hAnsi="宋体" w:eastAsia="宋体" w:cs="宋体"/>
      <w:color w:val="000000"/>
      <w:sz w:val="20"/>
      <w:szCs w:val="20"/>
      <w:u w:val="none"/>
    </w:rPr>
  </w:style>
  <w:style w:type="paragraph" w:customStyle="1" w:styleId="48">
    <w:name w:val="纯文本1"/>
    <w:basedOn w:val="49"/>
    <w:qFormat/>
    <w:uiPriority w:val="0"/>
    <w:pPr>
      <w:widowControl/>
      <w:jc w:val="left"/>
    </w:pPr>
    <w:rPr>
      <w:rFonts w:ascii="宋体" w:hAnsi="Courier New"/>
    </w:rPr>
  </w:style>
  <w:style w:type="paragraph" w:customStyle="1" w:styleId="4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Table Paragraph"/>
    <w:basedOn w:val="1"/>
    <w:qFormat/>
    <w:uiPriority w:val="1"/>
    <w:rPr>
      <w:rFonts w:ascii="宋体" w:hAnsi="宋体" w:cs="宋体"/>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默认段落字体 Para Char Char Char Char Char Char Char Char Char1 Char Char Char Char"/>
    <w:basedOn w:val="1"/>
    <w:qFormat/>
    <w:uiPriority w:val="0"/>
    <w:rPr>
      <w:rFonts w:ascii="Tahoma" w:hAnsi="Tahoma"/>
      <w:sz w:val="24"/>
      <w:szCs w:val="20"/>
    </w:rPr>
  </w:style>
  <w:style w:type="character" w:customStyle="1" w:styleId="53">
    <w:name w:val="批注框文本 Char"/>
    <w:basedOn w:val="27"/>
    <w:link w:val="14"/>
    <w:qFormat/>
    <w:uiPriority w:val="0"/>
    <w:rPr>
      <w:kern w:val="2"/>
      <w:sz w:val="18"/>
      <w:szCs w:val="18"/>
    </w:rPr>
  </w:style>
  <w:style w:type="paragraph" w:customStyle="1" w:styleId="54">
    <w:name w:val="MY正文"/>
    <w:basedOn w:val="1"/>
    <w:qFormat/>
    <w:uiPriority w:val="0"/>
    <w:pPr>
      <w:spacing w:line="360" w:lineRule="auto"/>
      <w:ind w:firstLine="560" w:firstLineChars="200"/>
    </w:pPr>
    <w:rPr>
      <w:rFonts w:ascii="等线" w:hAnsi="等线" w:eastAsia="仿宋_GB2312" w:cs="Times New Roman"/>
      <w:sz w:val="28"/>
      <w:szCs w:val="28"/>
    </w:rPr>
  </w:style>
  <w:style w:type="paragraph" w:customStyle="1" w:styleId="55">
    <w:name w:val="dingdocnormal"/>
    <w:qFormat/>
    <w:uiPriority w:val="0"/>
    <w:rPr>
      <w:rFonts w:asciiTheme="minorHAnsi" w:hAnsiTheme="minorHAnsi" w:eastAsiaTheme="minorEastAsia" w:cstheme="minorBidi"/>
      <w:kern w:val="2"/>
      <w:sz w:val="21"/>
      <w:szCs w:val="20"/>
      <w:lang w:val="en-US" w:eastAsia="zh-CN" w:bidi="ar-SA"/>
    </w:rPr>
  </w:style>
  <w:style w:type="paragraph" w:customStyle="1" w:styleId="56">
    <w:name w:val="表格并列项"/>
    <w:basedOn w:val="1"/>
    <w:qFormat/>
    <w:uiPriority w:val="0"/>
    <w:pPr>
      <w:widowControl/>
      <w:snapToGrid w:val="0"/>
      <w:spacing w:before="40" w:after="40" w:line="288" w:lineRule="auto"/>
      <w:contextualSpacing/>
    </w:pPr>
    <w:rPr>
      <w:rFonts w:ascii="Times New Roman" w:hAnsi="Times New Roman" w:eastAsia="方正兰亭黑简体" w:cs="Cambria"/>
      <w:szCs w:val="20"/>
    </w:rPr>
  </w:style>
  <w:style w:type="paragraph" w:customStyle="1" w:styleId="57">
    <w:name w:val="*正文"/>
    <w:basedOn w:val="1"/>
    <w:qFormat/>
    <w:uiPriority w:val="0"/>
    <w:pPr>
      <w:spacing w:before="120" w:after="120" w:line="360" w:lineRule="auto"/>
      <w:ind w:firstLine="200" w:firstLineChars="200"/>
    </w:pPr>
    <w:rPr>
      <w:rFonts w:ascii="新宋体" w:hAnsi="新宋体" w:eastAsia="仿宋" w:cs="Times New Roman"/>
      <w:szCs w:val="28"/>
    </w:rPr>
  </w:style>
  <w:style w:type="paragraph" w:customStyle="1" w:styleId="58">
    <w:name w:val="列出段落8"/>
    <w:basedOn w:val="1"/>
    <w:qFormat/>
    <w:uiPriority w:val="99"/>
    <w:pPr>
      <w:widowControl/>
      <w:ind w:firstLine="420" w:firstLineChars="200"/>
      <w:jc w:val="left"/>
    </w:pPr>
    <w:rPr>
      <w:rFonts w:ascii="宋体" w:hAnsi="宋体" w:cs="宋体"/>
      <w:kern w:val="0"/>
      <w:sz w:val="24"/>
      <w:szCs w:val="24"/>
    </w:rPr>
  </w:style>
  <w:style w:type="character" w:customStyle="1" w:styleId="59">
    <w:name w:val="font11"/>
    <w:basedOn w:val="27"/>
    <w:qFormat/>
    <w:uiPriority w:val="0"/>
    <w:rPr>
      <w:rFonts w:hint="eastAsia" w:ascii="宋体" w:hAnsi="宋体" w:eastAsia="宋体" w:cs="宋体"/>
      <w:color w:val="000000"/>
      <w:sz w:val="18"/>
      <w:szCs w:val="18"/>
      <w:u w:val="none"/>
    </w:rPr>
  </w:style>
  <w:style w:type="character" w:customStyle="1" w:styleId="60">
    <w:name w:val="font31"/>
    <w:basedOn w:val="27"/>
    <w:qFormat/>
    <w:uiPriority w:val="0"/>
    <w:rPr>
      <w:rFonts w:hint="eastAsia" w:ascii="仿宋_GB2312" w:eastAsia="仿宋_GB2312" w:cs="仿宋_GB2312"/>
      <w:color w:val="000000"/>
      <w:sz w:val="28"/>
      <w:szCs w:val="28"/>
      <w:u w:val="none"/>
    </w:rPr>
  </w:style>
  <w:style w:type="character" w:customStyle="1" w:styleId="61">
    <w:name w:val="font41"/>
    <w:basedOn w:val="27"/>
    <w:qFormat/>
    <w:uiPriority w:val="0"/>
    <w:rPr>
      <w:rFonts w:hint="eastAsia" w:ascii="宋体" w:hAnsi="宋体" w:eastAsia="宋体" w:cs="宋体"/>
      <w:color w:val="FF0000"/>
      <w:sz w:val="21"/>
      <w:szCs w:val="21"/>
      <w:u w:val="none"/>
    </w:rPr>
  </w:style>
  <w:style w:type="character" w:customStyle="1" w:styleId="62">
    <w:name w:val="font51"/>
    <w:basedOn w:val="27"/>
    <w:qFormat/>
    <w:uiPriority w:val="0"/>
    <w:rPr>
      <w:rFonts w:hint="eastAsia" w:ascii="宋体" w:hAnsi="宋体" w:eastAsia="宋体" w:cs="宋体"/>
      <w:color w:val="000000"/>
      <w:sz w:val="21"/>
      <w:szCs w:val="21"/>
      <w:u w:val="none"/>
    </w:rPr>
  </w:style>
  <w:style w:type="character" w:customStyle="1" w:styleId="63">
    <w:name w:val="font61"/>
    <w:basedOn w:val="27"/>
    <w:qFormat/>
    <w:uiPriority w:val="0"/>
    <w:rPr>
      <w:rFonts w:hint="default" w:ascii="Times New Roman" w:hAnsi="Times New Roman" w:cs="Times New Roman"/>
      <w:color w:val="000000"/>
      <w:sz w:val="21"/>
      <w:szCs w:val="21"/>
      <w:u w:val="none"/>
    </w:rPr>
  </w:style>
  <w:style w:type="paragraph" w:customStyle="1" w:styleId="64">
    <w:name w:val="Table Text"/>
    <w:basedOn w:val="1"/>
    <w:semiHidden/>
    <w:qFormat/>
    <w:uiPriority w:val="0"/>
    <w:rPr>
      <w:rFonts w:ascii="宋体" w:hAnsi="宋体" w:eastAsia="宋体" w:cs="宋体"/>
      <w:sz w:val="24"/>
      <w:szCs w:val="24"/>
      <w:lang w:val="en-US" w:eastAsia="en-US" w:bidi="ar-SA"/>
    </w:rPr>
  </w:style>
  <w:style w:type="table" w:customStyle="1" w:styleId="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26292</Words>
  <Characters>27192</Characters>
  <Lines>156</Lines>
  <Paragraphs>44</Paragraphs>
  <TotalTime>25</TotalTime>
  <ScaleCrop>false</ScaleCrop>
  <LinksUpToDate>false</LinksUpToDate>
  <CharactersWithSpaces>28893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2021-02-06T09:06:00Z</dcterms:created>
  <dc:creator>Thorpe521</dc:creator>
  <cp:lastModifiedBy>阿拉丁</cp:lastModifiedBy>
  <dcterms:modified xsi:type="dcterms:W3CDTF">2024-07-25T03:09:33Z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0AAFE63C17C14A4F9163B3569A0D0EE8_13</vt:lpwstr>
  </property>
</Properties>
</file>